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275" w:rsidRDefault="00D66275" w:rsidP="00D66275">
      <w:pPr>
        <w:pStyle w:val="NoParagraphStyle"/>
        <w:tabs>
          <w:tab w:val="left" w:pos="1913"/>
        </w:tabs>
        <w:suppressAutoHyphens/>
        <w:rPr>
          <w:b/>
          <w:bCs/>
          <w:caps/>
          <w:color w:val="00B6E8"/>
          <w:spacing w:val="17"/>
          <w:sz w:val="34"/>
          <w:szCs w:val="34"/>
        </w:rPr>
      </w:pPr>
      <w:r>
        <w:rPr>
          <w:b/>
          <w:bCs/>
          <w:caps/>
          <w:noProof/>
          <w:color w:val="00B6E8"/>
          <w:spacing w:val="17"/>
          <w:sz w:val="34"/>
          <w:szCs w:val="34"/>
          <w:lang w:val="en-AU" w:eastAsia="en-AU"/>
        </w:rPr>
        <w:drawing>
          <wp:inline distT="0" distB="0" distL="0" distR="0">
            <wp:extent cx="2989387" cy="719667"/>
            <wp:effectExtent l="0" t="0" r="0" b="4445"/>
            <wp:docPr id="1" name="Picture 1" descr="Official crest of the Australian Government, Climate Change Autho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16 at 10.39.12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5692" cy="757296"/>
                    </a:xfrm>
                    <a:prstGeom prst="rect">
                      <a:avLst/>
                    </a:prstGeom>
                  </pic:spPr>
                </pic:pic>
              </a:graphicData>
            </a:graphic>
          </wp:inline>
        </w:drawing>
      </w:r>
    </w:p>
    <w:p w:rsidR="00D66275" w:rsidRDefault="00D66275" w:rsidP="00D66275">
      <w:pPr>
        <w:pStyle w:val="NoParagraphStyle"/>
        <w:tabs>
          <w:tab w:val="left" w:pos="1913"/>
        </w:tabs>
        <w:suppressAutoHyphens/>
        <w:spacing w:before="1000"/>
        <w:rPr>
          <w:b/>
          <w:bCs/>
          <w:caps/>
          <w:color w:val="00B6E8"/>
          <w:spacing w:val="17"/>
          <w:sz w:val="34"/>
          <w:szCs w:val="34"/>
        </w:rPr>
      </w:pPr>
      <w:r>
        <w:rPr>
          <w:b/>
          <w:bCs/>
          <w:caps/>
          <w:color w:val="00B6E8"/>
          <w:spacing w:val="17"/>
          <w:sz w:val="34"/>
          <w:szCs w:val="34"/>
        </w:rPr>
        <w:t>Climate change authority</w:t>
      </w:r>
    </w:p>
    <w:p w:rsidR="00D66275" w:rsidRDefault="00D66275" w:rsidP="00D66275">
      <w:pPr>
        <w:pStyle w:val="NoParagraphStyle"/>
        <w:tabs>
          <w:tab w:val="left" w:pos="1913"/>
        </w:tabs>
        <w:suppressAutoHyphens/>
        <w:rPr>
          <w:b/>
          <w:bCs/>
          <w:caps/>
          <w:spacing w:val="17"/>
          <w:sz w:val="34"/>
          <w:szCs w:val="34"/>
        </w:rPr>
      </w:pPr>
      <w:r>
        <w:rPr>
          <w:b/>
          <w:bCs/>
          <w:caps/>
          <w:spacing w:val="17"/>
          <w:sz w:val="34"/>
          <w:szCs w:val="34"/>
        </w:rPr>
        <w:t>Annual report 2017–18</w:t>
      </w:r>
    </w:p>
    <w:p w:rsidR="00D66275" w:rsidRPr="00D66275" w:rsidRDefault="00D66275" w:rsidP="00D66275">
      <w:pPr>
        <w:pStyle w:val="04Heading4"/>
        <w:spacing w:before="1200" w:line="240" w:lineRule="atLeast"/>
        <w:rPr>
          <w:color w:val="000000"/>
          <w:sz w:val="18"/>
          <w:szCs w:val="18"/>
        </w:rPr>
      </w:pPr>
      <w:r w:rsidRPr="00D66275">
        <w:rPr>
          <w:color w:val="000000"/>
          <w:sz w:val="18"/>
          <w:szCs w:val="18"/>
        </w:rPr>
        <w:t>About this report</w:t>
      </w:r>
    </w:p>
    <w:p w:rsidR="00D66275" w:rsidRPr="00D66275" w:rsidRDefault="00D66275" w:rsidP="00D66275">
      <w:pPr>
        <w:pStyle w:val="06Bodytext"/>
        <w:spacing w:line="240" w:lineRule="atLeast"/>
      </w:pPr>
      <w:r w:rsidRPr="00D66275">
        <w:t xml:space="preserve">The Climate Change Authority’s annual report has been prepared in accordance with section 46 of the </w:t>
      </w:r>
      <w:r w:rsidRPr="00D66275">
        <w:rPr>
          <w:rStyle w:val="CCABodyItalic"/>
        </w:rPr>
        <w:t>Public Governance, Performance and Accountability Act 2013</w:t>
      </w:r>
      <w:r w:rsidRPr="00D66275">
        <w:t>.</w:t>
      </w:r>
    </w:p>
    <w:p w:rsidR="00D66275" w:rsidRPr="00D66275" w:rsidRDefault="00D66275" w:rsidP="00D66275">
      <w:pPr>
        <w:pStyle w:val="06Bodytext"/>
        <w:spacing w:line="240" w:lineRule="atLeast"/>
      </w:pPr>
      <w:r w:rsidRPr="00D66275">
        <w:t>The annual report is available in print from 13 libraries around Australia and online at www.climatechangeauthority.gov.au/about-cca.</w:t>
      </w:r>
    </w:p>
    <w:p w:rsidR="00D66275" w:rsidRPr="00D66275" w:rsidRDefault="00D66275" w:rsidP="00D66275">
      <w:pPr>
        <w:pStyle w:val="06Bodytext"/>
        <w:spacing w:line="240" w:lineRule="atLeast"/>
        <w:rPr>
          <w:rStyle w:val="BOLD"/>
        </w:rPr>
      </w:pPr>
      <w:r w:rsidRPr="00D66275">
        <w:rPr>
          <w:rStyle w:val="BOLD"/>
        </w:rPr>
        <w:t>Contact us</w:t>
      </w:r>
    </w:p>
    <w:p w:rsidR="00D66275" w:rsidRPr="00D66275" w:rsidRDefault="00D66275" w:rsidP="00D66275">
      <w:pPr>
        <w:pStyle w:val="06Bodytext"/>
        <w:spacing w:line="240" w:lineRule="atLeast"/>
      </w:pPr>
      <w:r w:rsidRPr="00D66275">
        <w:t>If you have any queries about this report, please contact:</w:t>
      </w:r>
    </w:p>
    <w:p w:rsidR="00D66275" w:rsidRPr="00D66275" w:rsidRDefault="00D66275" w:rsidP="00D66275">
      <w:pPr>
        <w:pStyle w:val="06Bodytext"/>
        <w:spacing w:line="240" w:lineRule="atLeast"/>
      </w:pPr>
      <w:r w:rsidRPr="00D66275">
        <w:t>Business Manager Climate Change Authority GPO Box 787 CANBERRA ACT 2600</w:t>
      </w:r>
    </w:p>
    <w:p w:rsidR="00D66275" w:rsidRPr="00D66275" w:rsidRDefault="00D66275" w:rsidP="00D66275">
      <w:pPr>
        <w:pStyle w:val="06Bodytext"/>
        <w:spacing w:line="240" w:lineRule="atLeast"/>
      </w:pPr>
      <w:r w:rsidRPr="00D66275">
        <w:t>Internet: www.climatechangeauthority.gov.au Email: enquiries@climatechangeauthority.gov.au</w:t>
      </w:r>
    </w:p>
    <w:p w:rsidR="00D66275" w:rsidRPr="00D66275" w:rsidRDefault="00D66275" w:rsidP="00D66275">
      <w:pPr>
        <w:pStyle w:val="06Bodytext"/>
        <w:spacing w:line="240" w:lineRule="atLeast"/>
      </w:pPr>
      <w:r w:rsidRPr="00D66275">
        <w:t>Telephone: +61 2 6274 2400</w:t>
      </w:r>
    </w:p>
    <w:p w:rsidR="00D66275" w:rsidRPr="00D66275" w:rsidRDefault="00D66275" w:rsidP="00D66275">
      <w:pPr>
        <w:pStyle w:val="06Bodytext"/>
        <w:spacing w:line="240" w:lineRule="atLeast"/>
      </w:pPr>
      <w:r w:rsidRPr="00D66275">
        <w:t>ABN: 60 585 018 782</w:t>
      </w:r>
    </w:p>
    <w:p w:rsidR="00D66275" w:rsidRPr="00D66275" w:rsidRDefault="00D66275" w:rsidP="00D66275">
      <w:pPr>
        <w:pStyle w:val="06Bodytext"/>
        <w:spacing w:line="240" w:lineRule="atLeast"/>
      </w:pPr>
      <w:r w:rsidRPr="00D66275">
        <w:t>ISBN: 978-0-6481620-3-2</w:t>
      </w:r>
    </w:p>
    <w:p w:rsidR="00D66275" w:rsidRPr="00D66275" w:rsidRDefault="00D66275" w:rsidP="00D66275">
      <w:pPr>
        <w:pStyle w:val="06Bodytext"/>
        <w:spacing w:line="240" w:lineRule="atLeast"/>
      </w:pPr>
      <w:r w:rsidRPr="00D66275">
        <w:t>Published by the Climate Change Authority</w:t>
      </w:r>
    </w:p>
    <w:p w:rsidR="00D66275" w:rsidRPr="00D66275" w:rsidRDefault="00D66275" w:rsidP="00D66275">
      <w:pPr>
        <w:pStyle w:val="06Bodytext"/>
        <w:spacing w:line="240" w:lineRule="atLeast"/>
      </w:pPr>
      <w:r w:rsidRPr="00D66275">
        <w:t>www.climatechangeauthority.gov.au</w:t>
      </w:r>
    </w:p>
    <w:p w:rsidR="00D66275" w:rsidRPr="00D66275" w:rsidRDefault="00D66275" w:rsidP="00D66275">
      <w:pPr>
        <w:pStyle w:val="06Bodytext"/>
        <w:spacing w:line="240" w:lineRule="atLeast"/>
      </w:pPr>
      <w:r w:rsidRPr="00D66275">
        <w:t>©Commonwealth of Australia 2018</w:t>
      </w:r>
    </w:p>
    <w:p w:rsidR="00D66275" w:rsidRPr="00D66275" w:rsidRDefault="00D66275" w:rsidP="00D66275">
      <w:pPr>
        <w:pStyle w:val="06Bodytext"/>
        <w:spacing w:line="240" w:lineRule="atLeast"/>
      </w:pPr>
      <w:r w:rsidRPr="00D66275">
        <w:t>This work is licensed under the Creative Commons Attribution 3.0 Australia Licence. To view a copy of this license, visit http://creativecommons.org/licenses/by/3.0/au.</w:t>
      </w:r>
    </w:p>
    <w:p w:rsidR="00D66275" w:rsidRPr="00D66275" w:rsidRDefault="00D66275" w:rsidP="00D66275">
      <w:pPr>
        <w:pStyle w:val="06Bodytext"/>
        <w:spacing w:line="240" w:lineRule="atLeast"/>
      </w:pPr>
      <w:r w:rsidRPr="00D66275">
        <w:t>The Climate Change Authority asserts the right to be recognised as author of the original material in the following manner:</w:t>
      </w:r>
    </w:p>
    <w:p w:rsidR="00D66275" w:rsidRPr="00D66275" w:rsidRDefault="00D66275" w:rsidP="00D66275">
      <w:pPr>
        <w:pStyle w:val="06Bodytext"/>
        <w:spacing w:line="240" w:lineRule="atLeast"/>
      </w:pPr>
      <w:r>
        <w:rPr>
          <w:noProof/>
          <w:lang w:val="en-AU" w:eastAsia="en-AU"/>
        </w:rPr>
        <w:drawing>
          <wp:inline distT="0" distB="0" distL="0" distR="0">
            <wp:extent cx="830603" cy="313267"/>
            <wp:effectExtent l="0" t="0" r="0" b="4445"/>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16 at 10.49.03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0444" cy="332065"/>
                    </a:xfrm>
                    <a:prstGeom prst="rect">
                      <a:avLst/>
                    </a:prstGeom>
                  </pic:spPr>
                </pic:pic>
              </a:graphicData>
            </a:graphic>
          </wp:inline>
        </w:drawing>
      </w:r>
      <w:r w:rsidRPr="00D66275">
        <w:t xml:space="preserve"> or </w:t>
      </w:r>
      <w:r>
        <w:rPr>
          <w:noProof/>
          <w:lang w:val="en-AU" w:eastAsia="en-AU"/>
        </w:rPr>
        <w:drawing>
          <wp:inline distT="0" distB="0" distL="0" distR="0">
            <wp:extent cx="1210733" cy="280015"/>
            <wp:effectExtent l="0" t="0" r="0" b="0"/>
            <wp:docPr id="4" name="Picture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16 at 10.49.12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9327" cy="291254"/>
                    </a:xfrm>
                    <a:prstGeom prst="rect">
                      <a:avLst/>
                    </a:prstGeom>
                  </pic:spPr>
                </pic:pic>
              </a:graphicData>
            </a:graphic>
          </wp:inline>
        </w:drawing>
      </w:r>
    </w:p>
    <w:p w:rsidR="00D66275" w:rsidRPr="00D66275" w:rsidRDefault="00D66275" w:rsidP="00D66275">
      <w:pPr>
        <w:pStyle w:val="06Bodytext"/>
        <w:spacing w:line="240" w:lineRule="atLeast"/>
      </w:pPr>
      <w:r w:rsidRPr="00D66275">
        <w:t>©Commonwealth of Australia (Climate Change Authority) 2018.</w:t>
      </w:r>
    </w:p>
    <w:p w:rsidR="00D66275" w:rsidRPr="00D66275" w:rsidRDefault="00D66275" w:rsidP="00D66275">
      <w:pPr>
        <w:pStyle w:val="06Bodytext"/>
        <w:spacing w:line="240" w:lineRule="atLeast"/>
      </w:pPr>
    </w:p>
    <w:p w:rsidR="00D66275" w:rsidRPr="00D66275" w:rsidRDefault="00D66275" w:rsidP="00D66275">
      <w:pPr>
        <w:pStyle w:val="06Bodytext"/>
        <w:spacing w:line="240" w:lineRule="atLeast"/>
      </w:pPr>
      <w:r w:rsidRPr="00D66275">
        <w:t>IMPORTANT NOTICE—PLEASE READ</w:t>
      </w:r>
    </w:p>
    <w:p w:rsidR="00D66275" w:rsidRPr="00D66275" w:rsidRDefault="00D66275" w:rsidP="00D66275">
      <w:pPr>
        <w:pStyle w:val="NoParagraphStyle"/>
        <w:tabs>
          <w:tab w:val="left" w:pos="1913"/>
        </w:tabs>
        <w:suppressAutoHyphens/>
        <w:spacing w:line="240" w:lineRule="atLeast"/>
        <w:rPr>
          <w:b/>
          <w:bCs/>
          <w:caps/>
          <w:spacing w:val="17"/>
          <w:sz w:val="18"/>
          <w:szCs w:val="18"/>
        </w:rPr>
      </w:pPr>
      <w:r w:rsidRPr="00D66275">
        <w:rPr>
          <w:sz w:val="18"/>
          <w:szCs w:val="18"/>
        </w:rPr>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sdt>
      <w:sdtPr>
        <w:rPr>
          <w:rFonts w:asciiTheme="minorHAnsi" w:hAnsiTheme="minorHAnsi" w:cstheme="minorBidi"/>
          <w:b w:val="0"/>
          <w:bCs w:val="0"/>
          <w:caps w:val="0"/>
          <w:color w:val="auto"/>
          <w:spacing w:val="0"/>
          <w:sz w:val="24"/>
          <w:szCs w:val="24"/>
          <w:lang w:val="en-AU"/>
        </w:rPr>
        <w:id w:val="1252397824"/>
        <w:docPartObj>
          <w:docPartGallery w:val="Table of Contents"/>
          <w:docPartUnique/>
        </w:docPartObj>
      </w:sdtPr>
      <w:sdtEndPr>
        <w:rPr>
          <w:noProof/>
        </w:rPr>
      </w:sdtEndPr>
      <w:sdtContent>
        <w:p w:rsidR="00CD4539" w:rsidRDefault="00CD4539" w:rsidP="00CD4539">
          <w:pPr>
            <w:pStyle w:val="01Heading1"/>
          </w:pPr>
          <w:r>
            <w:t>Table of Contents</w:t>
          </w:r>
        </w:p>
        <w:p w:rsidR="00CD4539" w:rsidRDefault="00CD4539" w:rsidP="00CD4539">
          <w:pPr>
            <w:pStyle w:val="TOC1"/>
            <w:rPr>
              <w:rFonts w:eastAsiaTheme="minorEastAsia"/>
              <w:i/>
              <w:noProof/>
            </w:rPr>
          </w:pPr>
          <w:r>
            <w:fldChar w:fldCharType="begin"/>
          </w:r>
          <w:r>
            <w:instrText xml:space="preserve"> TOC \h \z \t "01. Heading1,1,02. Heading2,2,03. Heading 3,3" </w:instrText>
          </w:r>
          <w:r>
            <w:fldChar w:fldCharType="separate"/>
          </w:r>
          <w:hyperlink w:anchor="_Toc527458423" w:history="1">
            <w:r w:rsidRPr="00593A10">
              <w:rPr>
                <w:rStyle w:val="Hyperlink"/>
                <w:noProof/>
              </w:rPr>
              <w:t>1 MEMBERS OF THE CLIMATE CHANGE AUTHORITY</w:t>
            </w:r>
            <w:r>
              <w:rPr>
                <w:noProof/>
                <w:webHidden/>
              </w:rPr>
              <w:tab/>
            </w:r>
            <w:r>
              <w:rPr>
                <w:noProof/>
                <w:webHidden/>
              </w:rPr>
              <w:fldChar w:fldCharType="begin"/>
            </w:r>
            <w:r>
              <w:rPr>
                <w:noProof/>
                <w:webHidden/>
              </w:rPr>
              <w:instrText xml:space="preserve"> PAGEREF _Toc527458423 \h </w:instrText>
            </w:r>
            <w:r>
              <w:rPr>
                <w:noProof/>
                <w:webHidden/>
              </w:rPr>
            </w:r>
            <w:r>
              <w:rPr>
                <w:noProof/>
                <w:webHidden/>
              </w:rPr>
              <w:fldChar w:fldCharType="separate"/>
            </w:r>
            <w:r w:rsidR="00951E2F">
              <w:rPr>
                <w:noProof/>
                <w:webHidden/>
              </w:rPr>
              <w:t>5</w:t>
            </w:r>
            <w:r>
              <w:rPr>
                <w:noProof/>
                <w:webHidden/>
              </w:rPr>
              <w:fldChar w:fldCharType="end"/>
            </w:r>
          </w:hyperlink>
        </w:p>
        <w:p w:rsidR="00CD4539" w:rsidRDefault="00B51AC7" w:rsidP="00CD4539">
          <w:pPr>
            <w:pStyle w:val="TOC1"/>
            <w:rPr>
              <w:rFonts w:eastAsiaTheme="minorEastAsia"/>
              <w:i/>
              <w:noProof/>
            </w:rPr>
          </w:pPr>
          <w:hyperlink w:anchor="_Toc527458424" w:history="1">
            <w:r w:rsidR="00CD4539" w:rsidRPr="00593A10">
              <w:rPr>
                <w:rStyle w:val="Hyperlink"/>
                <w:noProof/>
              </w:rPr>
              <w:t>2 Chief Executive Officer’s REVIEW</w:t>
            </w:r>
            <w:r w:rsidR="00CD4539">
              <w:rPr>
                <w:noProof/>
                <w:webHidden/>
              </w:rPr>
              <w:tab/>
            </w:r>
            <w:r w:rsidR="00CD4539">
              <w:rPr>
                <w:noProof/>
                <w:webHidden/>
              </w:rPr>
              <w:fldChar w:fldCharType="begin"/>
            </w:r>
            <w:r w:rsidR="00CD4539">
              <w:rPr>
                <w:noProof/>
                <w:webHidden/>
              </w:rPr>
              <w:instrText xml:space="preserve"> PAGEREF _Toc527458424 \h </w:instrText>
            </w:r>
            <w:r w:rsidR="00CD4539">
              <w:rPr>
                <w:noProof/>
                <w:webHidden/>
              </w:rPr>
            </w:r>
            <w:r w:rsidR="00CD4539">
              <w:rPr>
                <w:noProof/>
                <w:webHidden/>
              </w:rPr>
              <w:fldChar w:fldCharType="separate"/>
            </w:r>
            <w:r w:rsidR="00951E2F">
              <w:rPr>
                <w:noProof/>
                <w:webHidden/>
              </w:rPr>
              <w:t>7</w:t>
            </w:r>
            <w:r w:rsidR="00CD4539">
              <w:rPr>
                <w:noProof/>
                <w:webHidden/>
              </w:rPr>
              <w:fldChar w:fldCharType="end"/>
            </w:r>
          </w:hyperlink>
        </w:p>
        <w:p w:rsidR="00CD4539" w:rsidRDefault="00B51AC7" w:rsidP="00CD4539">
          <w:pPr>
            <w:pStyle w:val="TOC1"/>
            <w:rPr>
              <w:rFonts w:eastAsiaTheme="minorEastAsia"/>
              <w:i/>
              <w:noProof/>
            </w:rPr>
          </w:pPr>
          <w:hyperlink w:anchor="_Toc527458425" w:history="1">
            <w:r w:rsidR="00CD4539" w:rsidRPr="00593A10">
              <w:rPr>
                <w:rStyle w:val="Hyperlink"/>
                <w:noProof/>
              </w:rPr>
              <w:t>3 ABOUT THE CLIMATE CHANGE AUTHORITY</w:t>
            </w:r>
            <w:r w:rsidR="00CD4539">
              <w:rPr>
                <w:noProof/>
                <w:webHidden/>
              </w:rPr>
              <w:tab/>
            </w:r>
            <w:r w:rsidR="00CD4539">
              <w:rPr>
                <w:noProof/>
                <w:webHidden/>
              </w:rPr>
              <w:fldChar w:fldCharType="begin"/>
            </w:r>
            <w:r w:rsidR="00CD4539">
              <w:rPr>
                <w:noProof/>
                <w:webHidden/>
              </w:rPr>
              <w:instrText xml:space="preserve"> PAGEREF _Toc527458425 \h </w:instrText>
            </w:r>
            <w:r w:rsidR="00CD4539">
              <w:rPr>
                <w:noProof/>
                <w:webHidden/>
              </w:rPr>
            </w:r>
            <w:r w:rsidR="00CD4539">
              <w:rPr>
                <w:noProof/>
                <w:webHidden/>
              </w:rPr>
              <w:fldChar w:fldCharType="separate"/>
            </w:r>
            <w:r w:rsidR="00951E2F">
              <w:rPr>
                <w:noProof/>
                <w:webHidden/>
              </w:rPr>
              <w:t>8</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26" w:history="1">
            <w:r w:rsidR="00CD4539" w:rsidRPr="00593A10">
              <w:rPr>
                <w:rStyle w:val="Hyperlink"/>
                <w:noProof/>
              </w:rPr>
              <w:t>3.1.</w:t>
            </w:r>
            <w:r w:rsidR="00CD4539">
              <w:rPr>
                <w:rFonts w:eastAsiaTheme="minorEastAsia"/>
                <w:b w:val="0"/>
                <w:bCs w:val="0"/>
                <w:noProof/>
                <w:sz w:val="24"/>
                <w:szCs w:val="24"/>
              </w:rPr>
              <w:tab/>
            </w:r>
            <w:r w:rsidR="00CD4539" w:rsidRPr="00593A10">
              <w:rPr>
                <w:rStyle w:val="Hyperlink"/>
                <w:noProof/>
              </w:rPr>
              <w:t>FUNCTIONS OF THE AUTHORITY</w:t>
            </w:r>
            <w:r w:rsidR="00CD4539">
              <w:rPr>
                <w:noProof/>
                <w:webHidden/>
              </w:rPr>
              <w:tab/>
            </w:r>
            <w:r w:rsidR="00CD4539">
              <w:rPr>
                <w:noProof/>
                <w:webHidden/>
              </w:rPr>
              <w:fldChar w:fldCharType="begin"/>
            </w:r>
            <w:r w:rsidR="00CD4539">
              <w:rPr>
                <w:noProof/>
                <w:webHidden/>
              </w:rPr>
              <w:instrText xml:space="preserve"> PAGEREF _Toc527458426 \h </w:instrText>
            </w:r>
            <w:r w:rsidR="00CD4539">
              <w:rPr>
                <w:noProof/>
                <w:webHidden/>
              </w:rPr>
            </w:r>
            <w:r w:rsidR="00CD4539">
              <w:rPr>
                <w:noProof/>
                <w:webHidden/>
              </w:rPr>
              <w:fldChar w:fldCharType="separate"/>
            </w:r>
            <w:r w:rsidR="00951E2F">
              <w:rPr>
                <w:noProof/>
                <w:webHidden/>
              </w:rPr>
              <w:t>8</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27" w:history="1">
            <w:r w:rsidR="00CD4539" w:rsidRPr="00593A10">
              <w:rPr>
                <w:rStyle w:val="Hyperlink"/>
                <w:noProof/>
              </w:rPr>
              <w:t>3.2.</w:t>
            </w:r>
            <w:r w:rsidR="00CD4539">
              <w:rPr>
                <w:rFonts w:eastAsiaTheme="minorEastAsia"/>
                <w:b w:val="0"/>
                <w:bCs w:val="0"/>
                <w:noProof/>
                <w:sz w:val="24"/>
                <w:szCs w:val="24"/>
              </w:rPr>
              <w:tab/>
            </w:r>
            <w:r w:rsidR="00CD4539" w:rsidRPr="00593A10">
              <w:rPr>
                <w:rStyle w:val="Hyperlink"/>
                <w:noProof/>
              </w:rPr>
              <w:t>ORGANISATIONAL STRUCTURE</w:t>
            </w:r>
            <w:r w:rsidR="00CD4539">
              <w:rPr>
                <w:noProof/>
                <w:webHidden/>
              </w:rPr>
              <w:tab/>
            </w:r>
            <w:r w:rsidR="00CD4539">
              <w:rPr>
                <w:noProof/>
                <w:webHidden/>
              </w:rPr>
              <w:fldChar w:fldCharType="begin"/>
            </w:r>
            <w:r w:rsidR="00CD4539">
              <w:rPr>
                <w:noProof/>
                <w:webHidden/>
              </w:rPr>
              <w:instrText xml:space="preserve"> PAGEREF _Toc527458427 \h </w:instrText>
            </w:r>
            <w:r w:rsidR="00CD4539">
              <w:rPr>
                <w:noProof/>
                <w:webHidden/>
              </w:rPr>
            </w:r>
            <w:r w:rsidR="00CD4539">
              <w:rPr>
                <w:noProof/>
                <w:webHidden/>
              </w:rPr>
              <w:fldChar w:fldCharType="separate"/>
            </w:r>
            <w:r w:rsidR="00951E2F">
              <w:rPr>
                <w:noProof/>
                <w:webHidden/>
              </w:rPr>
              <w:t>8</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28" w:history="1">
            <w:r w:rsidR="00CD4539" w:rsidRPr="00593A10">
              <w:rPr>
                <w:rStyle w:val="Hyperlink"/>
                <w:noProof/>
              </w:rPr>
              <w:t>3.3.</w:t>
            </w:r>
            <w:r w:rsidR="00CD4539">
              <w:rPr>
                <w:rFonts w:eastAsiaTheme="minorEastAsia"/>
                <w:b w:val="0"/>
                <w:bCs w:val="0"/>
                <w:noProof/>
                <w:sz w:val="24"/>
                <w:szCs w:val="24"/>
              </w:rPr>
              <w:tab/>
            </w:r>
            <w:r w:rsidR="00CD4539" w:rsidRPr="00593A10">
              <w:rPr>
                <w:rStyle w:val="Hyperlink"/>
                <w:noProof/>
              </w:rPr>
              <w:t>PURPOSE</w:t>
            </w:r>
            <w:r w:rsidR="00CD4539">
              <w:rPr>
                <w:noProof/>
                <w:webHidden/>
              </w:rPr>
              <w:tab/>
            </w:r>
            <w:r w:rsidR="00CD4539">
              <w:rPr>
                <w:noProof/>
                <w:webHidden/>
              </w:rPr>
              <w:fldChar w:fldCharType="begin"/>
            </w:r>
            <w:r w:rsidR="00CD4539">
              <w:rPr>
                <w:noProof/>
                <w:webHidden/>
              </w:rPr>
              <w:instrText xml:space="preserve"> PAGEREF _Toc527458428 \h </w:instrText>
            </w:r>
            <w:r w:rsidR="00CD4539">
              <w:rPr>
                <w:noProof/>
                <w:webHidden/>
              </w:rPr>
            </w:r>
            <w:r w:rsidR="00CD4539">
              <w:rPr>
                <w:noProof/>
                <w:webHidden/>
              </w:rPr>
              <w:fldChar w:fldCharType="separate"/>
            </w:r>
            <w:r w:rsidR="00951E2F">
              <w:rPr>
                <w:noProof/>
                <w:webHidden/>
              </w:rPr>
              <w:t>8</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29" w:history="1">
            <w:r w:rsidR="00CD4539" w:rsidRPr="00593A10">
              <w:rPr>
                <w:rStyle w:val="Hyperlink"/>
                <w:noProof/>
              </w:rPr>
              <w:t>3.4.</w:t>
            </w:r>
            <w:r w:rsidR="00CD4539">
              <w:rPr>
                <w:rFonts w:eastAsiaTheme="minorEastAsia"/>
                <w:b w:val="0"/>
                <w:bCs w:val="0"/>
                <w:noProof/>
                <w:sz w:val="24"/>
                <w:szCs w:val="24"/>
              </w:rPr>
              <w:tab/>
            </w:r>
            <w:r w:rsidR="00CD4539" w:rsidRPr="00593A10">
              <w:rPr>
                <w:rStyle w:val="Hyperlink"/>
                <w:noProof/>
              </w:rPr>
              <w:t>OUTCOME AND PROGRAMME STRUCTURE</w:t>
            </w:r>
            <w:r w:rsidR="00CD4539">
              <w:rPr>
                <w:noProof/>
                <w:webHidden/>
              </w:rPr>
              <w:tab/>
            </w:r>
            <w:r w:rsidR="00CD4539">
              <w:rPr>
                <w:noProof/>
                <w:webHidden/>
              </w:rPr>
              <w:fldChar w:fldCharType="begin"/>
            </w:r>
            <w:r w:rsidR="00CD4539">
              <w:rPr>
                <w:noProof/>
                <w:webHidden/>
              </w:rPr>
              <w:instrText xml:space="preserve"> PAGEREF _Toc527458429 \h </w:instrText>
            </w:r>
            <w:r w:rsidR="00CD4539">
              <w:rPr>
                <w:noProof/>
                <w:webHidden/>
              </w:rPr>
            </w:r>
            <w:r w:rsidR="00CD4539">
              <w:rPr>
                <w:noProof/>
                <w:webHidden/>
              </w:rPr>
              <w:fldChar w:fldCharType="separate"/>
            </w:r>
            <w:r w:rsidR="00951E2F">
              <w:rPr>
                <w:noProof/>
                <w:webHidden/>
              </w:rPr>
              <w:t>9</w:t>
            </w:r>
            <w:r w:rsidR="00CD4539">
              <w:rPr>
                <w:noProof/>
                <w:webHidden/>
              </w:rPr>
              <w:fldChar w:fldCharType="end"/>
            </w:r>
          </w:hyperlink>
        </w:p>
        <w:p w:rsidR="00CD4539" w:rsidRDefault="00B51AC7" w:rsidP="00CD4539">
          <w:pPr>
            <w:pStyle w:val="TOC1"/>
            <w:rPr>
              <w:rFonts w:eastAsiaTheme="minorEastAsia"/>
              <w:i/>
              <w:noProof/>
            </w:rPr>
          </w:pPr>
          <w:hyperlink w:anchor="_Toc527458430" w:history="1">
            <w:r w:rsidR="00CD4539" w:rsidRPr="00593A10">
              <w:rPr>
                <w:rStyle w:val="Hyperlink"/>
                <w:noProof/>
              </w:rPr>
              <w:t>4 Annual PERFORMANCE Statement</w:t>
            </w:r>
            <w:r w:rsidR="00CD4539">
              <w:rPr>
                <w:noProof/>
                <w:webHidden/>
              </w:rPr>
              <w:tab/>
            </w:r>
            <w:r w:rsidR="00CD4539">
              <w:rPr>
                <w:noProof/>
                <w:webHidden/>
              </w:rPr>
              <w:fldChar w:fldCharType="begin"/>
            </w:r>
            <w:r w:rsidR="00CD4539">
              <w:rPr>
                <w:noProof/>
                <w:webHidden/>
              </w:rPr>
              <w:instrText xml:space="preserve"> PAGEREF _Toc527458430 \h </w:instrText>
            </w:r>
            <w:r w:rsidR="00CD4539">
              <w:rPr>
                <w:noProof/>
                <w:webHidden/>
              </w:rPr>
            </w:r>
            <w:r w:rsidR="00CD4539">
              <w:rPr>
                <w:noProof/>
                <w:webHidden/>
              </w:rPr>
              <w:fldChar w:fldCharType="separate"/>
            </w:r>
            <w:r w:rsidR="00951E2F">
              <w:rPr>
                <w:noProof/>
                <w:webHidden/>
              </w:rPr>
              <w:t>10</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31" w:history="1">
            <w:r w:rsidR="00CD4539" w:rsidRPr="00593A10">
              <w:rPr>
                <w:rStyle w:val="Hyperlink"/>
                <w:noProof/>
              </w:rPr>
              <w:t xml:space="preserve">4.1. </w:t>
            </w:r>
            <w:r w:rsidR="00CD4539">
              <w:rPr>
                <w:rFonts w:eastAsiaTheme="minorEastAsia"/>
                <w:b w:val="0"/>
                <w:bCs w:val="0"/>
                <w:noProof/>
                <w:sz w:val="24"/>
                <w:szCs w:val="24"/>
              </w:rPr>
              <w:tab/>
            </w:r>
            <w:r w:rsidR="00CD4539" w:rsidRPr="00593A10">
              <w:rPr>
                <w:rStyle w:val="Hyperlink"/>
                <w:noProof/>
              </w:rPr>
              <w:t>Introductory statement</w:t>
            </w:r>
            <w:r w:rsidR="00CD4539">
              <w:rPr>
                <w:noProof/>
                <w:webHidden/>
              </w:rPr>
              <w:tab/>
            </w:r>
            <w:r w:rsidR="00CD4539">
              <w:rPr>
                <w:noProof/>
                <w:webHidden/>
              </w:rPr>
              <w:fldChar w:fldCharType="begin"/>
            </w:r>
            <w:r w:rsidR="00CD4539">
              <w:rPr>
                <w:noProof/>
                <w:webHidden/>
              </w:rPr>
              <w:instrText xml:space="preserve"> PAGEREF _Toc527458431 \h </w:instrText>
            </w:r>
            <w:r w:rsidR="00CD4539">
              <w:rPr>
                <w:noProof/>
                <w:webHidden/>
              </w:rPr>
            </w:r>
            <w:r w:rsidR="00CD4539">
              <w:rPr>
                <w:noProof/>
                <w:webHidden/>
              </w:rPr>
              <w:fldChar w:fldCharType="separate"/>
            </w:r>
            <w:r w:rsidR="00951E2F">
              <w:rPr>
                <w:noProof/>
                <w:webHidden/>
              </w:rPr>
              <w:t>10</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32" w:history="1">
            <w:r w:rsidR="00CD4539" w:rsidRPr="00593A10">
              <w:rPr>
                <w:rStyle w:val="Hyperlink"/>
                <w:noProof/>
              </w:rPr>
              <w:t>4.2.</w:t>
            </w:r>
            <w:r w:rsidR="00CD4539">
              <w:rPr>
                <w:rFonts w:eastAsiaTheme="minorEastAsia"/>
                <w:b w:val="0"/>
                <w:bCs w:val="0"/>
                <w:noProof/>
                <w:sz w:val="24"/>
                <w:szCs w:val="24"/>
              </w:rPr>
              <w:tab/>
            </w:r>
            <w:r w:rsidR="00CD4539" w:rsidRPr="00593A10">
              <w:rPr>
                <w:rStyle w:val="Hyperlink"/>
                <w:noProof/>
              </w:rPr>
              <w:t>PURPOSE</w:t>
            </w:r>
            <w:r w:rsidR="00CD4539">
              <w:rPr>
                <w:noProof/>
                <w:webHidden/>
              </w:rPr>
              <w:tab/>
            </w:r>
            <w:r w:rsidR="00CD4539">
              <w:rPr>
                <w:noProof/>
                <w:webHidden/>
              </w:rPr>
              <w:fldChar w:fldCharType="begin"/>
            </w:r>
            <w:r w:rsidR="00CD4539">
              <w:rPr>
                <w:noProof/>
                <w:webHidden/>
              </w:rPr>
              <w:instrText xml:space="preserve"> PAGEREF _Toc527458432 \h </w:instrText>
            </w:r>
            <w:r w:rsidR="00CD4539">
              <w:rPr>
                <w:noProof/>
                <w:webHidden/>
              </w:rPr>
            </w:r>
            <w:r w:rsidR="00CD4539">
              <w:rPr>
                <w:noProof/>
                <w:webHidden/>
              </w:rPr>
              <w:fldChar w:fldCharType="separate"/>
            </w:r>
            <w:r w:rsidR="00951E2F">
              <w:rPr>
                <w:noProof/>
                <w:webHidden/>
              </w:rPr>
              <w:t>10</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33" w:history="1">
            <w:r w:rsidR="00CD4539" w:rsidRPr="00593A10">
              <w:rPr>
                <w:rStyle w:val="Hyperlink"/>
                <w:noProof/>
              </w:rPr>
              <w:t>4.3.</w:t>
            </w:r>
            <w:r w:rsidR="00CD4539">
              <w:rPr>
                <w:rFonts w:eastAsiaTheme="minorEastAsia"/>
                <w:b w:val="0"/>
                <w:bCs w:val="0"/>
                <w:noProof/>
                <w:sz w:val="24"/>
                <w:szCs w:val="24"/>
              </w:rPr>
              <w:tab/>
            </w:r>
            <w:r w:rsidR="00CD4539" w:rsidRPr="00593A10">
              <w:rPr>
                <w:rStyle w:val="Hyperlink"/>
                <w:noProof/>
              </w:rPr>
              <w:t>ACTIVITIES</w:t>
            </w:r>
            <w:r w:rsidR="00CD4539">
              <w:rPr>
                <w:noProof/>
                <w:webHidden/>
              </w:rPr>
              <w:tab/>
            </w:r>
            <w:r w:rsidR="00CD4539">
              <w:rPr>
                <w:noProof/>
                <w:webHidden/>
              </w:rPr>
              <w:fldChar w:fldCharType="begin"/>
            </w:r>
            <w:r w:rsidR="00CD4539">
              <w:rPr>
                <w:noProof/>
                <w:webHidden/>
              </w:rPr>
              <w:instrText xml:space="preserve"> PAGEREF _Toc527458433 \h </w:instrText>
            </w:r>
            <w:r w:rsidR="00CD4539">
              <w:rPr>
                <w:noProof/>
                <w:webHidden/>
              </w:rPr>
            </w:r>
            <w:r w:rsidR="00CD4539">
              <w:rPr>
                <w:noProof/>
                <w:webHidden/>
              </w:rPr>
              <w:fldChar w:fldCharType="separate"/>
            </w:r>
            <w:r w:rsidR="00951E2F">
              <w:rPr>
                <w:noProof/>
                <w:webHidden/>
              </w:rPr>
              <w:t>10</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34" w:history="1">
            <w:r w:rsidR="00CD4539" w:rsidRPr="00593A10">
              <w:rPr>
                <w:rStyle w:val="Hyperlink"/>
                <w:noProof/>
              </w:rPr>
              <w:t>4.4.</w:t>
            </w:r>
            <w:r w:rsidR="00CD4539">
              <w:rPr>
                <w:rFonts w:eastAsiaTheme="minorEastAsia"/>
                <w:b w:val="0"/>
                <w:bCs w:val="0"/>
                <w:noProof/>
                <w:sz w:val="24"/>
                <w:szCs w:val="24"/>
              </w:rPr>
              <w:tab/>
            </w:r>
            <w:r w:rsidR="00CD4539" w:rsidRPr="00593A10">
              <w:rPr>
                <w:rStyle w:val="Hyperlink"/>
                <w:noProof/>
              </w:rPr>
              <w:t>ASSESSMENT OF THE AUTHORITY’S PERFORMANCE</w:t>
            </w:r>
            <w:r w:rsidR="00CD4539">
              <w:rPr>
                <w:noProof/>
                <w:webHidden/>
              </w:rPr>
              <w:tab/>
            </w:r>
            <w:r w:rsidR="00CD4539">
              <w:rPr>
                <w:noProof/>
                <w:webHidden/>
              </w:rPr>
              <w:fldChar w:fldCharType="begin"/>
            </w:r>
            <w:r w:rsidR="00CD4539">
              <w:rPr>
                <w:noProof/>
                <w:webHidden/>
              </w:rPr>
              <w:instrText xml:space="preserve"> PAGEREF _Toc527458434 \h </w:instrText>
            </w:r>
            <w:r w:rsidR="00CD4539">
              <w:rPr>
                <w:noProof/>
                <w:webHidden/>
              </w:rPr>
            </w:r>
            <w:r w:rsidR="00CD4539">
              <w:rPr>
                <w:noProof/>
                <w:webHidden/>
              </w:rPr>
              <w:fldChar w:fldCharType="separate"/>
            </w:r>
            <w:r w:rsidR="00951E2F">
              <w:rPr>
                <w:noProof/>
                <w:webHidden/>
              </w:rPr>
              <w:t>11</w:t>
            </w:r>
            <w:r w:rsidR="00CD4539">
              <w:rPr>
                <w:noProof/>
                <w:webHidden/>
              </w:rPr>
              <w:fldChar w:fldCharType="end"/>
            </w:r>
          </w:hyperlink>
        </w:p>
        <w:p w:rsidR="00CD4539" w:rsidRDefault="00B51AC7" w:rsidP="00CD4539">
          <w:pPr>
            <w:pStyle w:val="TOC1"/>
            <w:rPr>
              <w:rFonts w:eastAsiaTheme="minorEastAsia"/>
              <w:noProof/>
            </w:rPr>
          </w:pPr>
          <w:hyperlink w:anchor="_Toc527458435" w:history="1">
            <w:r w:rsidR="00CD4539" w:rsidRPr="00593A10">
              <w:rPr>
                <w:rStyle w:val="Hyperlink"/>
                <w:noProof/>
              </w:rPr>
              <w:t>4.5. Report on performance</w:t>
            </w:r>
            <w:r w:rsidR="00CD4539">
              <w:rPr>
                <w:noProof/>
                <w:webHidden/>
              </w:rPr>
              <w:tab/>
            </w:r>
            <w:r w:rsidR="00CD4539">
              <w:rPr>
                <w:noProof/>
                <w:webHidden/>
              </w:rPr>
              <w:fldChar w:fldCharType="begin"/>
            </w:r>
            <w:r w:rsidR="00CD4539">
              <w:rPr>
                <w:noProof/>
                <w:webHidden/>
              </w:rPr>
              <w:instrText xml:space="preserve"> PAGEREF _Toc527458435 \h </w:instrText>
            </w:r>
            <w:r w:rsidR="00CD4539">
              <w:rPr>
                <w:noProof/>
                <w:webHidden/>
              </w:rPr>
            </w:r>
            <w:r w:rsidR="00CD4539">
              <w:rPr>
                <w:noProof/>
                <w:webHidden/>
              </w:rPr>
              <w:fldChar w:fldCharType="separate"/>
            </w:r>
            <w:r w:rsidR="00951E2F">
              <w:rPr>
                <w:noProof/>
                <w:webHidden/>
              </w:rPr>
              <w:t>11</w:t>
            </w:r>
            <w:r w:rsidR="00CD4539">
              <w:rPr>
                <w:noProof/>
                <w:webHidden/>
              </w:rPr>
              <w:fldChar w:fldCharType="end"/>
            </w:r>
          </w:hyperlink>
        </w:p>
        <w:p w:rsidR="00CD4539" w:rsidRDefault="00B51AC7" w:rsidP="00CD4539">
          <w:pPr>
            <w:pStyle w:val="TOC1"/>
            <w:rPr>
              <w:rFonts w:eastAsiaTheme="minorEastAsia"/>
              <w:i/>
              <w:noProof/>
            </w:rPr>
          </w:pPr>
          <w:hyperlink w:anchor="_Toc527458436" w:history="1">
            <w:r w:rsidR="00CD4539" w:rsidRPr="00593A10">
              <w:rPr>
                <w:rStyle w:val="Hyperlink"/>
                <w:noProof/>
              </w:rPr>
              <w:t>5 Management and Accountability</w:t>
            </w:r>
            <w:r w:rsidR="00CD4539">
              <w:rPr>
                <w:noProof/>
                <w:webHidden/>
              </w:rPr>
              <w:tab/>
            </w:r>
            <w:r w:rsidR="00CD4539">
              <w:rPr>
                <w:noProof/>
                <w:webHidden/>
              </w:rPr>
              <w:fldChar w:fldCharType="begin"/>
            </w:r>
            <w:r w:rsidR="00CD4539">
              <w:rPr>
                <w:noProof/>
                <w:webHidden/>
              </w:rPr>
              <w:instrText xml:space="preserve"> PAGEREF _Toc527458436 \h </w:instrText>
            </w:r>
            <w:r w:rsidR="00CD4539">
              <w:rPr>
                <w:noProof/>
                <w:webHidden/>
              </w:rPr>
            </w:r>
            <w:r w:rsidR="00CD4539">
              <w:rPr>
                <w:noProof/>
                <w:webHidden/>
              </w:rPr>
              <w:fldChar w:fldCharType="separate"/>
            </w:r>
            <w:r w:rsidR="00951E2F">
              <w:rPr>
                <w:noProof/>
                <w:webHidden/>
              </w:rPr>
              <w:t>16</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37" w:history="1">
            <w:r w:rsidR="00CD4539" w:rsidRPr="00593A10">
              <w:rPr>
                <w:rStyle w:val="Hyperlink"/>
                <w:noProof/>
              </w:rPr>
              <w:t>5.1.</w:t>
            </w:r>
            <w:r w:rsidR="00CD4539">
              <w:rPr>
                <w:rFonts w:eastAsiaTheme="minorEastAsia"/>
                <w:b w:val="0"/>
                <w:bCs w:val="0"/>
                <w:noProof/>
                <w:sz w:val="24"/>
                <w:szCs w:val="24"/>
              </w:rPr>
              <w:tab/>
            </w:r>
            <w:r w:rsidR="00CD4539" w:rsidRPr="00593A10">
              <w:rPr>
                <w:rStyle w:val="Hyperlink"/>
                <w:noProof/>
              </w:rPr>
              <w:t>Corporate Governance</w:t>
            </w:r>
            <w:r w:rsidR="00CD4539">
              <w:rPr>
                <w:noProof/>
                <w:webHidden/>
              </w:rPr>
              <w:tab/>
            </w:r>
            <w:r w:rsidR="00CD4539">
              <w:rPr>
                <w:noProof/>
                <w:webHidden/>
              </w:rPr>
              <w:fldChar w:fldCharType="begin"/>
            </w:r>
            <w:r w:rsidR="00CD4539">
              <w:rPr>
                <w:noProof/>
                <w:webHidden/>
              </w:rPr>
              <w:instrText xml:space="preserve"> PAGEREF _Toc527458437 \h </w:instrText>
            </w:r>
            <w:r w:rsidR="00CD4539">
              <w:rPr>
                <w:noProof/>
                <w:webHidden/>
              </w:rPr>
            </w:r>
            <w:r w:rsidR="00CD4539">
              <w:rPr>
                <w:noProof/>
                <w:webHidden/>
              </w:rPr>
              <w:fldChar w:fldCharType="separate"/>
            </w:r>
            <w:r w:rsidR="00951E2F">
              <w:rPr>
                <w:noProof/>
                <w:webHidden/>
              </w:rPr>
              <w:t>16</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38" w:history="1">
            <w:r w:rsidR="00CD4539" w:rsidRPr="00593A10">
              <w:rPr>
                <w:rStyle w:val="Hyperlink"/>
                <w:noProof/>
              </w:rPr>
              <w:t>5.1.1</w:t>
            </w:r>
            <w:r w:rsidR="00CD4539">
              <w:rPr>
                <w:rFonts w:eastAsiaTheme="minorEastAsia"/>
                <w:noProof/>
                <w:sz w:val="24"/>
                <w:szCs w:val="24"/>
              </w:rPr>
              <w:tab/>
            </w:r>
            <w:r w:rsidR="00CD4539" w:rsidRPr="00593A10">
              <w:rPr>
                <w:rStyle w:val="Hyperlink"/>
                <w:noProof/>
              </w:rPr>
              <w:t>Risk Management</w:t>
            </w:r>
            <w:r w:rsidR="00CD4539">
              <w:rPr>
                <w:noProof/>
                <w:webHidden/>
              </w:rPr>
              <w:tab/>
            </w:r>
            <w:r w:rsidR="00CD4539">
              <w:rPr>
                <w:noProof/>
                <w:webHidden/>
              </w:rPr>
              <w:fldChar w:fldCharType="begin"/>
            </w:r>
            <w:r w:rsidR="00CD4539">
              <w:rPr>
                <w:noProof/>
                <w:webHidden/>
              </w:rPr>
              <w:instrText xml:space="preserve"> PAGEREF _Toc527458438 \h </w:instrText>
            </w:r>
            <w:r w:rsidR="00CD4539">
              <w:rPr>
                <w:noProof/>
                <w:webHidden/>
              </w:rPr>
            </w:r>
            <w:r w:rsidR="00CD4539">
              <w:rPr>
                <w:noProof/>
                <w:webHidden/>
              </w:rPr>
              <w:fldChar w:fldCharType="separate"/>
            </w:r>
            <w:r w:rsidR="00951E2F">
              <w:rPr>
                <w:noProof/>
                <w:webHidden/>
              </w:rPr>
              <w:t>16</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39" w:history="1">
            <w:r w:rsidR="00CD4539" w:rsidRPr="00593A10">
              <w:rPr>
                <w:rStyle w:val="Hyperlink"/>
                <w:noProof/>
              </w:rPr>
              <w:t>5.1.2</w:t>
            </w:r>
            <w:r w:rsidR="00CD4539">
              <w:rPr>
                <w:rFonts w:eastAsiaTheme="minorEastAsia"/>
                <w:noProof/>
                <w:sz w:val="24"/>
                <w:szCs w:val="24"/>
              </w:rPr>
              <w:tab/>
            </w:r>
            <w:r w:rsidR="00CD4539" w:rsidRPr="00593A10">
              <w:rPr>
                <w:rStyle w:val="Hyperlink"/>
                <w:noProof/>
              </w:rPr>
              <w:t>Fraud Control</w:t>
            </w:r>
            <w:r w:rsidR="00CD4539">
              <w:rPr>
                <w:noProof/>
                <w:webHidden/>
              </w:rPr>
              <w:tab/>
            </w:r>
            <w:r w:rsidR="00CD4539">
              <w:rPr>
                <w:noProof/>
                <w:webHidden/>
              </w:rPr>
              <w:fldChar w:fldCharType="begin"/>
            </w:r>
            <w:r w:rsidR="00CD4539">
              <w:rPr>
                <w:noProof/>
                <w:webHidden/>
              </w:rPr>
              <w:instrText xml:space="preserve"> PAGEREF _Toc527458439 \h </w:instrText>
            </w:r>
            <w:r w:rsidR="00CD4539">
              <w:rPr>
                <w:noProof/>
                <w:webHidden/>
              </w:rPr>
            </w:r>
            <w:r w:rsidR="00CD4539">
              <w:rPr>
                <w:noProof/>
                <w:webHidden/>
              </w:rPr>
              <w:fldChar w:fldCharType="separate"/>
            </w:r>
            <w:r w:rsidR="00951E2F">
              <w:rPr>
                <w:noProof/>
                <w:webHidden/>
              </w:rPr>
              <w:t>16</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40" w:history="1">
            <w:r w:rsidR="00CD4539" w:rsidRPr="00593A10">
              <w:rPr>
                <w:rStyle w:val="Hyperlink"/>
                <w:noProof/>
              </w:rPr>
              <w:t>5.1.3</w:t>
            </w:r>
            <w:r w:rsidR="00CD4539">
              <w:rPr>
                <w:rFonts w:eastAsiaTheme="minorEastAsia"/>
                <w:noProof/>
                <w:sz w:val="24"/>
                <w:szCs w:val="24"/>
              </w:rPr>
              <w:tab/>
            </w:r>
            <w:r w:rsidR="00CD4539" w:rsidRPr="00593A10">
              <w:rPr>
                <w:rStyle w:val="Hyperlink"/>
                <w:noProof/>
              </w:rPr>
              <w:t>Assets and Asset Management</w:t>
            </w:r>
            <w:r w:rsidR="00CD4539">
              <w:rPr>
                <w:noProof/>
                <w:webHidden/>
              </w:rPr>
              <w:tab/>
            </w:r>
            <w:r w:rsidR="00CD4539">
              <w:rPr>
                <w:noProof/>
                <w:webHidden/>
              </w:rPr>
              <w:fldChar w:fldCharType="begin"/>
            </w:r>
            <w:r w:rsidR="00CD4539">
              <w:rPr>
                <w:noProof/>
                <w:webHidden/>
              </w:rPr>
              <w:instrText xml:space="preserve"> PAGEREF _Toc527458440 \h </w:instrText>
            </w:r>
            <w:r w:rsidR="00CD4539">
              <w:rPr>
                <w:noProof/>
                <w:webHidden/>
              </w:rPr>
            </w:r>
            <w:r w:rsidR="00CD4539">
              <w:rPr>
                <w:noProof/>
                <w:webHidden/>
              </w:rPr>
              <w:fldChar w:fldCharType="separate"/>
            </w:r>
            <w:r w:rsidR="00951E2F">
              <w:rPr>
                <w:noProof/>
                <w:webHidden/>
              </w:rPr>
              <w:t>16</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41" w:history="1">
            <w:r w:rsidR="00CD4539" w:rsidRPr="00593A10">
              <w:rPr>
                <w:rStyle w:val="Hyperlink"/>
                <w:noProof/>
              </w:rPr>
              <w:t>5.1.4</w:t>
            </w:r>
            <w:r w:rsidR="00CD4539">
              <w:rPr>
                <w:rFonts w:eastAsiaTheme="minorEastAsia"/>
                <w:noProof/>
                <w:sz w:val="24"/>
                <w:szCs w:val="24"/>
              </w:rPr>
              <w:tab/>
            </w:r>
            <w:r w:rsidR="00CD4539" w:rsidRPr="00593A10">
              <w:rPr>
                <w:rStyle w:val="Hyperlink"/>
                <w:noProof/>
              </w:rPr>
              <w:t>Shared Services</w:t>
            </w:r>
            <w:r w:rsidR="00CD4539">
              <w:rPr>
                <w:noProof/>
                <w:webHidden/>
              </w:rPr>
              <w:tab/>
            </w:r>
            <w:r w:rsidR="00CD4539">
              <w:rPr>
                <w:noProof/>
                <w:webHidden/>
              </w:rPr>
              <w:fldChar w:fldCharType="begin"/>
            </w:r>
            <w:r w:rsidR="00CD4539">
              <w:rPr>
                <w:noProof/>
                <w:webHidden/>
              </w:rPr>
              <w:instrText xml:space="preserve"> PAGEREF _Toc527458441 \h </w:instrText>
            </w:r>
            <w:r w:rsidR="00CD4539">
              <w:rPr>
                <w:noProof/>
                <w:webHidden/>
              </w:rPr>
            </w:r>
            <w:r w:rsidR="00CD4539">
              <w:rPr>
                <w:noProof/>
                <w:webHidden/>
              </w:rPr>
              <w:fldChar w:fldCharType="separate"/>
            </w:r>
            <w:r w:rsidR="00951E2F">
              <w:rPr>
                <w:noProof/>
                <w:webHidden/>
              </w:rPr>
              <w:t>16</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42" w:history="1">
            <w:r w:rsidR="00CD4539" w:rsidRPr="00593A10">
              <w:rPr>
                <w:rStyle w:val="Hyperlink"/>
                <w:noProof/>
              </w:rPr>
              <w:t>5.1.5</w:t>
            </w:r>
            <w:r w:rsidR="00CD4539">
              <w:rPr>
                <w:rFonts w:eastAsiaTheme="minorEastAsia"/>
                <w:noProof/>
                <w:sz w:val="24"/>
                <w:szCs w:val="24"/>
              </w:rPr>
              <w:tab/>
            </w:r>
            <w:r w:rsidR="00CD4539" w:rsidRPr="00593A10">
              <w:rPr>
                <w:rStyle w:val="Hyperlink"/>
                <w:noProof/>
              </w:rPr>
              <w:t>Internal Audit</w:t>
            </w:r>
            <w:r w:rsidR="00CD4539">
              <w:rPr>
                <w:noProof/>
                <w:webHidden/>
              </w:rPr>
              <w:tab/>
            </w:r>
            <w:r w:rsidR="00CD4539">
              <w:rPr>
                <w:noProof/>
                <w:webHidden/>
              </w:rPr>
              <w:fldChar w:fldCharType="begin"/>
            </w:r>
            <w:r w:rsidR="00CD4539">
              <w:rPr>
                <w:noProof/>
                <w:webHidden/>
              </w:rPr>
              <w:instrText xml:space="preserve"> PAGEREF _Toc527458442 \h </w:instrText>
            </w:r>
            <w:r w:rsidR="00CD4539">
              <w:rPr>
                <w:noProof/>
                <w:webHidden/>
              </w:rPr>
            </w:r>
            <w:r w:rsidR="00CD4539">
              <w:rPr>
                <w:noProof/>
                <w:webHidden/>
              </w:rPr>
              <w:fldChar w:fldCharType="separate"/>
            </w:r>
            <w:r w:rsidR="00951E2F">
              <w:rPr>
                <w:noProof/>
                <w:webHidden/>
              </w:rPr>
              <w:t>17</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43" w:history="1">
            <w:r w:rsidR="00CD4539" w:rsidRPr="00593A10">
              <w:rPr>
                <w:rStyle w:val="Hyperlink"/>
                <w:noProof/>
              </w:rPr>
              <w:t>5.1.6</w:t>
            </w:r>
            <w:r w:rsidR="00CD4539">
              <w:rPr>
                <w:rFonts w:eastAsiaTheme="minorEastAsia"/>
                <w:noProof/>
                <w:sz w:val="24"/>
                <w:szCs w:val="24"/>
              </w:rPr>
              <w:tab/>
            </w:r>
            <w:r w:rsidR="00CD4539" w:rsidRPr="00593A10">
              <w:rPr>
                <w:rStyle w:val="Hyperlink"/>
                <w:noProof/>
              </w:rPr>
              <w:t>External Scrutiny</w:t>
            </w:r>
            <w:r w:rsidR="00CD4539">
              <w:rPr>
                <w:noProof/>
                <w:webHidden/>
              </w:rPr>
              <w:tab/>
            </w:r>
            <w:r w:rsidR="00CD4539">
              <w:rPr>
                <w:noProof/>
                <w:webHidden/>
              </w:rPr>
              <w:fldChar w:fldCharType="begin"/>
            </w:r>
            <w:r w:rsidR="00CD4539">
              <w:rPr>
                <w:noProof/>
                <w:webHidden/>
              </w:rPr>
              <w:instrText xml:space="preserve"> PAGEREF _Toc527458443 \h </w:instrText>
            </w:r>
            <w:r w:rsidR="00CD4539">
              <w:rPr>
                <w:noProof/>
                <w:webHidden/>
              </w:rPr>
            </w:r>
            <w:r w:rsidR="00CD4539">
              <w:rPr>
                <w:noProof/>
                <w:webHidden/>
              </w:rPr>
              <w:fldChar w:fldCharType="separate"/>
            </w:r>
            <w:r w:rsidR="00951E2F">
              <w:rPr>
                <w:noProof/>
                <w:webHidden/>
              </w:rPr>
              <w:t>17</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44" w:history="1">
            <w:r w:rsidR="00CD4539" w:rsidRPr="00593A10">
              <w:rPr>
                <w:rStyle w:val="Hyperlink"/>
                <w:noProof/>
              </w:rPr>
              <w:t>5.1.7</w:t>
            </w:r>
            <w:r w:rsidR="00CD4539">
              <w:rPr>
                <w:rFonts w:eastAsiaTheme="minorEastAsia"/>
                <w:noProof/>
                <w:sz w:val="24"/>
                <w:szCs w:val="24"/>
              </w:rPr>
              <w:tab/>
            </w:r>
            <w:r w:rsidR="00CD4539" w:rsidRPr="00593A10">
              <w:rPr>
                <w:rStyle w:val="Hyperlink"/>
                <w:noProof/>
              </w:rPr>
              <w:t>Ethical Standards</w:t>
            </w:r>
            <w:r w:rsidR="00CD4539">
              <w:rPr>
                <w:noProof/>
                <w:webHidden/>
              </w:rPr>
              <w:tab/>
            </w:r>
            <w:r w:rsidR="00CD4539">
              <w:rPr>
                <w:noProof/>
                <w:webHidden/>
              </w:rPr>
              <w:fldChar w:fldCharType="begin"/>
            </w:r>
            <w:r w:rsidR="00CD4539">
              <w:rPr>
                <w:noProof/>
                <w:webHidden/>
              </w:rPr>
              <w:instrText xml:space="preserve"> PAGEREF _Toc527458444 \h </w:instrText>
            </w:r>
            <w:r w:rsidR="00CD4539">
              <w:rPr>
                <w:noProof/>
                <w:webHidden/>
              </w:rPr>
            </w:r>
            <w:r w:rsidR="00CD4539">
              <w:rPr>
                <w:noProof/>
                <w:webHidden/>
              </w:rPr>
              <w:fldChar w:fldCharType="separate"/>
            </w:r>
            <w:r w:rsidR="00951E2F">
              <w:rPr>
                <w:noProof/>
                <w:webHidden/>
              </w:rPr>
              <w:t>17</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45" w:history="1">
            <w:r w:rsidR="00CD4539" w:rsidRPr="00593A10">
              <w:rPr>
                <w:rStyle w:val="Hyperlink"/>
                <w:noProof/>
              </w:rPr>
              <w:t>5.1.8</w:t>
            </w:r>
            <w:r w:rsidR="00CD4539">
              <w:rPr>
                <w:rFonts w:eastAsiaTheme="minorEastAsia"/>
                <w:noProof/>
                <w:sz w:val="24"/>
                <w:szCs w:val="24"/>
              </w:rPr>
              <w:tab/>
            </w:r>
            <w:r w:rsidR="00CD4539" w:rsidRPr="00593A10">
              <w:rPr>
                <w:rStyle w:val="Hyperlink"/>
                <w:noProof/>
              </w:rPr>
              <w:t>Freedom of Information</w:t>
            </w:r>
            <w:r w:rsidR="00CD4539">
              <w:rPr>
                <w:noProof/>
                <w:webHidden/>
              </w:rPr>
              <w:tab/>
            </w:r>
            <w:r w:rsidR="00CD4539">
              <w:rPr>
                <w:noProof/>
                <w:webHidden/>
              </w:rPr>
              <w:fldChar w:fldCharType="begin"/>
            </w:r>
            <w:r w:rsidR="00CD4539">
              <w:rPr>
                <w:noProof/>
                <w:webHidden/>
              </w:rPr>
              <w:instrText xml:space="preserve"> PAGEREF _Toc527458445 \h </w:instrText>
            </w:r>
            <w:r w:rsidR="00CD4539">
              <w:rPr>
                <w:noProof/>
                <w:webHidden/>
              </w:rPr>
            </w:r>
            <w:r w:rsidR="00CD4539">
              <w:rPr>
                <w:noProof/>
                <w:webHidden/>
              </w:rPr>
              <w:fldChar w:fldCharType="separate"/>
            </w:r>
            <w:r w:rsidR="00951E2F">
              <w:rPr>
                <w:noProof/>
                <w:webHidden/>
              </w:rPr>
              <w:t>18</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46" w:history="1">
            <w:r w:rsidR="00CD4539" w:rsidRPr="00593A10">
              <w:rPr>
                <w:rStyle w:val="Hyperlink"/>
                <w:noProof/>
              </w:rPr>
              <w:t>5.1.9</w:t>
            </w:r>
            <w:r w:rsidR="00CD4539">
              <w:rPr>
                <w:rFonts w:eastAsiaTheme="minorEastAsia"/>
                <w:noProof/>
                <w:sz w:val="24"/>
                <w:szCs w:val="24"/>
              </w:rPr>
              <w:tab/>
            </w:r>
            <w:r w:rsidR="00CD4539" w:rsidRPr="00593A10">
              <w:rPr>
                <w:rStyle w:val="Hyperlink"/>
                <w:noProof/>
              </w:rPr>
              <w:t>Ecologically Sustainable Development and Environmental Performance</w:t>
            </w:r>
            <w:r w:rsidR="00CD4539">
              <w:rPr>
                <w:noProof/>
                <w:webHidden/>
              </w:rPr>
              <w:tab/>
            </w:r>
            <w:r w:rsidR="00CD4539">
              <w:rPr>
                <w:noProof/>
                <w:webHidden/>
              </w:rPr>
              <w:fldChar w:fldCharType="begin"/>
            </w:r>
            <w:r w:rsidR="00CD4539">
              <w:rPr>
                <w:noProof/>
                <w:webHidden/>
              </w:rPr>
              <w:instrText xml:space="preserve"> PAGEREF _Toc527458446 \h </w:instrText>
            </w:r>
            <w:r w:rsidR="00CD4539">
              <w:rPr>
                <w:noProof/>
                <w:webHidden/>
              </w:rPr>
            </w:r>
            <w:r w:rsidR="00CD4539">
              <w:rPr>
                <w:noProof/>
                <w:webHidden/>
              </w:rPr>
              <w:fldChar w:fldCharType="separate"/>
            </w:r>
            <w:r w:rsidR="00951E2F">
              <w:rPr>
                <w:noProof/>
                <w:webHidden/>
              </w:rPr>
              <w:t>18</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47" w:history="1">
            <w:r w:rsidR="00CD4539" w:rsidRPr="00593A10">
              <w:rPr>
                <w:rStyle w:val="Hyperlink"/>
                <w:noProof/>
              </w:rPr>
              <w:t>5.2.</w:t>
            </w:r>
            <w:r w:rsidR="00CD4539">
              <w:rPr>
                <w:rFonts w:eastAsiaTheme="minorEastAsia"/>
                <w:b w:val="0"/>
                <w:bCs w:val="0"/>
                <w:noProof/>
                <w:sz w:val="24"/>
                <w:szCs w:val="24"/>
              </w:rPr>
              <w:tab/>
            </w:r>
            <w:r w:rsidR="00CD4539" w:rsidRPr="00593A10">
              <w:rPr>
                <w:rStyle w:val="Hyperlink"/>
                <w:noProof/>
              </w:rPr>
              <w:t>Financial Overview</w:t>
            </w:r>
            <w:r w:rsidR="00CD4539">
              <w:rPr>
                <w:noProof/>
                <w:webHidden/>
              </w:rPr>
              <w:tab/>
            </w:r>
            <w:r w:rsidR="00CD4539">
              <w:rPr>
                <w:noProof/>
                <w:webHidden/>
              </w:rPr>
              <w:fldChar w:fldCharType="begin"/>
            </w:r>
            <w:r w:rsidR="00CD4539">
              <w:rPr>
                <w:noProof/>
                <w:webHidden/>
              </w:rPr>
              <w:instrText xml:space="preserve"> PAGEREF _Toc527458447 \h </w:instrText>
            </w:r>
            <w:r w:rsidR="00CD4539">
              <w:rPr>
                <w:noProof/>
                <w:webHidden/>
              </w:rPr>
            </w:r>
            <w:r w:rsidR="00CD4539">
              <w:rPr>
                <w:noProof/>
                <w:webHidden/>
              </w:rPr>
              <w:fldChar w:fldCharType="separate"/>
            </w:r>
            <w:r w:rsidR="00951E2F">
              <w:rPr>
                <w:noProof/>
                <w:webHidden/>
              </w:rPr>
              <w:t>18</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48" w:history="1">
            <w:r w:rsidR="00CD4539" w:rsidRPr="00593A10">
              <w:rPr>
                <w:rStyle w:val="Hyperlink"/>
                <w:noProof/>
              </w:rPr>
              <w:t>5.2.1</w:t>
            </w:r>
            <w:r w:rsidR="00CD4539">
              <w:rPr>
                <w:rFonts w:eastAsiaTheme="minorEastAsia"/>
                <w:noProof/>
                <w:sz w:val="24"/>
                <w:szCs w:val="24"/>
              </w:rPr>
              <w:tab/>
            </w:r>
            <w:r w:rsidR="00CD4539" w:rsidRPr="00593A10">
              <w:rPr>
                <w:rStyle w:val="Hyperlink"/>
                <w:noProof/>
              </w:rPr>
              <w:t>Financial Performance</w:t>
            </w:r>
            <w:r w:rsidR="00CD4539">
              <w:rPr>
                <w:noProof/>
                <w:webHidden/>
              </w:rPr>
              <w:tab/>
            </w:r>
            <w:r w:rsidR="00CD4539">
              <w:rPr>
                <w:noProof/>
                <w:webHidden/>
              </w:rPr>
              <w:fldChar w:fldCharType="begin"/>
            </w:r>
            <w:r w:rsidR="00CD4539">
              <w:rPr>
                <w:noProof/>
                <w:webHidden/>
              </w:rPr>
              <w:instrText xml:space="preserve"> PAGEREF _Toc527458448 \h </w:instrText>
            </w:r>
            <w:r w:rsidR="00CD4539">
              <w:rPr>
                <w:noProof/>
                <w:webHidden/>
              </w:rPr>
            </w:r>
            <w:r w:rsidR="00CD4539">
              <w:rPr>
                <w:noProof/>
                <w:webHidden/>
              </w:rPr>
              <w:fldChar w:fldCharType="separate"/>
            </w:r>
            <w:r w:rsidR="00951E2F">
              <w:rPr>
                <w:noProof/>
                <w:webHidden/>
              </w:rPr>
              <w:t>18</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49" w:history="1">
            <w:r w:rsidR="00CD4539" w:rsidRPr="00593A10">
              <w:rPr>
                <w:rStyle w:val="Hyperlink"/>
                <w:noProof/>
              </w:rPr>
              <w:t>5.2.2</w:t>
            </w:r>
            <w:r w:rsidR="00CD4539">
              <w:rPr>
                <w:rFonts w:eastAsiaTheme="minorEastAsia"/>
                <w:noProof/>
                <w:sz w:val="24"/>
                <w:szCs w:val="24"/>
              </w:rPr>
              <w:tab/>
            </w:r>
            <w:r w:rsidR="00CD4539" w:rsidRPr="00593A10">
              <w:rPr>
                <w:rStyle w:val="Hyperlink"/>
                <w:noProof/>
              </w:rPr>
              <w:t>Resource Statement 2017–18</w:t>
            </w:r>
            <w:r w:rsidR="00CD4539">
              <w:rPr>
                <w:noProof/>
                <w:webHidden/>
              </w:rPr>
              <w:tab/>
            </w:r>
            <w:r w:rsidR="00CD4539">
              <w:rPr>
                <w:noProof/>
                <w:webHidden/>
              </w:rPr>
              <w:fldChar w:fldCharType="begin"/>
            </w:r>
            <w:r w:rsidR="00CD4539">
              <w:rPr>
                <w:noProof/>
                <w:webHidden/>
              </w:rPr>
              <w:instrText xml:space="preserve"> PAGEREF _Toc527458449 \h </w:instrText>
            </w:r>
            <w:r w:rsidR="00CD4539">
              <w:rPr>
                <w:noProof/>
                <w:webHidden/>
              </w:rPr>
            </w:r>
            <w:r w:rsidR="00CD4539">
              <w:rPr>
                <w:noProof/>
                <w:webHidden/>
              </w:rPr>
              <w:fldChar w:fldCharType="separate"/>
            </w:r>
            <w:r w:rsidR="00951E2F">
              <w:rPr>
                <w:noProof/>
                <w:webHidden/>
              </w:rPr>
              <w:t>18</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50" w:history="1">
            <w:r w:rsidR="00CD4539" w:rsidRPr="00593A10">
              <w:rPr>
                <w:rStyle w:val="Hyperlink"/>
                <w:noProof/>
              </w:rPr>
              <w:t>5.2.3</w:t>
            </w:r>
            <w:r w:rsidR="00CD4539">
              <w:rPr>
                <w:rFonts w:eastAsiaTheme="minorEastAsia"/>
                <w:noProof/>
                <w:sz w:val="24"/>
                <w:szCs w:val="24"/>
              </w:rPr>
              <w:tab/>
            </w:r>
            <w:r w:rsidR="00CD4539" w:rsidRPr="00593A10">
              <w:rPr>
                <w:rStyle w:val="Hyperlink"/>
                <w:noProof/>
              </w:rPr>
              <w:t>Purchasing</w:t>
            </w:r>
            <w:r w:rsidR="00CD4539">
              <w:rPr>
                <w:noProof/>
                <w:webHidden/>
              </w:rPr>
              <w:tab/>
            </w:r>
            <w:r w:rsidR="00CD4539">
              <w:rPr>
                <w:noProof/>
                <w:webHidden/>
              </w:rPr>
              <w:fldChar w:fldCharType="begin"/>
            </w:r>
            <w:r w:rsidR="00CD4539">
              <w:rPr>
                <w:noProof/>
                <w:webHidden/>
              </w:rPr>
              <w:instrText xml:space="preserve"> PAGEREF _Toc527458450 \h </w:instrText>
            </w:r>
            <w:r w:rsidR="00CD4539">
              <w:rPr>
                <w:noProof/>
                <w:webHidden/>
              </w:rPr>
            </w:r>
            <w:r w:rsidR="00CD4539">
              <w:rPr>
                <w:noProof/>
                <w:webHidden/>
              </w:rPr>
              <w:fldChar w:fldCharType="separate"/>
            </w:r>
            <w:r w:rsidR="00951E2F">
              <w:rPr>
                <w:noProof/>
                <w:webHidden/>
              </w:rPr>
              <w:t>19</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51" w:history="1">
            <w:r w:rsidR="00CD4539" w:rsidRPr="00593A10">
              <w:rPr>
                <w:rStyle w:val="Hyperlink"/>
                <w:noProof/>
              </w:rPr>
              <w:t>5.2.4</w:t>
            </w:r>
            <w:r w:rsidR="00CD4539">
              <w:rPr>
                <w:rFonts w:eastAsiaTheme="minorEastAsia"/>
                <w:noProof/>
                <w:sz w:val="24"/>
                <w:szCs w:val="24"/>
              </w:rPr>
              <w:tab/>
            </w:r>
            <w:r w:rsidR="00CD4539" w:rsidRPr="00593A10">
              <w:rPr>
                <w:rStyle w:val="Hyperlink"/>
                <w:noProof/>
              </w:rPr>
              <w:t>Consultancies</w:t>
            </w:r>
            <w:r w:rsidR="00CD4539">
              <w:rPr>
                <w:noProof/>
                <w:webHidden/>
              </w:rPr>
              <w:tab/>
            </w:r>
            <w:r w:rsidR="00CD4539">
              <w:rPr>
                <w:noProof/>
                <w:webHidden/>
              </w:rPr>
              <w:fldChar w:fldCharType="begin"/>
            </w:r>
            <w:r w:rsidR="00CD4539">
              <w:rPr>
                <w:noProof/>
                <w:webHidden/>
              </w:rPr>
              <w:instrText xml:space="preserve"> PAGEREF _Toc527458451 \h </w:instrText>
            </w:r>
            <w:r w:rsidR="00CD4539">
              <w:rPr>
                <w:noProof/>
                <w:webHidden/>
              </w:rPr>
            </w:r>
            <w:r w:rsidR="00CD4539">
              <w:rPr>
                <w:noProof/>
                <w:webHidden/>
              </w:rPr>
              <w:fldChar w:fldCharType="separate"/>
            </w:r>
            <w:r w:rsidR="00951E2F">
              <w:rPr>
                <w:noProof/>
                <w:webHidden/>
              </w:rPr>
              <w:t>19</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52" w:history="1">
            <w:r w:rsidR="00CD4539" w:rsidRPr="00593A10">
              <w:rPr>
                <w:rStyle w:val="Hyperlink"/>
                <w:noProof/>
              </w:rPr>
              <w:t>5.2.5</w:t>
            </w:r>
            <w:r w:rsidR="00CD4539">
              <w:rPr>
                <w:rFonts w:eastAsiaTheme="minorEastAsia"/>
                <w:noProof/>
                <w:sz w:val="24"/>
                <w:szCs w:val="24"/>
              </w:rPr>
              <w:tab/>
            </w:r>
            <w:r w:rsidR="00CD4539" w:rsidRPr="00593A10">
              <w:rPr>
                <w:rStyle w:val="Hyperlink"/>
                <w:noProof/>
              </w:rPr>
              <w:t>Advertising And Market Research</w:t>
            </w:r>
            <w:r w:rsidR="00CD4539">
              <w:rPr>
                <w:noProof/>
                <w:webHidden/>
              </w:rPr>
              <w:tab/>
            </w:r>
            <w:r w:rsidR="00CD4539">
              <w:rPr>
                <w:noProof/>
                <w:webHidden/>
              </w:rPr>
              <w:fldChar w:fldCharType="begin"/>
            </w:r>
            <w:r w:rsidR="00CD4539">
              <w:rPr>
                <w:noProof/>
                <w:webHidden/>
              </w:rPr>
              <w:instrText xml:space="preserve"> PAGEREF _Toc527458452 \h </w:instrText>
            </w:r>
            <w:r w:rsidR="00CD4539">
              <w:rPr>
                <w:noProof/>
                <w:webHidden/>
              </w:rPr>
            </w:r>
            <w:r w:rsidR="00CD4539">
              <w:rPr>
                <w:noProof/>
                <w:webHidden/>
              </w:rPr>
              <w:fldChar w:fldCharType="separate"/>
            </w:r>
            <w:r w:rsidR="00951E2F">
              <w:rPr>
                <w:noProof/>
                <w:webHidden/>
              </w:rPr>
              <w:t>19</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53" w:history="1">
            <w:r w:rsidR="00CD4539" w:rsidRPr="00593A10">
              <w:rPr>
                <w:rStyle w:val="Hyperlink"/>
                <w:noProof/>
              </w:rPr>
              <w:t>5.2.6</w:t>
            </w:r>
            <w:r w:rsidR="00CD4539">
              <w:rPr>
                <w:rFonts w:eastAsiaTheme="minorEastAsia"/>
                <w:noProof/>
                <w:sz w:val="24"/>
                <w:szCs w:val="24"/>
              </w:rPr>
              <w:tab/>
            </w:r>
            <w:r w:rsidR="00CD4539" w:rsidRPr="00593A10">
              <w:rPr>
                <w:rStyle w:val="Hyperlink"/>
                <w:noProof/>
              </w:rPr>
              <w:t>Grant Programmes</w:t>
            </w:r>
            <w:r w:rsidR="00CD4539">
              <w:rPr>
                <w:noProof/>
                <w:webHidden/>
              </w:rPr>
              <w:tab/>
            </w:r>
            <w:r w:rsidR="00CD4539">
              <w:rPr>
                <w:noProof/>
                <w:webHidden/>
              </w:rPr>
              <w:fldChar w:fldCharType="begin"/>
            </w:r>
            <w:r w:rsidR="00CD4539">
              <w:rPr>
                <w:noProof/>
                <w:webHidden/>
              </w:rPr>
              <w:instrText xml:space="preserve"> PAGEREF _Toc527458453 \h </w:instrText>
            </w:r>
            <w:r w:rsidR="00CD4539">
              <w:rPr>
                <w:noProof/>
                <w:webHidden/>
              </w:rPr>
            </w:r>
            <w:r w:rsidR="00CD4539">
              <w:rPr>
                <w:noProof/>
                <w:webHidden/>
              </w:rPr>
              <w:fldChar w:fldCharType="separate"/>
            </w:r>
            <w:r w:rsidR="00951E2F">
              <w:rPr>
                <w:noProof/>
                <w:webHidden/>
              </w:rPr>
              <w:t>19</w:t>
            </w:r>
            <w:r w:rsidR="00CD4539">
              <w:rPr>
                <w:noProof/>
                <w:webHidden/>
              </w:rPr>
              <w:fldChar w:fldCharType="end"/>
            </w:r>
          </w:hyperlink>
        </w:p>
        <w:p w:rsidR="00CD4539" w:rsidRDefault="00B51AC7">
          <w:pPr>
            <w:pStyle w:val="TOC2"/>
            <w:tabs>
              <w:tab w:val="left" w:pos="960"/>
              <w:tab w:val="right" w:leader="dot" w:pos="9962"/>
            </w:tabs>
            <w:rPr>
              <w:rFonts w:eastAsiaTheme="minorEastAsia"/>
              <w:b w:val="0"/>
              <w:bCs w:val="0"/>
              <w:noProof/>
              <w:sz w:val="24"/>
              <w:szCs w:val="24"/>
            </w:rPr>
          </w:pPr>
          <w:hyperlink w:anchor="_Toc527458454" w:history="1">
            <w:r w:rsidR="00CD4539" w:rsidRPr="00593A10">
              <w:rPr>
                <w:rStyle w:val="Hyperlink"/>
                <w:noProof/>
              </w:rPr>
              <w:t>5.3.</w:t>
            </w:r>
            <w:r w:rsidR="00CD4539">
              <w:rPr>
                <w:rFonts w:eastAsiaTheme="minorEastAsia"/>
                <w:b w:val="0"/>
                <w:bCs w:val="0"/>
                <w:noProof/>
                <w:sz w:val="24"/>
                <w:szCs w:val="24"/>
              </w:rPr>
              <w:tab/>
            </w:r>
            <w:r w:rsidR="00CD4539" w:rsidRPr="00593A10">
              <w:rPr>
                <w:rStyle w:val="Hyperlink"/>
                <w:noProof/>
              </w:rPr>
              <w:t>Management of Human Resources</w:t>
            </w:r>
            <w:r w:rsidR="00CD4539">
              <w:rPr>
                <w:noProof/>
                <w:webHidden/>
              </w:rPr>
              <w:tab/>
            </w:r>
            <w:r w:rsidR="00CD4539">
              <w:rPr>
                <w:noProof/>
                <w:webHidden/>
              </w:rPr>
              <w:fldChar w:fldCharType="begin"/>
            </w:r>
            <w:r w:rsidR="00CD4539">
              <w:rPr>
                <w:noProof/>
                <w:webHidden/>
              </w:rPr>
              <w:instrText xml:space="preserve"> PAGEREF _Toc527458454 \h </w:instrText>
            </w:r>
            <w:r w:rsidR="00CD4539">
              <w:rPr>
                <w:noProof/>
                <w:webHidden/>
              </w:rPr>
            </w:r>
            <w:r w:rsidR="00CD4539">
              <w:rPr>
                <w:noProof/>
                <w:webHidden/>
              </w:rPr>
              <w:fldChar w:fldCharType="separate"/>
            </w:r>
            <w:r w:rsidR="00951E2F">
              <w:rPr>
                <w:noProof/>
                <w:webHidden/>
              </w:rPr>
              <w:t>19</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55" w:history="1">
            <w:r w:rsidR="00CD4539" w:rsidRPr="00593A10">
              <w:rPr>
                <w:rStyle w:val="Hyperlink"/>
                <w:noProof/>
              </w:rPr>
              <w:t>5.3.1</w:t>
            </w:r>
            <w:r w:rsidR="00CD4539">
              <w:rPr>
                <w:rFonts w:eastAsiaTheme="minorEastAsia"/>
                <w:noProof/>
                <w:sz w:val="24"/>
                <w:szCs w:val="24"/>
              </w:rPr>
              <w:tab/>
            </w:r>
            <w:r w:rsidR="00CD4539" w:rsidRPr="00593A10">
              <w:rPr>
                <w:rStyle w:val="Hyperlink"/>
                <w:noProof/>
              </w:rPr>
              <w:t>Staffing Statistics</w:t>
            </w:r>
            <w:r w:rsidR="00CD4539">
              <w:rPr>
                <w:noProof/>
                <w:webHidden/>
              </w:rPr>
              <w:tab/>
            </w:r>
            <w:r w:rsidR="00CD4539">
              <w:rPr>
                <w:noProof/>
                <w:webHidden/>
              </w:rPr>
              <w:fldChar w:fldCharType="begin"/>
            </w:r>
            <w:r w:rsidR="00CD4539">
              <w:rPr>
                <w:noProof/>
                <w:webHidden/>
              </w:rPr>
              <w:instrText xml:space="preserve"> PAGEREF _Toc527458455 \h </w:instrText>
            </w:r>
            <w:r w:rsidR="00CD4539">
              <w:rPr>
                <w:noProof/>
                <w:webHidden/>
              </w:rPr>
            </w:r>
            <w:r w:rsidR="00CD4539">
              <w:rPr>
                <w:noProof/>
                <w:webHidden/>
              </w:rPr>
              <w:fldChar w:fldCharType="separate"/>
            </w:r>
            <w:r w:rsidR="00951E2F">
              <w:rPr>
                <w:noProof/>
                <w:webHidden/>
              </w:rPr>
              <w:t>20</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56" w:history="1">
            <w:r w:rsidR="00CD4539" w:rsidRPr="00593A10">
              <w:rPr>
                <w:rStyle w:val="Hyperlink"/>
                <w:noProof/>
              </w:rPr>
              <w:t>5.3.2</w:t>
            </w:r>
            <w:r w:rsidR="00CD4539">
              <w:rPr>
                <w:rFonts w:eastAsiaTheme="minorEastAsia"/>
                <w:noProof/>
                <w:sz w:val="24"/>
                <w:szCs w:val="24"/>
              </w:rPr>
              <w:tab/>
            </w:r>
            <w:r w:rsidR="00CD4539" w:rsidRPr="00593A10">
              <w:rPr>
                <w:rStyle w:val="Hyperlink"/>
                <w:noProof/>
              </w:rPr>
              <w:t>Remuneration for Ceo And Senior Executive Service</w:t>
            </w:r>
            <w:r w:rsidR="00CD4539">
              <w:rPr>
                <w:noProof/>
                <w:webHidden/>
              </w:rPr>
              <w:tab/>
            </w:r>
            <w:r w:rsidR="00CD4539">
              <w:rPr>
                <w:noProof/>
                <w:webHidden/>
              </w:rPr>
              <w:fldChar w:fldCharType="begin"/>
            </w:r>
            <w:r w:rsidR="00CD4539">
              <w:rPr>
                <w:noProof/>
                <w:webHidden/>
              </w:rPr>
              <w:instrText xml:space="preserve"> PAGEREF _Toc527458456 \h </w:instrText>
            </w:r>
            <w:r w:rsidR="00CD4539">
              <w:rPr>
                <w:noProof/>
                <w:webHidden/>
              </w:rPr>
            </w:r>
            <w:r w:rsidR="00CD4539">
              <w:rPr>
                <w:noProof/>
                <w:webHidden/>
              </w:rPr>
              <w:fldChar w:fldCharType="separate"/>
            </w:r>
            <w:r w:rsidR="00951E2F">
              <w:rPr>
                <w:noProof/>
                <w:webHidden/>
              </w:rPr>
              <w:t>20</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57" w:history="1">
            <w:r w:rsidR="00CD4539" w:rsidRPr="00593A10">
              <w:rPr>
                <w:rStyle w:val="Hyperlink"/>
                <w:noProof/>
              </w:rPr>
              <w:t>5.3.3</w:t>
            </w:r>
            <w:r w:rsidR="00CD4539">
              <w:rPr>
                <w:rFonts w:eastAsiaTheme="minorEastAsia"/>
                <w:noProof/>
                <w:sz w:val="24"/>
                <w:szCs w:val="24"/>
              </w:rPr>
              <w:tab/>
            </w:r>
            <w:r w:rsidR="00CD4539" w:rsidRPr="00593A10">
              <w:rPr>
                <w:rStyle w:val="Hyperlink"/>
                <w:noProof/>
              </w:rPr>
              <w:t>Remuneration for Authority Chair And Members</w:t>
            </w:r>
            <w:r w:rsidR="00CD4539">
              <w:rPr>
                <w:noProof/>
                <w:webHidden/>
              </w:rPr>
              <w:tab/>
            </w:r>
            <w:r w:rsidR="00CD4539">
              <w:rPr>
                <w:noProof/>
                <w:webHidden/>
              </w:rPr>
              <w:fldChar w:fldCharType="begin"/>
            </w:r>
            <w:r w:rsidR="00CD4539">
              <w:rPr>
                <w:noProof/>
                <w:webHidden/>
              </w:rPr>
              <w:instrText xml:space="preserve"> PAGEREF _Toc527458457 \h </w:instrText>
            </w:r>
            <w:r w:rsidR="00CD4539">
              <w:rPr>
                <w:noProof/>
                <w:webHidden/>
              </w:rPr>
            </w:r>
            <w:r w:rsidR="00CD4539">
              <w:rPr>
                <w:noProof/>
                <w:webHidden/>
              </w:rPr>
              <w:fldChar w:fldCharType="separate"/>
            </w:r>
            <w:r w:rsidR="00951E2F">
              <w:rPr>
                <w:noProof/>
                <w:webHidden/>
              </w:rPr>
              <w:t>21</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58" w:history="1">
            <w:r w:rsidR="00CD4539" w:rsidRPr="00593A10">
              <w:rPr>
                <w:rStyle w:val="Hyperlink"/>
                <w:noProof/>
              </w:rPr>
              <w:t>5.3.4</w:t>
            </w:r>
            <w:r w:rsidR="00CD4539">
              <w:rPr>
                <w:rFonts w:eastAsiaTheme="minorEastAsia"/>
                <w:noProof/>
                <w:sz w:val="24"/>
                <w:szCs w:val="24"/>
              </w:rPr>
              <w:tab/>
            </w:r>
            <w:r w:rsidR="00CD4539" w:rsidRPr="00593A10">
              <w:rPr>
                <w:rStyle w:val="Hyperlink"/>
                <w:noProof/>
              </w:rPr>
              <w:t>Employment Arrangements</w:t>
            </w:r>
            <w:r w:rsidR="00CD4539">
              <w:rPr>
                <w:noProof/>
                <w:webHidden/>
              </w:rPr>
              <w:tab/>
            </w:r>
            <w:r w:rsidR="00CD4539">
              <w:rPr>
                <w:noProof/>
                <w:webHidden/>
              </w:rPr>
              <w:fldChar w:fldCharType="begin"/>
            </w:r>
            <w:r w:rsidR="00CD4539">
              <w:rPr>
                <w:noProof/>
                <w:webHidden/>
              </w:rPr>
              <w:instrText xml:space="preserve"> PAGEREF _Toc527458458 \h </w:instrText>
            </w:r>
            <w:r w:rsidR="00CD4539">
              <w:rPr>
                <w:noProof/>
                <w:webHidden/>
              </w:rPr>
            </w:r>
            <w:r w:rsidR="00CD4539">
              <w:rPr>
                <w:noProof/>
                <w:webHidden/>
              </w:rPr>
              <w:fldChar w:fldCharType="separate"/>
            </w:r>
            <w:r w:rsidR="00951E2F">
              <w:rPr>
                <w:noProof/>
                <w:webHidden/>
              </w:rPr>
              <w:t>21</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59" w:history="1">
            <w:r w:rsidR="00CD4539" w:rsidRPr="00593A10">
              <w:rPr>
                <w:rStyle w:val="Hyperlink"/>
                <w:noProof/>
              </w:rPr>
              <w:t>5.3.5</w:t>
            </w:r>
            <w:r w:rsidR="00CD4539">
              <w:rPr>
                <w:rFonts w:eastAsiaTheme="minorEastAsia"/>
                <w:noProof/>
                <w:sz w:val="24"/>
                <w:szCs w:val="24"/>
              </w:rPr>
              <w:tab/>
            </w:r>
            <w:r w:rsidR="00CD4539" w:rsidRPr="00593A10">
              <w:rPr>
                <w:rStyle w:val="Hyperlink"/>
                <w:noProof/>
              </w:rPr>
              <w:t>Consultative Arrangements</w:t>
            </w:r>
            <w:r w:rsidR="00CD4539">
              <w:rPr>
                <w:noProof/>
                <w:webHidden/>
              </w:rPr>
              <w:tab/>
            </w:r>
            <w:r w:rsidR="00CD4539">
              <w:rPr>
                <w:noProof/>
                <w:webHidden/>
              </w:rPr>
              <w:fldChar w:fldCharType="begin"/>
            </w:r>
            <w:r w:rsidR="00CD4539">
              <w:rPr>
                <w:noProof/>
                <w:webHidden/>
              </w:rPr>
              <w:instrText xml:space="preserve"> PAGEREF _Toc527458459 \h </w:instrText>
            </w:r>
            <w:r w:rsidR="00CD4539">
              <w:rPr>
                <w:noProof/>
                <w:webHidden/>
              </w:rPr>
            </w:r>
            <w:r w:rsidR="00CD4539">
              <w:rPr>
                <w:noProof/>
                <w:webHidden/>
              </w:rPr>
              <w:fldChar w:fldCharType="separate"/>
            </w:r>
            <w:r w:rsidR="00951E2F">
              <w:rPr>
                <w:noProof/>
                <w:webHidden/>
              </w:rPr>
              <w:t>21</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60" w:history="1">
            <w:r w:rsidR="00CD4539" w:rsidRPr="00593A10">
              <w:rPr>
                <w:rStyle w:val="Hyperlink"/>
                <w:noProof/>
              </w:rPr>
              <w:t>5.3.6</w:t>
            </w:r>
            <w:r w:rsidR="00CD4539">
              <w:rPr>
                <w:rFonts w:eastAsiaTheme="minorEastAsia"/>
                <w:noProof/>
                <w:sz w:val="24"/>
                <w:szCs w:val="24"/>
              </w:rPr>
              <w:tab/>
            </w:r>
            <w:r w:rsidR="00CD4539" w:rsidRPr="00593A10">
              <w:rPr>
                <w:rStyle w:val="Hyperlink"/>
                <w:noProof/>
              </w:rPr>
              <w:t>Performance Management</w:t>
            </w:r>
            <w:r w:rsidR="00CD4539">
              <w:rPr>
                <w:noProof/>
                <w:webHidden/>
              </w:rPr>
              <w:tab/>
            </w:r>
            <w:r w:rsidR="00CD4539">
              <w:rPr>
                <w:noProof/>
                <w:webHidden/>
              </w:rPr>
              <w:fldChar w:fldCharType="begin"/>
            </w:r>
            <w:r w:rsidR="00CD4539">
              <w:rPr>
                <w:noProof/>
                <w:webHidden/>
              </w:rPr>
              <w:instrText xml:space="preserve"> PAGEREF _Toc527458460 \h </w:instrText>
            </w:r>
            <w:r w:rsidR="00CD4539">
              <w:rPr>
                <w:noProof/>
                <w:webHidden/>
              </w:rPr>
            </w:r>
            <w:r w:rsidR="00CD4539">
              <w:rPr>
                <w:noProof/>
                <w:webHidden/>
              </w:rPr>
              <w:fldChar w:fldCharType="separate"/>
            </w:r>
            <w:r w:rsidR="00951E2F">
              <w:rPr>
                <w:noProof/>
                <w:webHidden/>
              </w:rPr>
              <w:t>21</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61" w:history="1">
            <w:r w:rsidR="00CD4539" w:rsidRPr="00593A10">
              <w:rPr>
                <w:rStyle w:val="Hyperlink"/>
                <w:noProof/>
              </w:rPr>
              <w:t>5.3.7</w:t>
            </w:r>
            <w:r w:rsidR="00CD4539">
              <w:rPr>
                <w:rFonts w:eastAsiaTheme="minorEastAsia"/>
                <w:noProof/>
                <w:sz w:val="24"/>
                <w:szCs w:val="24"/>
              </w:rPr>
              <w:tab/>
            </w:r>
            <w:r w:rsidR="00CD4539" w:rsidRPr="00593A10">
              <w:rPr>
                <w:rStyle w:val="Hyperlink"/>
                <w:noProof/>
              </w:rPr>
              <w:t>Learning and Development</w:t>
            </w:r>
            <w:r w:rsidR="00CD4539">
              <w:rPr>
                <w:noProof/>
                <w:webHidden/>
              </w:rPr>
              <w:tab/>
            </w:r>
            <w:r w:rsidR="00CD4539">
              <w:rPr>
                <w:noProof/>
                <w:webHidden/>
              </w:rPr>
              <w:fldChar w:fldCharType="begin"/>
            </w:r>
            <w:r w:rsidR="00CD4539">
              <w:rPr>
                <w:noProof/>
                <w:webHidden/>
              </w:rPr>
              <w:instrText xml:space="preserve"> PAGEREF _Toc527458461 \h </w:instrText>
            </w:r>
            <w:r w:rsidR="00CD4539">
              <w:rPr>
                <w:noProof/>
                <w:webHidden/>
              </w:rPr>
            </w:r>
            <w:r w:rsidR="00CD4539">
              <w:rPr>
                <w:noProof/>
                <w:webHidden/>
              </w:rPr>
              <w:fldChar w:fldCharType="separate"/>
            </w:r>
            <w:r w:rsidR="00951E2F">
              <w:rPr>
                <w:noProof/>
                <w:webHidden/>
              </w:rPr>
              <w:t>21</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62" w:history="1">
            <w:r w:rsidR="00CD4539" w:rsidRPr="00593A10">
              <w:rPr>
                <w:rStyle w:val="Hyperlink"/>
                <w:noProof/>
              </w:rPr>
              <w:t>5.3.8</w:t>
            </w:r>
            <w:r w:rsidR="00CD4539">
              <w:rPr>
                <w:rFonts w:eastAsiaTheme="minorEastAsia"/>
                <w:noProof/>
                <w:sz w:val="24"/>
                <w:szCs w:val="24"/>
              </w:rPr>
              <w:tab/>
            </w:r>
            <w:r w:rsidR="00CD4539" w:rsidRPr="00593A10">
              <w:rPr>
                <w:rStyle w:val="Hyperlink"/>
                <w:noProof/>
              </w:rPr>
              <w:t>Work Health and Safety</w:t>
            </w:r>
            <w:r w:rsidR="00CD4539">
              <w:rPr>
                <w:noProof/>
                <w:webHidden/>
              </w:rPr>
              <w:tab/>
            </w:r>
            <w:r w:rsidR="00CD4539">
              <w:rPr>
                <w:noProof/>
                <w:webHidden/>
              </w:rPr>
              <w:fldChar w:fldCharType="begin"/>
            </w:r>
            <w:r w:rsidR="00CD4539">
              <w:rPr>
                <w:noProof/>
                <w:webHidden/>
              </w:rPr>
              <w:instrText xml:space="preserve"> PAGEREF _Toc527458462 \h </w:instrText>
            </w:r>
            <w:r w:rsidR="00CD4539">
              <w:rPr>
                <w:noProof/>
                <w:webHidden/>
              </w:rPr>
            </w:r>
            <w:r w:rsidR="00CD4539">
              <w:rPr>
                <w:noProof/>
                <w:webHidden/>
              </w:rPr>
              <w:fldChar w:fldCharType="separate"/>
            </w:r>
            <w:r w:rsidR="00951E2F">
              <w:rPr>
                <w:noProof/>
                <w:webHidden/>
              </w:rPr>
              <w:t>22</w:t>
            </w:r>
            <w:r w:rsidR="00CD4539">
              <w:rPr>
                <w:noProof/>
                <w:webHidden/>
              </w:rPr>
              <w:fldChar w:fldCharType="end"/>
            </w:r>
          </w:hyperlink>
        </w:p>
        <w:p w:rsidR="00CD4539" w:rsidRDefault="00B51AC7">
          <w:pPr>
            <w:pStyle w:val="TOC3"/>
            <w:tabs>
              <w:tab w:val="left" w:pos="1200"/>
              <w:tab w:val="right" w:leader="dot" w:pos="9962"/>
            </w:tabs>
            <w:rPr>
              <w:rFonts w:eastAsiaTheme="minorEastAsia"/>
              <w:noProof/>
              <w:sz w:val="24"/>
              <w:szCs w:val="24"/>
            </w:rPr>
          </w:pPr>
          <w:hyperlink w:anchor="_Toc527458463" w:history="1">
            <w:r w:rsidR="00CD4539" w:rsidRPr="00593A10">
              <w:rPr>
                <w:rStyle w:val="Hyperlink"/>
                <w:noProof/>
              </w:rPr>
              <w:t>5.3.9</w:t>
            </w:r>
            <w:r w:rsidR="00CD4539">
              <w:rPr>
                <w:rFonts w:eastAsiaTheme="minorEastAsia"/>
                <w:noProof/>
                <w:sz w:val="24"/>
                <w:szCs w:val="24"/>
              </w:rPr>
              <w:tab/>
            </w:r>
            <w:r w:rsidR="00CD4539" w:rsidRPr="00593A10">
              <w:rPr>
                <w:rStyle w:val="Hyperlink"/>
                <w:noProof/>
              </w:rPr>
              <w:t>Employee Assistance Programme</w:t>
            </w:r>
            <w:r w:rsidR="00CD4539">
              <w:rPr>
                <w:noProof/>
                <w:webHidden/>
              </w:rPr>
              <w:tab/>
            </w:r>
            <w:r w:rsidR="00CD4539">
              <w:rPr>
                <w:noProof/>
                <w:webHidden/>
              </w:rPr>
              <w:fldChar w:fldCharType="begin"/>
            </w:r>
            <w:r w:rsidR="00CD4539">
              <w:rPr>
                <w:noProof/>
                <w:webHidden/>
              </w:rPr>
              <w:instrText xml:space="preserve"> PAGEREF _Toc527458463 \h </w:instrText>
            </w:r>
            <w:r w:rsidR="00CD4539">
              <w:rPr>
                <w:noProof/>
                <w:webHidden/>
              </w:rPr>
            </w:r>
            <w:r w:rsidR="00CD4539">
              <w:rPr>
                <w:noProof/>
                <w:webHidden/>
              </w:rPr>
              <w:fldChar w:fldCharType="separate"/>
            </w:r>
            <w:r w:rsidR="00951E2F">
              <w:rPr>
                <w:noProof/>
                <w:webHidden/>
              </w:rPr>
              <w:t>22</w:t>
            </w:r>
            <w:r w:rsidR="00CD4539">
              <w:rPr>
                <w:noProof/>
                <w:webHidden/>
              </w:rPr>
              <w:fldChar w:fldCharType="end"/>
            </w:r>
          </w:hyperlink>
        </w:p>
        <w:p w:rsidR="00CD4539" w:rsidRDefault="00B51AC7" w:rsidP="00CD4539">
          <w:pPr>
            <w:pStyle w:val="TOC1"/>
            <w:rPr>
              <w:rFonts w:eastAsiaTheme="minorEastAsia"/>
              <w:i/>
              <w:noProof/>
            </w:rPr>
          </w:pPr>
          <w:hyperlink w:anchor="_Toc527458464" w:history="1">
            <w:r w:rsidR="00CD4539" w:rsidRPr="00593A10">
              <w:rPr>
                <w:rStyle w:val="Hyperlink"/>
                <w:noProof/>
              </w:rPr>
              <w:t>Appendix A AUDITED FINANCIAL STATEMENTS</w:t>
            </w:r>
            <w:r w:rsidR="00CD4539">
              <w:rPr>
                <w:noProof/>
                <w:webHidden/>
              </w:rPr>
              <w:tab/>
            </w:r>
            <w:r w:rsidR="00CD4539">
              <w:rPr>
                <w:noProof/>
                <w:webHidden/>
              </w:rPr>
              <w:fldChar w:fldCharType="begin"/>
            </w:r>
            <w:r w:rsidR="00CD4539">
              <w:rPr>
                <w:noProof/>
                <w:webHidden/>
              </w:rPr>
              <w:instrText xml:space="preserve"> PAGEREF _Toc527458464 \h </w:instrText>
            </w:r>
            <w:r w:rsidR="00CD4539">
              <w:rPr>
                <w:noProof/>
                <w:webHidden/>
              </w:rPr>
            </w:r>
            <w:r w:rsidR="00CD4539">
              <w:rPr>
                <w:noProof/>
                <w:webHidden/>
              </w:rPr>
              <w:fldChar w:fldCharType="separate"/>
            </w:r>
            <w:r w:rsidR="00951E2F">
              <w:rPr>
                <w:noProof/>
                <w:webHidden/>
              </w:rPr>
              <w:t>23</w:t>
            </w:r>
            <w:r w:rsidR="00CD4539">
              <w:rPr>
                <w:noProof/>
                <w:webHidden/>
              </w:rPr>
              <w:fldChar w:fldCharType="end"/>
            </w:r>
          </w:hyperlink>
        </w:p>
        <w:p w:rsidR="00CD4539" w:rsidRDefault="00B51AC7" w:rsidP="00CD4539">
          <w:pPr>
            <w:pStyle w:val="TOC1"/>
            <w:rPr>
              <w:rFonts w:eastAsiaTheme="minorEastAsia"/>
              <w:i/>
              <w:noProof/>
            </w:rPr>
          </w:pPr>
          <w:hyperlink w:anchor="_Toc527458465" w:history="1">
            <w:r w:rsidR="00CD4539" w:rsidRPr="00593A10">
              <w:rPr>
                <w:rStyle w:val="Hyperlink"/>
                <w:noProof/>
              </w:rPr>
              <w:t>Appendix B List of requirements</w:t>
            </w:r>
            <w:r w:rsidR="00CD4539">
              <w:rPr>
                <w:noProof/>
                <w:webHidden/>
              </w:rPr>
              <w:tab/>
            </w:r>
            <w:r w:rsidR="00CD4539">
              <w:rPr>
                <w:noProof/>
                <w:webHidden/>
              </w:rPr>
              <w:fldChar w:fldCharType="begin"/>
            </w:r>
            <w:r w:rsidR="00CD4539">
              <w:rPr>
                <w:noProof/>
                <w:webHidden/>
              </w:rPr>
              <w:instrText xml:space="preserve"> PAGEREF _Toc527458465 \h </w:instrText>
            </w:r>
            <w:r w:rsidR="00CD4539">
              <w:rPr>
                <w:noProof/>
                <w:webHidden/>
              </w:rPr>
            </w:r>
            <w:r w:rsidR="00CD4539">
              <w:rPr>
                <w:noProof/>
                <w:webHidden/>
              </w:rPr>
              <w:fldChar w:fldCharType="separate"/>
            </w:r>
            <w:r w:rsidR="00951E2F">
              <w:rPr>
                <w:noProof/>
                <w:webHidden/>
              </w:rPr>
              <w:t>40</w:t>
            </w:r>
            <w:r w:rsidR="00CD4539">
              <w:rPr>
                <w:noProof/>
                <w:webHidden/>
              </w:rPr>
              <w:fldChar w:fldCharType="end"/>
            </w:r>
          </w:hyperlink>
        </w:p>
        <w:p w:rsidR="00CD4539" w:rsidRDefault="00B51AC7" w:rsidP="00CD4539">
          <w:pPr>
            <w:pStyle w:val="TOC1"/>
            <w:rPr>
              <w:rFonts w:eastAsiaTheme="minorEastAsia"/>
              <w:i/>
              <w:noProof/>
            </w:rPr>
          </w:pPr>
          <w:hyperlink w:anchor="_Toc527458466" w:history="1">
            <w:r w:rsidR="00CD4539" w:rsidRPr="00593A10">
              <w:rPr>
                <w:rStyle w:val="Hyperlink"/>
                <w:noProof/>
              </w:rPr>
              <w:t>Glossary</w:t>
            </w:r>
            <w:r w:rsidR="00CD4539">
              <w:rPr>
                <w:noProof/>
                <w:webHidden/>
              </w:rPr>
              <w:tab/>
            </w:r>
            <w:r w:rsidR="00CD4539">
              <w:rPr>
                <w:noProof/>
                <w:webHidden/>
              </w:rPr>
              <w:fldChar w:fldCharType="begin"/>
            </w:r>
            <w:r w:rsidR="00CD4539">
              <w:rPr>
                <w:noProof/>
                <w:webHidden/>
              </w:rPr>
              <w:instrText xml:space="preserve"> PAGEREF _Toc527458466 \h </w:instrText>
            </w:r>
            <w:r w:rsidR="00CD4539">
              <w:rPr>
                <w:noProof/>
                <w:webHidden/>
              </w:rPr>
            </w:r>
            <w:r w:rsidR="00CD4539">
              <w:rPr>
                <w:noProof/>
                <w:webHidden/>
              </w:rPr>
              <w:fldChar w:fldCharType="separate"/>
            </w:r>
            <w:r w:rsidR="00951E2F">
              <w:rPr>
                <w:noProof/>
                <w:webHidden/>
              </w:rPr>
              <w:t>45</w:t>
            </w:r>
            <w:r w:rsidR="00CD4539">
              <w:rPr>
                <w:noProof/>
                <w:webHidden/>
              </w:rPr>
              <w:fldChar w:fldCharType="end"/>
            </w:r>
          </w:hyperlink>
        </w:p>
        <w:p w:rsidR="00CD4539" w:rsidRDefault="00B51AC7" w:rsidP="00CD4539">
          <w:pPr>
            <w:pStyle w:val="TOC1"/>
            <w:rPr>
              <w:rFonts w:eastAsiaTheme="minorEastAsia"/>
              <w:i/>
              <w:noProof/>
            </w:rPr>
          </w:pPr>
          <w:hyperlink w:anchor="_Toc527458467" w:history="1">
            <w:r w:rsidR="00CD4539" w:rsidRPr="00593A10">
              <w:rPr>
                <w:rStyle w:val="Hyperlink"/>
                <w:noProof/>
              </w:rPr>
              <w:t>Abbreviations</w:t>
            </w:r>
            <w:r w:rsidR="00CD4539">
              <w:rPr>
                <w:noProof/>
                <w:webHidden/>
              </w:rPr>
              <w:tab/>
            </w:r>
            <w:r w:rsidR="00CD4539">
              <w:rPr>
                <w:noProof/>
                <w:webHidden/>
              </w:rPr>
              <w:fldChar w:fldCharType="begin"/>
            </w:r>
            <w:r w:rsidR="00CD4539">
              <w:rPr>
                <w:noProof/>
                <w:webHidden/>
              </w:rPr>
              <w:instrText xml:space="preserve"> PAGEREF _Toc527458467 \h </w:instrText>
            </w:r>
            <w:r w:rsidR="00CD4539">
              <w:rPr>
                <w:noProof/>
                <w:webHidden/>
              </w:rPr>
            </w:r>
            <w:r w:rsidR="00CD4539">
              <w:rPr>
                <w:noProof/>
                <w:webHidden/>
              </w:rPr>
              <w:fldChar w:fldCharType="separate"/>
            </w:r>
            <w:r w:rsidR="00951E2F">
              <w:rPr>
                <w:noProof/>
                <w:webHidden/>
              </w:rPr>
              <w:t>47</w:t>
            </w:r>
            <w:r w:rsidR="00CD4539">
              <w:rPr>
                <w:noProof/>
                <w:webHidden/>
              </w:rPr>
              <w:fldChar w:fldCharType="end"/>
            </w:r>
          </w:hyperlink>
        </w:p>
        <w:p w:rsidR="00CD4539" w:rsidRDefault="00CD4539">
          <w:r>
            <w:fldChar w:fldCharType="end"/>
          </w:r>
        </w:p>
      </w:sdtContent>
    </w:sdt>
    <w:p w:rsidR="00D66275" w:rsidRDefault="00D66275">
      <w:r>
        <w:br w:type="page"/>
      </w:r>
    </w:p>
    <w:p w:rsidR="009D3B35" w:rsidRDefault="009D3B35">
      <w:pPr>
        <w:rPr>
          <w:rFonts w:ascii="Calibri" w:hAnsi="Calibri" w:cs="Calibri"/>
          <w:b/>
          <w:bCs/>
          <w:caps/>
          <w:color w:val="00B6E8"/>
          <w:spacing w:val="17"/>
          <w:sz w:val="34"/>
          <w:szCs w:val="34"/>
          <w:lang w:val="en-GB"/>
        </w:rPr>
      </w:pPr>
      <w:r>
        <w:rPr>
          <w:noProof/>
          <w:lang w:eastAsia="en-AU"/>
        </w:rPr>
        <w:drawing>
          <wp:inline distT="0" distB="0" distL="0" distR="0">
            <wp:extent cx="5835650" cy="8258175"/>
            <wp:effectExtent l="0" t="0" r="6350" b="0"/>
            <wp:docPr id="9" name="Picture 9" descr="The Hon Melissa Price MP, Minister for the Environment, House of Representatives, Parliament House, CANBERRA ACT 2600&#10;&#10;Dear Minister&#10;I am pleased to provide you with the Climate Change Authority's annual report for the financial year 2017-18.&#10;This document has been prepared in accordance with section 81 of the Climate Change Authority Act 2011 and section 46 of the Public Governance, Performance and Accountability Act 2013. I certify that all of the requirements have been addressed.&#10;&#10;Yours sincerely&#10;Gayle Milnes&#10;A/g Chief Executive Officer&#10;&#10;GPO Box 787, Canberra ACT 2601&#10;T: 180047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 Letters.pdf"/>
                    <pic:cNvPicPr/>
                  </pic:nvPicPr>
                  <pic:blipFill>
                    <a:blip r:embed="rId10">
                      <a:extLst>
                        <a:ext uri="{28A0092B-C50C-407E-A947-70E740481C1C}">
                          <a14:useLocalDpi xmlns:a14="http://schemas.microsoft.com/office/drawing/2010/main" val="0"/>
                        </a:ext>
                      </a:extLst>
                    </a:blip>
                    <a:stretch>
                      <a:fillRect/>
                    </a:stretch>
                  </pic:blipFill>
                  <pic:spPr>
                    <a:xfrm>
                      <a:off x="0" y="0"/>
                      <a:ext cx="5835650" cy="8258175"/>
                    </a:xfrm>
                    <a:prstGeom prst="rect">
                      <a:avLst/>
                    </a:prstGeom>
                  </pic:spPr>
                </pic:pic>
              </a:graphicData>
            </a:graphic>
          </wp:inline>
        </w:drawing>
      </w:r>
      <w:r>
        <w:br w:type="page"/>
      </w:r>
    </w:p>
    <w:p w:rsidR="00D66275" w:rsidRPr="00D66275" w:rsidRDefault="00D66275" w:rsidP="00DD269C">
      <w:pPr>
        <w:pStyle w:val="01Heading1"/>
      </w:pPr>
      <w:bookmarkStart w:id="0" w:name="_Toc527458423"/>
      <w:r w:rsidRPr="00D66275">
        <w:t>1 MEMBERS OF THE CLIMATE CHANGE AUTHORITY</w:t>
      </w:r>
      <w:bookmarkEnd w:id="0"/>
    </w:p>
    <w:p w:rsidR="00D66275" w:rsidRPr="00D66275" w:rsidRDefault="00D66275" w:rsidP="00D66275">
      <w:pPr>
        <w:tabs>
          <w:tab w:val="left" w:pos="992"/>
        </w:tabs>
        <w:suppressAutoHyphens/>
        <w:autoSpaceDE w:val="0"/>
        <w:autoSpaceDN w:val="0"/>
        <w:adjustRightInd w:val="0"/>
        <w:spacing w:after="113" w:line="288" w:lineRule="auto"/>
        <w:ind w:left="454" w:hanging="454"/>
        <w:textAlignment w:val="center"/>
        <w:rPr>
          <w:rFonts w:ascii="Calibri" w:hAnsi="Calibri" w:cs="Calibri"/>
          <w:b/>
          <w:bCs/>
          <w:caps/>
          <w:color w:val="00B6E8"/>
          <w:sz w:val="22"/>
          <w:szCs w:val="22"/>
          <w:lang w:val="en-GB"/>
        </w:rPr>
      </w:pPr>
      <w:r w:rsidRPr="00D66275">
        <w:rPr>
          <w:rFonts w:ascii="Calibri" w:hAnsi="Calibri" w:cs="Calibri"/>
          <w:b/>
          <w:bCs/>
          <w:caps/>
          <w:color w:val="00B6E8"/>
          <w:sz w:val="22"/>
          <w:szCs w:val="22"/>
          <w:lang w:val="en-GB"/>
        </w:rPr>
        <w:tab/>
        <w:t>Chair: Dr Wendy Craik AM</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Dr Wendy Craik was appointed Chair of the Authority on 1 May 2016 for a period ending 11 October 2020. Dr Craik was a member of the Authority from 12 October 2015 to 30 April 2016.</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Dr Craik has over 25 years’ experience in senior roles in public policy, including as Commissioner at the Productivity Commission, Chief Executive of the Murray–Darling Basin Commission, President of the National Competition Council, Chair of the Australian Fisheries Management Authority and Australian Rural Leadership Foundation, Executive Director of the National Farmers’ Federation and Executive Officer of the Great Barrier Reef Marine Park Authority. She has been a director on a number of boards. She is currently Chair of the NSW Marine Estate Management Authority, Chair of the National Environmental Science Program Climate Science and Earth Systems Hub Steering Committee and a board member of the Reserve Bank of Australia and Australian Farm Institute.</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Dr Craik was invested as a Member of the Order of Australia in 2007 for service to the natural resource sector of the economy, particularly in the areas of fisheries, marine ecology and management of water reform, and for contributions to policies affecting rural and regional Australia.</w:t>
      </w:r>
    </w:p>
    <w:p w:rsidR="00D66275" w:rsidRPr="00D66275" w:rsidRDefault="00D66275" w:rsidP="00D66275">
      <w:pPr>
        <w:tabs>
          <w:tab w:val="left" w:pos="992"/>
        </w:tabs>
        <w:suppressAutoHyphens/>
        <w:autoSpaceDE w:val="0"/>
        <w:autoSpaceDN w:val="0"/>
        <w:adjustRightInd w:val="0"/>
        <w:spacing w:before="227" w:after="113" w:line="288" w:lineRule="auto"/>
        <w:ind w:left="454" w:hanging="454"/>
        <w:textAlignment w:val="center"/>
        <w:rPr>
          <w:rFonts w:ascii="Calibri" w:hAnsi="Calibri" w:cs="Calibri"/>
          <w:b/>
          <w:bCs/>
          <w:caps/>
          <w:color w:val="00B6E8"/>
          <w:sz w:val="22"/>
          <w:szCs w:val="22"/>
          <w:lang w:val="en-GB"/>
        </w:rPr>
      </w:pPr>
      <w:r w:rsidRPr="00D66275">
        <w:rPr>
          <w:rFonts w:ascii="Calibri" w:hAnsi="Calibri" w:cs="Calibri"/>
          <w:b/>
          <w:bCs/>
          <w:caps/>
          <w:color w:val="00B6E8"/>
          <w:sz w:val="22"/>
          <w:szCs w:val="22"/>
          <w:lang w:val="en-GB"/>
        </w:rPr>
        <w:tab/>
        <w:t>Ex officio member and Chief Scientist: Dr Alan Finkel</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Dr Alan Finkel commenced as Australia’s Chief Scientist in January 2016. The Chief Scientist is an ex officio member of the Climate Change Authority. Dr Finkel is a prominent engineer, respected neuroscientist, successful entrepreneur and philanthropist with a personal commitment to innovation and commercialisation. Prior to becoming Chief Scientist, he was the Chancellor of Monash University and President of the Australian Academy of Technological Sciences and Engineering. </w:t>
      </w:r>
    </w:p>
    <w:p w:rsidR="00D66275" w:rsidRPr="00D66275" w:rsidRDefault="00D66275" w:rsidP="00D66275">
      <w:pPr>
        <w:tabs>
          <w:tab w:val="left" w:pos="992"/>
        </w:tabs>
        <w:suppressAutoHyphens/>
        <w:autoSpaceDE w:val="0"/>
        <w:autoSpaceDN w:val="0"/>
        <w:adjustRightInd w:val="0"/>
        <w:spacing w:before="227" w:after="113" w:line="288" w:lineRule="auto"/>
        <w:ind w:left="454" w:hanging="454"/>
        <w:textAlignment w:val="center"/>
        <w:rPr>
          <w:rFonts w:ascii="Calibri" w:hAnsi="Calibri" w:cs="Calibri"/>
          <w:b/>
          <w:bCs/>
          <w:caps/>
          <w:color w:val="00B6E8"/>
          <w:sz w:val="22"/>
          <w:szCs w:val="22"/>
          <w:lang w:val="en-GB"/>
        </w:rPr>
      </w:pPr>
      <w:r w:rsidRPr="00D66275">
        <w:rPr>
          <w:rFonts w:ascii="Calibri" w:hAnsi="Calibri" w:cs="Calibri"/>
          <w:b/>
          <w:bCs/>
          <w:caps/>
          <w:color w:val="00B6E8"/>
          <w:sz w:val="22"/>
          <w:szCs w:val="22"/>
          <w:lang w:val="en-GB"/>
        </w:rPr>
        <w:tab/>
        <w:t>Mr Stuart Allinson</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Mr Stuart Allinson was appointed as a member of the Authority on 12 October 2015 for a term of five years. Mr Allinson was the acting Chair of the Authority from 12 October 2015 to 30 April 2016.</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Mr Allinson’s career has predominately focused on the energy sector, as a manager, consultant and company director in Australasia and Europe. In 2012, Mr Allinson co-founded BidEnergy and as Managing Director, took the company to an ASX listing in 2016. He is now a professional company director and is involved with a number of high growth businesses in the energy and sustainable technology sectors.</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Mr Allinson attended Imperial College of </w:t>
      </w:r>
      <w:proofErr w:type="gramStart"/>
      <w:r w:rsidRPr="00D66275">
        <w:rPr>
          <w:rFonts w:ascii="Calibri" w:hAnsi="Calibri" w:cs="Calibri"/>
          <w:color w:val="000000"/>
          <w:sz w:val="18"/>
          <w:szCs w:val="18"/>
          <w:lang w:val="en-GB"/>
        </w:rPr>
        <w:t>Science and Technology and holds a BSc Mathematics Upper Second Class Honours (Associate of the Royal College of Science)</w:t>
      </w:r>
      <w:proofErr w:type="gramEnd"/>
      <w:r w:rsidRPr="00D66275">
        <w:rPr>
          <w:rFonts w:ascii="Calibri" w:hAnsi="Calibri" w:cs="Calibri"/>
          <w:color w:val="000000"/>
          <w:sz w:val="18"/>
          <w:szCs w:val="18"/>
          <w:lang w:val="en-GB"/>
        </w:rPr>
        <w:t xml:space="preserve"> and Master of Petroleum Engineering (Associate of the Royal School of Mines). He also holds a Master of Business Administration, Royal Victoria University of Manchester, England. While studying for his MBA, he attended Kellogg Graduate School of Management in Illinois as part of an international student exchange programme.</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Mr Allinson’s early career was in oil and gas exploration and production. He later specialised in energy and environmental market deregulation. In 1997, he immigrated to Australia to work with Ernst &amp; Young as an energy market specialist, consulting to governments, regulators and businesses involved with market reform.</w:t>
      </w:r>
    </w:p>
    <w:p w:rsidR="00D66275" w:rsidRPr="00D66275" w:rsidRDefault="00D66275" w:rsidP="00D66275">
      <w:pPr>
        <w:tabs>
          <w:tab w:val="left" w:pos="992"/>
        </w:tabs>
        <w:suppressAutoHyphens/>
        <w:autoSpaceDE w:val="0"/>
        <w:autoSpaceDN w:val="0"/>
        <w:adjustRightInd w:val="0"/>
        <w:spacing w:before="227" w:after="113" w:line="288" w:lineRule="auto"/>
        <w:ind w:left="454" w:hanging="454"/>
        <w:textAlignment w:val="center"/>
        <w:rPr>
          <w:rFonts w:ascii="Calibri" w:hAnsi="Calibri" w:cs="Calibri"/>
          <w:b/>
          <w:bCs/>
          <w:caps/>
          <w:color w:val="00B6E8"/>
          <w:sz w:val="22"/>
          <w:szCs w:val="22"/>
          <w:lang w:val="en-GB"/>
        </w:rPr>
      </w:pPr>
      <w:r w:rsidRPr="00D66275">
        <w:rPr>
          <w:rFonts w:ascii="Calibri" w:hAnsi="Calibri" w:cs="Calibri"/>
          <w:b/>
          <w:bCs/>
          <w:caps/>
          <w:color w:val="00B6E8"/>
          <w:sz w:val="22"/>
          <w:szCs w:val="22"/>
          <w:lang w:val="en-GB"/>
        </w:rPr>
        <w:tab/>
        <w:t>Ms Kate Carnell AO</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Ms Kate Carnell was appointed as a member of the Authority on 12 October 2015 for a term of five years.</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 March 2016, Ms Carnell became Australia’s first Small Business and Family Enterprise Ombudsman.</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Ms Carnell was the CEO of the Australian Chamber of Commerce and Industry (ACCI) from May 2014 to February 2016. ACCI is Australia’s largest and most representative business organisation, advocating for over 300,000 businesses across all industries.</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Ms Carnell is well known and respected in the not-for-profit and business communities, having served two years as CEO of beyondblue and four years as CEO of the Australian Food and Grocery Council.</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Ms Carnell began her professional life as a pharmacist. She owned and managed pharmacies for some 20 years, was the inaugural chair of the ACT Branch of the Australian Pharmacy Guild and went on to become National Vice-President of the Pharmacy Guild of Australia.</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Ms Carnell served as Chief Minister of the ACT from 1995 to 2000. </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 2006, Ms Carnell was appointed as an Officer of the Order of Australia for her services to community through contributions to economic development and support for the business sector, knowledge industries, the medical sector and medical technology advances.</w:t>
      </w:r>
    </w:p>
    <w:p w:rsidR="00D66275" w:rsidRPr="00D66275" w:rsidRDefault="00D66275" w:rsidP="00D66275">
      <w:pPr>
        <w:tabs>
          <w:tab w:val="left" w:pos="992"/>
        </w:tabs>
        <w:suppressAutoHyphens/>
        <w:autoSpaceDE w:val="0"/>
        <w:autoSpaceDN w:val="0"/>
        <w:adjustRightInd w:val="0"/>
        <w:spacing w:before="227" w:after="113" w:line="288" w:lineRule="auto"/>
        <w:ind w:left="454" w:hanging="454"/>
        <w:textAlignment w:val="center"/>
        <w:rPr>
          <w:rFonts w:ascii="Calibri" w:hAnsi="Calibri" w:cs="Calibri"/>
          <w:b/>
          <w:bCs/>
          <w:caps/>
          <w:color w:val="00B6E8"/>
          <w:sz w:val="22"/>
          <w:szCs w:val="22"/>
          <w:lang w:val="en-GB"/>
        </w:rPr>
      </w:pPr>
      <w:r w:rsidRPr="00D66275">
        <w:rPr>
          <w:rFonts w:ascii="Calibri" w:hAnsi="Calibri" w:cs="Calibri"/>
          <w:b/>
          <w:bCs/>
          <w:caps/>
          <w:color w:val="00B6E8"/>
          <w:sz w:val="22"/>
          <w:szCs w:val="22"/>
          <w:lang w:val="en-GB"/>
        </w:rPr>
        <w:tab/>
        <w:t>The Hon John Sharp AM</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Mr Sharp was appointed as a member of the Authority on 12 October 2015 for a term of five years.</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Mr Sharp has a farming and business background. His political career commenced in 1980 at the age of 25 when he was elected to the Young Shire Council. In 1984, he was elected to the Federal Parliament as the National Party member for Gilmore. Following redistribution in 1993, he represented the seat of Hume. Mr Sharp served 14 years in the Federal Parliament, and from 1987 to the end of 1997 was a member of the Coalition’s front bench as Shadow Minister and then Minister for Transport and Regional Development. He served as Federal Treasurer of the National Party from 2000–15. </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During his parliamentary career, Mr Sharp became well known and respected for his role in promoting aviation safety and was responsible for numerous reforms, including a complete rewrite of the aviation regulations. He was also responsible for the reform of Australia’s railways, creating the Australian Rail Track Corporation. </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Mr Sharp is founder and director of </w:t>
      </w:r>
      <w:proofErr w:type="spellStart"/>
      <w:r w:rsidRPr="00D66275">
        <w:rPr>
          <w:rFonts w:ascii="Calibri" w:hAnsi="Calibri" w:cs="Calibri"/>
          <w:color w:val="000000"/>
          <w:sz w:val="18"/>
          <w:szCs w:val="18"/>
          <w:lang w:val="en-GB"/>
        </w:rPr>
        <w:t>Thenford</w:t>
      </w:r>
      <w:proofErr w:type="spellEnd"/>
      <w:r w:rsidRPr="00D66275">
        <w:rPr>
          <w:rFonts w:ascii="Calibri" w:hAnsi="Calibri" w:cs="Calibri"/>
          <w:color w:val="000000"/>
          <w:sz w:val="18"/>
          <w:szCs w:val="18"/>
          <w:lang w:val="en-GB"/>
        </w:rPr>
        <w:t xml:space="preserve"> Consulting, a high-level aviation and transport consulting company, Deputy Chairman of Australia’s largest independent regional airline, Regional Express (Rex), Chairman of </w:t>
      </w:r>
      <w:proofErr w:type="spellStart"/>
      <w:r w:rsidRPr="00D66275">
        <w:rPr>
          <w:rFonts w:ascii="Calibri" w:hAnsi="Calibri" w:cs="Calibri"/>
          <w:color w:val="000000"/>
          <w:sz w:val="18"/>
          <w:szCs w:val="18"/>
          <w:lang w:val="en-GB"/>
        </w:rPr>
        <w:t>Pel</w:t>
      </w:r>
      <w:proofErr w:type="spellEnd"/>
      <w:r w:rsidRPr="00D66275">
        <w:rPr>
          <w:rFonts w:ascii="Calibri" w:hAnsi="Calibri" w:cs="Calibri"/>
          <w:color w:val="000000"/>
          <w:sz w:val="18"/>
          <w:szCs w:val="18"/>
          <w:lang w:val="en-GB"/>
        </w:rPr>
        <w:t xml:space="preserve"> Air, an airfreight business and charter operator, director of </w:t>
      </w:r>
      <w:proofErr w:type="spellStart"/>
      <w:r w:rsidRPr="00D66275">
        <w:rPr>
          <w:rFonts w:ascii="Calibri" w:hAnsi="Calibri" w:cs="Calibri"/>
          <w:color w:val="000000"/>
          <w:sz w:val="18"/>
          <w:szCs w:val="18"/>
          <w:lang w:val="en-GB"/>
        </w:rPr>
        <w:t>Luerssen</w:t>
      </w:r>
      <w:proofErr w:type="spellEnd"/>
      <w:r w:rsidRPr="00D66275">
        <w:rPr>
          <w:rFonts w:ascii="Calibri" w:hAnsi="Calibri" w:cs="Calibri"/>
          <w:color w:val="000000"/>
          <w:sz w:val="18"/>
          <w:szCs w:val="18"/>
          <w:lang w:val="en-GB"/>
        </w:rPr>
        <w:t xml:space="preserve"> Australia, and the Australian Maritime Shipbuilding and Export Group.</w:t>
      </w:r>
    </w:p>
    <w:p w:rsidR="00D66275" w:rsidRPr="00D66275" w:rsidRDefault="00D66275" w:rsidP="00D66275">
      <w:pPr>
        <w:tabs>
          <w:tab w:val="left" w:pos="992"/>
        </w:tabs>
        <w:suppressAutoHyphens/>
        <w:autoSpaceDE w:val="0"/>
        <w:autoSpaceDN w:val="0"/>
        <w:adjustRightInd w:val="0"/>
        <w:spacing w:after="113" w:line="220" w:lineRule="atLeast"/>
        <w:ind w:left="992"/>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From 2001–15, Mr Sharp served was a director of Airbus Group Australia Pacific. He was a director of </w:t>
      </w:r>
      <w:proofErr w:type="spellStart"/>
      <w:r w:rsidRPr="00D66275">
        <w:rPr>
          <w:rFonts w:ascii="Calibri" w:hAnsi="Calibri" w:cs="Calibri"/>
          <w:color w:val="000000"/>
          <w:sz w:val="18"/>
          <w:szCs w:val="18"/>
          <w:lang w:val="en-GB"/>
        </w:rPr>
        <w:t>Skytraders</w:t>
      </w:r>
      <w:proofErr w:type="spellEnd"/>
      <w:r w:rsidRPr="00D66275">
        <w:rPr>
          <w:rFonts w:ascii="Calibri" w:hAnsi="Calibri" w:cs="Calibri"/>
          <w:color w:val="000000"/>
          <w:sz w:val="18"/>
          <w:szCs w:val="18"/>
          <w:lang w:val="en-GB"/>
        </w:rPr>
        <w:t xml:space="preserve">, operating aircraft for the Australian Antarctic Division, from 2005–13 and the French/Australian Chamber of Commerce and Industry. </w:t>
      </w:r>
    </w:p>
    <w:p w:rsidR="00D66275" w:rsidRPr="00D66275" w:rsidRDefault="00D66275" w:rsidP="00FB26CA">
      <w:pPr>
        <w:tabs>
          <w:tab w:val="left" w:pos="992"/>
        </w:tabs>
        <w:suppressAutoHyphens/>
        <w:autoSpaceDE w:val="0"/>
        <w:autoSpaceDN w:val="0"/>
        <w:adjustRightInd w:val="0"/>
        <w:spacing w:after="113" w:line="220" w:lineRule="atLeast"/>
        <w:ind w:left="992"/>
        <w:textAlignment w:val="center"/>
      </w:pPr>
      <w:r w:rsidRPr="00D66275">
        <w:rPr>
          <w:rFonts w:ascii="Calibri" w:hAnsi="Calibri" w:cs="Calibri"/>
          <w:color w:val="000000"/>
          <w:sz w:val="18"/>
          <w:szCs w:val="18"/>
          <w:lang w:val="en-GB"/>
        </w:rPr>
        <w:t>Mr Sharp was invested as a Member of the Order of Australia in 2018 for significant service to the people and Parliament of Australia, to the aviation industry, and to the community.</w:t>
      </w:r>
      <w:r w:rsidR="00FB26CA" w:rsidRPr="00D66275">
        <w:t xml:space="preserve"> </w:t>
      </w:r>
    </w:p>
    <w:p w:rsidR="00D66275" w:rsidRDefault="00D66275">
      <w:pPr>
        <w:rPr>
          <w:rFonts w:ascii="Calibri" w:hAnsi="Calibri" w:cs="Calibri"/>
          <w:b/>
          <w:bCs/>
          <w:caps/>
          <w:color w:val="00B6E8"/>
          <w:spacing w:val="17"/>
          <w:sz w:val="34"/>
          <w:szCs w:val="34"/>
          <w:lang w:val="en-GB"/>
        </w:rPr>
      </w:pPr>
      <w:r>
        <w:rPr>
          <w:rFonts w:ascii="Calibri" w:hAnsi="Calibri" w:cs="Calibri"/>
          <w:b/>
          <w:bCs/>
          <w:caps/>
          <w:color w:val="00B6E8"/>
          <w:spacing w:val="17"/>
          <w:sz w:val="34"/>
          <w:szCs w:val="34"/>
          <w:lang w:val="en-GB"/>
        </w:rPr>
        <w:br w:type="page"/>
      </w:r>
    </w:p>
    <w:p w:rsidR="00D66275" w:rsidRPr="00D66275" w:rsidRDefault="00D66275" w:rsidP="00DD269C">
      <w:pPr>
        <w:pStyle w:val="01Heading1"/>
      </w:pPr>
      <w:bookmarkStart w:id="1" w:name="_Toc527458424"/>
      <w:r w:rsidRPr="00D66275">
        <w:t>2 Chief Executive Officer’s REVIEW</w:t>
      </w:r>
      <w:bookmarkEnd w:id="1"/>
    </w:p>
    <w:p w:rsidR="00D66275" w:rsidRPr="00D66275" w:rsidRDefault="00D66275" w:rsidP="00D66275">
      <w:pPr>
        <w:tabs>
          <w:tab w:val="left" w:pos="1531"/>
          <w:tab w:val="left" w:pos="2268"/>
        </w:tabs>
        <w:suppressAutoHyphens/>
        <w:autoSpaceDE w:val="0"/>
        <w:autoSpaceDN w:val="0"/>
        <w:adjustRightInd w:val="0"/>
        <w:spacing w:after="113" w:line="220" w:lineRule="atLeast"/>
        <w:ind w:left="1531" w:hanging="1531"/>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b/>
        <w:t xml:space="preserve">I am pleased to present the Climate Change Authority’s sixth annual report for the year to June 2018. </w:t>
      </w:r>
    </w:p>
    <w:p w:rsidR="00D66275" w:rsidRPr="00D66275" w:rsidRDefault="00D66275" w:rsidP="00D66275">
      <w:pPr>
        <w:tabs>
          <w:tab w:val="left" w:pos="1480"/>
          <w:tab w:val="left" w:pos="2268"/>
        </w:tabs>
        <w:suppressAutoHyphens/>
        <w:autoSpaceDE w:val="0"/>
        <w:autoSpaceDN w:val="0"/>
        <w:adjustRightInd w:val="0"/>
        <w:spacing w:after="113" w:line="220" w:lineRule="atLeast"/>
        <w:ind w:left="1531"/>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Over the year, the Authority provided advice to the Australian Government on a range of climate change matters through its reviews of the Emissions Reduction Fund and the National Wind Farm Commissioner, as well as its publication of the </w:t>
      </w:r>
      <w:r w:rsidRPr="00D66275">
        <w:rPr>
          <w:rFonts w:ascii="Calibri" w:hAnsi="Calibri" w:cs="Calibri"/>
          <w:i/>
          <w:iCs/>
          <w:color w:val="000000"/>
          <w:sz w:val="18"/>
          <w:szCs w:val="18"/>
          <w:lang w:val="en-GB"/>
        </w:rPr>
        <w:t>Reaping the Rewards</w:t>
      </w:r>
      <w:r w:rsidRPr="00D66275">
        <w:rPr>
          <w:rFonts w:ascii="Calibri" w:hAnsi="Calibri" w:cs="Calibri"/>
          <w:color w:val="000000"/>
          <w:sz w:val="18"/>
          <w:szCs w:val="18"/>
          <w:lang w:val="en-GB"/>
        </w:rPr>
        <w:t xml:space="preserve"> report. </w:t>
      </w:r>
    </w:p>
    <w:p w:rsidR="00D66275" w:rsidRPr="00D66275" w:rsidRDefault="00D66275" w:rsidP="00D66275">
      <w:pPr>
        <w:tabs>
          <w:tab w:val="left" w:pos="1480"/>
          <w:tab w:val="left" w:pos="2268"/>
        </w:tabs>
        <w:suppressAutoHyphens/>
        <w:autoSpaceDE w:val="0"/>
        <w:autoSpaceDN w:val="0"/>
        <w:adjustRightInd w:val="0"/>
        <w:spacing w:after="113" w:line="220" w:lineRule="atLeast"/>
        <w:ind w:left="1531"/>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These high quality reviews and reports have been well-received and informed public discussion and decision making on climate policy. They draw on the best available knowledge and expertise, and a broad range of perspectives from across the Australian community and economy. The advice embodies the Authority’s core principles and values such as independence, transparency, and good governance and accountability. </w:t>
      </w:r>
    </w:p>
    <w:p w:rsidR="00D66275" w:rsidRPr="00D66275" w:rsidRDefault="00D66275" w:rsidP="00D66275">
      <w:pPr>
        <w:tabs>
          <w:tab w:val="left" w:pos="1480"/>
          <w:tab w:val="left" w:pos="2268"/>
        </w:tabs>
        <w:suppressAutoHyphens/>
        <w:autoSpaceDE w:val="0"/>
        <w:autoSpaceDN w:val="0"/>
        <w:adjustRightInd w:val="0"/>
        <w:spacing w:after="113" w:line="220" w:lineRule="atLeast"/>
        <w:ind w:left="1531"/>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Looking ahead, the Authority will focus on its review of the National Greenhouse and Energy Reporting legislation which is to be finalised by end 2018. It will complete any special reviews requested by the Government and identify and undertake self-generated research on climate change matters. </w:t>
      </w:r>
    </w:p>
    <w:p w:rsidR="00D66275" w:rsidRPr="00D66275" w:rsidRDefault="00D66275" w:rsidP="00D66275">
      <w:pPr>
        <w:tabs>
          <w:tab w:val="left" w:pos="1480"/>
          <w:tab w:val="left" w:pos="2268"/>
        </w:tabs>
        <w:suppressAutoHyphens/>
        <w:autoSpaceDE w:val="0"/>
        <w:autoSpaceDN w:val="0"/>
        <w:adjustRightInd w:val="0"/>
        <w:spacing w:after="113" w:line="220" w:lineRule="atLeast"/>
        <w:ind w:left="1531"/>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continues to operate in an uncertain environment that has shifted significantly since its establishment in 2012. Government policy is to wind it up during the life of the current Parliament. This would require changes to the Authority’s enabling legislation and it is unclear when this would occur. </w:t>
      </w:r>
    </w:p>
    <w:p w:rsidR="00D66275" w:rsidRPr="00D66275" w:rsidRDefault="00D66275" w:rsidP="00D66275">
      <w:pPr>
        <w:tabs>
          <w:tab w:val="left" w:pos="1480"/>
          <w:tab w:val="left" w:pos="2268"/>
        </w:tabs>
        <w:suppressAutoHyphens/>
        <w:autoSpaceDE w:val="0"/>
        <w:autoSpaceDN w:val="0"/>
        <w:adjustRightInd w:val="0"/>
        <w:spacing w:after="113" w:line="220" w:lineRule="atLeast"/>
        <w:ind w:left="1531"/>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It is a testament to the commitment and capability of its members and staff that the Authority continues to produce high quality work that informs Australia’s climate policy. I pay particular tribute to Ms Shayleen Thompson for her exemplary leadership and achievements as the Chief Executive Officer of the Authority over three years to June 2018.</w:t>
      </w:r>
    </w:p>
    <w:p w:rsidR="00D66275" w:rsidRPr="00D66275" w:rsidRDefault="00D66275" w:rsidP="00FB26CA">
      <w:pPr>
        <w:tabs>
          <w:tab w:val="left" w:pos="1480"/>
          <w:tab w:val="left" w:pos="2268"/>
        </w:tabs>
        <w:suppressAutoHyphens/>
        <w:autoSpaceDE w:val="0"/>
        <w:autoSpaceDN w:val="0"/>
        <w:adjustRightInd w:val="0"/>
        <w:spacing w:before="400" w:after="113" w:line="220" w:lineRule="atLeast"/>
        <w:ind w:left="1531"/>
        <w:textAlignment w:val="center"/>
      </w:pPr>
      <w:r w:rsidRPr="00D66275">
        <w:rPr>
          <w:rFonts w:ascii="Calibri" w:hAnsi="Calibri" w:cs="Calibri"/>
          <w:b/>
          <w:bCs/>
          <w:color w:val="000000"/>
          <w:sz w:val="18"/>
          <w:szCs w:val="18"/>
          <w:lang w:val="en-GB"/>
        </w:rPr>
        <w:t>Gayle Milnes A/g Chief Executive Officer</w:t>
      </w:r>
    </w:p>
    <w:p w:rsidR="00D66275" w:rsidRDefault="00D66275">
      <w:pPr>
        <w:rPr>
          <w:rFonts w:ascii="Calibri" w:hAnsi="Calibri" w:cs="Calibri"/>
          <w:b/>
          <w:bCs/>
          <w:caps/>
          <w:color w:val="00B6E8"/>
          <w:spacing w:val="17"/>
          <w:sz w:val="34"/>
          <w:szCs w:val="34"/>
          <w:lang w:val="en-GB"/>
        </w:rPr>
      </w:pPr>
      <w:r>
        <w:rPr>
          <w:rFonts w:ascii="Calibri" w:hAnsi="Calibri" w:cs="Calibri"/>
          <w:b/>
          <w:bCs/>
          <w:caps/>
          <w:color w:val="00B6E8"/>
          <w:spacing w:val="17"/>
          <w:sz w:val="34"/>
          <w:szCs w:val="34"/>
          <w:lang w:val="en-GB"/>
        </w:rPr>
        <w:br w:type="page"/>
      </w:r>
    </w:p>
    <w:p w:rsidR="00D66275" w:rsidRPr="00D66275" w:rsidRDefault="00D66275" w:rsidP="00DD269C">
      <w:pPr>
        <w:pStyle w:val="01Heading1"/>
      </w:pPr>
      <w:bookmarkStart w:id="2" w:name="_Toc527458425"/>
      <w:r w:rsidRPr="00D66275">
        <w:t>3 ABOUT THE CLIMATE CHANGE AUTHORITY</w:t>
      </w:r>
      <w:bookmarkEnd w:id="2"/>
    </w:p>
    <w:p w:rsidR="00D66275" w:rsidRPr="00D66275" w:rsidRDefault="00D66275" w:rsidP="00DD269C">
      <w:pPr>
        <w:pStyle w:val="02Heading2"/>
      </w:pPr>
      <w:bookmarkStart w:id="3" w:name="_Toc527458426"/>
      <w:r w:rsidRPr="00D66275">
        <w:t>3.1.</w:t>
      </w:r>
      <w:r w:rsidRPr="00D66275">
        <w:tab/>
        <w:t>FUNCTIONS OF THE AUTHORITY</w:t>
      </w:r>
      <w:bookmarkEnd w:id="3"/>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was established under the</w:t>
      </w:r>
      <w:r w:rsidRPr="00D66275">
        <w:rPr>
          <w:rFonts w:ascii="Calibri" w:hAnsi="Calibri" w:cs="Calibri"/>
          <w:i/>
          <w:iCs/>
          <w:color w:val="000000"/>
          <w:sz w:val="18"/>
          <w:szCs w:val="18"/>
          <w:lang w:val="en-GB"/>
        </w:rPr>
        <w:t xml:space="preserve"> Climate Change Authority Act 2011</w:t>
      </w:r>
      <w:r w:rsidRPr="00D66275">
        <w:rPr>
          <w:rFonts w:ascii="Calibri" w:hAnsi="Calibri" w:cs="Calibri"/>
          <w:color w:val="000000"/>
          <w:sz w:val="18"/>
          <w:szCs w:val="18"/>
          <w:lang w:val="en-GB"/>
        </w:rPr>
        <w:t xml:space="preserve"> (the Act) and commenced operation on 1 July 2012. The Authority is a non-corporate independent statutory body established to provide advice on climate change issues.</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has a number of functions as set out under the Act. These include: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conducting reviews and making recommendations on the </w:t>
      </w:r>
      <w:r w:rsidRPr="00D66275">
        <w:rPr>
          <w:rFonts w:ascii="Calibri" w:hAnsi="Calibri" w:cs="Calibri"/>
          <w:i/>
          <w:iCs/>
          <w:color w:val="000000"/>
          <w:sz w:val="18"/>
          <w:szCs w:val="18"/>
          <w:lang w:val="en-GB"/>
        </w:rPr>
        <w:t>Carbon Credits (Carbon Farming Initiative) Act 2011</w:t>
      </w:r>
      <w:r w:rsidRPr="00D66275">
        <w:rPr>
          <w:rFonts w:ascii="Calibri" w:hAnsi="Calibri" w:cs="Calibri"/>
          <w:color w:val="000000"/>
          <w:sz w:val="18"/>
          <w:szCs w:val="18"/>
          <w:lang w:val="en-GB"/>
        </w:rPr>
        <w:t xml:space="preserve"> and </w:t>
      </w:r>
      <w:r w:rsidRPr="00D66275">
        <w:rPr>
          <w:rFonts w:ascii="Calibri" w:hAnsi="Calibri" w:cs="Calibri"/>
          <w:i/>
          <w:iCs/>
          <w:color w:val="000000"/>
          <w:sz w:val="18"/>
          <w:szCs w:val="18"/>
          <w:lang w:val="en-GB"/>
        </w:rPr>
        <w:t>National Greenhouse and Energy Reporting Act 2007</w:t>
      </w:r>
      <w:r w:rsidRPr="00D66275">
        <w:rPr>
          <w:rFonts w:ascii="Calibri" w:hAnsi="Calibri" w:cs="Calibri"/>
          <w:color w:val="000000"/>
          <w:sz w:val="18"/>
          <w:szCs w:val="18"/>
          <w:lang w:val="en-GB"/>
        </w:rPr>
        <w:t>—these review requirements are established in legislation</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conducting reviews and making recommendations on other matters as requested by the Minister responsible for climate change, or the Australian Parliament</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undertaking its own independent research and analysis into climate change and other matters relevant to its functions.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reports to the Commonwealth Parliament through the Minister responsible for climate change.</w:t>
      </w:r>
    </w:p>
    <w:p w:rsidR="00D66275" w:rsidRPr="00D66275" w:rsidRDefault="00D66275" w:rsidP="00DD269C">
      <w:pPr>
        <w:pStyle w:val="02Heading2"/>
      </w:pPr>
      <w:bookmarkStart w:id="4" w:name="_Toc527458427"/>
      <w:r w:rsidRPr="00D66275">
        <w:t>3.2.</w:t>
      </w:r>
      <w:r w:rsidRPr="00D66275">
        <w:tab/>
        <w:t>ORGANISATIONAL STRUCTURE</w:t>
      </w:r>
      <w:bookmarkEnd w:id="4"/>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Authority’s organisational structure is outlined in Figure 1. A fully constituted Authority comprises a Chair and up to seven part-time members, plus an ex officio member—Australia’s Chief Scientist. Members are appointed by the Minister responsible for climate change under section 18 of the Act. There are currently five Authority members including the Chair of the Authority, Dr Wendy Craik AM.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has engaged Dr Scott Power from the Bureau of Meteorology to provide advice on climate science.</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Authority members are supported by the Chief Executive Officer (CEO) and Authority staff, known as the Authority’s secretariat. The CEO is responsible for the day-to-day administration of the Authority. Ms Gayle Milnes is the acting CEO.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has established structures, systems and processes to meet its governance, compliance and accountability responsibilities (see Chapter 5).</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sz w:val="16"/>
          <w:szCs w:val="16"/>
          <w:lang w:val="en-GB"/>
        </w:rPr>
        <w:t xml:space="preserve">Figure 1: Climate Change Authority organisation chart </w:t>
      </w:r>
    </w:p>
    <w:p w:rsidR="00D66275" w:rsidRPr="00D66275" w:rsidRDefault="00287630"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Pr>
          <w:rFonts w:ascii="Calibri" w:hAnsi="Calibri" w:cs="Calibri"/>
          <w:noProof/>
          <w:color w:val="000000"/>
          <w:sz w:val="18"/>
          <w:szCs w:val="18"/>
          <w:lang w:eastAsia="en-AU"/>
        </w:rPr>
        <w:drawing>
          <wp:inline distT="0" distB="0" distL="0" distR="0">
            <wp:extent cx="2404533" cy="2156653"/>
            <wp:effectExtent l="0" t="0" r="0" b="2540"/>
            <wp:docPr id="5" name="Picture 5" descr="Authority Members&#10;&#10;Wendy Craik, Chair&#10;Gayle Milnes, A/g Chief Executive Officer&#10;Melanie Ford, A/g General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0-16 at 11.41.58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071" cy="2187631"/>
                    </a:xfrm>
                    <a:prstGeom prst="rect">
                      <a:avLst/>
                    </a:prstGeom>
                  </pic:spPr>
                </pic:pic>
              </a:graphicData>
            </a:graphic>
          </wp:inline>
        </w:drawing>
      </w:r>
    </w:p>
    <w:p w:rsidR="00D66275" w:rsidRPr="00D66275" w:rsidRDefault="00D66275" w:rsidP="00DD269C">
      <w:pPr>
        <w:pStyle w:val="02Heading2"/>
      </w:pPr>
      <w:bookmarkStart w:id="5" w:name="_Toc527458428"/>
      <w:r w:rsidRPr="00D66275">
        <w:t>3.3.</w:t>
      </w:r>
      <w:r w:rsidRPr="00D66275">
        <w:tab/>
        <w:t>PURPOSE</w:t>
      </w:r>
      <w:bookmarkEnd w:id="5"/>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Authority’s objective is to provide rigorous, independent and balanced advice to the Minister responsible for climate change and the Australian Parliament on climate change policy, in order to improve the quality of life for all Australians.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does this by conducting statutory and specifically commissioned reviews, and by undertaking climate change research.</w:t>
      </w:r>
    </w:p>
    <w:p w:rsidR="00D66275" w:rsidRPr="00D66275" w:rsidRDefault="00D66275" w:rsidP="00DD269C">
      <w:pPr>
        <w:pStyle w:val="02Heading2"/>
      </w:pPr>
      <w:bookmarkStart w:id="6" w:name="_Toc527458429"/>
      <w:r w:rsidRPr="00D66275">
        <w:t>3.4.</w:t>
      </w:r>
      <w:r w:rsidRPr="00D66275">
        <w:tab/>
        <w:t>OUTCOME AND PROGRAMME STRUCTURE</w:t>
      </w:r>
      <w:bookmarkEnd w:id="6"/>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Commonwealth Government requires agencies to measure their performance in terms of outcomes. Government outcomes are the intended results, impacts or consequences of actions by the Government on the Australian community. Commonwealth programmes are the primary vehicle by which government entities achieve the intended results of their outcome statements. Entities are required to identify the programmes that contribute to government outcomes over the Budget and forward years.</w:t>
      </w:r>
    </w:p>
    <w:p w:rsidR="00D66275" w:rsidRPr="00D66275" w:rsidRDefault="00D66275" w:rsidP="00684F70">
      <w:pPr>
        <w:tabs>
          <w:tab w:val="left" w:pos="2268"/>
        </w:tabs>
        <w:suppressAutoHyphens/>
        <w:autoSpaceDE w:val="0"/>
        <w:autoSpaceDN w:val="0"/>
        <w:adjustRightInd w:val="0"/>
        <w:spacing w:after="40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 summary of the Authority’s outcome is described below, together with its related programme. </w:t>
      </w:r>
    </w:p>
    <w:tbl>
      <w:tblPr>
        <w:tblW w:w="10206" w:type="dxa"/>
        <w:tblLayout w:type="fixed"/>
        <w:tblCellMar>
          <w:left w:w="0" w:type="dxa"/>
          <w:right w:w="0" w:type="dxa"/>
        </w:tblCellMar>
        <w:tblLook w:val="0000" w:firstRow="0" w:lastRow="0" w:firstColumn="0" w:lastColumn="0" w:noHBand="0" w:noVBand="0"/>
      </w:tblPr>
      <w:tblGrid>
        <w:gridCol w:w="10206"/>
      </w:tblGrid>
      <w:tr w:rsidR="00D66275" w:rsidRPr="00D66275" w:rsidTr="00684F70">
        <w:trPr>
          <w:trHeight w:val="1551"/>
        </w:trPr>
        <w:tc>
          <w:tcPr>
            <w:tcW w:w="10206" w:type="dxa"/>
            <w:tcBorders>
              <w:left w:val="nil"/>
              <w:right w:val="nil"/>
            </w:tcBorders>
            <w:shd w:val="clear" w:color="auto" w:fill="DEEAF6" w:themeFill="accent5" w:themeFillTint="33"/>
            <w:tcMar>
              <w:top w:w="113" w:type="dxa"/>
              <w:left w:w="113" w:type="dxa"/>
              <w:bottom w:w="113" w:type="dxa"/>
              <w:right w:w="113" w:type="dxa"/>
            </w:tcMar>
          </w:tcPr>
          <w:p w:rsidR="00D66275" w:rsidRPr="00D66275" w:rsidRDefault="00D66275" w:rsidP="00DD269C">
            <w:pPr>
              <w:keepNext/>
              <w:suppressAutoHyphens/>
              <w:autoSpaceDE w:val="0"/>
              <w:autoSpaceDN w:val="0"/>
              <w:adjustRightInd w:val="0"/>
              <w:spacing w:afterLines="40" w:after="96"/>
              <w:textAlignment w:val="center"/>
              <w:rPr>
                <w:rFonts w:ascii="Calibri" w:hAnsi="Calibri" w:cs="Calibri"/>
                <w:b/>
                <w:bCs/>
                <w:caps/>
                <w:color w:val="00B6E8"/>
                <w:sz w:val="20"/>
                <w:szCs w:val="20"/>
                <w:lang w:val="en-GB"/>
              </w:rPr>
            </w:pPr>
            <w:r w:rsidRPr="00D66275">
              <w:rPr>
                <w:rFonts w:ascii="Calibri" w:hAnsi="Calibri" w:cs="Calibri"/>
                <w:b/>
                <w:bCs/>
                <w:caps/>
                <w:color w:val="00B6E8"/>
                <w:sz w:val="20"/>
                <w:szCs w:val="20"/>
                <w:lang w:val="en-GB"/>
              </w:rPr>
              <w:t>Box 1: OUTCOMES AND PERFORMANCE INFORMATION</w:t>
            </w:r>
          </w:p>
          <w:p w:rsidR="00D66275" w:rsidRPr="00D66275" w:rsidRDefault="00D66275" w:rsidP="00DD269C">
            <w:pPr>
              <w:tabs>
                <w:tab w:val="left" w:pos="2268"/>
              </w:tabs>
              <w:suppressAutoHyphens/>
              <w:autoSpaceDE w:val="0"/>
              <w:autoSpaceDN w:val="0"/>
              <w:adjustRightInd w:val="0"/>
              <w:spacing w:afterLines="40" w:after="96"/>
              <w:textAlignment w:val="center"/>
              <w:rPr>
                <w:rFonts w:ascii="Calibri" w:hAnsi="Calibri" w:cs="Calibri"/>
                <w:b/>
                <w:bCs/>
                <w:color w:val="000000"/>
                <w:sz w:val="18"/>
                <w:szCs w:val="18"/>
                <w:lang w:val="en-GB"/>
              </w:rPr>
            </w:pPr>
            <w:r w:rsidRPr="00D66275">
              <w:rPr>
                <w:rFonts w:ascii="Calibri" w:hAnsi="Calibri" w:cs="Calibri"/>
                <w:b/>
                <w:bCs/>
                <w:color w:val="000000"/>
                <w:sz w:val="18"/>
                <w:szCs w:val="18"/>
                <w:lang w:val="en-GB"/>
              </w:rPr>
              <w:t>Outcome description</w:t>
            </w:r>
          </w:p>
          <w:p w:rsidR="00D66275" w:rsidRPr="00D66275" w:rsidRDefault="00D66275" w:rsidP="00DD269C">
            <w:pPr>
              <w:tabs>
                <w:tab w:val="left" w:pos="2268"/>
              </w:tabs>
              <w:suppressAutoHyphens/>
              <w:autoSpaceDE w:val="0"/>
              <w:autoSpaceDN w:val="0"/>
              <w:adjustRightInd w:val="0"/>
              <w:spacing w:afterLines="40" w:after="96"/>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Provide expert advice to the Australian Government on climate change mitigation initiatives, including through conducting regular and specifically commissioned reviews and through undertaking climate change research.</w:t>
            </w:r>
          </w:p>
          <w:p w:rsidR="00D66275" w:rsidRPr="00D66275" w:rsidRDefault="00D66275" w:rsidP="00DD269C">
            <w:pPr>
              <w:tabs>
                <w:tab w:val="left" w:pos="2268"/>
              </w:tabs>
              <w:suppressAutoHyphens/>
              <w:autoSpaceDE w:val="0"/>
              <w:autoSpaceDN w:val="0"/>
              <w:adjustRightInd w:val="0"/>
              <w:spacing w:afterLines="40" w:after="96"/>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Outcome strategy</w:t>
            </w:r>
          </w:p>
          <w:p w:rsidR="00D66275" w:rsidRPr="00D66275" w:rsidRDefault="00D66275" w:rsidP="00DD269C">
            <w:pPr>
              <w:tabs>
                <w:tab w:val="left" w:pos="2268"/>
              </w:tabs>
              <w:suppressAutoHyphens/>
              <w:autoSpaceDE w:val="0"/>
              <w:autoSpaceDN w:val="0"/>
              <w:adjustRightInd w:val="0"/>
              <w:spacing w:afterLines="40" w:after="96"/>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is delivering independent expert advice on climate change mitigation initiatives. In 2017–18, the Authority will undertake stakeholder engagement, research and analysis to inform its review and other research reports. </w:t>
            </w:r>
          </w:p>
          <w:p w:rsidR="00D66275" w:rsidRPr="00D66275" w:rsidRDefault="00D66275" w:rsidP="00DD269C">
            <w:pPr>
              <w:tabs>
                <w:tab w:val="left" w:pos="2268"/>
              </w:tabs>
              <w:suppressAutoHyphens/>
              <w:autoSpaceDE w:val="0"/>
              <w:autoSpaceDN w:val="0"/>
              <w:adjustRightInd w:val="0"/>
              <w:spacing w:afterLines="40" w:after="96"/>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This outcome is linked to </w:t>
            </w:r>
            <w:r w:rsidRPr="00D66275">
              <w:rPr>
                <w:rFonts w:ascii="Calibri" w:hAnsi="Calibri" w:cs="Calibri"/>
                <w:i/>
                <w:iCs/>
                <w:color w:val="000000"/>
                <w:sz w:val="18"/>
                <w:szCs w:val="18"/>
                <w:lang w:val="en-GB"/>
              </w:rPr>
              <w:t>Programme 1.1: Reviewing Climate Change Mitigation Policies</w:t>
            </w:r>
            <w:r w:rsidRPr="00D66275">
              <w:rPr>
                <w:rFonts w:ascii="Calibri" w:hAnsi="Calibri" w:cs="Calibri"/>
                <w:color w:val="000000"/>
                <w:sz w:val="18"/>
                <w:szCs w:val="18"/>
                <w:lang w:val="en-GB"/>
              </w:rPr>
              <w:t>. Performance against this programme is assessed in Chapter 4.</w:t>
            </w:r>
          </w:p>
        </w:tc>
      </w:tr>
      <w:tr w:rsidR="00D66275" w:rsidRPr="00D66275" w:rsidTr="00684F70">
        <w:trPr>
          <w:trHeight w:hRule="exact" w:val="113"/>
        </w:trPr>
        <w:tc>
          <w:tcPr>
            <w:tcW w:w="10206" w:type="dxa"/>
            <w:tcBorders>
              <w:top w:val="nil"/>
              <w:left w:val="nil"/>
              <w:right w:val="nil"/>
            </w:tcBorders>
            <w:tcMar>
              <w:top w:w="80" w:type="dxa"/>
              <w:left w:w="80" w:type="dxa"/>
              <w:bottom w:w="80" w:type="dxa"/>
              <w:right w:w="80" w:type="dxa"/>
            </w:tcMar>
          </w:tcPr>
          <w:p w:rsidR="00D66275" w:rsidRPr="00D66275" w:rsidRDefault="00D66275" w:rsidP="00D66275">
            <w:pPr>
              <w:autoSpaceDE w:val="0"/>
              <w:autoSpaceDN w:val="0"/>
              <w:adjustRightInd w:val="0"/>
              <w:rPr>
                <w:rFonts w:ascii="Calibri" w:hAnsi="Calibri"/>
                <w:lang w:val="en-US"/>
              </w:rPr>
            </w:pPr>
          </w:p>
        </w:tc>
      </w:tr>
    </w:tbl>
    <w:p w:rsidR="00D66275" w:rsidRDefault="00D66275">
      <w:pPr>
        <w:rPr>
          <w:rFonts w:ascii="Calibri" w:hAnsi="Calibri" w:cs="Calibri"/>
          <w:b/>
          <w:bCs/>
          <w:caps/>
          <w:color w:val="00B6E8"/>
          <w:spacing w:val="17"/>
          <w:sz w:val="34"/>
          <w:szCs w:val="34"/>
          <w:lang w:val="en-GB"/>
        </w:rPr>
      </w:pPr>
      <w:r>
        <w:rPr>
          <w:rFonts w:ascii="Calibri" w:hAnsi="Calibri" w:cs="Calibri"/>
          <w:b/>
          <w:bCs/>
          <w:caps/>
          <w:color w:val="00B6E8"/>
          <w:spacing w:val="17"/>
          <w:sz w:val="34"/>
          <w:szCs w:val="34"/>
          <w:lang w:val="en-GB"/>
        </w:rPr>
        <w:br w:type="page"/>
      </w:r>
    </w:p>
    <w:p w:rsidR="00D66275" w:rsidRPr="00D66275" w:rsidRDefault="00D66275" w:rsidP="00DD269C">
      <w:pPr>
        <w:pStyle w:val="01Heading1"/>
      </w:pPr>
      <w:bookmarkStart w:id="7" w:name="_Toc527458430"/>
      <w:r w:rsidRPr="00D66275">
        <w:t>4 Annual PERFORMANCE Statement</w:t>
      </w:r>
      <w:bookmarkEnd w:id="7"/>
    </w:p>
    <w:p w:rsidR="00D66275" w:rsidRPr="00D66275" w:rsidRDefault="00D66275" w:rsidP="00DD269C">
      <w:pPr>
        <w:pStyle w:val="02Heading2"/>
      </w:pPr>
      <w:bookmarkStart w:id="8" w:name="_Toc527458431"/>
      <w:r w:rsidRPr="00D66275">
        <w:t xml:space="preserve">4.1. </w:t>
      </w:r>
      <w:r w:rsidRPr="00D66275">
        <w:tab/>
        <w:t>Introductory statement</w:t>
      </w:r>
      <w:bookmarkEnd w:id="8"/>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This report provides the 2017–18 annual performance statements for the Climate Change Authority, as required under section 39(1)(b) of the </w:t>
      </w:r>
      <w:r w:rsidRPr="00D66275">
        <w:rPr>
          <w:rFonts w:ascii="Calibri" w:hAnsi="Calibri" w:cs="Calibri"/>
          <w:i/>
          <w:iCs/>
          <w:color w:val="000000"/>
          <w:sz w:val="18"/>
          <w:szCs w:val="18"/>
          <w:lang w:val="en-GB"/>
        </w:rPr>
        <w:t>Public Governance, Performance and Accountability Act 2013</w:t>
      </w:r>
      <w:r w:rsidRPr="00D66275">
        <w:rPr>
          <w:rFonts w:ascii="Calibri" w:hAnsi="Calibri" w:cs="Calibri"/>
          <w:color w:val="000000"/>
          <w:sz w:val="18"/>
          <w:szCs w:val="18"/>
          <w:lang w:val="en-GB"/>
        </w:rPr>
        <w:t xml:space="preserve"> (PGPA Act) and section 16F of the Public Governance, Performance and Accountability Rule 2014 (PGPA Rule). These annual performance statements are based on properly maintained records, accurately reflect the performance of the Authority and comply with section 39(2) of the PGPA Act.</w:t>
      </w:r>
    </w:p>
    <w:p w:rsidR="00D66275" w:rsidRPr="00D66275" w:rsidRDefault="00D66275" w:rsidP="00DD269C">
      <w:pPr>
        <w:pStyle w:val="02Heading2"/>
      </w:pPr>
      <w:bookmarkStart w:id="9" w:name="_Toc527458432"/>
      <w:r w:rsidRPr="00D66275">
        <w:t>4.2.</w:t>
      </w:r>
      <w:r w:rsidRPr="00D66275">
        <w:tab/>
        <w:t>PURPOSE</w:t>
      </w:r>
      <w:bookmarkEnd w:id="9"/>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Authority’s purpose is to provide expert advice to the Australian Government on climate change mitigation initiatives, including through conducting regular and specifically commissioned reviews and through undertaking climate change research (Portfolio Budget Statement Outcome 1).</w:t>
      </w:r>
    </w:p>
    <w:p w:rsidR="00D66275" w:rsidRPr="00D66275" w:rsidRDefault="00D66275" w:rsidP="00DD269C">
      <w:pPr>
        <w:pStyle w:val="02Heading2"/>
      </w:pPr>
      <w:bookmarkStart w:id="10" w:name="_Toc527458433"/>
      <w:r w:rsidRPr="00D66275">
        <w:t>4.3.</w:t>
      </w:r>
      <w:r w:rsidRPr="00D66275">
        <w:tab/>
        <w:t>ACTIVITIES</w:t>
      </w:r>
      <w:bookmarkEnd w:id="10"/>
      <w:r w:rsidRPr="00D66275">
        <w:t xml:space="preserve">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Over the year, the Authority pursued this purpose by undertaking the following activities.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b/>
          <w:bCs/>
          <w:color w:val="000000"/>
          <w:sz w:val="18"/>
          <w:szCs w:val="18"/>
          <w:lang w:val="en-GB"/>
        </w:rPr>
      </w:pPr>
      <w:r w:rsidRPr="00D66275">
        <w:rPr>
          <w:rFonts w:ascii="Calibri" w:hAnsi="Calibri" w:cs="Calibri"/>
          <w:b/>
          <w:bCs/>
          <w:color w:val="000000"/>
          <w:sz w:val="18"/>
          <w:szCs w:val="18"/>
          <w:lang w:val="en-GB"/>
        </w:rPr>
        <w:t xml:space="preserve">Activity 1: Complete review of the </w:t>
      </w:r>
      <w:r w:rsidRPr="00D66275">
        <w:rPr>
          <w:rFonts w:ascii="Calibri" w:hAnsi="Calibri" w:cs="Calibri"/>
          <w:b/>
          <w:bCs/>
          <w:i/>
          <w:iCs/>
          <w:color w:val="000000"/>
          <w:sz w:val="18"/>
          <w:szCs w:val="18"/>
          <w:lang w:val="en-GB"/>
        </w:rPr>
        <w:t>Carbon Credits (Carbon Farming Initiative) Act 2011</w:t>
      </w:r>
      <w:r w:rsidRPr="00D66275">
        <w:rPr>
          <w:rFonts w:ascii="Calibri" w:hAnsi="Calibri" w:cs="Calibri"/>
          <w:b/>
          <w:bCs/>
          <w:color w:val="000000"/>
          <w:sz w:val="18"/>
          <w:szCs w:val="18"/>
          <w:lang w:val="en-GB"/>
        </w:rPr>
        <w:t xml:space="preserve"> by 31 December 2017</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In December 2017, the Authority released the second review of the Carbon Credits legislation. The legislation underpins the Emissions Reduction Fund. The Fund enables landholders, businesses and others to earn Australian Carbon Credit Units from projects that reduce emissions and sell the units to the Government and others. The Australian Government made available $2.5 billion to purchase these units; around $250 million remains.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The Authority found the Fund is performing well. It has created incentives for new domestic emissions reductions at low cost that are helping Australia meet its targets under the Paris Agreement.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The Authority made recommendations to maintain the Fund’s integrity, strengthen contract delivery and the private sector market, enhance administration and expand opportunities for new participants.</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b/>
          <w:bCs/>
          <w:color w:val="000000"/>
          <w:sz w:val="18"/>
          <w:szCs w:val="18"/>
          <w:lang w:val="en-GB"/>
        </w:rPr>
      </w:pPr>
      <w:r w:rsidRPr="00D66275">
        <w:rPr>
          <w:rFonts w:ascii="Calibri" w:hAnsi="Calibri" w:cs="Calibri"/>
          <w:b/>
          <w:bCs/>
          <w:color w:val="000000"/>
          <w:sz w:val="18"/>
          <w:szCs w:val="18"/>
          <w:lang w:val="en-GB"/>
        </w:rPr>
        <w:t xml:space="preserve">Activity 2: Commence work on the </w:t>
      </w:r>
      <w:r w:rsidRPr="00D66275">
        <w:rPr>
          <w:rFonts w:ascii="Calibri" w:hAnsi="Calibri" w:cs="Calibri"/>
          <w:b/>
          <w:bCs/>
          <w:i/>
          <w:iCs/>
          <w:color w:val="000000"/>
          <w:sz w:val="18"/>
          <w:szCs w:val="18"/>
          <w:lang w:val="en-GB"/>
        </w:rPr>
        <w:t xml:space="preserve">National Greenhouse and Energy Reporting Act 2007 </w:t>
      </w:r>
      <w:r w:rsidRPr="00D66275">
        <w:rPr>
          <w:rFonts w:ascii="Calibri" w:hAnsi="Calibri" w:cs="Calibri"/>
          <w:b/>
          <w:bCs/>
          <w:color w:val="000000"/>
          <w:sz w:val="18"/>
          <w:szCs w:val="18"/>
          <w:lang w:val="en-GB"/>
        </w:rPr>
        <w:t>review</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The </w:t>
      </w:r>
      <w:r w:rsidRPr="00D66275">
        <w:rPr>
          <w:rFonts w:ascii="Calibri" w:hAnsi="Calibri" w:cs="Calibri"/>
          <w:i/>
          <w:iCs/>
          <w:color w:val="000000"/>
          <w:sz w:val="18"/>
          <w:szCs w:val="18"/>
          <w:lang w:val="en-GB"/>
        </w:rPr>
        <w:t>National Greenhouse and Energy Reporting Act 2007</w:t>
      </w:r>
      <w:r w:rsidRPr="00D66275">
        <w:rPr>
          <w:rFonts w:ascii="Calibri" w:hAnsi="Calibri" w:cs="Calibri"/>
          <w:color w:val="000000"/>
          <w:sz w:val="18"/>
          <w:szCs w:val="18"/>
          <w:lang w:val="en-GB"/>
        </w:rPr>
        <w:t xml:space="preserve"> establishes a single national framework for companies to report their greenhouse gas emissions and energy consumption and production. The legislation also supports the safeguard mechanism, which sets limits on the emissions of large facilities.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The Authority commenced planning and preliminary work on the review in late 2017–18. A consultation paper was released in July 2018. The review is due by end December 2018.</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b/>
          <w:bCs/>
          <w:color w:val="000000"/>
          <w:sz w:val="18"/>
          <w:szCs w:val="18"/>
          <w:lang w:val="en-GB"/>
        </w:rPr>
      </w:pPr>
      <w:r w:rsidRPr="00D66275">
        <w:rPr>
          <w:rFonts w:ascii="Calibri" w:hAnsi="Calibri" w:cs="Calibri"/>
          <w:b/>
          <w:bCs/>
          <w:color w:val="000000"/>
          <w:sz w:val="18"/>
          <w:szCs w:val="18"/>
          <w:lang w:val="en-GB"/>
        </w:rPr>
        <w:t>Activity 3: Other reviews requested by the Government or Parliament</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In March 2018, the then Minister for the Environment and Energy requested the Authority undertake a review of the National Wind Farm Commissioner. The review was published in May 2018.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The review found the Commissioner is playing a valuable role in assisting those affected to work through issues related to wind farm development and operation.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The Authority recommended the role continue for another three years and that the Commissioner’s scope be expanded to cover large scale solar and storage development such as </w:t>
      </w:r>
      <w:proofErr w:type="gramStart"/>
      <w:r w:rsidRPr="00D66275">
        <w:rPr>
          <w:rFonts w:ascii="Calibri" w:hAnsi="Calibri" w:cs="Calibri"/>
          <w:color w:val="000000"/>
          <w:sz w:val="18"/>
          <w:szCs w:val="18"/>
          <w:lang w:val="en-GB"/>
        </w:rPr>
        <w:t>large scale</w:t>
      </w:r>
      <w:proofErr w:type="gramEnd"/>
      <w:r w:rsidRPr="00D66275">
        <w:rPr>
          <w:rFonts w:ascii="Calibri" w:hAnsi="Calibri" w:cs="Calibri"/>
          <w:color w:val="000000"/>
          <w:sz w:val="18"/>
          <w:szCs w:val="18"/>
          <w:lang w:val="en-GB"/>
        </w:rPr>
        <w:t xml:space="preserve"> batteries. The review recommended some enhancements to the accessibility and transparency of the Commissioner’s complaints handling services and measures to broaden public awareness of the role.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Activity 4: Self-generated research and analysis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In April 2018, the Authority released a report on ways landholders can improve on-farm profitability, reduce greenhouse gas emissions on the land and deliver other environmental benefits at the same time—</w:t>
      </w:r>
      <w:r w:rsidRPr="00D66275">
        <w:rPr>
          <w:rFonts w:ascii="Calibri" w:hAnsi="Calibri" w:cs="Calibri"/>
          <w:i/>
          <w:iCs/>
          <w:color w:val="000000"/>
          <w:sz w:val="18"/>
          <w:szCs w:val="18"/>
          <w:lang w:val="en-GB"/>
        </w:rPr>
        <w:t>Reaping the Rewards.</w:t>
      </w:r>
    </w:p>
    <w:p w:rsidR="00D66275" w:rsidRPr="00D66275" w:rsidRDefault="00D66275" w:rsidP="00684F70">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The Authority recommended measures to help farmers and others harness these multiple benefits including developing a standard to certify projects that deliver carbon and other benefits; a new community of practice to coordinate policy across all levels of government; and the Australian Government establish a new targeted investment fund for the land to provide the necessary finance to farmers for on-farm activities that deliver multiple benefits.</w:t>
      </w:r>
      <w:r w:rsidR="00684F70">
        <w:rPr>
          <w:rFonts w:ascii="Calibri" w:hAnsi="Calibri" w:cs="Calibri"/>
          <w:color w:val="000000"/>
          <w:sz w:val="18"/>
          <w:szCs w:val="18"/>
          <w:lang w:val="en-GB"/>
        </w:rPr>
        <w:br/>
      </w:r>
      <w:r w:rsidRPr="00D66275">
        <w:rPr>
          <w:rFonts w:ascii="Calibri" w:hAnsi="Calibri" w:cs="Calibri"/>
          <w:color w:val="000000"/>
          <w:sz w:val="16"/>
          <w:szCs w:val="16"/>
          <w:lang w:val="en-GB"/>
        </w:rPr>
        <w:t>Source: Programme 1.1, 2017–18 Portfolio Budget Statement, p.189; Corporate Plan 2017–18</w:t>
      </w:r>
    </w:p>
    <w:p w:rsidR="00D66275" w:rsidRPr="00D66275" w:rsidRDefault="00D66275" w:rsidP="00DD269C">
      <w:pPr>
        <w:pStyle w:val="02Heading2"/>
      </w:pPr>
      <w:bookmarkStart w:id="11" w:name="_Toc527458434"/>
      <w:r w:rsidRPr="00D66275">
        <w:t>4.4.</w:t>
      </w:r>
      <w:r w:rsidRPr="00D66275">
        <w:tab/>
        <w:t>ASSESSMENT OF THE AUTHORITY’S PERFORMANCE</w:t>
      </w:r>
      <w:bookmarkEnd w:id="11"/>
      <w:r w:rsidRPr="00D66275">
        <w:t xml:space="preserve">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In line with the 2017–18 Portfolio Budget Statements and the Authority’s 2017–2021 Corporate Plan, the Authority has assessed its performance in 2017–18 against the following indicators: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advice is timely, high quality, well-received by stakeholders, and used in public policy forums and discussions.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public consultation processes are transparent, accessible and highly regarded by stakeholders.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the secretariat supports effective decision making by the Authority.</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Over the year, the Authority provided expert advice to the Australian Government through its reviews of the Emissions Reduction Fund and the National Wind Farm Commissioner, as well as its publication of the </w:t>
      </w:r>
      <w:r w:rsidRPr="00D66275">
        <w:rPr>
          <w:rFonts w:ascii="Calibri" w:hAnsi="Calibri" w:cs="Calibri"/>
          <w:i/>
          <w:iCs/>
          <w:color w:val="000000"/>
          <w:sz w:val="18"/>
          <w:szCs w:val="18"/>
          <w:lang w:val="en-GB"/>
        </w:rPr>
        <w:t>Reaping the Rewards</w:t>
      </w:r>
      <w:r w:rsidRPr="00D66275">
        <w:rPr>
          <w:rFonts w:ascii="Calibri" w:hAnsi="Calibri" w:cs="Calibri"/>
          <w:color w:val="000000"/>
          <w:sz w:val="18"/>
          <w:szCs w:val="18"/>
          <w:lang w:val="en-GB"/>
        </w:rPr>
        <w:t xml:space="preserve"> report. It also made a start on the review of the National Greenhouse and Energy Reporting legislation, which will be finalised and assessed in the 2018–19 reporting period. The advice was timely, drew on the best available knowledge and was informed by a broad range of expertise and perspectives. The reports have informed public discussion and decision making on climate policy. The Authority has gone about its work in a transparent way and its findings were the result of independent decision making by Authority members, supported by an expert secretariat. The analysis in Table 1 indicates the Authority has met or is on track to meet its performance targets.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Authority’s reviews and research cover a diverse range of climate change matters which are often contentious and complex. They help inform public debate and policy development over an extended period. For these reasons, the Authority’s contribution is best considered over the medium term. The Authority will work towards further developing its performance framework to better assess its </w:t>
      </w:r>
      <w:proofErr w:type="gramStart"/>
      <w:r w:rsidRPr="00D66275">
        <w:rPr>
          <w:rFonts w:ascii="Calibri" w:hAnsi="Calibri" w:cs="Calibri"/>
          <w:color w:val="000000"/>
          <w:sz w:val="18"/>
          <w:szCs w:val="18"/>
          <w:lang w:val="en-GB"/>
        </w:rPr>
        <w:t>longer term</w:t>
      </w:r>
      <w:proofErr w:type="gramEnd"/>
      <w:r w:rsidRPr="00D66275">
        <w:rPr>
          <w:rFonts w:ascii="Calibri" w:hAnsi="Calibri" w:cs="Calibri"/>
          <w:color w:val="000000"/>
          <w:sz w:val="18"/>
          <w:szCs w:val="18"/>
          <w:lang w:val="en-GB"/>
        </w:rPr>
        <w:t xml:space="preserve"> performance and influence.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Recent evidence of the Authority’s contribution to policy development over the medium term is the Australian Government’s response in February 2018 to the review on delivering affordable, secure and lower emissions power undertaken by the Authority and the Australian Energy Market Commission (AEMC) which was published in June 2017. This work built on previous work by the Authority and the AEMC and the Government has and continues to pursue some of the recommended reforms.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Other examples of the ongoing influence of the Authority’s work are references to the Authority’s previous work and findings in the media, research reports by other organisations and in Parliamentary processes. This includes the Authority’s work on Australia’s emissions reduction targets published in 2014 in the </w:t>
      </w:r>
      <w:r w:rsidRPr="00D66275">
        <w:rPr>
          <w:rFonts w:ascii="Calibri" w:hAnsi="Calibri" w:cs="Calibri"/>
          <w:i/>
          <w:iCs/>
          <w:color w:val="000000"/>
          <w:sz w:val="18"/>
          <w:szCs w:val="18"/>
          <w:lang w:val="en-GB"/>
        </w:rPr>
        <w:t>Targets and Progress</w:t>
      </w:r>
      <w:r w:rsidRPr="00D66275">
        <w:rPr>
          <w:rFonts w:ascii="Calibri" w:hAnsi="Calibri" w:cs="Calibri"/>
          <w:color w:val="000000"/>
          <w:sz w:val="18"/>
          <w:szCs w:val="18"/>
          <w:lang w:val="en-GB"/>
        </w:rPr>
        <w:t xml:space="preserve"> review, the </w:t>
      </w:r>
      <w:r w:rsidRPr="00D66275">
        <w:rPr>
          <w:rFonts w:ascii="Calibri" w:hAnsi="Calibri" w:cs="Calibri"/>
          <w:i/>
          <w:iCs/>
          <w:color w:val="000000"/>
          <w:sz w:val="18"/>
          <w:szCs w:val="18"/>
          <w:lang w:val="en-GB"/>
        </w:rPr>
        <w:t>2016 Special Review of Australia’s climate goals and policies: Towards a policy toolkit</w:t>
      </w:r>
      <w:r w:rsidRPr="00D66275">
        <w:rPr>
          <w:rFonts w:ascii="Calibri" w:hAnsi="Calibri" w:cs="Calibri"/>
          <w:color w:val="000000"/>
          <w:sz w:val="18"/>
          <w:szCs w:val="18"/>
          <w:lang w:val="en-GB"/>
        </w:rPr>
        <w:t xml:space="preserve">, which looked at the policies needed to deliver on the Paris Agreement and the 2014 report on </w:t>
      </w:r>
      <w:r w:rsidRPr="00D66275">
        <w:rPr>
          <w:rFonts w:ascii="Calibri" w:hAnsi="Calibri" w:cs="Calibri"/>
          <w:i/>
          <w:iCs/>
          <w:color w:val="000000"/>
          <w:sz w:val="18"/>
          <w:szCs w:val="18"/>
          <w:lang w:val="en-GB"/>
        </w:rPr>
        <w:t>Light vehicle emissions standards for Australia</w:t>
      </w:r>
      <w:r w:rsidRPr="00D66275">
        <w:rPr>
          <w:rFonts w:ascii="Calibri" w:hAnsi="Calibri" w:cs="Calibri"/>
          <w:color w:val="000000"/>
          <w:sz w:val="18"/>
          <w:szCs w:val="18"/>
          <w:lang w:val="en-GB"/>
        </w:rPr>
        <w:t xml:space="preserve">. </w:t>
      </w:r>
    </w:p>
    <w:p w:rsidR="00D66275" w:rsidRPr="00D66275" w:rsidRDefault="00D66275" w:rsidP="00DD269C">
      <w:pPr>
        <w:pStyle w:val="02Heading2"/>
      </w:pPr>
      <w:bookmarkStart w:id="12" w:name="_Toc527458435"/>
      <w:r w:rsidRPr="00D66275">
        <w:t>4.5. Report on performance</w:t>
      </w:r>
      <w:bookmarkEnd w:id="12"/>
    </w:p>
    <w:p w:rsidR="00D66275" w:rsidRPr="00D66275" w:rsidRDefault="00D66275" w:rsidP="00684F70">
      <w:pPr>
        <w:keepNext/>
        <w:tabs>
          <w:tab w:val="left" w:pos="1418"/>
        </w:tabs>
        <w:suppressAutoHyphens/>
        <w:autoSpaceDE w:val="0"/>
        <w:autoSpaceDN w:val="0"/>
        <w:adjustRightInd w:val="0"/>
        <w:spacing w:before="283" w:after="170" w:line="20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sz w:val="16"/>
          <w:szCs w:val="16"/>
          <w:lang w:val="en-GB"/>
        </w:rPr>
        <w:t>TABLE 1: PERFORMANCE INFORMATION</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ACTIVITY:</w:t>
      </w:r>
      <w:r w:rsidRPr="00D66275">
        <w:rPr>
          <w:rFonts w:ascii="Calibri" w:hAnsi="Calibri" w:cs="Calibri"/>
          <w:color w:val="000000"/>
          <w:sz w:val="18"/>
          <w:szCs w:val="18"/>
          <w:lang w:val="en-GB"/>
        </w:rPr>
        <w:t xml:space="preserve"> REVIEW OF THE CARBON </w:t>
      </w:r>
      <w:r w:rsidRPr="00D66275">
        <w:rPr>
          <w:rFonts w:ascii="Calibri" w:hAnsi="Calibri" w:cs="Calibri"/>
          <w:caps/>
          <w:color w:val="000000"/>
          <w:sz w:val="18"/>
          <w:szCs w:val="18"/>
          <w:lang w:val="en-GB"/>
        </w:rPr>
        <w:t>CREDITS</w:t>
      </w:r>
      <w:r w:rsidRPr="00D66275">
        <w:rPr>
          <w:rFonts w:ascii="Calibri" w:hAnsi="Calibri" w:cs="Calibri"/>
          <w:color w:val="000000"/>
          <w:sz w:val="18"/>
          <w:szCs w:val="18"/>
          <w:lang w:val="en-GB"/>
        </w:rPr>
        <w:t xml:space="preserve"> LEGISLATION AND THE EMISSIONS REDUCTION FUND</w:t>
      </w:r>
    </w:p>
    <w:tbl>
      <w:tblPr>
        <w:tblW w:w="0" w:type="auto"/>
        <w:tblInd w:w="-8" w:type="dxa"/>
        <w:tblLayout w:type="fixed"/>
        <w:tblCellMar>
          <w:left w:w="0" w:type="dxa"/>
          <w:right w:w="0" w:type="dxa"/>
        </w:tblCellMar>
        <w:tblLook w:val="0000" w:firstRow="0" w:lastRow="0" w:firstColumn="0" w:lastColumn="0" w:noHBand="0" w:noVBand="0"/>
      </w:tblPr>
      <w:tblGrid>
        <w:gridCol w:w="6123"/>
        <w:gridCol w:w="3800"/>
      </w:tblGrid>
      <w:tr w:rsidR="00D66275" w:rsidRPr="00D66275" w:rsidTr="00684F70">
        <w:trPr>
          <w:trHeight w:val="60"/>
        </w:trPr>
        <w:tc>
          <w:tcPr>
            <w:tcW w:w="9923" w:type="dxa"/>
            <w:gridSpan w:val="2"/>
            <w:tcBorders>
              <w:top w:val="single" w:sz="4" w:space="0" w:color="000000"/>
              <w:left w:val="single" w:sz="4" w:space="0" w:color="000000"/>
              <w:bottom w:val="single" w:sz="4" w:space="0" w:color="000000"/>
              <w:right w:val="single" w:sz="4" w:space="0" w:color="000000"/>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Key Performance Indicator</w:t>
            </w:r>
          </w:p>
        </w:tc>
      </w:tr>
      <w:tr w:rsidR="00D66275" w:rsidRPr="00D66275" w:rsidTr="00684F70">
        <w:trPr>
          <w:trHeight w:val="60"/>
        </w:trPr>
        <w:tc>
          <w:tcPr>
            <w:tcW w:w="992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w:t>
            </w:r>
            <w:r w:rsidRPr="00D66275">
              <w:rPr>
                <w:rFonts w:ascii="Calibri" w:hAnsi="Calibri" w:cs="Calibri"/>
                <w:color w:val="000000"/>
                <w:sz w:val="16"/>
                <w:szCs w:val="16"/>
                <w:lang w:val="en-GB"/>
              </w:rPr>
              <w:tab/>
              <w:t xml:space="preserve">The Authority’s advice is timely, high quality, well-received by stakeholders, and used in public policy forums and discussions. </w:t>
            </w:r>
          </w:p>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w:t>
            </w:r>
            <w:r w:rsidRPr="00D66275">
              <w:rPr>
                <w:rFonts w:ascii="Calibri" w:hAnsi="Calibri" w:cs="Calibri"/>
                <w:color w:val="000000"/>
                <w:sz w:val="16"/>
                <w:szCs w:val="16"/>
                <w:lang w:val="en-GB"/>
              </w:rPr>
              <w:tab/>
              <w:t xml:space="preserve">The Authority’s public consultation processes are transparent, accessible and highly regarded by stakeholders. </w:t>
            </w:r>
          </w:p>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6"/>
                <w:szCs w:val="16"/>
                <w:lang w:val="en-GB"/>
              </w:rPr>
              <w:t>•</w:t>
            </w:r>
            <w:r w:rsidRPr="00D66275">
              <w:rPr>
                <w:rFonts w:ascii="Calibri" w:hAnsi="Calibri" w:cs="Calibri"/>
                <w:color w:val="000000"/>
                <w:sz w:val="16"/>
                <w:szCs w:val="16"/>
                <w:lang w:val="en-GB"/>
              </w:rPr>
              <w:tab/>
              <w:t>The Authority’s secretariat supports effective decision making by the Authority.</w:t>
            </w:r>
          </w:p>
        </w:tc>
      </w:tr>
      <w:tr w:rsidR="00D66275" w:rsidRPr="00D66275" w:rsidTr="00684F70">
        <w:trPr>
          <w:trHeight w:val="60"/>
        </w:trPr>
        <w:tc>
          <w:tcPr>
            <w:tcW w:w="9923" w:type="dxa"/>
            <w:gridSpan w:val="2"/>
            <w:tcBorders>
              <w:top w:val="single" w:sz="4" w:space="0" w:color="000000"/>
              <w:left w:val="single" w:sz="4" w:space="0" w:color="000000"/>
              <w:bottom w:val="single" w:sz="4" w:space="0" w:color="000000"/>
              <w:right w:val="single" w:sz="4" w:space="0" w:color="000000"/>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ASSESSMENT</w:t>
            </w:r>
          </w:p>
        </w:tc>
      </w:tr>
      <w:tr w:rsidR="00D66275" w:rsidRPr="00D66275" w:rsidTr="00684F70">
        <w:trPr>
          <w:trHeight w:val="60"/>
        </w:trPr>
        <w:tc>
          <w:tcPr>
            <w:tcW w:w="6123"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Finalise review of the Carbon Credits legislation and the Emissions Reduction Fund by 31 December 2017</w:t>
            </w:r>
          </w:p>
        </w:tc>
        <w:tc>
          <w:tcPr>
            <w:tcW w:w="3800"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684F70">
        <w:trPr>
          <w:trHeight w:val="60"/>
        </w:trPr>
        <w:tc>
          <w:tcPr>
            <w:tcW w:w="992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review was released on 11 December 2017, well before the legislated due date. </w:t>
            </w:r>
          </w:p>
        </w:tc>
      </w:tr>
      <w:tr w:rsidR="00D66275" w:rsidRPr="00D66275" w:rsidTr="00684F70">
        <w:trPr>
          <w:trHeight w:val="60"/>
        </w:trPr>
        <w:tc>
          <w:tcPr>
            <w:tcW w:w="6123"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Advice draws on the best available knowledge and is informed by a broad range of perspectives</w:t>
            </w:r>
          </w:p>
        </w:tc>
        <w:tc>
          <w:tcPr>
            <w:tcW w:w="3800"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684F70">
        <w:trPr>
          <w:trHeight w:val="60"/>
        </w:trPr>
        <w:tc>
          <w:tcPr>
            <w:tcW w:w="992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Authority’s review was informed by a comprehensive evidence base, including the Authority’s own research and analysis, using both domestic and international sources, and extensive stakeholder consultations. The review references 100 citations and draws on the latest, best available and most relevant information from stakeholder consultations, the Emissions Reduction Fund project register and auction results, the legislation, academic journal articles, research reports and earlier reviews. </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To collect up-to-date and relevant information from a broad range of stakeholders with different perspectives, the Authority consulted with more than 27 organisations and received 28 written submissions. The Authority spoke to </w:t>
            </w:r>
            <w:proofErr w:type="spellStart"/>
            <w:r w:rsidRPr="00D66275">
              <w:rPr>
                <w:rFonts w:ascii="Calibri" w:hAnsi="Calibri" w:cs="Calibri"/>
                <w:color w:val="000000"/>
                <w:sz w:val="16"/>
                <w:szCs w:val="16"/>
                <w:lang w:val="en-GB"/>
              </w:rPr>
              <w:t>to</w:t>
            </w:r>
            <w:proofErr w:type="spellEnd"/>
            <w:r w:rsidRPr="00D66275">
              <w:rPr>
                <w:rFonts w:ascii="Calibri" w:hAnsi="Calibri" w:cs="Calibri"/>
                <w:color w:val="000000"/>
                <w:sz w:val="16"/>
                <w:szCs w:val="16"/>
                <w:lang w:val="en-GB"/>
              </w:rPr>
              <w:t xml:space="preserve"> representatives from industry, all levels of government, project developers, environmental and natural resource management groups, peak body representatives, carbon market industry participants and interested individuals in urban and regional areas across Australia. The Authority also consulted extensively with the Clean Energy Regulator, which is responsible for administering the Emissions Reduction Fund, and the Department of the Environment and Energy which is responsible for policy development. </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diverse range of views collected through consultations and the 28 written submissions received are reflected in the review’s content, which has over 90 references to stakeholder submissions or other communications.</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Authority also undertook a comprehensive fact checking process internally and engaged with experts during the development of the review report and its recommendations. The Authority’s findings were a result of independent decision making by Authority members, supported by the secretariat. </w:t>
            </w:r>
          </w:p>
        </w:tc>
      </w:tr>
      <w:tr w:rsidR="00D66275" w:rsidRPr="00D66275" w:rsidTr="00684F70">
        <w:trPr>
          <w:trHeight w:val="60"/>
        </w:trPr>
        <w:tc>
          <w:tcPr>
            <w:tcW w:w="6123"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Government considers the Authority’s findings and recommendations in developing and implementing policy</w:t>
            </w:r>
          </w:p>
        </w:tc>
        <w:tc>
          <w:tcPr>
            <w:tcW w:w="3800"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On track to meet</w:t>
            </w:r>
          </w:p>
        </w:tc>
      </w:tr>
      <w:tr w:rsidR="00D66275" w:rsidRPr="00D66275" w:rsidTr="00684F70">
        <w:trPr>
          <w:trHeight w:val="60"/>
        </w:trPr>
        <w:tc>
          <w:tcPr>
            <w:tcW w:w="992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In response to requests about the review’s findings and recommendations, the Authority has spoken with officials from Government agencies including the Department of the Environment and Energy and the Clean Energy Regulator. </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In its 2017 Review of Climate Change Policies, the Government said it would continue to look at ways of improving the operation of the Fund, including by considering the Authority’s recommendations. </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As at end September 2018, the Government is yet to table a response to the Authority’s review in Parliament (as required by the </w:t>
            </w:r>
            <w:r w:rsidRPr="00D66275">
              <w:rPr>
                <w:rFonts w:ascii="Calibri" w:hAnsi="Calibri" w:cs="Calibri"/>
                <w:i/>
                <w:iCs/>
                <w:color w:val="000000"/>
                <w:sz w:val="16"/>
                <w:szCs w:val="16"/>
                <w:lang w:val="en-GB"/>
              </w:rPr>
              <w:t>Climate Change Authority Act 2011</w:t>
            </w:r>
            <w:r w:rsidRPr="00D66275">
              <w:rPr>
                <w:rFonts w:ascii="Calibri" w:hAnsi="Calibri" w:cs="Calibri"/>
                <w:color w:val="000000"/>
                <w:sz w:val="16"/>
                <w:szCs w:val="16"/>
                <w:lang w:val="en-GB"/>
              </w:rPr>
              <w:t>).</w:t>
            </w:r>
          </w:p>
        </w:tc>
      </w:tr>
      <w:tr w:rsidR="00D66275" w:rsidRPr="00D66275" w:rsidTr="00684F70">
        <w:trPr>
          <w:trHeight w:val="60"/>
        </w:trPr>
        <w:tc>
          <w:tcPr>
            <w:tcW w:w="6123"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The Authority’s research and analysis influences the public policy debate on climate change issues</w:t>
            </w:r>
          </w:p>
        </w:tc>
        <w:tc>
          <w:tcPr>
            <w:tcW w:w="3800"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684F70">
        <w:trPr>
          <w:trHeight w:val="60"/>
        </w:trPr>
        <w:tc>
          <w:tcPr>
            <w:tcW w:w="992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review was placed on the Authority’s website on 11 December 2017. It has generated considerable interest having been viewed over 2,100 times and referred to in the media by outlets with national reach such as The Guardian and the Sydney Morning Herald. Other articles also appeared in specialist media outlets such as Carbon Pulse, Energy Matters, </w:t>
            </w:r>
            <w:proofErr w:type="spellStart"/>
            <w:r w:rsidRPr="00D66275">
              <w:rPr>
                <w:rFonts w:ascii="Calibri" w:hAnsi="Calibri" w:cs="Calibri"/>
                <w:color w:val="000000"/>
                <w:sz w:val="16"/>
                <w:szCs w:val="16"/>
                <w:lang w:val="en-GB"/>
              </w:rPr>
              <w:t>RenewEconomy</w:t>
            </w:r>
            <w:proofErr w:type="spellEnd"/>
            <w:r w:rsidRPr="00D66275">
              <w:rPr>
                <w:rFonts w:ascii="Calibri" w:hAnsi="Calibri" w:cs="Calibri"/>
                <w:color w:val="000000"/>
                <w:sz w:val="16"/>
                <w:szCs w:val="16"/>
                <w:lang w:val="en-GB"/>
              </w:rPr>
              <w:t xml:space="preserve"> and The Conversation. The review has also been referenced or referred to in other forums such as academic journals.</w:t>
            </w:r>
          </w:p>
        </w:tc>
      </w:tr>
      <w:tr w:rsidR="00D66275" w:rsidRPr="00D66275" w:rsidTr="00684F70">
        <w:trPr>
          <w:trHeight w:val="60"/>
        </w:trPr>
        <w:tc>
          <w:tcPr>
            <w:tcW w:w="6123"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Public consultation is comprehensive, representative and transparent</w:t>
            </w:r>
          </w:p>
        </w:tc>
        <w:tc>
          <w:tcPr>
            <w:tcW w:w="3800"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684F70">
        <w:trPr>
          <w:trHeight w:val="60"/>
        </w:trPr>
        <w:tc>
          <w:tcPr>
            <w:tcW w:w="992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Public consultation was comprehensive and representative with the Authority meeting or talking to individuals from more than 27 organisations. This included speaking to representatives from industry, all levels of government, project developers, environmental and natural resource management groups, peak body representatives, carbon market industry participants and interested individuals in urban and regional areas across Australia. The Authority consulted extensively with the Clean Energy Regulator, which is responsible for administering the Emissions Reduction Fund and the Department of the Environment and Energy which is responsible for policy development. </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Public consultation was transparent. The Authority released a consultation paper on its website in August 2017, disseminated it to interested parties that had subscribed to the Authority’s emails and also directly targeted other relevant individuals and organisations. 28 written submissions were received and are available on the Authority’s website (other than those submissions marked as confidential). The Authority sought stakeholder views through roundtables and individual meetings throughout Australia’s capital cities and regional areas. </w:t>
            </w:r>
          </w:p>
        </w:tc>
      </w:tr>
      <w:tr w:rsidR="00D66275" w:rsidRPr="00D66275" w:rsidTr="00684F70">
        <w:trPr>
          <w:trHeight w:val="60"/>
        </w:trPr>
        <w:tc>
          <w:tcPr>
            <w:tcW w:w="6123"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Authority members express satisfaction with secretariat’s work</w:t>
            </w:r>
          </w:p>
        </w:tc>
        <w:tc>
          <w:tcPr>
            <w:tcW w:w="3800" w:type="dxa"/>
            <w:tcBorders>
              <w:top w:val="single" w:sz="4" w:space="0" w:color="000000"/>
              <w:left w:val="single" w:sz="4" w:space="0" w:color="000000"/>
              <w:bottom w:val="single" w:sz="4" w:space="0" w:color="000000"/>
              <w:right w:val="single" w:sz="4" w:space="0" w:color="000000"/>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684F70">
        <w:trPr>
          <w:trHeight w:val="60"/>
        </w:trPr>
        <w:tc>
          <w:tcPr>
            <w:tcW w:w="992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Authority members, including the Chair, provided positive feedback to the secretariat on the process for undertaking the review and the review report itself. The secretariat also met the Authority’s expectations around the timely delivery of research, analysis and overviews of stakeholder feedback. </w:t>
            </w:r>
          </w:p>
        </w:tc>
      </w:tr>
    </w:tbl>
    <w:p w:rsidR="00D66275" w:rsidRPr="00D66275" w:rsidRDefault="00D66275" w:rsidP="00D66275">
      <w:pPr>
        <w:autoSpaceDE w:val="0"/>
        <w:autoSpaceDN w:val="0"/>
        <w:adjustRightInd w:val="0"/>
        <w:spacing w:after="200" w:line="276" w:lineRule="auto"/>
        <w:textAlignment w:val="center"/>
        <w:rPr>
          <w:rFonts w:ascii="Calibri" w:hAnsi="Calibri" w:cs="Calibri"/>
          <w:color w:val="414141"/>
          <w:sz w:val="22"/>
          <w:szCs w:val="22"/>
          <w:lang w:val="en-US"/>
        </w:rPr>
      </w:pPr>
    </w:p>
    <w:p w:rsidR="00684F70" w:rsidRDefault="00684F70">
      <w:pPr>
        <w:rPr>
          <w:rFonts w:ascii="Calibri" w:hAnsi="Calibri" w:cs="Calibri"/>
          <w:b/>
          <w:bCs/>
          <w:caps/>
          <w:color w:val="000000"/>
          <w:sz w:val="18"/>
          <w:szCs w:val="18"/>
          <w:lang w:val="en-GB"/>
        </w:rPr>
      </w:pPr>
      <w:r>
        <w:rPr>
          <w:rFonts w:ascii="Calibri" w:hAnsi="Calibri" w:cs="Calibri"/>
          <w:b/>
          <w:bCs/>
          <w:caps/>
          <w:color w:val="000000"/>
          <w:sz w:val="18"/>
          <w:szCs w:val="18"/>
          <w:lang w:val="en-GB"/>
        </w:rPr>
        <w:br w:type="page"/>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b/>
          <w:bCs/>
          <w:color w:val="000000"/>
          <w:sz w:val="18"/>
          <w:szCs w:val="18"/>
          <w:lang w:val="en-GB"/>
        </w:rPr>
      </w:pPr>
      <w:r w:rsidRPr="00D66275">
        <w:rPr>
          <w:rFonts w:ascii="Calibri" w:hAnsi="Calibri" w:cs="Calibri"/>
          <w:b/>
          <w:bCs/>
          <w:caps/>
          <w:color w:val="000000"/>
          <w:sz w:val="18"/>
          <w:szCs w:val="18"/>
          <w:lang w:val="en-GB"/>
        </w:rPr>
        <w:t>Activity:</w:t>
      </w:r>
      <w:r w:rsidRPr="00D66275">
        <w:rPr>
          <w:rFonts w:ascii="Calibri" w:hAnsi="Calibri" w:cs="Calibri"/>
          <w:caps/>
          <w:color w:val="000000"/>
          <w:sz w:val="18"/>
          <w:szCs w:val="18"/>
          <w:lang w:val="en-GB"/>
        </w:rPr>
        <w:t xml:space="preserve"> Review of the National Wind Farm Commissioner</w:t>
      </w:r>
    </w:p>
    <w:tbl>
      <w:tblPr>
        <w:tblW w:w="0" w:type="auto"/>
        <w:tblInd w:w="-8" w:type="dxa"/>
        <w:tblLayout w:type="fixed"/>
        <w:tblCellMar>
          <w:left w:w="0" w:type="dxa"/>
          <w:right w:w="0" w:type="dxa"/>
        </w:tblCellMar>
        <w:tblLook w:val="0000" w:firstRow="0" w:lastRow="0" w:firstColumn="0" w:lastColumn="0" w:noHBand="0" w:noVBand="0"/>
      </w:tblPr>
      <w:tblGrid>
        <w:gridCol w:w="6112"/>
        <w:gridCol w:w="3811"/>
      </w:tblGrid>
      <w:tr w:rsidR="00D66275" w:rsidRPr="00D66275" w:rsidTr="00DD269C">
        <w:trPr>
          <w:trHeight w:val="60"/>
        </w:trPr>
        <w:tc>
          <w:tcPr>
            <w:tcW w:w="9923" w:type="dxa"/>
            <w:gridSpan w:val="2"/>
            <w:tcBorders>
              <w:top w:val="single" w:sz="6" w:space="0" w:color="auto"/>
              <w:left w:val="single" w:sz="6" w:space="0" w:color="auto"/>
              <w:bottom w:val="single" w:sz="6" w:space="0" w:color="auto"/>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KPI</w:t>
            </w:r>
          </w:p>
        </w:tc>
      </w:tr>
      <w:tr w:rsidR="00D66275" w:rsidRPr="00D66275" w:rsidTr="00DD269C">
        <w:trPr>
          <w:trHeight w:val="60"/>
        </w:trPr>
        <w:tc>
          <w:tcPr>
            <w:tcW w:w="9923"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w:t>
            </w:r>
            <w:r w:rsidRPr="00D66275">
              <w:rPr>
                <w:rFonts w:ascii="Calibri" w:hAnsi="Calibri" w:cs="Calibri"/>
                <w:color w:val="000000"/>
                <w:sz w:val="16"/>
                <w:szCs w:val="16"/>
                <w:lang w:val="en-GB"/>
              </w:rPr>
              <w:tab/>
              <w:t xml:space="preserve">The Authority’s advice is timely, high quality, well-received by stakeholders, and used in public policy forums and discussions. </w:t>
            </w:r>
          </w:p>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w:t>
            </w:r>
            <w:r w:rsidRPr="00D66275">
              <w:rPr>
                <w:rFonts w:ascii="Calibri" w:hAnsi="Calibri" w:cs="Calibri"/>
                <w:color w:val="000000"/>
                <w:sz w:val="16"/>
                <w:szCs w:val="16"/>
                <w:lang w:val="en-GB"/>
              </w:rPr>
              <w:tab/>
              <w:t xml:space="preserve">The Authority’s public consultation processes are transparent, accessible and highly regarded by stakeholders. </w:t>
            </w:r>
          </w:p>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6"/>
                <w:szCs w:val="16"/>
                <w:lang w:val="en-GB"/>
              </w:rPr>
              <w:t>•</w:t>
            </w:r>
            <w:r w:rsidRPr="00D66275">
              <w:rPr>
                <w:rFonts w:ascii="Calibri" w:hAnsi="Calibri" w:cs="Calibri"/>
                <w:color w:val="000000"/>
                <w:sz w:val="16"/>
                <w:szCs w:val="16"/>
                <w:lang w:val="en-GB"/>
              </w:rPr>
              <w:tab/>
              <w:t>The Authority’s secretariat supports effective decision making by the Authority.</w:t>
            </w:r>
          </w:p>
        </w:tc>
      </w:tr>
      <w:tr w:rsidR="00D66275" w:rsidRPr="00D66275" w:rsidTr="00DD269C">
        <w:trPr>
          <w:trHeight w:val="60"/>
        </w:trPr>
        <w:tc>
          <w:tcPr>
            <w:tcW w:w="9923" w:type="dxa"/>
            <w:gridSpan w:val="2"/>
            <w:tcBorders>
              <w:top w:val="single" w:sz="6" w:space="0" w:color="auto"/>
              <w:left w:val="single" w:sz="6" w:space="0" w:color="auto"/>
              <w:bottom w:val="single" w:sz="6" w:space="0" w:color="auto"/>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ASSESSMENT</w:t>
            </w:r>
          </w:p>
        </w:tc>
      </w:tr>
      <w:tr w:rsidR="00D66275" w:rsidRPr="00D66275" w:rsidTr="00DD269C">
        <w:trPr>
          <w:trHeight w:val="60"/>
        </w:trPr>
        <w:tc>
          <w:tcPr>
            <w:tcW w:w="6112"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Finalise review of the National Wind Farm Commissioner by 31 May 2018</w:t>
            </w:r>
          </w:p>
        </w:tc>
        <w:tc>
          <w:tcPr>
            <w:tcW w:w="3811"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DD269C">
        <w:trPr>
          <w:trHeight w:val="60"/>
        </w:trPr>
        <w:tc>
          <w:tcPr>
            <w:tcW w:w="9923"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review was released on 31 May 2018, the due date specified by the then Minister for the Environment and Energy. </w:t>
            </w:r>
          </w:p>
        </w:tc>
      </w:tr>
      <w:tr w:rsidR="00D66275" w:rsidRPr="00D66275" w:rsidTr="00DD269C">
        <w:trPr>
          <w:trHeight w:val="60"/>
        </w:trPr>
        <w:tc>
          <w:tcPr>
            <w:tcW w:w="6112"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Advice draws on the best available knowledge and is informed by a broad range of perspectives</w:t>
            </w:r>
          </w:p>
        </w:tc>
        <w:tc>
          <w:tcPr>
            <w:tcW w:w="3811"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DD269C">
        <w:trPr>
          <w:trHeight w:val="60"/>
        </w:trPr>
        <w:tc>
          <w:tcPr>
            <w:tcW w:w="9923"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Authority’s review was informed by a comprehensive evidence base, including the Authority’s own research and analysis, using both domestic and international sources, and extensive stakeholder consultations. The review includes 120 citations and draws on the latest, best available and most relevant information from stakeholder consultations, academic journal articles and research reports. </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To collect up-to-date and relevant information from a broad range of stakeholders with different perspectives, the Authority consulted with more than 20 organisations or individuals through meetings and teleconferences with stakeholders, and received 66 written submissions. The Authority consulted with individuals affected by proposed or operational wind farms, wind farm developers, all levels of government, and community and industry organisations.</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diverse range of views collected through consultations and submissions are reflected in the review’s content, which has 90 references to stakeholder submissions or other communications.</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Authority also undertook a comprehensive fact checking process internally and engaged with experts during the development of the review report and its recommendations. The Authority’s findings were a result of independent decision making by Authority members, supported by the secretariat.</w:t>
            </w:r>
          </w:p>
        </w:tc>
      </w:tr>
      <w:tr w:rsidR="00D66275" w:rsidRPr="00D66275" w:rsidTr="00DD269C">
        <w:trPr>
          <w:trHeight w:val="60"/>
        </w:trPr>
        <w:tc>
          <w:tcPr>
            <w:tcW w:w="6112"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Government considers the Authority’s findings and recommendations in developing and implementing policy</w:t>
            </w:r>
          </w:p>
        </w:tc>
        <w:tc>
          <w:tcPr>
            <w:tcW w:w="3811"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On track to meet</w:t>
            </w:r>
          </w:p>
        </w:tc>
      </w:tr>
      <w:tr w:rsidR="00D66275" w:rsidRPr="00D66275" w:rsidTr="00DD269C">
        <w:trPr>
          <w:trHeight w:val="60"/>
        </w:trPr>
        <w:tc>
          <w:tcPr>
            <w:tcW w:w="9923"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In response to requests, the Authority has spoken with officials from the Department of the Environment and Energy and the National Wind Farm Commissioner about the review’s findings and recommendations. </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then Minister for the Environment and Energy requested the Authority undertake this review. The Government’s response (as required by the </w:t>
            </w:r>
            <w:r w:rsidRPr="00D66275">
              <w:rPr>
                <w:rFonts w:ascii="Calibri" w:hAnsi="Calibri" w:cs="Calibri"/>
                <w:i/>
                <w:iCs/>
                <w:color w:val="000000"/>
                <w:sz w:val="16"/>
                <w:szCs w:val="16"/>
                <w:lang w:val="en-GB"/>
              </w:rPr>
              <w:t>Climate Change Authority Act 2011</w:t>
            </w:r>
            <w:r w:rsidRPr="00D66275">
              <w:rPr>
                <w:rFonts w:ascii="Calibri" w:hAnsi="Calibri" w:cs="Calibri"/>
                <w:color w:val="000000"/>
                <w:sz w:val="16"/>
                <w:szCs w:val="16"/>
                <w:lang w:val="en-GB"/>
              </w:rPr>
              <w:t>) is due by 30 November 2018.</w:t>
            </w:r>
          </w:p>
        </w:tc>
      </w:tr>
      <w:tr w:rsidR="00D66275" w:rsidRPr="00D66275" w:rsidTr="00DD269C">
        <w:trPr>
          <w:trHeight w:val="60"/>
        </w:trPr>
        <w:tc>
          <w:tcPr>
            <w:tcW w:w="6112"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The Authority’s research and analysis influences the public policy debate on climate change issues</w:t>
            </w:r>
          </w:p>
        </w:tc>
        <w:tc>
          <w:tcPr>
            <w:tcW w:w="3811"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DD269C">
        <w:trPr>
          <w:trHeight w:val="60"/>
        </w:trPr>
        <w:tc>
          <w:tcPr>
            <w:tcW w:w="9923"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review was placed on the Authority’s website on 31 May 2018. It has generated considerable interest, having been viewed over 800 times and picked up in media articles by outlets with national reach such as The Guardian and the Sydney Morning Herald. Other articles also appeared in specialist media outlets such as </w:t>
            </w:r>
            <w:proofErr w:type="spellStart"/>
            <w:r w:rsidRPr="00D66275">
              <w:rPr>
                <w:rFonts w:ascii="Calibri" w:hAnsi="Calibri" w:cs="Calibri"/>
                <w:color w:val="000000"/>
                <w:sz w:val="16"/>
                <w:szCs w:val="16"/>
                <w:lang w:val="en-GB"/>
              </w:rPr>
              <w:t>RenewEconomy</w:t>
            </w:r>
            <w:proofErr w:type="spellEnd"/>
            <w:r w:rsidRPr="00D66275">
              <w:rPr>
                <w:rFonts w:ascii="Calibri" w:hAnsi="Calibri" w:cs="Calibri"/>
                <w:color w:val="000000"/>
                <w:sz w:val="16"/>
                <w:szCs w:val="16"/>
                <w:lang w:val="en-GB"/>
              </w:rPr>
              <w:t>.</w:t>
            </w:r>
          </w:p>
        </w:tc>
      </w:tr>
      <w:tr w:rsidR="00D66275" w:rsidRPr="00D66275" w:rsidTr="00DD269C">
        <w:trPr>
          <w:trHeight w:val="60"/>
        </w:trPr>
        <w:tc>
          <w:tcPr>
            <w:tcW w:w="6112"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Public consultation is comprehensive, representative and transparent</w:t>
            </w:r>
          </w:p>
        </w:tc>
        <w:tc>
          <w:tcPr>
            <w:tcW w:w="3811"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DD269C">
        <w:trPr>
          <w:trHeight w:val="60"/>
        </w:trPr>
        <w:tc>
          <w:tcPr>
            <w:tcW w:w="9923"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Public consultation was comprehensive and representative with the Authority consulting with more than 20 organisations or individuals and receiving 66 written submissions from a broad cross-section of stakeholders including industry, government, community groups and individuals. The Authority consulted with individuals affected by proposed or operational wind farms, wind farm developers, all levels of government, and community and industry organisations.</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Public consultation was transparent. The Authority put out a public call for submissions in March, and reached out to particular individuals and organisations. The Authority also asked the Commissioner to alert others that it was undertaking the review. Written submissions are available on the Authority’s website (other than those submissions marked as confidential).</w:t>
            </w:r>
          </w:p>
        </w:tc>
      </w:tr>
      <w:tr w:rsidR="00D66275" w:rsidRPr="00D66275" w:rsidTr="00DD269C">
        <w:trPr>
          <w:trHeight w:val="60"/>
        </w:trPr>
        <w:tc>
          <w:tcPr>
            <w:tcW w:w="6112"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Authority members express satisfaction with secretariat’s work</w:t>
            </w:r>
          </w:p>
        </w:tc>
        <w:tc>
          <w:tcPr>
            <w:tcW w:w="3811" w:type="dxa"/>
            <w:tcBorders>
              <w:top w:val="single" w:sz="6" w:space="0" w:color="auto"/>
              <w:left w:val="single" w:sz="6" w:space="0" w:color="auto"/>
              <w:bottom w:val="single" w:sz="6" w:space="0" w:color="auto"/>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DD269C">
        <w:trPr>
          <w:trHeight w:val="60"/>
        </w:trPr>
        <w:tc>
          <w:tcPr>
            <w:tcW w:w="9923"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then Minister for the Environment and Energy requested the Authority undertake this review on 3 March 2018. The review was delivered in less than three months. The secretariat met the Authority’s expectations around the timely delivery of research, analysis and overviews of stakeholder feedback. </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Authority members, including the Chair, provided positive feedback to the secretariat on the process for undertaking the review and the review report.</w:t>
            </w:r>
          </w:p>
        </w:tc>
      </w:tr>
    </w:tbl>
    <w:p w:rsidR="00D66275" w:rsidRPr="00D66275" w:rsidRDefault="00D66275" w:rsidP="00D66275">
      <w:pPr>
        <w:autoSpaceDE w:val="0"/>
        <w:autoSpaceDN w:val="0"/>
        <w:adjustRightInd w:val="0"/>
        <w:spacing w:after="200" w:line="276" w:lineRule="auto"/>
        <w:textAlignment w:val="center"/>
        <w:rPr>
          <w:rFonts w:ascii="Calibri" w:hAnsi="Calibri" w:cs="Calibri"/>
          <w:color w:val="414141"/>
          <w:sz w:val="22"/>
          <w:szCs w:val="22"/>
          <w:lang w:val="en-US"/>
        </w:rPr>
      </w:pP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b/>
          <w:bCs/>
          <w:caps/>
          <w:color w:val="000000"/>
          <w:sz w:val="18"/>
          <w:szCs w:val="18"/>
          <w:lang w:val="en-GB"/>
        </w:rPr>
        <w:t xml:space="preserve">Activity: </w:t>
      </w:r>
      <w:r w:rsidRPr="00D66275">
        <w:rPr>
          <w:rFonts w:ascii="Calibri" w:hAnsi="Calibri" w:cs="Calibri"/>
          <w:caps/>
          <w:color w:val="000000"/>
          <w:sz w:val="18"/>
          <w:szCs w:val="18"/>
          <w:lang w:val="en-GB"/>
        </w:rPr>
        <w:t>Research report: Reaping the rewards: improving farm profitability, reducing emissions and conserving natural capital</w:t>
      </w:r>
    </w:p>
    <w:tbl>
      <w:tblPr>
        <w:tblW w:w="0" w:type="auto"/>
        <w:tblInd w:w="-8" w:type="dxa"/>
        <w:tblLayout w:type="fixed"/>
        <w:tblCellMar>
          <w:left w:w="0" w:type="dxa"/>
          <w:right w:w="0" w:type="dxa"/>
        </w:tblCellMar>
        <w:tblLook w:val="0000" w:firstRow="0" w:lastRow="0" w:firstColumn="0" w:lastColumn="0" w:noHBand="0" w:noVBand="0"/>
      </w:tblPr>
      <w:tblGrid>
        <w:gridCol w:w="6117"/>
        <w:gridCol w:w="3664"/>
      </w:tblGrid>
      <w:tr w:rsidR="00D66275" w:rsidRPr="00D66275" w:rsidTr="00D66275">
        <w:trPr>
          <w:trHeight w:val="325"/>
        </w:trPr>
        <w:tc>
          <w:tcPr>
            <w:tcW w:w="9781" w:type="dxa"/>
            <w:gridSpan w:val="2"/>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KPI</w:t>
            </w:r>
          </w:p>
        </w:tc>
      </w:tr>
      <w:tr w:rsidR="00D66275" w:rsidRPr="00D66275" w:rsidTr="00D66275">
        <w:trPr>
          <w:trHeight w:val="915"/>
        </w:trPr>
        <w:tc>
          <w:tcPr>
            <w:tcW w:w="9781" w:type="dxa"/>
            <w:gridSpan w:val="2"/>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w:t>
            </w:r>
            <w:r w:rsidRPr="00D66275">
              <w:rPr>
                <w:rFonts w:ascii="Calibri" w:hAnsi="Calibri" w:cs="Calibri"/>
                <w:color w:val="000000"/>
                <w:sz w:val="16"/>
                <w:szCs w:val="16"/>
                <w:lang w:val="en-GB"/>
              </w:rPr>
              <w:tab/>
              <w:t xml:space="preserve">The Authority’s advice is timely, high quality, well-received by stakeholders, and used in public policy forums and discussions. </w:t>
            </w:r>
          </w:p>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w:t>
            </w:r>
            <w:r w:rsidRPr="00D66275">
              <w:rPr>
                <w:rFonts w:ascii="Calibri" w:hAnsi="Calibri" w:cs="Calibri"/>
                <w:color w:val="000000"/>
                <w:sz w:val="16"/>
                <w:szCs w:val="16"/>
                <w:lang w:val="en-GB"/>
              </w:rPr>
              <w:tab/>
              <w:t xml:space="preserve">The Authority’s public consultation processes are transparent, accessible and highly regarded by stakeholders.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6"/>
                <w:szCs w:val="16"/>
                <w:lang w:val="en-GB"/>
              </w:rPr>
              <w:t>•</w:t>
            </w:r>
            <w:r w:rsidRPr="00D66275">
              <w:rPr>
                <w:rFonts w:ascii="Calibri" w:hAnsi="Calibri" w:cs="Calibri"/>
                <w:color w:val="000000"/>
                <w:sz w:val="16"/>
                <w:szCs w:val="16"/>
                <w:lang w:val="en-GB"/>
              </w:rPr>
              <w:tab/>
              <w:t>The Authority’s secretariat supports effective decision making by the Authority.</w:t>
            </w:r>
          </w:p>
        </w:tc>
      </w:tr>
      <w:tr w:rsidR="00D66275" w:rsidRPr="00D66275" w:rsidTr="00D66275">
        <w:trPr>
          <w:trHeight w:val="325"/>
        </w:trPr>
        <w:tc>
          <w:tcPr>
            <w:tcW w:w="9781" w:type="dxa"/>
            <w:gridSpan w:val="2"/>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ASSESSMENT</w:t>
            </w:r>
          </w:p>
        </w:tc>
      </w:tr>
      <w:tr w:rsidR="00D66275" w:rsidRPr="00D66275" w:rsidTr="00D66275">
        <w:trPr>
          <w:trHeight w:val="325"/>
        </w:trPr>
        <w:tc>
          <w:tcPr>
            <w:tcW w:w="6117" w:type="dxa"/>
            <w:tcBorders>
              <w:top w:val="single" w:sz="4" w:space="0" w:color="000000"/>
              <w:left w:val="single" w:sz="6" w:space="0" w:color="auto"/>
              <w:bottom w:val="single" w:sz="4" w:space="0" w:color="000000"/>
              <w:right w:val="nil"/>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Finalise the research report within set timelines</w:t>
            </w:r>
          </w:p>
        </w:tc>
        <w:tc>
          <w:tcPr>
            <w:tcW w:w="3664" w:type="dxa"/>
            <w:tcBorders>
              <w:top w:val="single" w:sz="4" w:space="0" w:color="000000"/>
              <w:left w:val="nil"/>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Partly met</w:t>
            </w:r>
          </w:p>
        </w:tc>
      </w:tr>
      <w:tr w:rsidR="00D66275" w:rsidRPr="00D66275" w:rsidTr="00D66275">
        <w:trPr>
          <w:trHeight w:val="538"/>
        </w:trPr>
        <w:tc>
          <w:tcPr>
            <w:tcW w:w="9781" w:type="dxa"/>
            <w:gridSpan w:val="2"/>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research report was released on 27 April 2018. This was not a legislated review so there was no set due date. There were delays in releasing the report as resources needed to be reallocated to the request from the Government to provide advice on electricity security and prices by June 2017 and then to the review of the Emissions Reduction Fund, released in December 2018.</w:t>
            </w:r>
          </w:p>
        </w:tc>
      </w:tr>
      <w:tr w:rsidR="00D66275" w:rsidRPr="00D66275" w:rsidTr="00D66275">
        <w:trPr>
          <w:trHeight w:val="337"/>
        </w:trPr>
        <w:tc>
          <w:tcPr>
            <w:tcW w:w="6117" w:type="dxa"/>
            <w:tcBorders>
              <w:top w:val="single" w:sz="4" w:space="0" w:color="000000"/>
              <w:left w:val="single" w:sz="6" w:space="0" w:color="auto"/>
              <w:bottom w:val="single" w:sz="4" w:space="0" w:color="000000"/>
              <w:right w:val="nil"/>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Advice draws on the best available knowledge and is informed by a broad range of perspectives</w:t>
            </w:r>
          </w:p>
        </w:tc>
        <w:tc>
          <w:tcPr>
            <w:tcW w:w="3664" w:type="dxa"/>
            <w:tcBorders>
              <w:top w:val="single" w:sz="4" w:space="0" w:color="000000"/>
              <w:left w:val="nil"/>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D66275">
        <w:trPr>
          <w:trHeight w:val="602"/>
        </w:trPr>
        <w:tc>
          <w:tcPr>
            <w:tcW w:w="9781" w:type="dxa"/>
            <w:gridSpan w:val="2"/>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Authority’s report was informed by a comprehensive evidence base, including the Authority’s own research and analysis, using both domestic and international sources, and extensive stakeholder consultations. The Authority’s research report contains 186 citations and draws on the latest, best available and most relevant information from stakeholder consultations, academic journal articles and other reports and research. </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To collect up-to-date and relevant information from a broad range of stakeholders with different perspectives, the Authority consulted with more than 25 organisations and received 19 written submissions. The Authority spoke to individuals from all levels of government, natural resource management groups, industry and academics. The Authority also drew on public submissions to other Government review processes.</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diverse range of views collected through consultations and submissions are reflected in the research report’s content, which has over 20 references to stakeholder submissions or other communications.</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Authority also undertook a comprehensive fact checking process internally and engaged with experts during the development of the review report and its recommendations. The Authority’s findings were a result of independent decision making by Authority members, supported by the secretariat.</w:t>
            </w:r>
          </w:p>
        </w:tc>
      </w:tr>
      <w:tr w:rsidR="00D66275" w:rsidRPr="00D66275" w:rsidTr="00D66275">
        <w:trPr>
          <w:trHeight w:val="325"/>
        </w:trPr>
        <w:tc>
          <w:tcPr>
            <w:tcW w:w="6117" w:type="dxa"/>
            <w:tcBorders>
              <w:top w:val="single" w:sz="4" w:space="0" w:color="000000"/>
              <w:left w:val="single" w:sz="6" w:space="0" w:color="auto"/>
              <w:bottom w:val="single" w:sz="4" w:space="0" w:color="000000"/>
              <w:right w:val="nil"/>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Government considers the Authority’s findings and recommendations in developing and implementing policy</w:t>
            </w:r>
          </w:p>
        </w:tc>
        <w:tc>
          <w:tcPr>
            <w:tcW w:w="3664" w:type="dxa"/>
            <w:tcBorders>
              <w:top w:val="single" w:sz="4" w:space="0" w:color="000000"/>
              <w:left w:val="nil"/>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On track to meet</w:t>
            </w:r>
          </w:p>
        </w:tc>
      </w:tr>
      <w:tr w:rsidR="00D66275" w:rsidRPr="00D66275" w:rsidTr="00D66275">
        <w:trPr>
          <w:trHeight w:val="325"/>
        </w:trPr>
        <w:tc>
          <w:tcPr>
            <w:tcW w:w="9781" w:type="dxa"/>
            <w:gridSpan w:val="2"/>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Although the Government is not required to formally respond to the report’s recommendations, it has said in its </w:t>
            </w:r>
            <w:r w:rsidRPr="00D66275">
              <w:rPr>
                <w:rFonts w:ascii="Calibri" w:hAnsi="Calibri" w:cs="Calibri"/>
                <w:i/>
                <w:iCs/>
                <w:color w:val="000000"/>
                <w:sz w:val="16"/>
                <w:szCs w:val="16"/>
                <w:lang w:val="en-GB"/>
              </w:rPr>
              <w:t>2017 Review of Climate Change Policies</w:t>
            </w:r>
            <w:r w:rsidRPr="00D66275">
              <w:rPr>
                <w:rFonts w:ascii="Calibri" w:hAnsi="Calibri" w:cs="Calibri"/>
                <w:color w:val="000000"/>
                <w:sz w:val="16"/>
                <w:szCs w:val="16"/>
                <w:lang w:val="en-GB"/>
              </w:rPr>
              <w:t xml:space="preserve"> that it would consider the Authority’s findings.</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During the development of the report and in response to requests, the Authority has spoken with officers from the Department of the Environment and Energy and the Department of Agriculture and Water Resources about the findings and recommendations of this report. </w:t>
            </w:r>
          </w:p>
        </w:tc>
      </w:tr>
      <w:tr w:rsidR="00D66275" w:rsidRPr="00D66275" w:rsidTr="00D66275">
        <w:trPr>
          <w:trHeight w:val="325"/>
        </w:trPr>
        <w:tc>
          <w:tcPr>
            <w:tcW w:w="6117" w:type="dxa"/>
            <w:tcBorders>
              <w:top w:val="single" w:sz="4" w:space="0" w:color="000000"/>
              <w:left w:val="single" w:sz="6" w:space="0" w:color="auto"/>
              <w:bottom w:val="single" w:sz="4" w:space="0" w:color="000000"/>
              <w:right w:val="nil"/>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The Authority’s research and analysis influences the public policy debate on climate change issues</w:t>
            </w:r>
          </w:p>
        </w:tc>
        <w:tc>
          <w:tcPr>
            <w:tcW w:w="3664" w:type="dxa"/>
            <w:tcBorders>
              <w:top w:val="single" w:sz="4" w:space="0" w:color="000000"/>
              <w:left w:val="nil"/>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D66275">
        <w:trPr>
          <w:trHeight w:val="325"/>
        </w:trPr>
        <w:tc>
          <w:tcPr>
            <w:tcW w:w="9781" w:type="dxa"/>
            <w:gridSpan w:val="2"/>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research report was placed on the Authority’s website on 27 April 2018. It has generated widespread interest having been viewed over 500 times and picked up in media reports, including in Carbon Pulse and Footprint. The acting CEO was asked to present on the findings of this work at the Carbon Market Institute conference in May 2018. The Authority has discussed the report with a range of organisations during its development and following its release and has also outlined its key findings to Parliamentary committees.</w:t>
            </w:r>
          </w:p>
        </w:tc>
      </w:tr>
      <w:tr w:rsidR="00D66275" w:rsidRPr="00D66275" w:rsidTr="00D66275">
        <w:trPr>
          <w:trHeight w:val="325"/>
        </w:trPr>
        <w:tc>
          <w:tcPr>
            <w:tcW w:w="6117" w:type="dxa"/>
            <w:tcBorders>
              <w:top w:val="single" w:sz="4" w:space="0" w:color="000000"/>
              <w:left w:val="single" w:sz="6" w:space="0" w:color="auto"/>
              <w:bottom w:val="single" w:sz="4" w:space="0" w:color="000000"/>
              <w:right w:val="nil"/>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Public consultation is comprehensive, representative and transparent</w:t>
            </w:r>
          </w:p>
        </w:tc>
        <w:tc>
          <w:tcPr>
            <w:tcW w:w="3664" w:type="dxa"/>
            <w:tcBorders>
              <w:top w:val="single" w:sz="4" w:space="0" w:color="000000"/>
              <w:left w:val="nil"/>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D66275">
        <w:trPr>
          <w:trHeight w:val="552"/>
        </w:trPr>
        <w:tc>
          <w:tcPr>
            <w:tcW w:w="9781" w:type="dxa"/>
            <w:gridSpan w:val="2"/>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Public consultation was comprehensive and representative. The Authority consulted with more than 45 people from over 25 organisations and received 19 written submissions from a broad cross-section of stakeholders across all levels of government, natural resource management groups, industry and academics. The Authority also drew on public submissions to other Government review processes.</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Public consultation was transparent. The Authority published an issues paper calling for input on the report in March 2017. Written submissions are available on the Authority’s website (other than those submissions marked as confidential).</w:t>
            </w:r>
          </w:p>
        </w:tc>
      </w:tr>
      <w:tr w:rsidR="00D66275" w:rsidRPr="00D66275" w:rsidTr="00D66275">
        <w:trPr>
          <w:trHeight w:val="337"/>
        </w:trPr>
        <w:tc>
          <w:tcPr>
            <w:tcW w:w="6117" w:type="dxa"/>
            <w:tcBorders>
              <w:top w:val="single" w:sz="4" w:space="0" w:color="000000"/>
              <w:left w:val="single" w:sz="6" w:space="0" w:color="auto"/>
              <w:bottom w:val="single" w:sz="4" w:space="0" w:color="000000"/>
              <w:right w:val="nil"/>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Target: Authority members express satisfaction with secretariat’s work</w:t>
            </w:r>
          </w:p>
        </w:tc>
        <w:tc>
          <w:tcPr>
            <w:tcW w:w="3664" w:type="dxa"/>
            <w:tcBorders>
              <w:top w:val="single" w:sz="4" w:space="0" w:color="000000"/>
              <w:left w:val="nil"/>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Met</w:t>
            </w:r>
          </w:p>
        </w:tc>
      </w:tr>
      <w:tr w:rsidR="00D66275" w:rsidRPr="00D66275" w:rsidTr="00D66275">
        <w:trPr>
          <w:trHeight w:val="590"/>
        </w:trPr>
        <w:tc>
          <w:tcPr>
            <w:tcW w:w="9781" w:type="dxa"/>
            <w:gridSpan w:val="2"/>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The secretariat met the Authority’s expectations around the timely delivery of research, analysis and overviews of stakeholder feedback given changing priorities, resources and deadlines. </w:t>
            </w:r>
          </w:p>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Authority members, including the Chair, provided positive feedback to the secretariat on the process for undertaking the review and the review report.</w:t>
            </w:r>
          </w:p>
        </w:tc>
      </w:tr>
    </w:tbl>
    <w:p w:rsidR="00D66275" w:rsidRPr="00D66275" w:rsidRDefault="00D66275" w:rsidP="00D66275">
      <w:pPr>
        <w:autoSpaceDE w:val="0"/>
        <w:autoSpaceDN w:val="0"/>
        <w:adjustRightInd w:val="0"/>
        <w:spacing w:after="200" w:line="276" w:lineRule="auto"/>
        <w:textAlignment w:val="center"/>
        <w:rPr>
          <w:rFonts w:ascii="Calibri" w:hAnsi="Calibri" w:cs="Calibri"/>
          <w:color w:val="414141"/>
          <w:sz w:val="22"/>
          <w:szCs w:val="22"/>
          <w:lang w:val="en-US"/>
        </w:rPr>
      </w:pPr>
    </w:p>
    <w:p w:rsidR="00D66275" w:rsidRDefault="00D66275">
      <w:pPr>
        <w:rPr>
          <w:rFonts w:ascii="Calibri" w:hAnsi="Calibri" w:cs="Calibri"/>
          <w:b/>
          <w:bCs/>
          <w:caps/>
          <w:color w:val="00B6E8"/>
          <w:spacing w:val="17"/>
          <w:sz w:val="34"/>
          <w:szCs w:val="34"/>
          <w:lang w:val="en-GB"/>
        </w:rPr>
      </w:pPr>
      <w:r>
        <w:rPr>
          <w:rFonts w:ascii="Calibri" w:hAnsi="Calibri" w:cs="Calibri"/>
          <w:b/>
          <w:bCs/>
          <w:caps/>
          <w:color w:val="00B6E8"/>
          <w:spacing w:val="17"/>
          <w:sz w:val="34"/>
          <w:szCs w:val="34"/>
          <w:lang w:val="en-GB"/>
        </w:rPr>
        <w:br w:type="page"/>
      </w:r>
    </w:p>
    <w:p w:rsidR="00D66275" w:rsidRPr="00D66275" w:rsidRDefault="00D66275" w:rsidP="00DD269C">
      <w:pPr>
        <w:pStyle w:val="01Heading1"/>
      </w:pPr>
      <w:bookmarkStart w:id="13" w:name="_Toc527458436"/>
      <w:r w:rsidRPr="00D66275">
        <w:t>5 Management and Accountability</w:t>
      </w:r>
      <w:bookmarkEnd w:id="13"/>
    </w:p>
    <w:p w:rsidR="00D66275" w:rsidRPr="00D66275" w:rsidRDefault="00D66275" w:rsidP="00DD269C">
      <w:pPr>
        <w:pStyle w:val="02Heading2"/>
      </w:pPr>
      <w:bookmarkStart w:id="14" w:name="_Toc527458437"/>
      <w:r w:rsidRPr="00D66275">
        <w:t>5.1.</w:t>
      </w:r>
      <w:r w:rsidRPr="00D66275">
        <w:tab/>
        <w:t>Corporate Governance</w:t>
      </w:r>
      <w:bookmarkEnd w:id="14"/>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Climate Change Authority is a non-corporate independent statutory authority comprising a Chair and up to eight members. The Authority is supported by a CEO and nine other staff (as at 30 June 2018).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As with other Commonwealth bodies where a significant degree of independence is required, the Authority is subject to ministerial direction on general matters only, not on the conduct or content of its reviews.</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Authority’s CEO is responsible for its day-to-day administration. During 2017–18, the acting CEO was supported by the acting General Manager Reviews and a Chief Finance Officer. This group comprises the Authority’s executive management team.</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i/>
          <w:iCs/>
          <w:color w:val="000000"/>
          <w:sz w:val="18"/>
          <w:szCs w:val="18"/>
          <w:lang w:val="en-GB"/>
        </w:rPr>
      </w:pPr>
      <w:r w:rsidRPr="00D66275">
        <w:rPr>
          <w:rFonts w:ascii="Calibri" w:hAnsi="Calibri" w:cs="Calibri"/>
          <w:color w:val="000000"/>
          <w:sz w:val="18"/>
          <w:szCs w:val="18"/>
          <w:lang w:val="en-GB"/>
        </w:rPr>
        <w:t xml:space="preserve">The Authority is bound by the PGPA Act and the </w:t>
      </w:r>
      <w:r w:rsidRPr="00D66275">
        <w:rPr>
          <w:rFonts w:ascii="Calibri" w:hAnsi="Calibri" w:cs="Calibri"/>
          <w:i/>
          <w:iCs/>
          <w:color w:val="000000"/>
          <w:sz w:val="18"/>
          <w:szCs w:val="18"/>
          <w:lang w:val="en-GB"/>
        </w:rPr>
        <w:t>Public Service Act 1999.</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Authority’s recently published corporate plan covers the periods 2018–19 to 2021–22. It was prepared in accordance with the requirements of the PGPA Act. This plan, along with the governance, direction and compliance requirements of the PGPA Act and the </w:t>
      </w:r>
      <w:r w:rsidRPr="00D66275">
        <w:rPr>
          <w:rFonts w:ascii="Calibri" w:hAnsi="Calibri" w:cs="Calibri"/>
          <w:i/>
          <w:iCs/>
          <w:color w:val="000000"/>
          <w:sz w:val="18"/>
          <w:szCs w:val="18"/>
          <w:lang w:val="en-GB"/>
        </w:rPr>
        <w:t>Public Service Act 1999</w:t>
      </w:r>
      <w:r w:rsidRPr="00D66275">
        <w:rPr>
          <w:rFonts w:ascii="Calibri" w:hAnsi="Calibri" w:cs="Calibri"/>
          <w:color w:val="000000"/>
          <w:sz w:val="18"/>
          <w:szCs w:val="18"/>
          <w:lang w:val="en-GB"/>
        </w:rPr>
        <w:t>, provides the Authority with a strong corporate governance environment.</w:t>
      </w:r>
    </w:p>
    <w:p w:rsidR="00D66275" w:rsidRPr="00CD4539" w:rsidRDefault="00D66275" w:rsidP="00CD4539">
      <w:pPr>
        <w:pStyle w:val="03Heading3"/>
      </w:pPr>
      <w:bookmarkStart w:id="15" w:name="_Toc527458438"/>
      <w:r w:rsidRPr="00CD4539">
        <w:t>5.1.1</w:t>
      </w:r>
      <w:r w:rsidRPr="00CD4539">
        <w:tab/>
        <w:t>Risk Management</w:t>
      </w:r>
      <w:bookmarkEnd w:id="15"/>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recognises that effective risk management is a key element in effective governance. In 2017–18, the Authority further refined the foundation work on risk management that was undertaken in its first five years of operation. An ongoing major focus for 2017–18 was to ensure that risk management was maintained as an organisation-wide priority and to further embed Authority risk management practices.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updated its Risk Management Policy and Framework which was endorsed by the Audit Committee in March 2018. The Chief Finance Officer is responsible for maintaining the Strategic Risk Profile. Individual risk action plans are maintained that identify the current risk profile, current controls and agreed management actions. The Strategic Risk Profile and risk action plans are updated and any changes in the risk profile or key risks are reported to the executive management team and Audit Committee on a regular basis.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Authority’s risk management framework complies with the requirements of the Commonwealth Risk Management Policy and the PGPA Act. </w:t>
      </w:r>
    </w:p>
    <w:p w:rsidR="00D66275" w:rsidRPr="00CD4539" w:rsidRDefault="00D66275" w:rsidP="00CD4539">
      <w:pPr>
        <w:pStyle w:val="03Heading3"/>
      </w:pPr>
      <w:bookmarkStart w:id="16" w:name="_Toc527458439"/>
      <w:r w:rsidRPr="00CD4539">
        <w:t>5.1.2</w:t>
      </w:r>
      <w:r w:rsidRPr="00CD4539">
        <w:tab/>
        <w:t>Fraud Control</w:t>
      </w:r>
      <w:bookmarkEnd w:id="16"/>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updated its Fraud Control Plan which was endorsed by the Audit Committee in March 2018. The plan complies with the requirements of the Commonwealth Fraud Control Policy and PGPA Act. The Fraud Control Plan sets the standard and process for the management, control and reporting of actual fraud, suspected fraud and the risk of fraud. All suspected fraud matters are required to be reported to the CEO and Audit Committee.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As part of its ongoing fraud risk assessment activities, the Authority conducted a review of its fraud risks and a formal risk assessment. This included identifying control measures and proposed treatments. The plan requires all Authority staff to participate in fraud awareness training.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There were no incidents of suspected or actual fraud in 2017–18.</w:t>
      </w:r>
    </w:p>
    <w:p w:rsidR="00D66275" w:rsidRPr="00CD4539" w:rsidRDefault="00D66275" w:rsidP="00CD4539">
      <w:pPr>
        <w:pStyle w:val="03Heading3"/>
      </w:pPr>
      <w:bookmarkStart w:id="17" w:name="_Toc527458440"/>
      <w:r w:rsidRPr="00CD4539">
        <w:t>5.1.3</w:t>
      </w:r>
      <w:r w:rsidRPr="00CD4539">
        <w:tab/>
        <w:t>Assets and Asset Management</w:t>
      </w:r>
      <w:bookmarkEnd w:id="17"/>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In 2017–18, the Authority did not manage assets. All assets were transferred to the Department of the Environment and Energy in September 2016, following the move from Melbourne to Canberra. </w:t>
      </w:r>
    </w:p>
    <w:p w:rsidR="00D66275" w:rsidRPr="00CD4539" w:rsidRDefault="00D66275" w:rsidP="00CD4539">
      <w:pPr>
        <w:pStyle w:val="03Heading3"/>
      </w:pPr>
      <w:bookmarkStart w:id="18" w:name="_Toc527458441"/>
      <w:r w:rsidRPr="00CD4539">
        <w:t>5.1.4</w:t>
      </w:r>
      <w:r w:rsidRPr="00CD4539">
        <w:tab/>
        <w:t>Shared Services</w:t>
      </w:r>
      <w:bookmarkEnd w:id="18"/>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maintains agreements for the provision of corporate services with the Department of Industry, Innovation and Science and the Department of the Environment and Energy.</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Industry arrangement covers the provision of finance, payroll and human resources systems and support.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Environment arrangement provides information technology systems and support, and some corporate support including legal, freedom of information, budget coordination and some travel services.</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These arrangements are performed on a fee-for-service basis. They are appropriate for a small agency, in line with the Government’s shared services agenda, and provide continuity in an uncertain environment.</w:t>
      </w:r>
    </w:p>
    <w:p w:rsidR="00D66275" w:rsidRPr="00CD4539" w:rsidRDefault="00D66275" w:rsidP="00CD4539">
      <w:pPr>
        <w:pStyle w:val="03Heading3"/>
      </w:pPr>
      <w:bookmarkStart w:id="19" w:name="_Toc527458442"/>
      <w:r w:rsidRPr="00CD4539">
        <w:t>5.1.5</w:t>
      </w:r>
      <w:r w:rsidRPr="00CD4539">
        <w:tab/>
        <w:t>Internal Audit</w:t>
      </w:r>
      <w:bookmarkEnd w:id="19"/>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Authority’s Audit Committee provides independent advice to the CEO on risk, fraud management and performance reporting and ensures the Authority has a strong compliance framework.</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In 2017–18, there were two new appointments to the committee. In March 2018, Mr Chris Ramsden replaced Ms Lily </w:t>
      </w:r>
      <w:proofErr w:type="spellStart"/>
      <w:r w:rsidRPr="00D66275">
        <w:rPr>
          <w:rFonts w:ascii="Calibri" w:hAnsi="Calibri" w:cs="Calibri"/>
          <w:color w:val="000000"/>
          <w:sz w:val="18"/>
          <w:szCs w:val="18"/>
          <w:lang w:val="en-GB"/>
        </w:rPr>
        <w:t>Viertmann</w:t>
      </w:r>
      <w:proofErr w:type="spellEnd"/>
      <w:r w:rsidRPr="00D66275">
        <w:rPr>
          <w:rFonts w:ascii="Calibri" w:hAnsi="Calibri" w:cs="Calibri"/>
          <w:color w:val="000000"/>
          <w:sz w:val="18"/>
          <w:szCs w:val="18"/>
          <w:lang w:val="en-GB"/>
        </w:rPr>
        <w:t xml:space="preserve">, and in May 2018, </w:t>
      </w:r>
      <w:proofErr w:type="spellStart"/>
      <w:r w:rsidRPr="00D66275">
        <w:rPr>
          <w:rFonts w:ascii="Calibri" w:hAnsi="Calibri" w:cs="Calibri"/>
          <w:color w:val="000000"/>
          <w:sz w:val="18"/>
          <w:szCs w:val="18"/>
          <w:lang w:val="en-GB"/>
        </w:rPr>
        <w:t>Sita</w:t>
      </w:r>
      <w:proofErr w:type="spellEnd"/>
      <w:r w:rsidRPr="00D66275">
        <w:rPr>
          <w:rFonts w:ascii="Calibri" w:hAnsi="Calibri" w:cs="Calibri"/>
          <w:color w:val="000000"/>
          <w:sz w:val="18"/>
          <w:szCs w:val="18"/>
          <w:lang w:val="en-GB"/>
        </w:rPr>
        <w:t xml:space="preserve"> Jackson was appointed.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Audit Committee met twice during the year—on 20 September 2017 and 26 March 2018, with member attendance detailed in Table 5.1.</w:t>
      </w:r>
    </w:p>
    <w:p w:rsidR="00D66275" w:rsidRPr="00D66275" w:rsidRDefault="00D66275" w:rsidP="00684F70">
      <w:pPr>
        <w:keepNext/>
        <w:tabs>
          <w:tab w:val="left" w:pos="1418"/>
        </w:tabs>
        <w:suppressAutoHyphens/>
        <w:autoSpaceDE w:val="0"/>
        <w:autoSpaceDN w:val="0"/>
        <w:adjustRightInd w:val="0"/>
        <w:spacing w:before="283" w:after="170" w:line="20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sz w:val="16"/>
          <w:szCs w:val="16"/>
          <w:lang w:val="en-GB"/>
        </w:rPr>
        <w:t>Table 5.1: Audit Committee members &amp; aTTENDANCE</w:t>
      </w:r>
    </w:p>
    <w:tbl>
      <w:tblPr>
        <w:tblW w:w="0" w:type="auto"/>
        <w:tblInd w:w="-8" w:type="dxa"/>
        <w:tblLayout w:type="fixed"/>
        <w:tblCellMar>
          <w:left w:w="0" w:type="dxa"/>
          <w:right w:w="0" w:type="dxa"/>
        </w:tblCellMar>
        <w:tblLook w:val="0000" w:firstRow="0" w:lastRow="0" w:firstColumn="0" w:lastColumn="0" w:noHBand="0" w:noVBand="0"/>
      </w:tblPr>
      <w:tblGrid>
        <w:gridCol w:w="3713"/>
        <w:gridCol w:w="3714"/>
      </w:tblGrid>
      <w:tr w:rsidR="00D66275" w:rsidRPr="00D66275">
        <w:trPr>
          <w:trHeight w:val="186"/>
          <w:tblHeader/>
        </w:trPr>
        <w:tc>
          <w:tcPr>
            <w:tcW w:w="3713" w:type="dxa"/>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 SEPTEMBER 2017</w:t>
            </w:r>
          </w:p>
        </w:tc>
        <w:tc>
          <w:tcPr>
            <w:tcW w:w="3714" w:type="dxa"/>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26 MARCH 2018</w:t>
            </w:r>
          </w:p>
        </w:tc>
      </w:tr>
      <w:tr w:rsidR="00D66275" w:rsidRPr="00D66275">
        <w:trPr>
          <w:trHeight w:val="170"/>
        </w:trPr>
        <w:tc>
          <w:tcPr>
            <w:tcW w:w="3713"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Ms Jo Schumann (Chair)</w:t>
            </w:r>
          </w:p>
        </w:tc>
        <w:tc>
          <w:tcPr>
            <w:tcW w:w="3714"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Ms Jo Schumann (Chair)</w:t>
            </w:r>
          </w:p>
        </w:tc>
      </w:tr>
      <w:tr w:rsidR="00D66275" w:rsidRPr="00D66275">
        <w:trPr>
          <w:trHeight w:val="170"/>
        </w:trPr>
        <w:tc>
          <w:tcPr>
            <w:tcW w:w="3713"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Ms Carol Cote on behalf of Ms Lily </w:t>
            </w:r>
            <w:proofErr w:type="spellStart"/>
            <w:r w:rsidRPr="00D66275">
              <w:rPr>
                <w:rFonts w:ascii="Calibri" w:hAnsi="Calibri" w:cs="Calibri"/>
                <w:color w:val="000000"/>
                <w:sz w:val="16"/>
                <w:szCs w:val="16"/>
                <w:lang w:val="en-GB"/>
              </w:rPr>
              <w:t>Viertmann</w:t>
            </w:r>
            <w:proofErr w:type="spellEnd"/>
          </w:p>
        </w:tc>
        <w:tc>
          <w:tcPr>
            <w:tcW w:w="3714"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Mr John Begley on behalf of Ms Linda </w:t>
            </w:r>
            <w:proofErr w:type="spellStart"/>
            <w:r w:rsidRPr="00D66275">
              <w:rPr>
                <w:rFonts w:ascii="Calibri" w:hAnsi="Calibri" w:cs="Calibri"/>
                <w:color w:val="000000"/>
                <w:sz w:val="16"/>
                <w:szCs w:val="16"/>
                <w:lang w:val="en-GB"/>
              </w:rPr>
              <w:t>Nitschke</w:t>
            </w:r>
            <w:proofErr w:type="spellEnd"/>
          </w:p>
        </w:tc>
      </w:tr>
      <w:tr w:rsidR="00D66275" w:rsidRPr="00D66275">
        <w:trPr>
          <w:trHeight w:val="170"/>
        </w:trPr>
        <w:tc>
          <w:tcPr>
            <w:tcW w:w="3713"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Mr. John Begley on behalf of Ms Linda </w:t>
            </w:r>
            <w:proofErr w:type="spellStart"/>
            <w:r w:rsidRPr="00D66275">
              <w:rPr>
                <w:rFonts w:ascii="Calibri" w:hAnsi="Calibri" w:cs="Calibri"/>
                <w:color w:val="000000"/>
                <w:sz w:val="16"/>
                <w:szCs w:val="16"/>
                <w:lang w:val="en-GB"/>
              </w:rPr>
              <w:t>Nitschke</w:t>
            </w:r>
            <w:proofErr w:type="spellEnd"/>
          </w:p>
        </w:tc>
        <w:tc>
          <w:tcPr>
            <w:tcW w:w="3714"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Mr Chris </w:t>
            </w:r>
            <w:proofErr w:type="spellStart"/>
            <w:r w:rsidRPr="00D66275">
              <w:rPr>
                <w:rFonts w:ascii="Calibri" w:hAnsi="Calibri" w:cs="Calibri"/>
                <w:color w:val="000000"/>
                <w:sz w:val="16"/>
                <w:szCs w:val="16"/>
                <w:lang w:val="en-GB"/>
              </w:rPr>
              <w:t>Pattas</w:t>
            </w:r>
            <w:proofErr w:type="spellEnd"/>
          </w:p>
        </w:tc>
      </w:tr>
      <w:tr w:rsidR="00D66275" w:rsidRPr="00D66275">
        <w:trPr>
          <w:trHeight w:val="170"/>
        </w:trPr>
        <w:tc>
          <w:tcPr>
            <w:tcW w:w="3713"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Mr Chris </w:t>
            </w:r>
            <w:proofErr w:type="spellStart"/>
            <w:r w:rsidRPr="00D66275">
              <w:rPr>
                <w:rFonts w:ascii="Calibri" w:hAnsi="Calibri" w:cs="Calibri"/>
                <w:color w:val="000000"/>
                <w:sz w:val="16"/>
                <w:szCs w:val="16"/>
                <w:lang w:val="en-GB"/>
              </w:rPr>
              <w:t>Pattas</w:t>
            </w:r>
            <w:proofErr w:type="spellEnd"/>
            <w:r w:rsidRPr="00D66275">
              <w:rPr>
                <w:rFonts w:ascii="Calibri" w:hAnsi="Calibri" w:cs="Calibri"/>
                <w:color w:val="000000"/>
                <w:sz w:val="16"/>
                <w:szCs w:val="16"/>
                <w:lang w:val="en-GB"/>
              </w:rPr>
              <w:t xml:space="preserve"> (apologies)</w:t>
            </w:r>
          </w:p>
        </w:tc>
        <w:tc>
          <w:tcPr>
            <w:tcW w:w="3714"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Mr Chris Ramsden</w:t>
            </w:r>
          </w:p>
        </w:tc>
      </w:tr>
    </w:tbl>
    <w:p w:rsidR="00D66275" w:rsidRPr="00D66275" w:rsidRDefault="00D66275" w:rsidP="00D66275">
      <w:pPr>
        <w:tabs>
          <w:tab w:val="left" w:pos="2268"/>
        </w:tabs>
        <w:suppressAutoHyphens/>
        <w:autoSpaceDE w:val="0"/>
        <w:autoSpaceDN w:val="0"/>
        <w:adjustRightInd w:val="0"/>
        <w:spacing w:before="283"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For 2017–18, the major business of the committee focused on reviewing or approving the Authority’s governance arrangements including:</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Risk Management Policy and Framework </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Fraud Control Plan</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Business Continuity Plan</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budget processes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performance reporting, including key performance indicators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internal shared service governance arrangements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compliance reporting</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the Audit Plan.</w:t>
      </w:r>
    </w:p>
    <w:p w:rsidR="00D66275" w:rsidRPr="00CD4539" w:rsidRDefault="00D66275" w:rsidP="00CD4539">
      <w:pPr>
        <w:pStyle w:val="03Heading3"/>
      </w:pPr>
      <w:bookmarkStart w:id="20" w:name="_Toc527458443"/>
      <w:r w:rsidRPr="00CD4539">
        <w:t>5.1.6</w:t>
      </w:r>
      <w:r w:rsidRPr="00CD4539">
        <w:tab/>
        <w:t>External Scrutiny</w:t>
      </w:r>
      <w:bookmarkEnd w:id="20"/>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During 2017–18:</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no judicial, administrative tribunal or Australian Information Commissioner decisions relating to the Authority were handed down</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b/>
          <w:bCs/>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there were no reports by the Auditor-General on the operations of the Authority, other than the report on the annual financial statements contained at</w:t>
      </w:r>
      <w:r w:rsidRPr="00D66275">
        <w:rPr>
          <w:rFonts w:ascii="Calibri" w:hAnsi="Calibri" w:cs="Calibri"/>
          <w:b/>
          <w:bCs/>
          <w:color w:val="000000"/>
          <w:sz w:val="18"/>
          <w:szCs w:val="18"/>
          <w:lang w:val="en-GB"/>
        </w:rPr>
        <w:t xml:space="preserve"> Appendix A</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there were no reports on the operations of the Authority conducted by a Parliamentary Committee or the Commonwealth Ombudsman</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the Authority appeared before the Senate Standing Committee on Environment and Communications for Senate Budget and Additional Estimates as required.</w:t>
      </w:r>
    </w:p>
    <w:p w:rsidR="00D66275" w:rsidRPr="00CD4539" w:rsidRDefault="00D66275" w:rsidP="00CD4539">
      <w:pPr>
        <w:pStyle w:val="03Heading3"/>
      </w:pPr>
      <w:bookmarkStart w:id="21" w:name="_Toc527458444"/>
      <w:r w:rsidRPr="00CD4539">
        <w:t>5.1.7</w:t>
      </w:r>
      <w:r w:rsidRPr="00CD4539">
        <w:tab/>
        <w:t>Ethical Standards</w:t>
      </w:r>
      <w:bookmarkEnd w:id="21"/>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In managing and developing its people, the Authority is bound by the </w:t>
      </w:r>
      <w:r w:rsidRPr="00D66275">
        <w:rPr>
          <w:rFonts w:ascii="Calibri" w:hAnsi="Calibri" w:cs="Calibri"/>
          <w:i/>
          <w:iCs/>
          <w:color w:val="000000"/>
          <w:sz w:val="18"/>
          <w:szCs w:val="18"/>
          <w:lang w:val="en-GB"/>
        </w:rPr>
        <w:t>Public Service Act 1999</w:t>
      </w:r>
      <w:r w:rsidRPr="00D66275">
        <w:rPr>
          <w:rFonts w:ascii="Calibri" w:hAnsi="Calibri" w:cs="Calibri"/>
          <w:color w:val="000000"/>
          <w:sz w:val="18"/>
          <w:szCs w:val="18"/>
          <w:lang w:val="en-GB"/>
        </w:rPr>
        <w:t xml:space="preserve"> and the guidelines of the Australian Public Services Commission.</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Values and behaviours are a key element of the Authority’s corporate plan, and the Authority’s values and behaviours align to the Australian Public Service Values and Code of Conduct.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During 2017–18, the Authority maintained a range of measures to promote ethical standards and all employees were provided with a copy of the Australian Public Service Values and Code of Conduct.</w:t>
      </w:r>
    </w:p>
    <w:p w:rsidR="00D66275" w:rsidRPr="00CD4539" w:rsidRDefault="00D66275" w:rsidP="00CD4539">
      <w:pPr>
        <w:pStyle w:val="03Heading3"/>
      </w:pPr>
      <w:bookmarkStart w:id="22" w:name="_Toc527458445"/>
      <w:r w:rsidRPr="00CD4539">
        <w:t>5.1.8</w:t>
      </w:r>
      <w:r w:rsidRPr="00CD4539">
        <w:tab/>
        <w:t>Freedom of Information</w:t>
      </w:r>
      <w:bookmarkEnd w:id="22"/>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Agencies subject to the </w:t>
      </w:r>
      <w:r w:rsidRPr="00D66275">
        <w:rPr>
          <w:rFonts w:ascii="Calibri" w:hAnsi="Calibri" w:cs="Calibri"/>
          <w:i/>
          <w:iCs/>
          <w:color w:val="000000"/>
          <w:sz w:val="18"/>
          <w:szCs w:val="18"/>
          <w:lang w:val="en-GB"/>
        </w:rPr>
        <w:t>Freedom of Information Act 1982</w:t>
      </w:r>
      <w:r w:rsidRPr="00D66275">
        <w:rPr>
          <w:rFonts w:ascii="Calibri" w:hAnsi="Calibri" w:cs="Calibri"/>
          <w:color w:val="000000"/>
          <w:sz w:val="18"/>
          <w:szCs w:val="18"/>
          <w:lang w:val="en-GB"/>
        </w:rPr>
        <w:t xml:space="preserve"> (FOI Act) are required to publish information as part of the Information Publication Scheme. This requirement is in Part II of the FOI Act and has replaced the former requirement to publish a section 8 statement in an annual report.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Each agency must display on its website a plan showing what information it publishes in accordance with the Information Publication Scheme requirements. The Authority publishes on its website all mandatory information on activities under the FOI Act.</w:t>
      </w:r>
    </w:p>
    <w:p w:rsidR="00D66275" w:rsidRPr="00CD4539" w:rsidRDefault="00D66275" w:rsidP="00CD4539">
      <w:pPr>
        <w:pStyle w:val="03Heading3"/>
      </w:pPr>
      <w:bookmarkStart w:id="23" w:name="_Toc527458446"/>
      <w:r w:rsidRPr="00CD4539">
        <w:t>5.1.9</w:t>
      </w:r>
      <w:r w:rsidRPr="00CD4539">
        <w:tab/>
        <w:t>Ecologically Sustainable Development and Environmental Performance</w:t>
      </w:r>
      <w:bookmarkEnd w:id="23"/>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Section 516A of the </w:t>
      </w:r>
      <w:r w:rsidRPr="00D66275">
        <w:rPr>
          <w:rFonts w:ascii="Calibri" w:hAnsi="Calibri" w:cs="Calibri"/>
          <w:i/>
          <w:iCs/>
          <w:color w:val="000000"/>
          <w:sz w:val="18"/>
          <w:szCs w:val="18"/>
          <w:lang w:val="en-GB"/>
        </w:rPr>
        <w:t>Environment Protection and Biodiversity Conservation Act 1991</w:t>
      </w:r>
      <w:r w:rsidRPr="00D66275">
        <w:rPr>
          <w:rFonts w:ascii="Calibri" w:hAnsi="Calibri" w:cs="Calibri"/>
          <w:color w:val="000000"/>
          <w:sz w:val="18"/>
          <w:szCs w:val="18"/>
          <w:lang w:val="en-GB"/>
        </w:rPr>
        <w:t xml:space="preserve"> requires Commonwealth Government organisations to detail their environmental performance and contribution to ecologically sustainable development in their annual reports. Further information about the Act, including a link to the Act, can be found at www.environment.gov.au/epbc/about.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 2017–18, the Authority continued a range of measures contributing to ecologically sustainable measures including:</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providing downloadable publications on the Authority’s website to reduce the need to print and distribute hard-copy material</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purchasing paper with 100 per cent Australian recycled content</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applying sustainable practices in the office aimed at reducing energy and resource consumption including:</w:t>
      </w:r>
    </w:p>
    <w:p w:rsidR="00D66275" w:rsidRPr="00D66275" w:rsidRDefault="00D66275" w:rsidP="00D66275">
      <w:pPr>
        <w:tabs>
          <w:tab w:val="left" w:pos="283"/>
          <w:tab w:val="left" w:pos="2268"/>
        </w:tabs>
        <w:suppressAutoHyphens/>
        <w:autoSpaceDE w:val="0"/>
        <w:autoSpaceDN w:val="0"/>
        <w:adjustRightInd w:val="0"/>
        <w:spacing w:after="113" w:line="220" w:lineRule="atLeast"/>
        <w:ind w:left="567"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mandating default two-sided, black and white printing</w:t>
      </w:r>
    </w:p>
    <w:p w:rsidR="00D66275" w:rsidRPr="00D66275" w:rsidRDefault="00D66275" w:rsidP="00D66275">
      <w:pPr>
        <w:tabs>
          <w:tab w:val="left" w:pos="283"/>
          <w:tab w:val="left" w:pos="2268"/>
        </w:tabs>
        <w:suppressAutoHyphens/>
        <w:autoSpaceDE w:val="0"/>
        <w:autoSpaceDN w:val="0"/>
        <w:adjustRightInd w:val="0"/>
        <w:spacing w:after="113" w:line="220" w:lineRule="atLeast"/>
        <w:ind w:left="567"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ensuring equipment such as desktop computers, photocopiers, dishwashers and printers incorporate energy efficiency features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567"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recycling paper, cardboard and printer cartridges.</w:t>
      </w:r>
    </w:p>
    <w:p w:rsidR="00D66275" w:rsidRPr="00D66275" w:rsidRDefault="00D66275" w:rsidP="00DD269C">
      <w:pPr>
        <w:pStyle w:val="02Heading2"/>
      </w:pPr>
      <w:bookmarkStart w:id="24" w:name="_Toc527458447"/>
      <w:r w:rsidRPr="00D66275">
        <w:t>5.2.</w:t>
      </w:r>
      <w:r w:rsidRPr="00D66275">
        <w:tab/>
        <w:t>Financial Overview</w:t>
      </w:r>
      <w:bookmarkEnd w:id="24"/>
    </w:p>
    <w:p w:rsidR="00D66275" w:rsidRPr="00CD4539" w:rsidRDefault="00D66275" w:rsidP="00CD4539">
      <w:pPr>
        <w:pStyle w:val="03Heading3"/>
      </w:pPr>
      <w:bookmarkStart w:id="25" w:name="_Toc527458448"/>
      <w:r w:rsidRPr="00CD4539">
        <w:t>5.2.1</w:t>
      </w:r>
      <w:r w:rsidRPr="00CD4539">
        <w:tab/>
        <w:t>Financial Performance</w:t>
      </w:r>
      <w:bookmarkEnd w:id="25"/>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met all of its financial obligations in 2017–18. </w:t>
      </w:r>
    </w:p>
    <w:p w:rsidR="00D66275" w:rsidRPr="00CD4539" w:rsidRDefault="00D66275" w:rsidP="00CD4539">
      <w:pPr>
        <w:pStyle w:val="03Heading3"/>
      </w:pPr>
      <w:bookmarkStart w:id="26" w:name="_Toc527458449"/>
      <w:r w:rsidRPr="00CD4539">
        <w:t>5.2.2</w:t>
      </w:r>
      <w:r w:rsidRPr="00CD4539">
        <w:tab/>
        <w:t>Resource Statement 2017–18</w:t>
      </w:r>
      <w:bookmarkEnd w:id="26"/>
      <w:r w:rsidRPr="00CD4539">
        <w:t xml:space="preserve"> </w:t>
      </w:r>
    </w:p>
    <w:p w:rsidR="00D66275" w:rsidRPr="00D66275" w:rsidRDefault="00D66275" w:rsidP="00684F70">
      <w:pPr>
        <w:keepNext/>
        <w:tabs>
          <w:tab w:val="left" w:pos="1418"/>
        </w:tabs>
        <w:suppressAutoHyphens/>
        <w:autoSpaceDE w:val="0"/>
        <w:autoSpaceDN w:val="0"/>
        <w:adjustRightInd w:val="0"/>
        <w:spacing w:before="283" w:after="113" w:line="20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sz w:val="16"/>
          <w:szCs w:val="16"/>
          <w:lang w:val="en-GB"/>
        </w:rPr>
        <w:t>Table 5.2: Resource statement 2017–18</w:t>
      </w:r>
    </w:p>
    <w:tbl>
      <w:tblPr>
        <w:tblW w:w="0" w:type="auto"/>
        <w:tblInd w:w="-8" w:type="dxa"/>
        <w:tblLayout w:type="fixed"/>
        <w:tblCellMar>
          <w:left w:w="0" w:type="dxa"/>
          <w:right w:w="0" w:type="dxa"/>
        </w:tblCellMar>
        <w:tblLook w:val="0000" w:firstRow="0" w:lastRow="0" w:firstColumn="0" w:lastColumn="0" w:noHBand="0" w:noVBand="0"/>
      </w:tblPr>
      <w:tblGrid>
        <w:gridCol w:w="2721"/>
        <w:gridCol w:w="1928"/>
        <w:gridCol w:w="1261"/>
        <w:gridCol w:w="1507"/>
      </w:tblGrid>
      <w:tr w:rsidR="00D66275" w:rsidRPr="00D66275">
        <w:trPr>
          <w:trHeight w:val="60"/>
          <w:tblHeader/>
        </w:trPr>
        <w:tc>
          <w:tcPr>
            <w:tcW w:w="7417" w:type="dxa"/>
            <w:gridSpan w:val="4"/>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0"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AGENCY RESOURCE STATEMENT 2017–18</w:t>
            </w:r>
          </w:p>
        </w:tc>
      </w:tr>
      <w:tr w:rsidR="00D66275" w:rsidRPr="00D66275">
        <w:trPr>
          <w:trHeight w:val="60"/>
          <w:tblHeader/>
        </w:trPr>
        <w:tc>
          <w:tcPr>
            <w:tcW w:w="2721" w:type="dxa"/>
            <w:tcBorders>
              <w:top w:val="single" w:sz="4" w:space="0" w:color="000000"/>
              <w:left w:val="single" w:sz="6" w:space="0" w:color="auto"/>
              <w:bottom w:val="single" w:sz="4" w:space="0" w:color="000000"/>
              <w:right w:val="single" w:sz="6" w:space="0" w:color="auto"/>
            </w:tcBorders>
            <w:shd w:val="solid" w:color="00B6E8" w:fill="auto"/>
            <w:tcMar>
              <w:top w:w="57" w:type="dxa"/>
              <w:left w:w="113" w:type="dxa"/>
              <w:bottom w:w="57" w:type="dxa"/>
              <w:right w:w="0" w:type="dxa"/>
            </w:tcMar>
            <w:vAlign w:val="bottom"/>
          </w:tcPr>
          <w:p w:rsidR="00D66275" w:rsidRPr="00D66275" w:rsidRDefault="00D66275" w:rsidP="00D66275">
            <w:pPr>
              <w:autoSpaceDE w:val="0"/>
              <w:autoSpaceDN w:val="0"/>
              <w:adjustRightInd w:val="0"/>
              <w:rPr>
                <w:rFonts w:ascii="Calibri" w:hAnsi="Calibri"/>
                <w:lang w:val="en-US"/>
              </w:rPr>
            </w:pPr>
          </w:p>
        </w:tc>
        <w:tc>
          <w:tcPr>
            <w:tcW w:w="1928" w:type="dxa"/>
            <w:tcBorders>
              <w:top w:val="single" w:sz="4" w:space="0" w:color="000000"/>
              <w:left w:val="single" w:sz="6" w:space="0" w:color="auto"/>
              <w:bottom w:val="single" w:sz="4" w:space="0" w:color="000000"/>
              <w:right w:val="single" w:sz="6" w:space="0" w:color="auto"/>
            </w:tcBorders>
            <w:shd w:val="solid" w:color="00B6E8" w:fill="auto"/>
            <w:tcMar>
              <w:top w:w="57" w:type="dxa"/>
              <w:left w:w="0" w:type="dxa"/>
              <w:bottom w:w="57" w:type="dxa"/>
              <w:right w:w="113" w:type="dxa"/>
            </w:tcMar>
            <w:vAlign w:val="bottom"/>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ACTUAL AVAILABLE APPROPRIATION 2017–18</w:t>
            </w:r>
          </w:p>
        </w:tc>
        <w:tc>
          <w:tcPr>
            <w:tcW w:w="1261" w:type="dxa"/>
            <w:tcBorders>
              <w:top w:val="single" w:sz="4" w:space="0" w:color="000000"/>
              <w:left w:val="single" w:sz="6" w:space="0" w:color="auto"/>
              <w:bottom w:val="single" w:sz="4" w:space="0" w:color="000000"/>
              <w:right w:val="single" w:sz="6" w:space="0" w:color="auto"/>
            </w:tcBorders>
            <w:shd w:val="solid" w:color="00B6E8" w:fill="auto"/>
            <w:tcMar>
              <w:top w:w="57" w:type="dxa"/>
              <w:left w:w="113" w:type="dxa"/>
              <w:bottom w:w="57" w:type="dxa"/>
              <w:right w:w="113" w:type="dxa"/>
            </w:tcMar>
            <w:vAlign w:val="bottom"/>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PAYMENTS MADE 2017–18</w:t>
            </w:r>
          </w:p>
        </w:tc>
        <w:tc>
          <w:tcPr>
            <w:tcW w:w="1507" w:type="dxa"/>
            <w:tcBorders>
              <w:top w:val="single" w:sz="4" w:space="0" w:color="000000"/>
              <w:left w:val="single" w:sz="6" w:space="0" w:color="auto"/>
              <w:bottom w:val="single" w:sz="4" w:space="0" w:color="000000"/>
              <w:right w:val="single" w:sz="6" w:space="0" w:color="auto"/>
            </w:tcBorders>
            <w:shd w:val="solid" w:color="00B6E8" w:fill="auto"/>
            <w:tcMar>
              <w:top w:w="57" w:type="dxa"/>
              <w:left w:w="113" w:type="dxa"/>
              <w:bottom w:w="57" w:type="dxa"/>
              <w:right w:w="113" w:type="dxa"/>
            </w:tcMar>
            <w:vAlign w:val="bottom"/>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BALANCE REMAINING</w:t>
            </w:r>
          </w:p>
        </w:tc>
      </w:tr>
      <w:tr w:rsidR="00D66275" w:rsidRPr="00D66275">
        <w:trPr>
          <w:trHeight w:val="60"/>
          <w:tblHeader/>
        </w:trPr>
        <w:tc>
          <w:tcPr>
            <w:tcW w:w="2721" w:type="dxa"/>
            <w:tcBorders>
              <w:top w:val="single" w:sz="4" w:space="0" w:color="000000"/>
              <w:left w:val="single" w:sz="6" w:space="0" w:color="auto"/>
              <w:bottom w:val="single" w:sz="4" w:space="0" w:color="000000"/>
              <w:right w:val="single" w:sz="6" w:space="0" w:color="auto"/>
            </w:tcBorders>
            <w:shd w:val="solid" w:color="BBE5F5" w:fill="auto"/>
            <w:tcMar>
              <w:top w:w="113" w:type="dxa"/>
              <w:left w:w="113" w:type="dxa"/>
              <w:bottom w:w="113" w:type="dxa"/>
              <w:right w:w="0" w:type="dxa"/>
            </w:tcMar>
            <w:vAlign w:val="bottom"/>
          </w:tcPr>
          <w:p w:rsidR="00D66275" w:rsidRPr="00D66275" w:rsidRDefault="00D66275" w:rsidP="00684F70">
            <w:pPr>
              <w:autoSpaceDE w:val="0"/>
              <w:autoSpaceDN w:val="0"/>
              <w:adjustRightInd w:val="0"/>
              <w:rPr>
                <w:rFonts w:ascii="Calibri" w:hAnsi="Calibri"/>
                <w:lang w:val="en-US"/>
              </w:rPr>
            </w:pPr>
          </w:p>
        </w:tc>
        <w:tc>
          <w:tcPr>
            <w:tcW w:w="1928" w:type="dxa"/>
            <w:tcBorders>
              <w:top w:val="single" w:sz="4" w:space="0" w:color="000000"/>
              <w:left w:val="single" w:sz="6" w:space="0" w:color="auto"/>
              <w:bottom w:val="single" w:sz="4" w:space="0" w:color="000000"/>
              <w:right w:val="single" w:sz="6" w:space="0" w:color="auto"/>
            </w:tcBorders>
            <w:shd w:val="solid" w:color="BBE5F5" w:fill="auto"/>
            <w:tcMar>
              <w:top w:w="113" w:type="dxa"/>
              <w:left w:w="0" w:type="dxa"/>
              <w:bottom w:w="113" w:type="dxa"/>
              <w:right w:w="113" w:type="dxa"/>
            </w:tcMar>
            <w:vAlign w:val="bottom"/>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1261" w:type="dxa"/>
            <w:tcBorders>
              <w:top w:val="single" w:sz="4" w:space="0" w:color="000000"/>
              <w:left w:val="single" w:sz="6" w:space="0" w:color="auto"/>
              <w:bottom w:val="single" w:sz="4" w:space="0" w:color="000000"/>
              <w:right w:val="single" w:sz="6" w:space="0" w:color="auto"/>
            </w:tcBorders>
            <w:shd w:val="solid" w:color="BBE5F5" w:fill="auto"/>
            <w:tcMar>
              <w:top w:w="113" w:type="dxa"/>
              <w:left w:w="113" w:type="dxa"/>
              <w:bottom w:w="113" w:type="dxa"/>
              <w:right w:w="113" w:type="dxa"/>
            </w:tcMar>
            <w:vAlign w:val="bottom"/>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1507" w:type="dxa"/>
            <w:tcBorders>
              <w:top w:val="single" w:sz="4" w:space="0" w:color="000000"/>
              <w:left w:val="single" w:sz="6" w:space="0" w:color="auto"/>
              <w:bottom w:val="single" w:sz="4" w:space="0" w:color="000000"/>
              <w:right w:val="single" w:sz="6" w:space="0" w:color="auto"/>
            </w:tcBorders>
            <w:shd w:val="solid" w:color="BBE5F5" w:fill="auto"/>
            <w:tcMar>
              <w:top w:w="113" w:type="dxa"/>
              <w:left w:w="113" w:type="dxa"/>
              <w:bottom w:w="113" w:type="dxa"/>
              <w:right w:w="113" w:type="dxa"/>
            </w:tcMar>
            <w:vAlign w:val="bottom"/>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r>
      <w:tr w:rsidR="00D66275" w:rsidRPr="00D66275">
        <w:trPr>
          <w:trHeight w:val="60"/>
        </w:trPr>
        <w:tc>
          <w:tcPr>
            <w:tcW w:w="272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0"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Ordinary annual services</w:t>
            </w:r>
          </w:p>
        </w:tc>
        <w:tc>
          <w:tcPr>
            <w:tcW w:w="1928" w:type="dxa"/>
            <w:tcBorders>
              <w:top w:val="single" w:sz="4" w:space="0" w:color="000000"/>
              <w:left w:val="single" w:sz="6" w:space="0" w:color="auto"/>
              <w:bottom w:val="single" w:sz="4" w:space="0" w:color="000000"/>
              <w:right w:val="single" w:sz="6" w:space="0" w:color="auto"/>
            </w:tcBorders>
            <w:tcMar>
              <w:top w:w="113" w:type="dxa"/>
              <w:left w:w="0" w:type="dxa"/>
              <w:bottom w:w="113" w:type="dxa"/>
              <w:right w:w="113" w:type="dxa"/>
            </w:tcMar>
            <w:vAlign w:val="center"/>
          </w:tcPr>
          <w:p w:rsidR="00D66275" w:rsidRPr="00D66275" w:rsidRDefault="00D66275" w:rsidP="00D66275">
            <w:pPr>
              <w:autoSpaceDE w:val="0"/>
              <w:autoSpaceDN w:val="0"/>
              <w:adjustRightInd w:val="0"/>
              <w:rPr>
                <w:rFonts w:ascii="Calibri" w:hAnsi="Calibri"/>
                <w:lang w:val="en-US"/>
              </w:rPr>
            </w:pPr>
          </w:p>
        </w:tc>
        <w:tc>
          <w:tcPr>
            <w:tcW w:w="126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autoSpaceDE w:val="0"/>
              <w:autoSpaceDN w:val="0"/>
              <w:adjustRightInd w:val="0"/>
              <w:rPr>
                <w:rFonts w:ascii="Calibri" w:hAnsi="Calibri"/>
                <w:lang w:val="en-US"/>
              </w:rPr>
            </w:pPr>
          </w:p>
        </w:tc>
        <w:tc>
          <w:tcPr>
            <w:tcW w:w="150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autoSpaceDE w:val="0"/>
              <w:autoSpaceDN w:val="0"/>
              <w:adjustRightInd w:val="0"/>
              <w:rPr>
                <w:rFonts w:ascii="Calibri" w:hAnsi="Calibri"/>
                <w:lang w:val="en-US"/>
              </w:rPr>
            </w:pPr>
          </w:p>
        </w:tc>
      </w:tr>
      <w:tr w:rsidR="00D66275" w:rsidRPr="00D66275">
        <w:trPr>
          <w:trHeight w:val="60"/>
        </w:trPr>
        <w:tc>
          <w:tcPr>
            <w:tcW w:w="272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0"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Departmental appropriation 2016–17</w:t>
            </w:r>
            <w:r w:rsidRPr="00D66275">
              <w:rPr>
                <w:rFonts w:ascii="Calibri" w:hAnsi="Calibri" w:cs="Calibri"/>
                <w:color w:val="000000"/>
                <w:sz w:val="16"/>
                <w:szCs w:val="16"/>
                <w:vertAlign w:val="superscript"/>
                <w:lang w:val="en-GB"/>
              </w:rPr>
              <w:t>1</w:t>
            </w:r>
          </w:p>
        </w:tc>
        <w:tc>
          <w:tcPr>
            <w:tcW w:w="1928" w:type="dxa"/>
            <w:tcBorders>
              <w:top w:val="single" w:sz="4" w:space="0" w:color="000000"/>
              <w:left w:val="single" w:sz="6" w:space="0" w:color="auto"/>
              <w:bottom w:val="single" w:sz="4" w:space="0" w:color="000000"/>
              <w:right w:val="single" w:sz="6" w:space="0" w:color="auto"/>
            </w:tcBorders>
            <w:tcMar>
              <w:top w:w="113" w:type="dxa"/>
              <w:left w:w="0"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624</w:t>
            </w:r>
          </w:p>
        </w:tc>
        <w:tc>
          <w:tcPr>
            <w:tcW w:w="126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624</w:t>
            </w:r>
          </w:p>
        </w:tc>
        <w:tc>
          <w:tcPr>
            <w:tcW w:w="150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r>
      <w:tr w:rsidR="00D66275" w:rsidRPr="00D66275">
        <w:trPr>
          <w:trHeight w:val="60"/>
        </w:trPr>
        <w:tc>
          <w:tcPr>
            <w:tcW w:w="272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0"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Revenue from related parties</w:t>
            </w:r>
          </w:p>
        </w:tc>
        <w:tc>
          <w:tcPr>
            <w:tcW w:w="1928" w:type="dxa"/>
            <w:tcBorders>
              <w:top w:val="single" w:sz="4" w:space="0" w:color="000000"/>
              <w:left w:val="single" w:sz="6" w:space="0" w:color="auto"/>
              <w:bottom w:val="single" w:sz="4" w:space="0" w:color="000000"/>
              <w:right w:val="single" w:sz="6" w:space="0" w:color="auto"/>
            </w:tcBorders>
            <w:tcMar>
              <w:top w:w="113" w:type="dxa"/>
              <w:left w:w="0"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11</w:t>
            </w:r>
          </w:p>
        </w:tc>
        <w:tc>
          <w:tcPr>
            <w:tcW w:w="126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11</w:t>
            </w:r>
          </w:p>
        </w:tc>
        <w:tc>
          <w:tcPr>
            <w:tcW w:w="150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r>
      <w:tr w:rsidR="00D66275" w:rsidRPr="00D66275">
        <w:trPr>
          <w:trHeight w:val="60"/>
        </w:trPr>
        <w:tc>
          <w:tcPr>
            <w:tcW w:w="272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0"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Carry forward 2016–17</w:t>
            </w:r>
          </w:p>
        </w:tc>
        <w:tc>
          <w:tcPr>
            <w:tcW w:w="1928" w:type="dxa"/>
            <w:tcBorders>
              <w:top w:val="single" w:sz="4" w:space="0" w:color="000000"/>
              <w:left w:val="single" w:sz="6" w:space="0" w:color="auto"/>
              <w:bottom w:val="single" w:sz="4" w:space="0" w:color="000000"/>
              <w:right w:val="single" w:sz="6" w:space="0" w:color="auto"/>
            </w:tcBorders>
            <w:tcMar>
              <w:top w:w="113" w:type="dxa"/>
              <w:left w:w="0"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635</w:t>
            </w:r>
          </w:p>
        </w:tc>
        <w:tc>
          <w:tcPr>
            <w:tcW w:w="126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635</w:t>
            </w:r>
          </w:p>
        </w:tc>
        <w:tc>
          <w:tcPr>
            <w:tcW w:w="150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0</w:t>
            </w:r>
          </w:p>
        </w:tc>
      </w:tr>
      <w:tr w:rsidR="00D66275" w:rsidRPr="00D66275">
        <w:trPr>
          <w:trHeight w:val="60"/>
        </w:trPr>
        <w:tc>
          <w:tcPr>
            <w:tcW w:w="272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0"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S.74 relevant agency receipts</w:t>
            </w:r>
            <w:r w:rsidRPr="00D66275">
              <w:rPr>
                <w:rFonts w:ascii="Calibri" w:hAnsi="Calibri" w:cs="Calibri"/>
                <w:color w:val="000000"/>
                <w:sz w:val="16"/>
                <w:szCs w:val="16"/>
                <w:vertAlign w:val="superscript"/>
                <w:lang w:val="en-GB"/>
              </w:rPr>
              <w:t>2</w:t>
            </w:r>
          </w:p>
        </w:tc>
        <w:tc>
          <w:tcPr>
            <w:tcW w:w="1928" w:type="dxa"/>
            <w:tcBorders>
              <w:top w:val="single" w:sz="4" w:space="0" w:color="000000"/>
              <w:left w:val="single" w:sz="6" w:space="0" w:color="auto"/>
              <w:bottom w:val="single" w:sz="4" w:space="0" w:color="000000"/>
              <w:right w:val="single" w:sz="6" w:space="0" w:color="auto"/>
            </w:tcBorders>
            <w:tcMar>
              <w:top w:w="113" w:type="dxa"/>
              <w:left w:w="0"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1,569</w:t>
            </w:r>
          </w:p>
        </w:tc>
        <w:tc>
          <w:tcPr>
            <w:tcW w:w="126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1,264</w:t>
            </w:r>
          </w:p>
        </w:tc>
        <w:tc>
          <w:tcPr>
            <w:tcW w:w="150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305</w:t>
            </w:r>
          </w:p>
        </w:tc>
      </w:tr>
      <w:tr w:rsidR="00D66275" w:rsidRPr="00D66275">
        <w:trPr>
          <w:trHeight w:val="60"/>
        </w:trPr>
        <w:tc>
          <w:tcPr>
            <w:tcW w:w="272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0"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Total ordinary annual services</w:t>
            </w:r>
          </w:p>
        </w:tc>
        <w:tc>
          <w:tcPr>
            <w:tcW w:w="1928" w:type="dxa"/>
            <w:tcBorders>
              <w:top w:val="single" w:sz="4" w:space="0" w:color="000000"/>
              <w:left w:val="single" w:sz="6" w:space="0" w:color="auto"/>
              <w:bottom w:val="single" w:sz="4" w:space="0" w:color="000000"/>
              <w:right w:val="single" w:sz="6" w:space="0" w:color="auto"/>
            </w:tcBorders>
            <w:tcMar>
              <w:top w:w="113" w:type="dxa"/>
              <w:left w:w="0"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1,569</w:t>
            </w:r>
          </w:p>
        </w:tc>
        <w:tc>
          <w:tcPr>
            <w:tcW w:w="126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1,264</w:t>
            </w:r>
          </w:p>
        </w:tc>
        <w:tc>
          <w:tcPr>
            <w:tcW w:w="150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305</w:t>
            </w:r>
          </w:p>
        </w:tc>
      </w:tr>
      <w:tr w:rsidR="00D66275" w:rsidRPr="00D66275">
        <w:trPr>
          <w:trHeight w:val="60"/>
        </w:trPr>
        <w:tc>
          <w:tcPr>
            <w:tcW w:w="272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0"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TOTAL RESOURCING AND PAYMENTS</w:t>
            </w:r>
          </w:p>
        </w:tc>
        <w:tc>
          <w:tcPr>
            <w:tcW w:w="1928" w:type="dxa"/>
            <w:tcBorders>
              <w:top w:val="single" w:sz="4" w:space="0" w:color="000000"/>
              <w:left w:val="single" w:sz="6" w:space="0" w:color="auto"/>
              <w:bottom w:val="single" w:sz="4" w:space="0" w:color="000000"/>
              <w:right w:val="single" w:sz="6" w:space="0" w:color="auto"/>
            </w:tcBorders>
            <w:tcMar>
              <w:top w:w="113" w:type="dxa"/>
              <w:left w:w="0"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2,204</w:t>
            </w:r>
          </w:p>
        </w:tc>
        <w:tc>
          <w:tcPr>
            <w:tcW w:w="1261"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1,899</w:t>
            </w:r>
          </w:p>
        </w:tc>
        <w:tc>
          <w:tcPr>
            <w:tcW w:w="150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200" w:lineRule="atLeast"/>
              <w:jc w:val="righ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305</w:t>
            </w:r>
          </w:p>
        </w:tc>
      </w:tr>
    </w:tbl>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6"/>
          <w:szCs w:val="16"/>
          <w:lang w:val="en-GB"/>
        </w:rPr>
      </w:pPr>
    </w:p>
    <w:p w:rsidR="00D66275" w:rsidRPr="00D66275" w:rsidRDefault="00D66275" w:rsidP="00D66275">
      <w:pPr>
        <w:tabs>
          <w:tab w:val="left" w:pos="2268"/>
        </w:tabs>
        <w:suppressAutoHyphens/>
        <w:autoSpaceDE w:val="0"/>
        <w:autoSpaceDN w:val="0"/>
        <w:adjustRightInd w:val="0"/>
        <w:spacing w:before="57" w:after="57" w:line="288" w:lineRule="auto"/>
        <w:ind w:left="113" w:hanging="113"/>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r w:rsidRPr="00D66275">
        <w:rPr>
          <w:rFonts w:ascii="Calibri" w:hAnsi="Calibri" w:cs="Calibri"/>
          <w:i/>
          <w:iCs/>
          <w:color w:val="000000"/>
          <w:sz w:val="16"/>
          <w:szCs w:val="16"/>
          <w:lang w:val="en-GB"/>
        </w:rPr>
        <w:t xml:space="preserve"> Appropriation Act (No. 1) 2016–17. Supply Act (No. 1) 2016-17.</w:t>
      </w:r>
    </w:p>
    <w:p w:rsidR="00D66275" w:rsidRPr="00D66275" w:rsidRDefault="00D66275" w:rsidP="00D66275">
      <w:pPr>
        <w:tabs>
          <w:tab w:val="left" w:pos="2268"/>
        </w:tabs>
        <w:suppressAutoHyphens/>
        <w:autoSpaceDE w:val="0"/>
        <w:autoSpaceDN w:val="0"/>
        <w:adjustRightInd w:val="0"/>
        <w:spacing w:after="57" w:line="288" w:lineRule="auto"/>
        <w:ind w:left="113" w:hanging="113"/>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2 Receipts received under s. 74 of the </w:t>
      </w:r>
      <w:r w:rsidRPr="00D66275">
        <w:rPr>
          <w:rFonts w:ascii="Calibri" w:hAnsi="Calibri" w:cs="Calibri"/>
          <w:i/>
          <w:iCs/>
          <w:color w:val="000000"/>
          <w:sz w:val="16"/>
          <w:szCs w:val="16"/>
          <w:lang w:val="en-GB"/>
        </w:rPr>
        <w:t>Public Governance, Performance and Accountability Act 2013</w:t>
      </w:r>
      <w:r w:rsidRPr="00D66275">
        <w:rPr>
          <w:rFonts w:ascii="Calibri" w:hAnsi="Calibri" w:cs="Calibri"/>
          <w:color w:val="000000"/>
          <w:sz w:val="16"/>
          <w:szCs w:val="16"/>
          <w:lang w:val="en-GB"/>
        </w:rPr>
        <w:t>. Remaining balance will be applied to meeting the future settlement of current period expenses and provisions.</w:t>
      </w:r>
    </w:p>
    <w:p w:rsidR="00D66275" w:rsidRPr="00CD4539" w:rsidRDefault="00D66275" w:rsidP="00CD4539">
      <w:pPr>
        <w:pStyle w:val="03Heading3"/>
      </w:pPr>
      <w:bookmarkStart w:id="27" w:name="_Toc527458450"/>
      <w:r w:rsidRPr="00CD4539">
        <w:t>5.2.3</w:t>
      </w:r>
      <w:r w:rsidRPr="00CD4539">
        <w:tab/>
        <w:t>Purchasing</w:t>
      </w:r>
      <w:bookmarkEnd w:id="27"/>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 2017–18, the Authority sourced all goods and services in accordance with the principles set out in the Commonwealth Procurement Rules 2014.</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supports small-business participation in the Commonwealth Government procurement market. Small and medium enterprises and small enterprise participation statistics are available on the Department of Finance website: www.finance.gov.au/procurement/statistics-on-commonwealth-purchasing-contracts/. The Authority encourages greater participation by small and medium enterprises in its procurement activities by:</w:t>
      </w:r>
    </w:p>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communicating in clear, simple language and presenting information in accessible formats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 xml:space="preserve">facilitating on-time payments by the use of electronic finance systems and the use of payment cards where appropriate.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Authority’s policy outlines the core principle underlining procurement as value for money, which is enhanced by:</w:t>
      </w:r>
    </w:p>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encouraging competition by ensuring non-discrimination in procurement and competitive procurement processes</w:t>
      </w:r>
    </w:p>
    <w:p w:rsidR="00D66275" w:rsidRPr="00D66275" w:rsidRDefault="00D66275" w:rsidP="00D66275">
      <w:pPr>
        <w:tabs>
          <w:tab w:val="left" w:pos="283"/>
          <w:tab w:val="left" w:pos="2268"/>
        </w:tabs>
        <w:suppressAutoHyphens/>
        <w:autoSpaceDE w:val="0"/>
        <w:autoSpaceDN w:val="0"/>
        <w:adjustRightInd w:val="0"/>
        <w:spacing w:after="57"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promoting the use of resources in an efficient, effective, and ethical manner</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making decisions in an accountable and transparent manner.</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All competitive tenders and contracts over $10,000 let by the Authority during 2017–18 were listed on </w:t>
      </w:r>
      <w:proofErr w:type="spellStart"/>
      <w:r w:rsidRPr="00D66275">
        <w:rPr>
          <w:rFonts w:ascii="Calibri" w:hAnsi="Calibri" w:cs="Calibri"/>
          <w:color w:val="000000"/>
          <w:sz w:val="18"/>
          <w:szCs w:val="18"/>
          <w:lang w:val="en-GB"/>
        </w:rPr>
        <w:t>AusTender</w:t>
      </w:r>
      <w:proofErr w:type="spellEnd"/>
      <w:r w:rsidRPr="00D66275">
        <w:rPr>
          <w:rFonts w:ascii="Calibri" w:hAnsi="Calibri" w:cs="Calibri"/>
          <w:color w:val="000000"/>
          <w:sz w:val="18"/>
          <w:szCs w:val="18"/>
          <w:lang w:val="en-GB"/>
        </w:rPr>
        <w:t xml:space="preserve">.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During 2017–18, there were no new contracts over $10,000 entered into by the Authority. </w:t>
      </w:r>
    </w:p>
    <w:p w:rsidR="00D66275" w:rsidRPr="00CD4539" w:rsidRDefault="00D66275" w:rsidP="00CD4539">
      <w:pPr>
        <w:pStyle w:val="03Heading3"/>
      </w:pPr>
      <w:bookmarkStart w:id="28" w:name="_Toc527458451"/>
      <w:r w:rsidRPr="00CD4539">
        <w:t>5.2.4</w:t>
      </w:r>
      <w:r w:rsidRPr="00CD4539">
        <w:tab/>
        <w:t>Consultancies</w:t>
      </w:r>
      <w:bookmarkEnd w:id="28"/>
      <w:r w:rsidRPr="00CD4539">
        <w:t xml:space="preserve">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engages consultants when specialist expertise is required.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Any decision to engage a consultant is made in accordance with the PGPA Act and related regulations, including the Commonwealth Procurement Rules 2014.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During 2017–18, there were no new consultancy contracts entered into by the Authority.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No procurement contracts were open during the reporting period.</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the value of the Authority’s contracts and consultancies is available on the </w:t>
      </w:r>
      <w:proofErr w:type="spellStart"/>
      <w:r w:rsidRPr="00D66275">
        <w:rPr>
          <w:rFonts w:ascii="Calibri" w:hAnsi="Calibri" w:cs="Calibri"/>
          <w:color w:val="000000"/>
          <w:sz w:val="18"/>
          <w:szCs w:val="18"/>
          <w:lang w:val="en-GB"/>
        </w:rPr>
        <w:t>AusTender</w:t>
      </w:r>
      <w:proofErr w:type="spellEnd"/>
      <w:r w:rsidRPr="00D66275">
        <w:rPr>
          <w:rFonts w:ascii="Calibri" w:hAnsi="Calibri" w:cs="Calibri"/>
          <w:color w:val="000000"/>
          <w:sz w:val="18"/>
          <w:szCs w:val="18"/>
          <w:lang w:val="en-GB"/>
        </w:rPr>
        <w:t xml:space="preserve"> website, www.tenders.gov.au.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did not enter into any contracts or standing offers that were exempt from being published on </w:t>
      </w:r>
      <w:proofErr w:type="spellStart"/>
      <w:r w:rsidRPr="00D66275">
        <w:rPr>
          <w:rFonts w:ascii="Calibri" w:hAnsi="Calibri" w:cs="Calibri"/>
          <w:color w:val="000000"/>
          <w:sz w:val="18"/>
          <w:szCs w:val="18"/>
          <w:lang w:val="en-GB"/>
        </w:rPr>
        <w:t>AusTender</w:t>
      </w:r>
      <w:proofErr w:type="spellEnd"/>
      <w:r w:rsidRPr="00D66275">
        <w:rPr>
          <w:rFonts w:ascii="Calibri" w:hAnsi="Calibri" w:cs="Calibri"/>
          <w:color w:val="000000"/>
          <w:sz w:val="18"/>
          <w:szCs w:val="18"/>
          <w:lang w:val="en-GB"/>
        </w:rPr>
        <w:t xml:space="preserve">. All Authority contracts contain provisions that allow for the Auditor-General to have access to the contractor’s premises if required. </w:t>
      </w:r>
    </w:p>
    <w:p w:rsidR="00D66275" w:rsidRPr="00CD4539" w:rsidRDefault="00D66275" w:rsidP="00CD4539">
      <w:pPr>
        <w:pStyle w:val="03Heading3"/>
      </w:pPr>
      <w:bookmarkStart w:id="29" w:name="_Toc527458452"/>
      <w:r w:rsidRPr="00CD4539">
        <w:t>5.2.5</w:t>
      </w:r>
      <w:r w:rsidRPr="00CD4539">
        <w:tab/>
        <w:t>Advertising And Market Research</w:t>
      </w:r>
      <w:bookmarkEnd w:id="29"/>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Under section 311A of the </w:t>
      </w:r>
      <w:r w:rsidRPr="00D66275">
        <w:rPr>
          <w:rFonts w:ascii="Calibri" w:hAnsi="Calibri" w:cs="Calibri"/>
          <w:i/>
          <w:iCs/>
          <w:color w:val="000000"/>
          <w:sz w:val="18"/>
          <w:szCs w:val="18"/>
          <w:lang w:val="en-GB"/>
        </w:rPr>
        <w:t>Commonwealth Electoral Act 1918</w:t>
      </w:r>
      <w:r w:rsidRPr="00D66275">
        <w:rPr>
          <w:rFonts w:ascii="Calibri" w:hAnsi="Calibri" w:cs="Calibri"/>
          <w:color w:val="000000"/>
          <w:sz w:val="18"/>
          <w:szCs w:val="18"/>
          <w:lang w:val="en-GB"/>
        </w:rPr>
        <w:t>, the Authority is required to report annually on payments made for the services of:</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advertising agencies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market research organisations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polling organisations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direct mail organisations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media advertising organisations.</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During 2017–18, the Authority made no payments that were over the reportable threshold for these services and conducted no advertising campaigns. </w:t>
      </w:r>
    </w:p>
    <w:p w:rsidR="00D66275" w:rsidRPr="00D66275" w:rsidRDefault="00D66275" w:rsidP="00CD4539">
      <w:pPr>
        <w:pStyle w:val="03Heading3"/>
      </w:pPr>
      <w:bookmarkStart w:id="30" w:name="_Toc527458453"/>
      <w:r w:rsidRPr="00D66275">
        <w:t>5.2.6</w:t>
      </w:r>
      <w:r w:rsidRPr="00D66275">
        <w:tab/>
        <w:t>Grant Programmes</w:t>
      </w:r>
      <w:bookmarkEnd w:id="30"/>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did not administer any grant programmes in 2017–18.</w:t>
      </w:r>
    </w:p>
    <w:p w:rsidR="00D66275" w:rsidRPr="00D66275" w:rsidRDefault="00D66275" w:rsidP="00DD269C">
      <w:pPr>
        <w:pStyle w:val="02Heading2"/>
      </w:pPr>
      <w:bookmarkStart w:id="31" w:name="_Toc527458454"/>
      <w:r w:rsidRPr="00D66275">
        <w:t>5.3.</w:t>
      </w:r>
      <w:r w:rsidRPr="00D66275">
        <w:tab/>
        <w:t>Management of Human Resources</w:t>
      </w:r>
      <w:bookmarkEnd w:id="31"/>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At 30 June 2018, the Authority had 10 employees, of whom eight were ongoing and two were non-ongoing. All Authority staff are located in Canberra.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Ms Shayleen Thompson was the acting CEO of the Authority from 3 April 2015 through to 30 June 2018. Ms Gayle Milnes was appointed acting CEO of the Authority from 23 July 2018.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In 2017–18, the Authority had no non-ongoing or ongoing employees who identified as Indigenous. </w:t>
      </w:r>
    </w:p>
    <w:p w:rsidR="00D66275" w:rsidRPr="00CD4539" w:rsidRDefault="00D66275" w:rsidP="00CD4539">
      <w:pPr>
        <w:pStyle w:val="03Heading3"/>
      </w:pPr>
      <w:bookmarkStart w:id="32" w:name="_Toc527458455"/>
      <w:r w:rsidRPr="00CD4539">
        <w:t>5.3.1</w:t>
      </w:r>
      <w:r w:rsidRPr="00CD4539">
        <w:tab/>
        <w:t>Staffing Statistics</w:t>
      </w:r>
      <w:bookmarkEnd w:id="32"/>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distribution of staff by classification and employment status is shown in Table 5.3. Authority staff remuneration bands are shown in Table 5.4.</w:t>
      </w:r>
    </w:p>
    <w:p w:rsidR="00D66275" w:rsidRPr="00D66275" w:rsidRDefault="00D66275" w:rsidP="00684F70">
      <w:pPr>
        <w:keepNext/>
        <w:tabs>
          <w:tab w:val="left" w:pos="1418"/>
        </w:tabs>
        <w:suppressAutoHyphens/>
        <w:autoSpaceDE w:val="0"/>
        <w:autoSpaceDN w:val="0"/>
        <w:adjustRightInd w:val="0"/>
        <w:spacing w:before="283" w:after="170" w:line="20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sz w:val="16"/>
          <w:szCs w:val="16"/>
          <w:lang w:val="en-GB"/>
        </w:rPr>
        <w:t>Table 5.3: Climate Change Authority staff numbers by classification, gender and employment status, 30 June 2018</w:t>
      </w:r>
    </w:p>
    <w:tbl>
      <w:tblPr>
        <w:tblW w:w="0" w:type="auto"/>
        <w:tblInd w:w="-8" w:type="dxa"/>
        <w:tblLayout w:type="fixed"/>
        <w:tblCellMar>
          <w:left w:w="0" w:type="dxa"/>
          <w:right w:w="0" w:type="dxa"/>
        </w:tblCellMar>
        <w:tblLook w:val="0000" w:firstRow="0" w:lastRow="0" w:firstColumn="0" w:lastColumn="0" w:noHBand="0" w:noVBand="0"/>
      </w:tblPr>
      <w:tblGrid>
        <w:gridCol w:w="1998"/>
        <w:gridCol w:w="1086"/>
        <w:gridCol w:w="1086"/>
        <w:gridCol w:w="1085"/>
        <w:gridCol w:w="1086"/>
        <w:gridCol w:w="1086"/>
      </w:tblGrid>
      <w:tr w:rsidR="00D66275" w:rsidRPr="00D66275">
        <w:trPr>
          <w:trHeight w:val="282"/>
          <w:tblHeader/>
        </w:trPr>
        <w:tc>
          <w:tcPr>
            <w:tcW w:w="1998" w:type="dxa"/>
            <w:vMerge w:val="restart"/>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vAlign w:val="cente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CLASSIFICATION</w:t>
            </w:r>
          </w:p>
        </w:tc>
        <w:tc>
          <w:tcPr>
            <w:tcW w:w="2172" w:type="dxa"/>
            <w:gridSpan w:val="2"/>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FEMALE</w:t>
            </w:r>
          </w:p>
        </w:tc>
        <w:tc>
          <w:tcPr>
            <w:tcW w:w="2171" w:type="dxa"/>
            <w:gridSpan w:val="2"/>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MALE</w:t>
            </w:r>
          </w:p>
        </w:tc>
        <w:tc>
          <w:tcPr>
            <w:tcW w:w="1086" w:type="dxa"/>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TOTAL</w:t>
            </w:r>
          </w:p>
        </w:tc>
      </w:tr>
      <w:tr w:rsidR="00D66275" w:rsidRPr="00D66275">
        <w:trPr>
          <w:trHeight w:val="286"/>
          <w:tblHeader/>
        </w:trPr>
        <w:tc>
          <w:tcPr>
            <w:tcW w:w="1998" w:type="dxa"/>
            <w:vMerge/>
            <w:tcBorders>
              <w:top w:val="single" w:sz="4" w:space="0" w:color="000000"/>
              <w:left w:val="single" w:sz="6" w:space="0" w:color="auto"/>
              <w:bottom w:val="single" w:sz="4" w:space="0" w:color="000000"/>
              <w:right w:val="single" w:sz="6" w:space="0" w:color="auto"/>
            </w:tcBorders>
          </w:tcPr>
          <w:p w:rsidR="00D66275" w:rsidRPr="00D66275" w:rsidRDefault="00D66275" w:rsidP="00D66275">
            <w:pPr>
              <w:autoSpaceDE w:val="0"/>
              <w:autoSpaceDN w:val="0"/>
              <w:adjustRightInd w:val="0"/>
              <w:rPr>
                <w:rFonts w:ascii="Calibri" w:hAnsi="Calibri"/>
                <w:lang w:val="en-US"/>
              </w:rPr>
            </w:pPr>
          </w:p>
        </w:tc>
        <w:tc>
          <w:tcPr>
            <w:tcW w:w="1086" w:type="dxa"/>
            <w:tcBorders>
              <w:top w:val="single" w:sz="4" w:space="0" w:color="000000"/>
              <w:left w:val="single" w:sz="6" w:space="0" w:color="auto"/>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Full-time</w:t>
            </w:r>
          </w:p>
        </w:tc>
        <w:tc>
          <w:tcPr>
            <w:tcW w:w="1086" w:type="dxa"/>
            <w:tcBorders>
              <w:top w:val="single" w:sz="4" w:space="0" w:color="000000"/>
              <w:left w:val="single" w:sz="6" w:space="0" w:color="auto"/>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Part-time</w:t>
            </w:r>
          </w:p>
        </w:tc>
        <w:tc>
          <w:tcPr>
            <w:tcW w:w="1085" w:type="dxa"/>
            <w:tcBorders>
              <w:top w:val="single" w:sz="4" w:space="0" w:color="000000"/>
              <w:left w:val="single" w:sz="6" w:space="0" w:color="auto"/>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Full-time</w:t>
            </w:r>
          </w:p>
        </w:tc>
        <w:tc>
          <w:tcPr>
            <w:tcW w:w="1086" w:type="dxa"/>
            <w:tcBorders>
              <w:top w:val="single" w:sz="4" w:space="0" w:color="000000"/>
              <w:left w:val="single" w:sz="6" w:space="0" w:color="auto"/>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Part-time</w:t>
            </w:r>
          </w:p>
        </w:tc>
        <w:tc>
          <w:tcPr>
            <w:tcW w:w="1086" w:type="dxa"/>
            <w:tcBorders>
              <w:top w:val="single" w:sz="4" w:space="0" w:color="000000"/>
              <w:left w:val="single" w:sz="6" w:space="0" w:color="auto"/>
              <w:bottom w:val="single" w:sz="4" w:space="0" w:color="000000"/>
              <w:right w:val="single" w:sz="6" w:space="0" w:color="auto"/>
            </w:tcBorders>
            <w:shd w:val="solid" w:color="BBE5F5" w:fill="auto"/>
            <w:tcMar>
              <w:top w:w="113" w:type="dxa"/>
              <w:left w:w="113" w:type="dxa"/>
              <w:bottom w:w="113" w:type="dxa"/>
              <w:right w:w="113" w:type="dxa"/>
            </w:tcMar>
          </w:tcPr>
          <w:p w:rsidR="00D66275" w:rsidRPr="00D66275" w:rsidRDefault="00D66275" w:rsidP="00D66275">
            <w:pPr>
              <w:autoSpaceDE w:val="0"/>
              <w:autoSpaceDN w:val="0"/>
              <w:adjustRightInd w:val="0"/>
              <w:rPr>
                <w:rFonts w:ascii="Calibri" w:hAnsi="Calibri"/>
                <w:lang w:val="en-US"/>
              </w:rPr>
            </w:pPr>
          </w:p>
        </w:tc>
      </w:tr>
      <w:tr w:rsidR="00D66275" w:rsidRPr="00D66275">
        <w:trPr>
          <w:trHeight w:val="260"/>
        </w:trPr>
        <w:tc>
          <w:tcPr>
            <w:tcW w:w="1998"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CEO</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p>
        </w:tc>
      </w:tr>
      <w:tr w:rsidR="00D66275" w:rsidRPr="00D66275">
        <w:trPr>
          <w:trHeight w:val="236"/>
        </w:trPr>
        <w:tc>
          <w:tcPr>
            <w:tcW w:w="1998"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SES Band 1</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p>
        </w:tc>
      </w:tr>
      <w:tr w:rsidR="00D66275" w:rsidRPr="00D66275">
        <w:trPr>
          <w:trHeight w:val="236"/>
        </w:trPr>
        <w:tc>
          <w:tcPr>
            <w:tcW w:w="1998"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Executive Level 2</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p>
        </w:tc>
        <w:tc>
          <w:tcPr>
            <w:tcW w:w="108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p>
        </w:tc>
      </w:tr>
      <w:tr w:rsidR="00D66275" w:rsidRPr="00D66275">
        <w:trPr>
          <w:trHeight w:val="260"/>
        </w:trPr>
        <w:tc>
          <w:tcPr>
            <w:tcW w:w="1998"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Executive Level 1</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2</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p>
        </w:tc>
        <w:tc>
          <w:tcPr>
            <w:tcW w:w="108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3</w:t>
            </w:r>
          </w:p>
        </w:tc>
      </w:tr>
      <w:tr w:rsidR="00D66275" w:rsidRPr="00D66275">
        <w:trPr>
          <w:trHeight w:val="236"/>
        </w:trPr>
        <w:tc>
          <w:tcPr>
            <w:tcW w:w="1998"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APS 6</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2</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3</w:t>
            </w:r>
          </w:p>
        </w:tc>
      </w:tr>
      <w:tr w:rsidR="00D66275" w:rsidRPr="00D66275">
        <w:trPr>
          <w:trHeight w:val="236"/>
        </w:trPr>
        <w:tc>
          <w:tcPr>
            <w:tcW w:w="1998"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APS 3</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p>
        </w:tc>
        <w:tc>
          <w:tcPr>
            <w:tcW w:w="108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w:t>
            </w:r>
          </w:p>
        </w:tc>
      </w:tr>
      <w:tr w:rsidR="00D66275" w:rsidRPr="00D66275">
        <w:trPr>
          <w:trHeight w:val="236"/>
        </w:trPr>
        <w:tc>
          <w:tcPr>
            <w:tcW w:w="1998"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Total</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5</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3</w:t>
            </w:r>
          </w:p>
        </w:tc>
        <w:tc>
          <w:tcPr>
            <w:tcW w:w="108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2</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0</w:t>
            </w:r>
          </w:p>
        </w:tc>
        <w:tc>
          <w:tcPr>
            <w:tcW w:w="108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b/>
                <w:bCs/>
                <w:color w:val="000000"/>
                <w:sz w:val="16"/>
                <w:szCs w:val="16"/>
                <w:lang w:val="en-GB"/>
              </w:rPr>
              <w:t>10</w:t>
            </w:r>
          </w:p>
        </w:tc>
      </w:tr>
    </w:tbl>
    <w:p w:rsidR="00D66275" w:rsidRPr="00D66275" w:rsidRDefault="00D66275" w:rsidP="00684F70">
      <w:pPr>
        <w:keepNext/>
        <w:tabs>
          <w:tab w:val="left" w:pos="1418"/>
        </w:tabs>
        <w:suppressAutoHyphens/>
        <w:autoSpaceDE w:val="0"/>
        <w:autoSpaceDN w:val="0"/>
        <w:adjustRightInd w:val="0"/>
        <w:spacing w:before="510" w:after="170" w:line="20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sz w:val="16"/>
          <w:szCs w:val="16"/>
          <w:lang w:val="en-GB"/>
        </w:rPr>
        <w:t>Table 5.4: Climate Change Authority salary structures, 30 June 2018</w:t>
      </w:r>
    </w:p>
    <w:tbl>
      <w:tblPr>
        <w:tblW w:w="0" w:type="auto"/>
        <w:tblInd w:w="-8" w:type="dxa"/>
        <w:tblLayout w:type="fixed"/>
        <w:tblCellMar>
          <w:left w:w="0" w:type="dxa"/>
          <w:right w:w="0" w:type="dxa"/>
        </w:tblCellMar>
        <w:tblLook w:val="0000" w:firstRow="0" w:lastRow="0" w:firstColumn="0" w:lastColumn="0" w:noHBand="0" w:noVBand="0"/>
      </w:tblPr>
      <w:tblGrid>
        <w:gridCol w:w="4093"/>
        <w:gridCol w:w="3334"/>
      </w:tblGrid>
      <w:tr w:rsidR="00D66275" w:rsidRPr="00D66275" w:rsidTr="007261AC">
        <w:trPr>
          <w:trHeight w:val="292"/>
          <w:tblHeader/>
        </w:trPr>
        <w:tc>
          <w:tcPr>
            <w:tcW w:w="4093" w:type="dxa"/>
            <w:tcBorders>
              <w:top w:val="single" w:sz="4" w:space="0" w:color="000000"/>
              <w:left w:val="single" w:sz="6" w:space="0" w:color="auto"/>
              <w:bottom w:val="single" w:sz="4" w:space="0" w:color="000000"/>
              <w:right w:val="single" w:sz="6" w:space="0" w:color="auto"/>
            </w:tcBorders>
            <w:shd w:val="solid" w:color="00B6E8" w:fill="auto"/>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CLASSIFICATION</w:t>
            </w:r>
          </w:p>
        </w:tc>
        <w:tc>
          <w:tcPr>
            <w:tcW w:w="3334" w:type="dxa"/>
            <w:tcBorders>
              <w:top w:val="single" w:sz="4" w:space="0" w:color="000000"/>
              <w:left w:val="single" w:sz="6" w:space="0" w:color="auto"/>
              <w:bottom w:val="single" w:sz="4" w:space="0" w:color="000000"/>
              <w:right w:val="single" w:sz="6" w:space="0" w:color="auto"/>
            </w:tcBorders>
            <w:shd w:val="solid" w:color="00B6E8" w:fill="auto"/>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 xml:space="preserve">SALARY RANGE </w:t>
            </w:r>
          </w:p>
        </w:tc>
      </w:tr>
      <w:tr w:rsidR="00D66275" w:rsidRPr="00D66275" w:rsidTr="007261AC">
        <w:trPr>
          <w:trHeight w:val="292"/>
        </w:trPr>
        <w:tc>
          <w:tcPr>
            <w:tcW w:w="409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Executive Level 2</w:t>
            </w:r>
          </w:p>
        </w:tc>
        <w:tc>
          <w:tcPr>
            <w:tcW w:w="3334"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$113,950–150,343 </w:t>
            </w:r>
          </w:p>
        </w:tc>
      </w:tr>
      <w:tr w:rsidR="00D66275" w:rsidRPr="00D66275" w:rsidTr="007261AC">
        <w:trPr>
          <w:trHeight w:val="292"/>
        </w:trPr>
        <w:tc>
          <w:tcPr>
            <w:tcW w:w="409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Executive Level 1</w:t>
            </w:r>
          </w:p>
        </w:tc>
        <w:tc>
          <w:tcPr>
            <w:tcW w:w="3334"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$95,456–121,611</w:t>
            </w:r>
          </w:p>
        </w:tc>
      </w:tr>
      <w:tr w:rsidR="00D66275" w:rsidRPr="00D66275" w:rsidTr="007261AC">
        <w:trPr>
          <w:trHeight w:val="306"/>
        </w:trPr>
        <w:tc>
          <w:tcPr>
            <w:tcW w:w="409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APS 6</w:t>
            </w:r>
          </w:p>
        </w:tc>
        <w:tc>
          <w:tcPr>
            <w:tcW w:w="3334"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$77,558–91,877</w:t>
            </w:r>
          </w:p>
        </w:tc>
      </w:tr>
      <w:tr w:rsidR="00D66275" w:rsidRPr="00D66275" w:rsidTr="007261AC">
        <w:trPr>
          <w:trHeight w:val="292"/>
        </w:trPr>
        <w:tc>
          <w:tcPr>
            <w:tcW w:w="409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APS 5</w:t>
            </w:r>
          </w:p>
        </w:tc>
        <w:tc>
          <w:tcPr>
            <w:tcW w:w="3334"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$70,995–76,067</w:t>
            </w:r>
          </w:p>
        </w:tc>
      </w:tr>
      <w:tr w:rsidR="00D66275" w:rsidRPr="00D66275" w:rsidTr="007261AC">
        <w:trPr>
          <w:trHeight w:val="292"/>
        </w:trPr>
        <w:tc>
          <w:tcPr>
            <w:tcW w:w="409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APS 4</w:t>
            </w:r>
          </w:p>
        </w:tc>
        <w:tc>
          <w:tcPr>
            <w:tcW w:w="3334"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$65,029–69,802</w:t>
            </w:r>
          </w:p>
        </w:tc>
      </w:tr>
      <w:tr w:rsidR="00D66275" w:rsidRPr="00D66275" w:rsidTr="007261AC">
        <w:trPr>
          <w:trHeight w:val="292"/>
        </w:trPr>
        <w:tc>
          <w:tcPr>
            <w:tcW w:w="409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APS 3</w:t>
            </w:r>
          </w:p>
        </w:tc>
        <w:tc>
          <w:tcPr>
            <w:tcW w:w="3334"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$57,870–63,836</w:t>
            </w:r>
          </w:p>
        </w:tc>
      </w:tr>
      <w:tr w:rsidR="00D66275" w:rsidRPr="00D66275" w:rsidTr="007261AC">
        <w:trPr>
          <w:trHeight w:val="292"/>
        </w:trPr>
        <w:tc>
          <w:tcPr>
            <w:tcW w:w="409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APS 2</w:t>
            </w:r>
          </w:p>
        </w:tc>
        <w:tc>
          <w:tcPr>
            <w:tcW w:w="3334"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$51,997–56,677</w:t>
            </w:r>
          </w:p>
        </w:tc>
      </w:tr>
      <w:tr w:rsidR="00D66275" w:rsidRPr="00D66275" w:rsidTr="007261AC">
        <w:trPr>
          <w:trHeight w:val="292"/>
        </w:trPr>
        <w:tc>
          <w:tcPr>
            <w:tcW w:w="409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APS 1</w:t>
            </w:r>
          </w:p>
        </w:tc>
        <w:tc>
          <w:tcPr>
            <w:tcW w:w="3334"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D66275" w:rsidRPr="00D66275" w:rsidRDefault="00D66275" w:rsidP="007261AC">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$43,658–50,757</w:t>
            </w:r>
          </w:p>
        </w:tc>
      </w:tr>
    </w:tbl>
    <w:p w:rsidR="00D66275" w:rsidRPr="00D66275" w:rsidRDefault="00D66275" w:rsidP="00D66275">
      <w:pPr>
        <w:tabs>
          <w:tab w:val="left" w:pos="2268"/>
        </w:tabs>
        <w:suppressAutoHyphens/>
        <w:autoSpaceDE w:val="0"/>
        <w:autoSpaceDN w:val="0"/>
        <w:adjustRightInd w:val="0"/>
        <w:spacing w:after="57" w:line="288" w:lineRule="auto"/>
        <w:ind w:left="113" w:hanging="113"/>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Source: DCCEE Enterprise Agreement 2011−2014</w:t>
      </w:r>
    </w:p>
    <w:p w:rsidR="00D66275" w:rsidRPr="00CD4539" w:rsidRDefault="00D66275" w:rsidP="00CD4539">
      <w:pPr>
        <w:pStyle w:val="03Heading3"/>
      </w:pPr>
      <w:bookmarkStart w:id="33" w:name="_Toc527458456"/>
      <w:r w:rsidRPr="00CD4539">
        <w:t>5.3.2</w:t>
      </w:r>
      <w:r w:rsidRPr="00CD4539">
        <w:tab/>
        <w:t>Remuneration for Ceo And Senior Executive Service</w:t>
      </w:r>
      <w:bookmarkEnd w:id="33"/>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CEO is a principal executive office-holder, as defined in the </w:t>
      </w:r>
      <w:r w:rsidRPr="00D66275">
        <w:rPr>
          <w:rFonts w:ascii="Calibri" w:hAnsi="Calibri" w:cs="Calibri"/>
          <w:i/>
          <w:iCs/>
          <w:color w:val="000000"/>
          <w:sz w:val="18"/>
          <w:szCs w:val="18"/>
          <w:lang w:val="en-GB"/>
        </w:rPr>
        <w:t>Remuneration Tribunal Act 1973</w:t>
      </w:r>
      <w:r w:rsidRPr="00D66275">
        <w:rPr>
          <w:rFonts w:ascii="Calibri" w:hAnsi="Calibri" w:cs="Calibri"/>
          <w:color w:val="000000"/>
          <w:sz w:val="18"/>
          <w:szCs w:val="18"/>
          <w:lang w:val="en-GB"/>
        </w:rPr>
        <w:t>. The position’s remuneration is set by the Remuneration Tribunal.</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No Senior Executive Service officers are currently employed under the </w:t>
      </w:r>
      <w:r w:rsidRPr="00D66275">
        <w:rPr>
          <w:rFonts w:ascii="Calibri" w:hAnsi="Calibri" w:cs="Calibri"/>
          <w:i/>
          <w:iCs/>
          <w:color w:val="000000"/>
          <w:sz w:val="18"/>
          <w:szCs w:val="18"/>
          <w:lang w:val="en-GB"/>
        </w:rPr>
        <w:t>Public Service Act 1999</w:t>
      </w:r>
      <w:r w:rsidRPr="00D66275">
        <w:rPr>
          <w:rFonts w:ascii="Calibri" w:hAnsi="Calibri" w:cs="Calibri"/>
          <w:color w:val="000000"/>
          <w:sz w:val="18"/>
          <w:szCs w:val="18"/>
          <w:lang w:val="en-GB"/>
        </w:rPr>
        <w:t xml:space="preserve">. There is one acting Senior Executive Officer whose conditions are determined in accordance with the former Department of Climate Change and Energy Efficiency SES Employment Conditions handbook.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b/>
          <w:bCs/>
          <w:color w:val="000000"/>
          <w:sz w:val="18"/>
          <w:szCs w:val="18"/>
          <w:lang w:val="en-GB"/>
        </w:rPr>
      </w:pPr>
      <w:r w:rsidRPr="00D66275">
        <w:rPr>
          <w:rFonts w:ascii="Calibri" w:hAnsi="Calibri" w:cs="Calibri"/>
          <w:color w:val="000000"/>
          <w:sz w:val="18"/>
          <w:szCs w:val="18"/>
          <w:lang w:val="en-GB"/>
        </w:rPr>
        <w:t xml:space="preserve">Details of CEO remuneration is at </w:t>
      </w:r>
      <w:r w:rsidRPr="00D66275">
        <w:rPr>
          <w:rFonts w:ascii="Calibri" w:hAnsi="Calibri" w:cs="Calibri"/>
          <w:b/>
          <w:bCs/>
          <w:color w:val="000000"/>
          <w:sz w:val="18"/>
          <w:szCs w:val="18"/>
          <w:lang w:val="en-GB"/>
        </w:rPr>
        <w:t>Note 9, Appendix A.</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does not offer performance pay to its employees or CEO.</w:t>
      </w:r>
    </w:p>
    <w:p w:rsidR="00D66275" w:rsidRPr="00CD4539" w:rsidRDefault="00D66275" w:rsidP="00CD4539">
      <w:pPr>
        <w:pStyle w:val="03Heading3"/>
      </w:pPr>
      <w:bookmarkStart w:id="34" w:name="_Toc527458457"/>
      <w:r w:rsidRPr="00CD4539">
        <w:t>5.3.3</w:t>
      </w:r>
      <w:r w:rsidRPr="00CD4539">
        <w:tab/>
        <w:t>Remuneration for Authority Chair And Members</w:t>
      </w:r>
      <w:bookmarkEnd w:id="34"/>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remuneration of the Authority Chair and members is governed by section 25 of the </w:t>
      </w:r>
      <w:r w:rsidRPr="00D66275">
        <w:rPr>
          <w:rFonts w:ascii="Calibri" w:hAnsi="Calibri" w:cs="Calibri"/>
          <w:i/>
          <w:iCs/>
          <w:color w:val="000000"/>
          <w:sz w:val="18"/>
          <w:szCs w:val="18"/>
          <w:lang w:val="en-GB"/>
        </w:rPr>
        <w:t>Climate Change Authority Act 2011</w:t>
      </w:r>
      <w:r w:rsidRPr="00D66275">
        <w:rPr>
          <w:rFonts w:ascii="Calibri" w:hAnsi="Calibri" w:cs="Calibri"/>
          <w:color w:val="000000"/>
          <w:sz w:val="18"/>
          <w:szCs w:val="18"/>
          <w:lang w:val="en-GB"/>
        </w:rPr>
        <w:t xml:space="preserve"> and the Remuneration Tribunal. Authority members receive an annual base fee plus meeting fees for attendance at official Authority meetings. Dr Alan Finkel is an ex officio member of the Authority and is not remunerated for his role. Ms Kate Carnell is also a statutory office-holder in the Commonwealth during the reporting period and does not receive remuneration from the Authority. Table 5.5 illustrates remuneration of the Authority Chair and members as at 30 June 2018.</w:t>
      </w:r>
    </w:p>
    <w:p w:rsidR="00D66275" w:rsidRPr="00D66275" w:rsidRDefault="00D66275" w:rsidP="00684F70">
      <w:pPr>
        <w:keepNext/>
        <w:tabs>
          <w:tab w:val="left" w:pos="1418"/>
        </w:tabs>
        <w:suppressAutoHyphens/>
        <w:autoSpaceDE w:val="0"/>
        <w:autoSpaceDN w:val="0"/>
        <w:adjustRightInd w:val="0"/>
        <w:spacing w:before="283" w:after="170" w:line="20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sz w:val="16"/>
          <w:szCs w:val="16"/>
          <w:lang w:val="en-GB"/>
        </w:rPr>
        <w:t>Table 5.5: Remuneration of Climate Change Authority members, 30 June 2018</w:t>
      </w:r>
    </w:p>
    <w:tbl>
      <w:tblPr>
        <w:tblW w:w="0" w:type="auto"/>
        <w:tblInd w:w="-8" w:type="dxa"/>
        <w:tblLayout w:type="fixed"/>
        <w:tblCellMar>
          <w:left w:w="0" w:type="dxa"/>
          <w:right w:w="0" w:type="dxa"/>
        </w:tblCellMar>
        <w:tblLook w:val="0000" w:firstRow="0" w:lastRow="0" w:firstColumn="0" w:lastColumn="0" w:noHBand="0" w:noVBand="0"/>
      </w:tblPr>
      <w:tblGrid>
        <w:gridCol w:w="2476"/>
        <w:gridCol w:w="2475"/>
        <w:gridCol w:w="2476"/>
      </w:tblGrid>
      <w:tr w:rsidR="00D66275" w:rsidRPr="00D66275">
        <w:trPr>
          <w:trHeight w:val="277"/>
          <w:tblHeader/>
        </w:trPr>
        <w:tc>
          <w:tcPr>
            <w:tcW w:w="2476" w:type="dxa"/>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Member status</w:t>
            </w:r>
          </w:p>
        </w:tc>
        <w:tc>
          <w:tcPr>
            <w:tcW w:w="2475" w:type="dxa"/>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Base salary—annual</w:t>
            </w:r>
          </w:p>
        </w:tc>
        <w:tc>
          <w:tcPr>
            <w:tcW w:w="2476" w:type="dxa"/>
            <w:tcBorders>
              <w:top w:val="single" w:sz="4" w:space="0" w:color="000000"/>
              <w:left w:val="single" w:sz="6" w:space="0" w:color="auto"/>
              <w:bottom w:val="single" w:sz="4" w:space="0" w:color="000000"/>
              <w:right w:val="single" w:sz="6" w:space="0" w:color="auto"/>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Meeting fees</w:t>
            </w:r>
          </w:p>
        </w:tc>
      </w:tr>
      <w:tr w:rsidR="00D66275" w:rsidRPr="00D66275">
        <w:trPr>
          <w:trHeight w:val="277"/>
        </w:trPr>
        <w:tc>
          <w:tcPr>
            <w:tcW w:w="247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Chair</w:t>
            </w:r>
          </w:p>
        </w:tc>
        <w:tc>
          <w:tcPr>
            <w:tcW w:w="247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 xml:space="preserve">$58,600 </w:t>
            </w:r>
          </w:p>
        </w:tc>
        <w:tc>
          <w:tcPr>
            <w:tcW w:w="247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$1,120</w:t>
            </w:r>
          </w:p>
        </w:tc>
      </w:tr>
      <w:tr w:rsidR="00D66275" w:rsidRPr="00D66275">
        <w:trPr>
          <w:trHeight w:val="277"/>
        </w:trPr>
        <w:tc>
          <w:tcPr>
            <w:tcW w:w="247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Members</w:t>
            </w:r>
          </w:p>
        </w:tc>
        <w:tc>
          <w:tcPr>
            <w:tcW w:w="247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$29,300</w:t>
            </w:r>
          </w:p>
        </w:tc>
        <w:tc>
          <w:tcPr>
            <w:tcW w:w="2476"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jc w:val="center"/>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$896</w:t>
            </w:r>
          </w:p>
        </w:tc>
      </w:tr>
    </w:tbl>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6"/>
          <w:szCs w:val="16"/>
          <w:lang w:val="en-GB"/>
        </w:rPr>
      </w:pPr>
    </w:p>
    <w:p w:rsidR="00D66275" w:rsidRPr="00D66275" w:rsidRDefault="00D66275" w:rsidP="00CD4539">
      <w:pPr>
        <w:pStyle w:val="03Heading3"/>
      </w:pPr>
      <w:bookmarkStart w:id="35" w:name="_Toc527458458"/>
      <w:r w:rsidRPr="00D66275">
        <w:t>5.3.4</w:t>
      </w:r>
      <w:r w:rsidRPr="00D66275">
        <w:tab/>
        <w:t>Employment Arrangements</w:t>
      </w:r>
      <w:bookmarkEnd w:id="35"/>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Upon establishment, the then CEO of the Authority made a determination under subsection 24(1) of the </w:t>
      </w:r>
      <w:r w:rsidRPr="00D66275">
        <w:rPr>
          <w:rFonts w:ascii="Calibri" w:hAnsi="Calibri" w:cs="Calibri"/>
          <w:i/>
          <w:iCs/>
          <w:color w:val="000000"/>
          <w:sz w:val="18"/>
          <w:szCs w:val="18"/>
          <w:lang w:val="en-GB"/>
        </w:rPr>
        <w:t>Public Service Act 1999</w:t>
      </w:r>
      <w:r w:rsidRPr="00D66275">
        <w:rPr>
          <w:rFonts w:ascii="Calibri" w:hAnsi="Calibri" w:cs="Calibri"/>
          <w:color w:val="000000"/>
          <w:sz w:val="18"/>
          <w:szCs w:val="18"/>
          <w:lang w:val="en-GB"/>
        </w:rPr>
        <w:t xml:space="preserve"> stating that all non-SES Authority staff were to be employed under the conditions of the Department of Climate Change and Energy Efficiency Enterprise Agreement 2011−2014. This arrangement continued throughout 2017–18.</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 2017–18, no non-SES staff members were employed on individual flexibility arrangements.</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No employee of the Authority was employed under performance-based remuneration conditions in 2017–18.</w:t>
      </w:r>
    </w:p>
    <w:p w:rsidR="00D66275" w:rsidRPr="00CD4539" w:rsidRDefault="00D66275" w:rsidP="00CD4539">
      <w:pPr>
        <w:pStyle w:val="03Heading3"/>
      </w:pPr>
      <w:bookmarkStart w:id="36" w:name="_Toc527458459"/>
      <w:r w:rsidRPr="00CD4539">
        <w:t>5.3.5</w:t>
      </w:r>
      <w:r w:rsidRPr="00CD4539">
        <w:tab/>
        <w:t>Consultative Arrangements</w:t>
      </w:r>
      <w:bookmarkEnd w:id="36"/>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An advantage of a small agency is that frequent, direct consultation between management and employees is possible. This occurred on a regular basis in 2017–18, including through the CEO’s all staff meetings, weekly executive team management meetings and regular team meetings.</w:t>
      </w:r>
    </w:p>
    <w:p w:rsidR="00D66275" w:rsidRPr="00CD4539" w:rsidRDefault="00D66275" w:rsidP="00CD4539">
      <w:pPr>
        <w:pStyle w:val="03Heading3"/>
      </w:pPr>
      <w:bookmarkStart w:id="37" w:name="_Toc527458460"/>
      <w:r w:rsidRPr="00CD4539">
        <w:t>5.3.6</w:t>
      </w:r>
      <w:r w:rsidRPr="00CD4539">
        <w:tab/>
        <w:t>Performance Management</w:t>
      </w:r>
      <w:bookmarkEnd w:id="37"/>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All employees participate in the Authority’s performance development framework. The framework seeks to:</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clarify individual employees’ understanding of their work tasks, their responsibilities and the performance standards expected (through individual performance agreements)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provide feedback on performance and improve communication between supervisors and their staff (through individual performance appraisals)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provide a basis for determining salary advancement</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identify learning and development needs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identify and manage instances of underperformance.</w:t>
      </w:r>
    </w:p>
    <w:p w:rsidR="00D66275" w:rsidRPr="00CD4539" w:rsidRDefault="00D66275" w:rsidP="00CD4539">
      <w:pPr>
        <w:pStyle w:val="03Heading3"/>
      </w:pPr>
      <w:bookmarkStart w:id="38" w:name="_Toc527458461"/>
      <w:r w:rsidRPr="00CD4539">
        <w:t>5.3.7</w:t>
      </w:r>
      <w:r w:rsidRPr="00CD4539">
        <w:tab/>
        <w:t>Learning and Development</w:t>
      </w:r>
      <w:bookmarkEnd w:id="38"/>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encourages employees to undertake learning and development to build up competencies relevant to their roles. </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Authority’s study assistance policy provides financial and leave assistance to its staff enrolled in study or training that is relevant to the operational needs of the agency. Each staff member has the opportunity to identify and access appropriate training through the organisation’s Performance Development Programme.</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also provides one-on-one coaching to address particular development needs and extensive on-the-job training within the Authority. Staff are able to access training through the Department of the Environment and Energy’s Learning and Development program.</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In 2017–18, four employees received study assistance in the form of paid leave and assistance with fees. </w:t>
      </w:r>
    </w:p>
    <w:p w:rsidR="00D66275" w:rsidRPr="00CD4539" w:rsidRDefault="00D66275" w:rsidP="00CD4539">
      <w:pPr>
        <w:pStyle w:val="03Heading3"/>
      </w:pPr>
      <w:bookmarkStart w:id="39" w:name="_Toc527458462"/>
      <w:r w:rsidRPr="00CD4539">
        <w:t>5.3.8</w:t>
      </w:r>
      <w:r w:rsidRPr="00CD4539">
        <w:tab/>
        <w:t>Work Health and Safety</w:t>
      </w:r>
      <w:bookmarkEnd w:id="39"/>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No formal work health and safety investigations were conducted during the year and there were no notifiable incidents. No notices under Part 10 of the </w:t>
      </w:r>
      <w:r w:rsidRPr="00D66275">
        <w:rPr>
          <w:rFonts w:ascii="Calibri" w:hAnsi="Calibri" w:cs="Calibri"/>
          <w:i/>
          <w:iCs/>
          <w:color w:val="000000"/>
          <w:sz w:val="18"/>
          <w:szCs w:val="18"/>
          <w:lang w:val="en-GB"/>
        </w:rPr>
        <w:t xml:space="preserve">Work Health Safety Act 2011 </w:t>
      </w:r>
      <w:r w:rsidRPr="00D66275">
        <w:rPr>
          <w:rFonts w:ascii="Calibri" w:hAnsi="Calibri" w:cs="Calibri"/>
          <w:color w:val="000000"/>
          <w:sz w:val="18"/>
          <w:szCs w:val="18"/>
          <w:lang w:val="en-GB"/>
        </w:rPr>
        <w:t>were given to the Authority during 2017–18.</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During 2017–18, work health and safety initiatives included:</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Authority-funded flu vaccinations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a flexible work policy to manage and avoid staff working excessive hours</w:t>
      </w:r>
    </w:p>
    <w:p w:rsidR="00D66275" w:rsidRPr="00D66275" w:rsidRDefault="00D66275" w:rsidP="00D66275">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t>
      </w:r>
      <w:r w:rsidRPr="00D66275">
        <w:rPr>
          <w:rFonts w:ascii="Calibri" w:hAnsi="Calibri" w:cs="Calibri"/>
          <w:color w:val="000000"/>
          <w:sz w:val="18"/>
          <w:szCs w:val="18"/>
          <w:lang w:val="en-GB"/>
        </w:rPr>
        <w:tab/>
        <w:t>provision of ergonomic equipment as required.</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There were no claims for injury in 2017–18 and no return-to-work programmes conducted. </w:t>
      </w:r>
    </w:p>
    <w:p w:rsidR="00D66275" w:rsidRPr="00CD4539" w:rsidRDefault="00D66275" w:rsidP="00CD4539">
      <w:pPr>
        <w:pStyle w:val="03Heading3"/>
      </w:pPr>
      <w:bookmarkStart w:id="40" w:name="_Toc527458463"/>
      <w:r w:rsidRPr="00CD4539">
        <w:t>5.3.9</w:t>
      </w:r>
      <w:r w:rsidRPr="00CD4539">
        <w:tab/>
        <w:t>Employee Assistance Programme</w:t>
      </w:r>
      <w:bookmarkEnd w:id="40"/>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Authority engaged Optum to provide its employees independent, confidential and professional counselling, consultation and training assistance for work-related or personal issues. </w:t>
      </w:r>
    </w:p>
    <w:p w:rsidR="00D66275" w:rsidRPr="00D66275" w:rsidRDefault="00D66275" w:rsidP="00D66275">
      <w:pPr>
        <w:tabs>
          <w:tab w:val="left" w:pos="900"/>
        </w:tabs>
        <w:suppressAutoHyphens/>
        <w:autoSpaceDE w:val="0"/>
        <w:autoSpaceDN w:val="0"/>
        <w:adjustRightInd w:val="0"/>
        <w:spacing w:before="110" w:after="113" w:line="260" w:lineRule="atLeast"/>
        <w:ind w:left="737" w:hanging="737"/>
        <w:textAlignment w:val="center"/>
        <w:rPr>
          <w:rFonts w:ascii="Calibri" w:hAnsi="Calibri" w:cs="Calibri"/>
          <w:b/>
          <w:bCs/>
          <w:caps/>
          <w:color w:val="00B6E8"/>
          <w:sz w:val="20"/>
          <w:szCs w:val="20"/>
          <w:lang w:val="en-GB"/>
        </w:rPr>
      </w:pPr>
      <w:r w:rsidRPr="00D66275">
        <w:rPr>
          <w:rFonts w:ascii="Calibri" w:hAnsi="Calibri" w:cs="Calibri"/>
          <w:b/>
          <w:bCs/>
          <w:caps/>
          <w:color w:val="00B6E8"/>
          <w:sz w:val="20"/>
          <w:szCs w:val="20"/>
          <w:lang w:val="en-GB"/>
        </w:rPr>
        <w:t>5.3.10</w:t>
      </w:r>
      <w:r w:rsidRPr="00D66275">
        <w:rPr>
          <w:rFonts w:ascii="Calibri" w:hAnsi="Calibri" w:cs="Calibri"/>
          <w:b/>
          <w:bCs/>
          <w:caps/>
          <w:color w:val="00B6E8"/>
          <w:sz w:val="20"/>
          <w:szCs w:val="20"/>
          <w:lang w:val="en-GB"/>
        </w:rPr>
        <w:tab/>
        <w:t>Workplace Diversity</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Authority continues to foster a culture that supports employees achieving their potential and values employee diversity. This was facilitated through the Authority’s enterprise agreement and related policies.</w:t>
      </w:r>
    </w:p>
    <w:p w:rsidR="00D66275" w:rsidRPr="00D66275" w:rsidRDefault="00D66275" w:rsidP="00D66275">
      <w:pPr>
        <w:tabs>
          <w:tab w:val="left" w:pos="850"/>
        </w:tabs>
        <w:suppressAutoHyphens/>
        <w:autoSpaceDE w:val="0"/>
        <w:autoSpaceDN w:val="0"/>
        <w:adjustRightInd w:val="0"/>
        <w:spacing w:before="110" w:after="113" w:line="260" w:lineRule="atLeast"/>
        <w:ind w:left="737" w:hanging="737"/>
        <w:textAlignment w:val="center"/>
        <w:rPr>
          <w:rFonts w:ascii="Calibri" w:hAnsi="Calibri" w:cs="Calibri"/>
          <w:b/>
          <w:bCs/>
          <w:caps/>
          <w:color w:val="00B6E8"/>
          <w:sz w:val="20"/>
          <w:szCs w:val="20"/>
          <w:lang w:val="en-GB"/>
        </w:rPr>
      </w:pPr>
      <w:r w:rsidRPr="00D66275">
        <w:rPr>
          <w:rFonts w:ascii="Calibri" w:hAnsi="Calibri" w:cs="Calibri"/>
          <w:b/>
          <w:bCs/>
          <w:caps/>
          <w:color w:val="00B6E8"/>
          <w:sz w:val="20"/>
          <w:szCs w:val="20"/>
          <w:lang w:val="en-GB"/>
        </w:rPr>
        <w:t>5.3.11</w:t>
      </w:r>
      <w:r w:rsidRPr="00D66275">
        <w:rPr>
          <w:rFonts w:ascii="Calibri" w:hAnsi="Calibri" w:cs="Calibri"/>
          <w:b/>
          <w:bCs/>
          <w:caps/>
          <w:color w:val="00B6E8"/>
          <w:sz w:val="20"/>
          <w:szCs w:val="20"/>
          <w:lang w:val="en-GB"/>
        </w:rPr>
        <w:tab/>
        <w:t>Disability Reporting</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Since 1994, Commonwealth departments and agencies have reported on their performance as policy adviser, purchaser, employer, regulator and provider under the Commonwealth Disability Strategy. In 2007−08, reporting on the employer role was transferred to the Australian Public Service Commission’s </w:t>
      </w:r>
      <w:r w:rsidRPr="00D66275">
        <w:rPr>
          <w:rFonts w:ascii="Calibri" w:hAnsi="Calibri" w:cs="Calibri"/>
          <w:i/>
          <w:iCs/>
          <w:color w:val="000000"/>
          <w:sz w:val="18"/>
          <w:szCs w:val="18"/>
          <w:lang w:val="en-GB"/>
        </w:rPr>
        <w:t xml:space="preserve">State of the Service Report </w:t>
      </w:r>
      <w:r w:rsidRPr="00D66275">
        <w:rPr>
          <w:rFonts w:ascii="Calibri" w:hAnsi="Calibri" w:cs="Calibri"/>
          <w:color w:val="000000"/>
          <w:sz w:val="18"/>
          <w:szCs w:val="18"/>
          <w:lang w:val="en-GB"/>
        </w:rPr>
        <w:t>and the APS Statistical Bulletin. These reports are available at www.apsc.gov.au. Entities are no longer required to report on these functions.</w:t>
      </w: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The Commonwealth Disability Strategy has been overtaken by the National Disability Strategy 2010–2020, which sets out a 10-year national policy framework to improve the lives of people with disability, promote participation and create a more inclusive society. A high-level two-yearly report will track progress against each of the six outcome areas of the strategy and present a picture of how people with disability are faring. </w:t>
      </w:r>
      <w:proofErr w:type="gramStart"/>
      <w:r w:rsidRPr="00D66275">
        <w:rPr>
          <w:rFonts w:ascii="Calibri" w:hAnsi="Calibri" w:cs="Calibri"/>
          <w:color w:val="000000"/>
          <w:sz w:val="18"/>
          <w:szCs w:val="18"/>
          <w:lang w:val="en-GB"/>
        </w:rPr>
        <w:t>The first of these progress reports was published in 2014, and can be found at www.dss.gov.au.</w:t>
      </w:r>
      <w:proofErr w:type="gramEnd"/>
      <w:r w:rsidRPr="00D66275">
        <w:rPr>
          <w:rFonts w:ascii="Calibri" w:hAnsi="Calibri" w:cs="Calibri"/>
          <w:color w:val="000000"/>
          <w:sz w:val="18"/>
          <w:szCs w:val="18"/>
          <w:lang w:val="en-GB"/>
        </w:rPr>
        <w:t xml:space="preserve"> </w:t>
      </w:r>
    </w:p>
    <w:p w:rsidR="00D66275" w:rsidRDefault="00D66275">
      <w:pPr>
        <w:rPr>
          <w:rFonts w:ascii="Calibri" w:hAnsi="Calibri" w:cs="Calibri"/>
          <w:b/>
          <w:bCs/>
          <w:caps/>
          <w:color w:val="00B6E8"/>
          <w:spacing w:val="17"/>
          <w:sz w:val="34"/>
          <w:szCs w:val="34"/>
          <w:lang w:val="en-GB"/>
        </w:rPr>
      </w:pPr>
      <w:r>
        <w:rPr>
          <w:rFonts w:ascii="Calibri" w:hAnsi="Calibri" w:cs="Calibri"/>
          <w:b/>
          <w:bCs/>
          <w:caps/>
          <w:color w:val="00B6E8"/>
          <w:spacing w:val="17"/>
          <w:sz w:val="34"/>
          <w:szCs w:val="34"/>
          <w:lang w:val="en-GB"/>
        </w:rPr>
        <w:br w:type="page"/>
      </w:r>
    </w:p>
    <w:p w:rsidR="00D66275" w:rsidRPr="00D66275" w:rsidRDefault="00D66275" w:rsidP="00DD269C">
      <w:pPr>
        <w:pStyle w:val="01Heading1"/>
      </w:pPr>
      <w:bookmarkStart w:id="41" w:name="_Toc527458464"/>
      <w:r w:rsidRPr="00D66275">
        <w:t>Appendix A AUDITED FINANCIAL STATEMENTS</w:t>
      </w:r>
      <w:bookmarkEnd w:id="41"/>
    </w:p>
    <w:p w:rsidR="00684F70" w:rsidRDefault="00684F70">
      <w:pPr>
        <w:rPr>
          <w:rFonts w:ascii="Calibri" w:hAnsi="Calibri" w:cs="Calibri"/>
          <w:b/>
          <w:bCs/>
          <w:caps/>
          <w:color w:val="00B6E8"/>
          <w:lang w:val="en-GB"/>
        </w:rPr>
      </w:pPr>
      <w:r>
        <w:rPr>
          <w:rFonts w:ascii="Calibri" w:hAnsi="Calibri" w:cs="Calibri"/>
          <w:b/>
          <w:bCs/>
          <w:caps/>
          <w:noProof/>
          <w:color w:val="00B6E8"/>
          <w:lang w:eastAsia="en-AU"/>
        </w:rPr>
        <w:drawing>
          <wp:inline distT="0" distB="0" distL="0" distR="0">
            <wp:extent cx="5835650" cy="8258175"/>
            <wp:effectExtent l="0" t="0" r="6350" b="0"/>
            <wp:docPr id="6" name="Picture 6" descr="Australian National Audit Office&#10;INDEPENDENT AUDITOR’S REPORT&#10;&#10;To the Minister for the Environment&#10;&#10;Opinion&#10;&#10;In my opinion, the financial statements of the Climate Change Authority for the year ended 30 June&#10;2018:&#10;(a) comply with Australian Accounting Standards – Reduced Disclosure Requirements and the Public&#10;Governance, Performance and Accountability (Financial Reporting) Rule 2015; and&#10;(b) present fairly the financial position of the Climate Change Authority as at 30 June 2018 and its&#10;financial performance and cash flows for the year then ended.&#10;The financial statements of the Climate Change Authority, which I have audited, comprise the following&#10;statements as at 30 June 2018 and for the year then ended:&#10; Statement by the Accountable Authority and the Chief Finance Officer;&#10; Statement of Comprehensive Income;&#10; Statement of Financial Position;&#10; Statement of Changes in Equity;&#10; Cash Flow Statement;&#10; Notes to the financial statements, comprising an Overview and other explanatory information.&#10;&#10;Basis for Opinion&#10;&#10;I conducted my audit in accordance with the Australian National Audit Office Auditing Standards, which&#10;incorporate the Australian Auditing Standards. My responsibilities under those standards are further&#10;described in the Auditor’s Responsibilities for the Audit of the Financial Statements section of my report.&#10;I am independent of the Climate Change Authority in accordance with the relevant ethical requirements&#10;for financial statement audits conducted by the Auditor-General and his delegates. These include the&#10;relevant independence requirements of the Accounting Professional and Ethical Standards Board’s&#10;APES 110 Code of Ethics for Professional Accountants (the Code) to the extent that they are not in conflict with the Auditor-General Act 1997. I have also fulfilled my other responsibilities in accordance with the Code. I believe that the audit evidence I have obtained is sufficient and appropriate to provide a basis for my opinion.&#10;&#10;Accountable Authority’s Responsibility for the Financial Statements&#10;&#10;As the Accountable Authority of the Climate Change Authority, the Chief Executive Officer is responsible under the Public Governance, Performance and Accountability Act 2013 for the preparation and fair presentation of annual financial statements that comply with Australian Accounting Standards – Reduced Disclosure Requirements and the rules made under that Act. The Chief Executive Officer is also responsible for such internal control as the Chief Executive Officer determines is necessary to enable the preparation and fair presentation of financial statements that are free from material misstatement, whether due to fraud or error.&#10;In preparing the financial statements, the Chief Executive Officer is responsible for assessing the Climate Change Authority’s ability to continue as a going concern, taking into account whether the entity’s operations will cease as a result of an administrative restructure or for any other reason. The Chief Executive Officer is also responsible for disclosing, as applicable, matters related to going concern and using the going concern basis of accounting unless the assessment indicates that it is not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A signed auditors report 120918.pdf"/>
                    <pic:cNvPicPr/>
                  </pic:nvPicPr>
                  <pic:blipFill>
                    <a:blip r:embed="rId12">
                      <a:extLst>
                        <a:ext uri="{28A0092B-C50C-407E-A947-70E740481C1C}">
                          <a14:useLocalDpi xmlns:a14="http://schemas.microsoft.com/office/drawing/2010/main" val="0"/>
                        </a:ext>
                      </a:extLst>
                    </a:blip>
                    <a:stretch>
                      <a:fillRect/>
                    </a:stretch>
                  </pic:blipFill>
                  <pic:spPr>
                    <a:xfrm>
                      <a:off x="0" y="0"/>
                      <a:ext cx="5835650" cy="8258175"/>
                    </a:xfrm>
                    <a:prstGeom prst="rect">
                      <a:avLst/>
                    </a:prstGeom>
                  </pic:spPr>
                </pic:pic>
              </a:graphicData>
            </a:graphic>
          </wp:inline>
        </w:drawing>
      </w:r>
      <w:r>
        <w:rPr>
          <w:rFonts w:ascii="Calibri" w:hAnsi="Calibri" w:cs="Calibri"/>
          <w:b/>
          <w:bCs/>
          <w:caps/>
          <w:color w:val="00B6E8"/>
          <w:lang w:val="en-GB"/>
        </w:rPr>
        <w:br w:type="page"/>
      </w:r>
    </w:p>
    <w:p w:rsidR="00684F70" w:rsidRDefault="00684F70" w:rsidP="00684F70">
      <w:pPr>
        <w:keepNext/>
        <w:tabs>
          <w:tab w:val="left" w:pos="1418"/>
        </w:tabs>
        <w:suppressAutoHyphens/>
        <w:autoSpaceDE w:val="0"/>
        <w:autoSpaceDN w:val="0"/>
        <w:adjustRightInd w:val="0"/>
        <w:spacing w:before="283" w:after="227" w:line="200" w:lineRule="atLeast"/>
        <w:textAlignment w:val="center"/>
        <w:rPr>
          <w:rFonts w:ascii="Calibri" w:hAnsi="Calibri" w:cs="Calibri"/>
          <w:b/>
          <w:bCs/>
          <w:caps/>
          <w:color w:val="00B6E8"/>
          <w:lang w:val="en-GB"/>
        </w:rPr>
      </w:pPr>
      <w:r>
        <w:rPr>
          <w:rFonts w:ascii="Calibri" w:hAnsi="Calibri" w:cs="Calibri"/>
          <w:b/>
          <w:bCs/>
          <w:caps/>
          <w:noProof/>
          <w:color w:val="00B6E8"/>
          <w:lang w:eastAsia="en-AU"/>
        </w:rPr>
        <w:drawing>
          <wp:inline distT="0" distB="0" distL="0" distR="0">
            <wp:extent cx="5835646" cy="8258175"/>
            <wp:effectExtent l="0" t="0" r="0" b="0"/>
            <wp:docPr id="7" name="Picture 7" descr="Independent Auditor's Report, page 2&#10;&#10;Auditor’s Responsibilities for the Audit of the Financial Statements&#10;&#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 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 &#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10;to continue as a going concern; and&#10; evaluate the overall presentation, structure and content of the financial statements, including the disclosures, and whether the financial statements represent the underlying transactions and events in a manner that achieves fair presentation.&#10;&#10;I communicate with those charged with governance regarding, among other matters, the planned scope and timing of the audit and significant audit findings, including any significant deficiencies in internal control that I identify during my audit.&#10;&#10;Australian National Audit Office&#10;Peter Kerr&#10;Executive Director&#10;Delegate of the Auditor-General&#10;Canberra&#10;12 September 2018&#10;&#10;GPO Box 707 CANBERRA ACT 2601&#10;19 National Circuit BARTON ACT&#10;Phone (02) 6203 7300 Fax (02) 6203 77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A signed auditors report 120918.pdf"/>
                    <pic:cNvPicPr/>
                  </pic:nvPicPr>
                  <pic:blipFill>
                    <a:blip r:embed="rId13">
                      <a:extLst>
                        <a:ext uri="{28A0092B-C50C-407E-A947-70E740481C1C}">
                          <a14:useLocalDpi xmlns:a14="http://schemas.microsoft.com/office/drawing/2010/main" val="0"/>
                        </a:ext>
                      </a:extLst>
                    </a:blip>
                    <a:stretch>
                      <a:fillRect/>
                    </a:stretch>
                  </pic:blipFill>
                  <pic:spPr>
                    <a:xfrm>
                      <a:off x="0" y="0"/>
                      <a:ext cx="5835646" cy="8258175"/>
                    </a:xfrm>
                    <a:prstGeom prst="rect">
                      <a:avLst/>
                    </a:prstGeom>
                  </pic:spPr>
                </pic:pic>
              </a:graphicData>
            </a:graphic>
          </wp:inline>
        </w:drawing>
      </w:r>
    </w:p>
    <w:p w:rsidR="0096339E" w:rsidRDefault="0096339E" w:rsidP="00684F70">
      <w:pPr>
        <w:keepNext/>
        <w:tabs>
          <w:tab w:val="left" w:pos="1418"/>
        </w:tabs>
        <w:suppressAutoHyphens/>
        <w:autoSpaceDE w:val="0"/>
        <w:autoSpaceDN w:val="0"/>
        <w:adjustRightInd w:val="0"/>
        <w:spacing w:before="283" w:after="227" w:line="200" w:lineRule="atLeast"/>
        <w:textAlignment w:val="center"/>
        <w:rPr>
          <w:rFonts w:ascii="Calibri" w:hAnsi="Calibri" w:cs="Calibri"/>
          <w:b/>
          <w:bCs/>
          <w:caps/>
          <w:color w:val="00B6E8"/>
          <w:lang w:val="en-GB"/>
        </w:rPr>
      </w:pPr>
      <w:r>
        <w:rPr>
          <w:rFonts w:ascii="Calibri" w:hAnsi="Calibri" w:cs="Calibri"/>
          <w:b/>
          <w:bCs/>
          <w:caps/>
          <w:noProof/>
          <w:color w:val="00B6E8"/>
          <w:lang w:eastAsia="en-AU"/>
        </w:rPr>
        <w:drawing>
          <wp:inline distT="0" distB="0" distL="0" distR="0">
            <wp:extent cx="5835650" cy="8258175"/>
            <wp:effectExtent l="0" t="0" r="6350" b="0"/>
            <wp:docPr id="8" name="Picture 8" descr="Australian Government, Climate Change Authority&#10;&#10;STATEMENT BY THE ACCOUNTABLE AUTHORITY AND THE CHIEF FINANCE OFFICER&#10;In our opinion, the attached financial statements for the year ended 30 June 2018 comply with subsection 42(2) of the Public Governance, Performance and Accountability Act 2013 (PGPA Act), and are based on properly maintained financial records as per subsection 41(2) of the PGPA Act.&#10;&#10;In our opinion, at the date of this statement, there are reasonable grounds to believe that the Climate Change Authority will be able to pay its debts as and when they fall due.&#10;&#10;Gayle Milnes&#10;A/g Chief Executive Officer&#10;12 September 2018 &#10;&#10;Tracey Vassallo&#10;Chief Finance Officer&#10;&#10;12 September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CCA Financial Statements signed 120918.pdf"/>
                    <pic:cNvPicPr/>
                  </pic:nvPicPr>
                  <pic:blipFill>
                    <a:blip r:embed="rId14">
                      <a:extLst>
                        <a:ext uri="{28A0092B-C50C-407E-A947-70E740481C1C}">
                          <a14:useLocalDpi xmlns:a14="http://schemas.microsoft.com/office/drawing/2010/main" val="0"/>
                        </a:ext>
                      </a:extLst>
                    </a:blip>
                    <a:stretch>
                      <a:fillRect/>
                    </a:stretch>
                  </pic:blipFill>
                  <pic:spPr>
                    <a:xfrm>
                      <a:off x="0" y="0"/>
                      <a:ext cx="5835650" cy="8258175"/>
                    </a:xfrm>
                    <a:prstGeom prst="rect">
                      <a:avLst/>
                    </a:prstGeom>
                  </pic:spPr>
                </pic:pic>
              </a:graphicData>
            </a:graphic>
          </wp:inline>
        </w:drawing>
      </w:r>
    </w:p>
    <w:p w:rsidR="00D66275" w:rsidRPr="00D66275" w:rsidRDefault="00D66275" w:rsidP="00684F70">
      <w:pPr>
        <w:keepNext/>
        <w:tabs>
          <w:tab w:val="left" w:pos="1418"/>
        </w:tabs>
        <w:suppressAutoHyphens/>
        <w:autoSpaceDE w:val="0"/>
        <w:autoSpaceDN w:val="0"/>
        <w:adjustRightInd w:val="0"/>
        <w:spacing w:before="283" w:after="227" w:line="20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lang w:val="en-GB"/>
        </w:rPr>
        <w:t xml:space="preserve">Statement of Comprehensive Income </w:t>
      </w:r>
      <w:r w:rsidRPr="00D66275">
        <w:rPr>
          <w:rFonts w:ascii="Calibri" w:hAnsi="Calibri" w:cs="Calibri"/>
          <w:b/>
          <w:bCs/>
          <w:caps/>
          <w:color w:val="00B6E8"/>
          <w:sz w:val="16"/>
          <w:szCs w:val="16"/>
          <w:lang w:val="en-GB"/>
        </w:rPr>
        <w:t>for the period ended 30 June 2018</w:t>
      </w:r>
    </w:p>
    <w:tbl>
      <w:tblPr>
        <w:tblW w:w="0" w:type="auto"/>
        <w:tblInd w:w="-8" w:type="dxa"/>
        <w:tblLayout w:type="fixed"/>
        <w:tblCellMar>
          <w:left w:w="0" w:type="dxa"/>
          <w:right w:w="0" w:type="dxa"/>
        </w:tblCellMar>
        <w:tblLook w:val="0000" w:firstRow="0" w:lastRow="0" w:firstColumn="0" w:lastColumn="0" w:noHBand="0" w:noVBand="0"/>
      </w:tblPr>
      <w:tblGrid>
        <w:gridCol w:w="1889"/>
        <w:gridCol w:w="735"/>
        <w:gridCol w:w="1196"/>
        <w:gridCol w:w="744"/>
        <w:gridCol w:w="954"/>
        <w:gridCol w:w="954"/>
        <w:gridCol w:w="955"/>
      </w:tblGrid>
      <w:tr w:rsidR="00D66275" w:rsidRPr="00D66275" w:rsidTr="00684F70">
        <w:trPr>
          <w:trHeight w:val="60"/>
          <w:tblHeader/>
        </w:trPr>
        <w:tc>
          <w:tcPr>
            <w:tcW w:w="1889"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735"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1196"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744"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954"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954"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955" w:type="dxa"/>
            <w:shd w:val="solid" w:color="00B6E8" w:fill="auto"/>
            <w:tcMar>
              <w:top w:w="113" w:type="dxa"/>
              <w:left w:w="0" w:type="dxa"/>
              <w:bottom w:w="113" w:type="dxa"/>
              <w:right w:w="57" w:type="dxa"/>
            </w:tcMar>
            <w:vAlign w:val="center"/>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Original Budget</w:t>
            </w:r>
          </w:p>
        </w:tc>
      </w:tr>
      <w:tr w:rsidR="00D66275" w:rsidRPr="00D66275" w:rsidTr="00684F70">
        <w:trPr>
          <w:trHeight w:val="60"/>
          <w:tblHeader/>
        </w:trPr>
        <w:tc>
          <w:tcPr>
            <w:tcW w:w="1889"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735"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1196"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744"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954" w:type="dxa"/>
            <w:shd w:val="solid" w:color="00B6E8" w:fill="auto"/>
            <w:tcMar>
              <w:top w:w="113" w:type="dxa"/>
              <w:left w:w="0" w:type="dxa"/>
              <w:bottom w:w="113" w:type="dxa"/>
              <w:right w:w="0" w:type="dxa"/>
            </w:tcMar>
            <w:vAlign w:val="center"/>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c>
          <w:tcPr>
            <w:tcW w:w="954" w:type="dxa"/>
            <w:shd w:val="solid" w:color="00B6E8" w:fill="auto"/>
            <w:tcMar>
              <w:top w:w="113" w:type="dxa"/>
              <w:left w:w="0" w:type="dxa"/>
              <w:bottom w:w="113" w:type="dxa"/>
              <w:right w:w="0" w:type="dxa"/>
            </w:tcMar>
            <w:vAlign w:val="center"/>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2017</w:t>
            </w:r>
          </w:p>
        </w:tc>
        <w:tc>
          <w:tcPr>
            <w:tcW w:w="955" w:type="dxa"/>
            <w:shd w:val="solid" w:color="00B6E8" w:fill="auto"/>
            <w:tcMar>
              <w:top w:w="113" w:type="dxa"/>
              <w:left w:w="0" w:type="dxa"/>
              <w:bottom w:w="113" w:type="dxa"/>
              <w:right w:w="57" w:type="dxa"/>
            </w:tcMar>
            <w:vAlign w:val="center"/>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r>
      <w:tr w:rsidR="00D66275" w:rsidRPr="00D66275" w:rsidTr="00684F70">
        <w:trPr>
          <w:trHeight w:val="60"/>
          <w:tblHeader/>
        </w:trPr>
        <w:tc>
          <w:tcPr>
            <w:tcW w:w="1889"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735"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1196" w:type="dxa"/>
            <w:shd w:val="solid" w:color="00B6E8" w:fill="auto"/>
            <w:tcMar>
              <w:top w:w="113" w:type="dxa"/>
              <w:left w:w="0" w:type="dxa"/>
              <w:bottom w:w="113" w:type="dxa"/>
              <w:right w:w="0" w:type="dxa"/>
            </w:tcMar>
            <w:vAlign w:val="center"/>
          </w:tcPr>
          <w:p w:rsidR="00D66275" w:rsidRPr="00D66275" w:rsidRDefault="00D66275" w:rsidP="00684F70">
            <w:pPr>
              <w:autoSpaceDE w:val="0"/>
              <w:autoSpaceDN w:val="0"/>
              <w:adjustRightInd w:val="0"/>
              <w:rPr>
                <w:rFonts w:ascii="Calibri" w:hAnsi="Calibri"/>
                <w:lang w:val="en-US"/>
              </w:rPr>
            </w:pPr>
          </w:p>
        </w:tc>
        <w:tc>
          <w:tcPr>
            <w:tcW w:w="744" w:type="dxa"/>
            <w:shd w:val="solid" w:color="00B6E8" w:fill="auto"/>
            <w:tcMar>
              <w:top w:w="113" w:type="dxa"/>
              <w:left w:w="0" w:type="dxa"/>
              <w:bottom w:w="113" w:type="dxa"/>
              <w:right w:w="0" w:type="dxa"/>
            </w:tcMar>
            <w:vAlign w:val="center"/>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Notes</w:t>
            </w:r>
          </w:p>
        </w:tc>
        <w:tc>
          <w:tcPr>
            <w:tcW w:w="954" w:type="dxa"/>
            <w:shd w:val="solid" w:color="00B6E8" w:fill="auto"/>
            <w:tcMar>
              <w:top w:w="113" w:type="dxa"/>
              <w:left w:w="0" w:type="dxa"/>
              <w:bottom w:w="113" w:type="dxa"/>
              <w:right w:w="0" w:type="dxa"/>
            </w:tcMar>
            <w:vAlign w:val="center"/>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954" w:type="dxa"/>
            <w:shd w:val="solid" w:color="00B6E8" w:fill="auto"/>
            <w:tcMar>
              <w:top w:w="113" w:type="dxa"/>
              <w:left w:w="0" w:type="dxa"/>
              <w:bottom w:w="113" w:type="dxa"/>
              <w:right w:w="0" w:type="dxa"/>
            </w:tcMar>
            <w:vAlign w:val="center"/>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955" w:type="dxa"/>
            <w:shd w:val="solid" w:color="00B6E8" w:fill="auto"/>
            <w:tcMar>
              <w:top w:w="113" w:type="dxa"/>
              <w:left w:w="0" w:type="dxa"/>
              <w:bottom w:w="113" w:type="dxa"/>
              <w:right w:w="57" w:type="dxa"/>
            </w:tcMar>
            <w:vAlign w:val="center"/>
          </w:tcPr>
          <w:p w:rsidR="00D66275" w:rsidRPr="00D66275" w:rsidRDefault="00D66275" w:rsidP="00684F70">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r>
      <w:tr w:rsidR="00D66275" w:rsidRPr="00D66275" w:rsidTr="00684F7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NET COST OF SERVICES</w:t>
            </w: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5"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r>
      <w:tr w:rsidR="00D66275" w:rsidRPr="00D66275" w:rsidTr="00684F70">
        <w:trPr>
          <w:trHeight w:val="60"/>
        </w:trPr>
        <w:tc>
          <w:tcPr>
            <w:tcW w:w="1889"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Expenses</w:t>
            </w:r>
          </w:p>
        </w:tc>
        <w:tc>
          <w:tcPr>
            <w:tcW w:w="735"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1196"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5"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r>
      <w:tr w:rsidR="00D66275" w:rsidRPr="00D66275" w:rsidTr="00684F7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ind w:left="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Employee benefits</w:t>
            </w:r>
          </w:p>
        </w:tc>
        <w:tc>
          <w:tcPr>
            <w:tcW w:w="74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center"/>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3A</w:t>
            </w:r>
          </w:p>
        </w:tc>
        <w:tc>
          <w:tcPr>
            <w:tcW w:w="95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1,517 </w:t>
            </w:r>
          </w:p>
        </w:tc>
        <w:tc>
          <w:tcPr>
            <w:tcW w:w="95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2,339 </w:t>
            </w:r>
          </w:p>
        </w:tc>
        <w:tc>
          <w:tcPr>
            <w:tcW w:w="955"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977 </w:t>
            </w:r>
          </w:p>
        </w:tc>
      </w:tr>
      <w:tr w:rsidR="00D66275" w:rsidRPr="00D66275" w:rsidTr="00684F7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ind w:left="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Depreciation and amortisation</w:t>
            </w: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95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78 </w:t>
            </w:r>
          </w:p>
        </w:tc>
        <w:tc>
          <w:tcPr>
            <w:tcW w:w="955"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9 </w:t>
            </w:r>
          </w:p>
        </w:tc>
      </w:tr>
      <w:tr w:rsidR="00D66275" w:rsidRPr="00D66275" w:rsidTr="00684F7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ind w:left="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Suppliers</w:t>
            </w:r>
          </w:p>
        </w:tc>
        <w:tc>
          <w:tcPr>
            <w:tcW w:w="74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center"/>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3B</w:t>
            </w:r>
          </w:p>
        </w:tc>
        <w:tc>
          <w:tcPr>
            <w:tcW w:w="95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456 </w:t>
            </w:r>
          </w:p>
        </w:tc>
        <w:tc>
          <w:tcPr>
            <w:tcW w:w="95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841 </w:t>
            </w:r>
          </w:p>
        </w:tc>
        <w:tc>
          <w:tcPr>
            <w:tcW w:w="955"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479 </w:t>
            </w:r>
          </w:p>
        </w:tc>
      </w:tr>
      <w:tr w:rsidR="00D66275" w:rsidRPr="00D66275" w:rsidTr="00684F7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ind w:left="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Loss on disposal of assets</w:t>
            </w: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954" w:type="dxa"/>
            <w:tcBorders>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11 </w:t>
            </w:r>
          </w:p>
        </w:tc>
        <w:tc>
          <w:tcPr>
            <w:tcW w:w="955" w:type="dxa"/>
            <w:tcBorders>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r>
      <w:tr w:rsidR="00D66275" w:rsidRPr="00D66275" w:rsidTr="00684F70">
        <w:trPr>
          <w:trHeight w:val="60"/>
        </w:trPr>
        <w:tc>
          <w:tcPr>
            <w:tcW w:w="1889"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Total Expenses</w:t>
            </w:r>
          </w:p>
        </w:tc>
        <w:tc>
          <w:tcPr>
            <w:tcW w:w="735"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1196"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1,973 </w:t>
            </w:r>
          </w:p>
        </w:tc>
        <w:tc>
          <w:tcPr>
            <w:tcW w:w="954"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3,269 </w:t>
            </w:r>
          </w:p>
        </w:tc>
        <w:tc>
          <w:tcPr>
            <w:tcW w:w="955"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1,465 </w:t>
            </w:r>
          </w:p>
        </w:tc>
      </w:tr>
      <w:tr w:rsidR="00D66275" w:rsidRPr="00D66275" w:rsidTr="00684F70">
        <w:trPr>
          <w:trHeight w:val="60"/>
        </w:trPr>
        <w:tc>
          <w:tcPr>
            <w:tcW w:w="1889"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735"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1196"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top w:val="single" w:sz="6" w:space="0" w:color="auto"/>
            </w:tcBorders>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top w:val="single" w:sz="6" w:space="0" w:color="auto"/>
            </w:tcBorders>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5" w:type="dxa"/>
            <w:tcBorders>
              <w:top w:val="single" w:sz="6" w:space="0" w:color="auto"/>
            </w:tcBorders>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r>
      <w:tr w:rsidR="00D66275" w:rsidRPr="00D66275" w:rsidTr="00684F70">
        <w:trPr>
          <w:trHeight w:val="60"/>
        </w:trPr>
        <w:tc>
          <w:tcPr>
            <w:tcW w:w="1889"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Own-source revenue</w:t>
            </w:r>
          </w:p>
        </w:tc>
        <w:tc>
          <w:tcPr>
            <w:tcW w:w="735"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1196"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5"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r>
      <w:tr w:rsidR="00D66275" w:rsidRPr="00D66275" w:rsidTr="00684F7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ind w:left="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Other revenue</w:t>
            </w:r>
          </w:p>
        </w:tc>
        <w:tc>
          <w:tcPr>
            <w:tcW w:w="74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center"/>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4</w:t>
            </w:r>
          </w:p>
        </w:tc>
        <w:tc>
          <w:tcPr>
            <w:tcW w:w="95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1,569 </w:t>
            </w:r>
          </w:p>
        </w:tc>
        <w:tc>
          <w:tcPr>
            <w:tcW w:w="954"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661 </w:t>
            </w:r>
          </w:p>
        </w:tc>
        <w:tc>
          <w:tcPr>
            <w:tcW w:w="955" w:type="dxa"/>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1,456 </w:t>
            </w:r>
          </w:p>
        </w:tc>
      </w:tr>
      <w:tr w:rsidR="00D66275" w:rsidRPr="00D66275" w:rsidTr="0037072B">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ind w:left="283"/>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Other resources received free of charge (Audit services)</w:t>
            </w: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60 </w:t>
            </w:r>
          </w:p>
        </w:tc>
        <w:tc>
          <w:tcPr>
            <w:tcW w:w="954" w:type="dxa"/>
            <w:tcBorders>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62 </w:t>
            </w:r>
          </w:p>
        </w:tc>
        <w:tc>
          <w:tcPr>
            <w:tcW w:w="955" w:type="dxa"/>
            <w:tcBorders>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r>
      <w:tr w:rsidR="00D66275" w:rsidRPr="00D66275" w:rsidTr="00684F7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Total own-source revenue</w:t>
            </w: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1,629 </w:t>
            </w:r>
          </w:p>
        </w:tc>
        <w:tc>
          <w:tcPr>
            <w:tcW w:w="954"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723 </w:t>
            </w:r>
          </w:p>
        </w:tc>
        <w:tc>
          <w:tcPr>
            <w:tcW w:w="955"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1,456 </w:t>
            </w:r>
          </w:p>
        </w:tc>
      </w:tr>
      <w:tr w:rsidR="00D66275" w:rsidRPr="00D66275" w:rsidTr="00684F7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Net cost of services</w:t>
            </w: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(344)</w:t>
            </w:r>
          </w:p>
        </w:tc>
        <w:tc>
          <w:tcPr>
            <w:tcW w:w="954"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(2,546)</w:t>
            </w:r>
          </w:p>
        </w:tc>
        <w:tc>
          <w:tcPr>
            <w:tcW w:w="955"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(9)</w:t>
            </w:r>
          </w:p>
        </w:tc>
      </w:tr>
      <w:tr w:rsidR="00D66275" w:rsidRPr="00D66275" w:rsidTr="008C490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Revenue from Government (Departmental Appropriation)(Note 1.5)</w:t>
            </w: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954"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2,563 </w:t>
            </w:r>
          </w:p>
        </w:tc>
        <w:tc>
          <w:tcPr>
            <w:tcW w:w="955" w:type="dxa"/>
            <w:tcBorders>
              <w:top w:val="single" w:sz="6" w:space="0" w:color="auto"/>
              <w:bottom w:val="single" w:sz="6"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r>
      <w:tr w:rsidR="00D66275" w:rsidRPr="00D66275" w:rsidTr="008C490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Surplus/(Deficit) attributable to the Australian Government</w:t>
            </w: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top w:val="single" w:sz="6" w:space="0" w:color="auto"/>
              <w:bottom w:val="double" w:sz="4"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(344)</w:t>
            </w:r>
          </w:p>
        </w:tc>
        <w:tc>
          <w:tcPr>
            <w:tcW w:w="954" w:type="dxa"/>
            <w:tcBorders>
              <w:top w:val="single" w:sz="6" w:space="0" w:color="auto"/>
              <w:bottom w:val="double" w:sz="4"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17 </w:t>
            </w:r>
          </w:p>
        </w:tc>
        <w:tc>
          <w:tcPr>
            <w:tcW w:w="955" w:type="dxa"/>
            <w:tcBorders>
              <w:top w:val="single" w:sz="6" w:space="0" w:color="auto"/>
              <w:bottom w:val="double" w:sz="4"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(9)</w:t>
            </w:r>
          </w:p>
        </w:tc>
      </w:tr>
      <w:tr w:rsidR="00D66275" w:rsidRPr="00D66275" w:rsidTr="008C4900">
        <w:trPr>
          <w:trHeight w:val="60"/>
        </w:trPr>
        <w:tc>
          <w:tcPr>
            <w:tcW w:w="3820" w:type="dxa"/>
            <w:gridSpan w:val="3"/>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top w:val="double" w:sz="4" w:space="0" w:color="auto"/>
              <w:bottom w:val="single" w:sz="6" w:space="0" w:color="auto"/>
            </w:tcBorders>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top w:val="double" w:sz="4" w:space="0" w:color="auto"/>
              <w:bottom w:val="single" w:sz="6" w:space="0" w:color="auto"/>
            </w:tcBorders>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5" w:type="dxa"/>
            <w:tcBorders>
              <w:top w:val="double" w:sz="4" w:space="0" w:color="auto"/>
              <w:bottom w:val="single" w:sz="6" w:space="0" w:color="auto"/>
            </w:tcBorders>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r>
      <w:tr w:rsidR="00D66275" w:rsidRPr="00D66275" w:rsidTr="008C4900">
        <w:trPr>
          <w:trHeight w:val="60"/>
        </w:trPr>
        <w:tc>
          <w:tcPr>
            <w:tcW w:w="3820" w:type="dxa"/>
            <w:gridSpan w:val="3"/>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Total comprehensive income/(loss) attributable to the Australian Government</w:t>
            </w:r>
          </w:p>
        </w:tc>
        <w:tc>
          <w:tcPr>
            <w:tcW w:w="744" w:type="dxa"/>
            <w:tcMar>
              <w:top w:w="57" w:type="dxa"/>
              <w:left w:w="57" w:type="dxa"/>
              <w:bottom w:w="57" w:type="dxa"/>
              <w:right w:w="57" w:type="dxa"/>
            </w:tcMar>
            <w:vAlign w:val="center"/>
          </w:tcPr>
          <w:p w:rsidR="00D66275" w:rsidRPr="00D66275" w:rsidRDefault="00D66275" w:rsidP="00D66275">
            <w:pPr>
              <w:autoSpaceDE w:val="0"/>
              <w:autoSpaceDN w:val="0"/>
              <w:adjustRightInd w:val="0"/>
              <w:rPr>
                <w:rFonts w:ascii="Calibri" w:hAnsi="Calibri"/>
                <w:lang w:val="en-US"/>
              </w:rPr>
            </w:pPr>
          </w:p>
        </w:tc>
        <w:tc>
          <w:tcPr>
            <w:tcW w:w="954" w:type="dxa"/>
            <w:tcBorders>
              <w:top w:val="single" w:sz="6" w:space="0" w:color="auto"/>
              <w:bottom w:val="double" w:sz="4"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(344)</w:t>
            </w:r>
          </w:p>
        </w:tc>
        <w:tc>
          <w:tcPr>
            <w:tcW w:w="954" w:type="dxa"/>
            <w:tcBorders>
              <w:top w:val="single" w:sz="6" w:space="0" w:color="auto"/>
              <w:bottom w:val="double" w:sz="4"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17 </w:t>
            </w:r>
          </w:p>
        </w:tc>
        <w:tc>
          <w:tcPr>
            <w:tcW w:w="955" w:type="dxa"/>
            <w:tcBorders>
              <w:top w:val="single" w:sz="6" w:space="0" w:color="auto"/>
              <w:bottom w:val="double" w:sz="4" w:space="0" w:color="auto"/>
            </w:tcBorders>
            <w:tcMar>
              <w:top w:w="57" w:type="dxa"/>
              <w:left w:w="57" w:type="dxa"/>
              <w:bottom w:w="57"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(9)</w:t>
            </w:r>
          </w:p>
        </w:tc>
      </w:tr>
    </w:tbl>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2"/>
          <w:szCs w:val="12"/>
          <w:lang w:val="en-GB"/>
        </w:rPr>
      </w:pPr>
    </w:p>
    <w:p w:rsidR="00D66275" w:rsidRPr="00D66275" w:rsidRDefault="00D66275" w:rsidP="00D66275">
      <w:pPr>
        <w:tabs>
          <w:tab w:val="left" w:pos="2268"/>
        </w:tabs>
        <w:suppressAutoHyphens/>
        <w:autoSpaceDE w:val="0"/>
        <w:autoSpaceDN w:val="0"/>
        <w:adjustRightInd w:val="0"/>
        <w:spacing w:before="340" w:line="288" w:lineRule="auto"/>
        <w:ind w:left="113" w:hanging="113"/>
        <w:textAlignment w:val="center"/>
        <w:rPr>
          <w:rFonts w:ascii="Calibri" w:hAnsi="Calibri" w:cs="Calibri"/>
          <w:b/>
          <w:bCs/>
          <w:color w:val="000000"/>
          <w:sz w:val="16"/>
          <w:szCs w:val="16"/>
          <w:lang w:val="en-GB"/>
        </w:rPr>
      </w:pPr>
      <w:r w:rsidRPr="00D66275">
        <w:rPr>
          <w:rFonts w:ascii="Calibri" w:hAnsi="Calibri" w:cs="Calibri"/>
          <w:b/>
          <w:bCs/>
          <w:color w:val="000000"/>
          <w:sz w:val="16"/>
          <w:szCs w:val="16"/>
          <w:lang w:val="en-GB"/>
        </w:rPr>
        <w:t>Budget Variances Commentary</w:t>
      </w:r>
    </w:p>
    <w:p w:rsidR="00D66275" w:rsidRPr="00D66275" w:rsidRDefault="00D66275" w:rsidP="00D66275">
      <w:pPr>
        <w:tabs>
          <w:tab w:val="left" w:pos="2268"/>
        </w:tabs>
        <w:suppressAutoHyphens/>
        <w:autoSpaceDE w:val="0"/>
        <w:autoSpaceDN w:val="0"/>
        <w:adjustRightInd w:val="0"/>
        <w:spacing w:line="288" w:lineRule="auto"/>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This commentary is based on the original 2017–2018 budget in the PBS.</w:t>
      </w:r>
    </w:p>
    <w:p w:rsidR="00D66275" w:rsidRPr="00D66275" w:rsidRDefault="00D66275" w:rsidP="00D66275">
      <w:pPr>
        <w:tabs>
          <w:tab w:val="left" w:pos="2268"/>
        </w:tabs>
        <w:suppressAutoHyphens/>
        <w:autoSpaceDE w:val="0"/>
        <w:autoSpaceDN w:val="0"/>
        <w:adjustRightInd w:val="0"/>
        <w:spacing w:line="288" w:lineRule="auto"/>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Total expenses are higher than the budgeted amounts as the original budget figures do not include the requested operating loss amounts. Refer to Note 1.1 for further details.</w:t>
      </w:r>
    </w:p>
    <w:p w:rsidR="00D66275" w:rsidRPr="00D66275" w:rsidRDefault="00D66275" w:rsidP="00D66275">
      <w:pPr>
        <w:tabs>
          <w:tab w:val="left" w:pos="2268"/>
        </w:tabs>
        <w:suppressAutoHyphens/>
        <w:autoSpaceDE w:val="0"/>
        <w:autoSpaceDN w:val="0"/>
        <w:adjustRightInd w:val="0"/>
        <w:spacing w:line="288" w:lineRule="auto"/>
        <w:textAlignment w:val="center"/>
        <w:rPr>
          <w:rFonts w:ascii="Calibri" w:hAnsi="Calibri" w:cs="Calibri"/>
          <w:color w:val="000000"/>
          <w:sz w:val="16"/>
          <w:szCs w:val="16"/>
          <w:lang w:val="en-GB"/>
        </w:rPr>
      </w:pPr>
    </w:p>
    <w:p w:rsidR="00D66275" w:rsidRDefault="00D66275" w:rsidP="00D66275">
      <w:pPr>
        <w:tabs>
          <w:tab w:val="left" w:pos="2268"/>
        </w:tabs>
        <w:suppressAutoHyphens/>
        <w:autoSpaceDE w:val="0"/>
        <w:autoSpaceDN w:val="0"/>
        <w:adjustRightInd w:val="0"/>
        <w:spacing w:line="288" w:lineRule="auto"/>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above statement should be read in conjunction with the accompanying notes.</w:t>
      </w:r>
    </w:p>
    <w:p w:rsidR="00D66275" w:rsidRDefault="00D66275">
      <w:pPr>
        <w:rPr>
          <w:rFonts w:ascii="Calibri" w:hAnsi="Calibri" w:cs="Calibri"/>
          <w:color w:val="000000"/>
          <w:sz w:val="16"/>
          <w:szCs w:val="16"/>
          <w:lang w:val="en-GB"/>
        </w:rPr>
      </w:pPr>
      <w:r>
        <w:rPr>
          <w:rFonts w:ascii="Calibri" w:hAnsi="Calibri" w:cs="Calibri"/>
          <w:color w:val="000000"/>
          <w:sz w:val="16"/>
          <w:szCs w:val="16"/>
          <w:lang w:val="en-GB"/>
        </w:rPr>
        <w:br w:type="page"/>
      </w:r>
    </w:p>
    <w:p w:rsidR="00D66275" w:rsidRPr="00D66275" w:rsidRDefault="00D66275" w:rsidP="0037072B">
      <w:pPr>
        <w:keepNext/>
        <w:tabs>
          <w:tab w:val="left" w:pos="1418"/>
        </w:tabs>
        <w:suppressAutoHyphens/>
        <w:autoSpaceDE w:val="0"/>
        <w:autoSpaceDN w:val="0"/>
        <w:adjustRightInd w:val="0"/>
        <w:spacing w:before="283" w:after="227" w:line="20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lang w:val="en-GB"/>
        </w:rPr>
        <w:t>Statement of FINANCIAL POSITION</w:t>
      </w:r>
      <w:r w:rsidRPr="00D66275">
        <w:rPr>
          <w:rFonts w:ascii="Calibri" w:hAnsi="Calibri" w:cs="Calibri"/>
          <w:b/>
          <w:bCs/>
          <w:caps/>
          <w:color w:val="00B6E8"/>
          <w:sz w:val="20"/>
          <w:szCs w:val="20"/>
          <w:lang w:val="en-GB"/>
        </w:rPr>
        <w:t xml:space="preserve"> </w:t>
      </w:r>
      <w:r w:rsidRPr="00D66275">
        <w:rPr>
          <w:rFonts w:ascii="Calibri" w:hAnsi="Calibri" w:cs="Calibri"/>
          <w:b/>
          <w:bCs/>
          <w:caps/>
          <w:color w:val="00B6E8"/>
          <w:sz w:val="16"/>
          <w:szCs w:val="16"/>
          <w:lang w:val="en-GB"/>
        </w:rPr>
        <w:t>as at 30 June 2018</w:t>
      </w:r>
    </w:p>
    <w:tbl>
      <w:tblPr>
        <w:tblW w:w="0" w:type="auto"/>
        <w:tblInd w:w="-8" w:type="dxa"/>
        <w:tblLayout w:type="fixed"/>
        <w:tblCellMar>
          <w:left w:w="0" w:type="dxa"/>
          <w:right w:w="0" w:type="dxa"/>
        </w:tblCellMar>
        <w:tblLook w:val="0000" w:firstRow="0" w:lastRow="0" w:firstColumn="0" w:lastColumn="0" w:noHBand="0" w:noVBand="0"/>
      </w:tblPr>
      <w:tblGrid>
        <w:gridCol w:w="298"/>
        <w:gridCol w:w="735"/>
        <w:gridCol w:w="2312"/>
        <w:gridCol w:w="1077"/>
        <w:gridCol w:w="1019"/>
        <w:gridCol w:w="959"/>
        <w:gridCol w:w="1019"/>
      </w:tblGrid>
      <w:tr w:rsidR="00D66275" w:rsidRPr="00D66275" w:rsidTr="0037072B">
        <w:trPr>
          <w:trHeight w:val="60"/>
          <w:tblHeader/>
        </w:trPr>
        <w:tc>
          <w:tcPr>
            <w:tcW w:w="298" w:type="dxa"/>
            <w:shd w:val="solid" w:color="00B6E8"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735" w:type="dxa"/>
            <w:shd w:val="solid" w:color="00B6E8"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2312" w:type="dxa"/>
            <w:shd w:val="solid" w:color="00B6E8"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77" w:type="dxa"/>
            <w:shd w:val="solid" w:color="00B6E8"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shd w:val="solid" w:color="00B6E8"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959" w:type="dxa"/>
            <w:shd w:val="solid" w:color="00B6E8"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shd w:val="solid" w:color="00B6E8" w:fill="auto"/>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Original Budget</w:t>
            </w:r>
          </w:p>
        </w:tc>
      </w:tr>
      <w:tr w:rsidR="00D66275" w:rsidRPr="00D66275" w:rsidTr="0037072B">
        <w:trPr>
          <w:trHeight w:val="60"/>
          <w:tblHeader/>
        </w:trPr>
        <w:tc>
          <w:tcPr>
            <w:tcW w:w="298" w:type="dxa"/>
            <w:shd w:val="solid" w:color="00B6E8"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735" w:type="dxa"/>
            <w:shd w:val="solid" w:color="00B6E8"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2312" w:type="dxa"/>
            <w:shd w:val="solid" w:color="00B6E8"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77" w:type="dxa"/>
            <w:shd w:val="solid" w:color="00B6E8"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shd w:val="solid" w:color="00B6E8" w:fill="auto"/>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c>
          <w:tcPr>
            <w:tcW w:w="959" w:type="dxa"/>
            <w:shd w:val="solid" w:color="00B6E8" w:fill="auto"/>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2017</w:t>
            </w:r>
          </w:p>
        </w:tc>
        <w:tc>
          <w:tcPr>
            <w:tcW w:w="1019" w:type="dxa"/>
            <w:shd w:val="solid" w:color="00B6E8" w:fill="auto"/>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r>
      <w:tr w:rsidR="00D66275" w:rsidRPr="00D66275" w:rsidTr="0037072B">
        <w:trPr>
          <w:trHeight w:val="60"/>
          <w:tblHeader/>
        </w:trPr>
        <w:tc>
          <w:tcPr>
            <w:tcW w:w="298" w:type="dxa"/>
            <w:shd w:val="solid" w:color="BBE5F5"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735" w:type="dxa"/>
            <w:shd w:val="solid" w:color="BBE5F5"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2312" w:type="dxa"/>
            <w:shd w:val="solid" w:color="BBE5F5" w:fill="auto"/>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77" w:type="dxa"/>
            <w:shd w:val="solid" w:color="BBE5F5" w:fill="auto"/>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Notes</w:t>
            </w:r>
          </w:p>
        </w:tc>
        <w:tc>
          <w:tcPr>
            <w:tcW w:w="1019" w:type="dxa"/>
            <w:shd w:val="solid" w:color="BBE5F5" w:fill="auto"/>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959" w:type="dxa"/>
            <w:shd w:val="solid" w:color="BBE5F5" w:fill="auto"/>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1019" w:type="dxa"/>
            <w:shd w:val="solid" w:color="BBE5F5" w:fill="auto"/>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r>
      <w:tr w:rsidR="00D66275" w:rsidRPr="00D66275" w:rsidTr="0037072B">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ASSETS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959"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righ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r>
      <w:tr w:rsidR="00D66275" w:rsidRPr="00D66275" w:rsidTr="0037072B">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Financial Assets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959"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righ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r>
      <w:tr w:rsidR="00D66275" w:rsidRPr="00D66275" w:rsidTr="0037072B">
        <w:trPr>
          <w:trHeight w:val="60"/>
        </w:trPr>
        <w:tc>
          <w:tcPr>
            <w:tcW w:w="298" w:type="dxa"/>
            <w:tcBorders>
              <w:lef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3047" w:type="dxa"/>
            <w:gridSpan w:val="2"/>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Cash and cash equivalents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801 </w:t>
            </w:r>
          </w:p>
        </w:tc>
        <w:tc>
          <w:tcPr>
            <w:tcW w:w="959" w:type="dxa"/>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1,131 </w:t>
            </w:r>
          </w:p>
        </w:tc>
        <w:tc>
          <w:tcPr>
            <w:tcW w:w="1019" w:type="dxa"/>
            <w:tcBorders>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37072B">
        <w:trPr>
          <w:trHeight w:val="60"/>
        </w:trPr>
        <w:tc>
          <w:tcPr>
            <w:tcW w:w="298" w:type="dxa"/>
            <w:tcBorders>
              <w:lef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3047" w:type="dxa"/>
            <w:gridSpan w:val="2"/>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Trade and other receivables</w:t>
            </w:r>
          </w:p>
        </w:tc>
        <w:tc>
          <w:tcPr>
            <w:tcW w:w="1077" w:type="dxa"/>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5</w:t>
            </w:r>
          </w:p>
        </w:tc>
        <w:tc>
          <w:tcPr>
            <w:tcW w:w="1019" w:type="dxa"/>
            <w:tcBorders>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68 </w:t>
            </w:r>
          </w:p>
        </w:tc>
        <w:tc>
          <w:tcPr>
            <w:tcW w:w="959" w:type="dxa"/>
            <w:tcBorders>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13 </w:t>
            </w:r>
          </w:p>
        </w:tc>
        <w:tc>
          <w:tcPr>
            <w:tcW w:w="1019" w:type="dxa"/>
            <w:tcBorders>
              <w:bottom w:val="single" w:sz="6" w:space="0" w:color="auto"/>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37072B">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Total financial assets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869 </w:t>
            </w:r>
          </w:p>
        </w:tc>
        <w:tc>
          <w:tcPr>
            <w:tcW w:w="95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1,144 </w:t>
            </w:r>
          </w:p>
        </w:tc>
        <w:tc>
          <w:tcPr>
            <w:tcW w:w="101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r>
      <w:tr w:rsidR="00D66275" w:rsidRPr="00D66275" w:rsidTr="0037072B">
        <w:trPr>
          <w:trHeight w:val="60"/>
        </w:trPr>
        <w:tc>
          <w:tcPr>
            <w:tcW w:w="298" w:type="dxa"/>
            <w:tcBorders>
              <w:lef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735"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2312"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95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r>
      <w:tr w:rsidR="00D66275" w:rsidRPr="00D66275" w:rsidTr="0037072B">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Total Assets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869 </w:t>
            </w:r>
          </w:p>
        </w:tc>
        <w:tc>
          <w:tcPr>
            <w:tcW w:w="95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1,144 </w:t>
            </w:r>
          </w:p>
        </w:tc>
        <w:tc>
          <w:tcPr>
            <w:tcW w:w="101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r>
      <w:tr w:rsidR="00D66275" w:rsidRPr="00D66275" w:rsidTr="0037072B">
        <w:trPr>
          <w:trHeight w:val="60"/>
        </w:trPr>
        <w:tc>
          <w:tcPr>
            <w:tcW w:w="298" w:type="dxa"/>
            <w:tcBorders>
              <w:lef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735"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2312"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959" w:type="dxa"/>
            <w:tcBorders>
              <w:top w:val="single" w:sz="6" w:space="0" w:color="auto"/>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righ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r>
      <w:tr w:rsidR="00D66275" w:rsidRPr="00D66275" w:rsidTr="0037072B">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LIABILITIES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959"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righ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r>
      <w:tr w:rsidR="00D66275" w:rsidRPr="00D66275" w:rsidTr="0037072B">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Payables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959"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righ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r>
      <w:tr w:rsidR="00D66275" w:rsidRPr="00D66275" w:rsidTr="0037072B">
        <w:trPr>
          <w:trHeight w:val="60"/>
        </w:trPr>
        <w:tc>
          <w:tcPr>
            <w:tcW w:w="298" w:type="dxa"/>
            <w:tcBorders>
              <w:lef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3047" w:type="dxa"/>
            <w:gridSpan w:val="2"/>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Suppliers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59 </w:t>
            </w:r>
          </w:p>
        </w:tc>
        <w:tc>
          <w:tcPr>
            <w:tcW w:w="959" w:type="dxa"/>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82 </w:t>
            </w:r>
          </w:p>
        </w:tc>
        <w:tc>
          <w:tcPr>
            <w:tcW w:w="1019" w:type="dxa"/>
            <w:tcBorders>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37072B">
        <w:trPr>
          <w:trHeight w:val="60"/>
        </w:trPr>
        <w:tc>
          <w:tcPr>
            <w:tcW w:w="298" w:type="dxa"/>
            <w:tcBorders>
              <w:lef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3047" w:type="dxa"/>
            <w:gridSpan w:val="2"/>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Other payables</w:t>
            </w:r>
          </w:p>
        </w:tc>
        <w:tc>
          <w:tcPr>
            <w:tcW w:w="1077" w:type="dxa"/>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6</w:t>
            </w:r>
          </w:p>
        </w:tc>
        <w:tc>
          <w:tcPr>
            <w:tcW w:w="1019" w:type="dxa"/>
            <w:tcBorders>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11 </w:t>
            </w:r>
          </w:p>
        </w:tc>
        <w:tc>
          <w:tcPr>
            <w:tcW w:w="959" w:type="dxa"/>
            <w:tcBorders>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11 </w:t>
            </w:r>
          </w:p>
        </w:tc>
        <w:tc>
          <w:tcPr>
            <w:tcW w:w="1019" w:type="dxa"/>
            <w:tcBorders>
              <w:bottom w:val="single" w:sz="6" w:space="0" w:color="auto"/>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37072B">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Total payables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70 </w:t>
            </w:r>
          </w:p>
        </w:tc>
        <w:tc>
          <w:tcPr>
            <w:tcW w:w="95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93 </w:t>
            </w:r>
          </w:p>
        </w:tc>
        <w:tc>
          <w:tcPr>
            <w:tcW w:w="1019" w:type="dxa"/>
            <w:tcBorders>
              <w:top w:val="single" w:sz="6" w:space="0" w:color="auto"/>
              <w:bottom w:val="single" w:sz="6" w:space="0" w:color="auto"/>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37072B">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Provisions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95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bottom w:val="single" w:sz="6" w:space="0" w:color="auto"/>
              <w:righ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r>
      <w:tr w:rsidR="00D66275" w:rsidRPr="00D66275" w:rsidTr="0037072B">
        <w:trPr>
          <w:trHeight w:val="60"/>
        </w:trPr>
        <w:tc>
          <w:tcPr>
            <w:tcW w:w="298" w:type="dxa"/>
            <w:tcBorders>
              <w:lef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3047" w:type="dxa"/>
            <w:gridSpan w:val="2"/>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Employee provisions</w:t>
            </w:r>
          </w:p>
        </w:tc>
        <w:tc>
          <w:tcPr>
            <w:tcW w:w="1077" w:type="dxa"/>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center"/>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7</w:t>
            </w:r>
          </w:p>
        </w:tc>
        <w:tc>
          <w:tcPr>
            <w:tcW w:w="101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508 </w:t>
            </w:r>
          </w:p>
        </w:tc>
        <w:tc>
          <w:tcPr>
            <w:tcW w:w="95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416 </w:t>
            </w:r>
          </w:p>
        </w:tc>
        <w:tc>
          <w:tcPr>
            <w:tcW w:w="1019" w:type="dxa"/>
            <w:tcBorders>
              <w:top w:val="single" w:sz="6" w:space="0" w:color="auto"/>
              <w:bottom w:val="single" w:sz="6" w:space="0" w:color="auto"/>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8C4900">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Total provisions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508 </w:t>
            </w:r>
          </w:p>
        </w:tc>
        <w:tc>
          <w:tcPr>
            <w:tcW w:w="959" w:type="dxa"/>
            <w:tcBorders>
              <w:top w:val="single" w:sz="6" w:space="0" w:color="auto"/>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416 </w:t>
            </w:r>
          </w:p>
        </w:tc>
        <w:tc>
          <w:tcPr>
            <w:tcW w:w="1019" w:type="dxa"/>
            <w:tcBorders>
              <w:top w:val="single" w:sz="6" w:space="0" w:color="auto"/>
              <w:bottom w:val="single" w:sz="6" w:space="0" w:color="auto"/>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8C4900">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Total liabilities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bottom w:val="double" w:sz="4"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578 </w:t>
            </w:r>
          </w:p>
        </w:tc>
        <w:tc>
          <w:tcPr>
            <w:tcW w:w="959" w:type="dxa"/>
            <w:tcBorders>
              <w:top w:val="single" w:sz="6" w:space="0" w:color="auto"/>
              <w:bottom w:val="double" w:sz="4"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509 </w:t>
            </w:r>
          </w:p>
        </w:tc>
        <w:tc>
          <w:tcPr>
            <w:tcW w:w="1019" w:type="dxa"/>
            <w:tcBorders>
              <w:top w:val="single" w:sz="6" w:space="0" w:color="auto"/>
              <w:bottom w:val="double" w:sz="4" w:space="0" w:color="auto"/>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8C4900">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Net Assets</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double" w:sz="4" w:space="0" w:color="auto"/>
              <w:bottom w:val="double" w:sz="4"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291 </w:t>
            </w:r>
          </w:p>
        </w:tc>
        <w:tc>
          <w:tcPr>
            <w:tcW w:w="959" w:type="dxa"/>
            <w:tcBorders>
              <w:top w:val="double" w:sz="4" w:space="0" w:color="auto"/>
              <w:bottom w:val="double" w:sz="4"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635 </w:t>
            </w:r>
          </w:p>
        </w:tc>
        <w:tc>
          <w:tcPr>
            <w:tcW w:w="1019" w:type="dxa"/>
            <w:tcBorders>
              <w:top w:val="double" w:sz="4" w:space="0" w:color="auto"/>
              <w:bottom w:val="double" w:sz="4" w:space="0" w:color="auto"/>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8C4900">
        <w:trPr>
          <w:trHeight w:val="122"/>
        </w:trPr>
        <w:tc>
          <w:tcPr>
            <w:tcW w:w="298" w:type="dxa"/>
            <w:tcBorders>
              <w:lef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735"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2312"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double" w:sz="4" w:space="0" w:color="auto"/>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959" w:type="dxa"/>
            <w:tcBorders>
              <w:top w:val="double" w:sz="4" w:space="0" w:color="auto"/>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double" w:sz="4" w:space="0" w:color="auto"/>
              <w:righ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r>
      <w:tr w:rsidR="00D66275" w:rsidRPr="00D66275" w:rsidTr="0037072B">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EQUITY</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959"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righ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r>
      <w:tr w:rsidR="00D66275" w:rsidRPr="00D66275" w:rsidTr="0037072B">
        <w:trPr>
          <w:trHeight w:val="60"/>
        </w:trPr>
        <w:tc>
          <w:tcPr>
            <w:tcW w:w="298" w:type="dxa"/>
            <w:tcBorders>
              <w:lef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3047" w:type="dxa"/>
            <w:gridSpan w:val="2"/>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Contributed equity</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1,087 </w:t>
            </w:r>
          </w:p>
        </w:tc>
        <w:tc>
          <w:tcPr>
            <w:tcW w:w="959" w:type="dxa"/>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1,087 </w:t>
            </w:r>
          </w:p>
        </w:tc>
        <w:tc>
          <w:tcPr>
            <w:tcW w:w="1019" w:type="dxa"/>
            <w:tcBorders>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8C4900">
        <w:trPr>
          <w:trHeight w:val="60"/>
        </w:trPr>
        <w:tc>
          <w:tcPr>
            <w:tcW w:w="298" w:type="dxa"/>
            <w:tcBorders>
              <w:left w:val="nil"/>
            </w:tcBorders>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3047" w:type="dxa"/>
            <w:gridSpan w:val="2"/>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Retained deficit</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(796)</w:t>
            </w:r>
          </w:p>
        </w:tc>
        <w:tc>
          <w:tcPr>
            <w:tcW w:w="959" w:type="dxa"/>
            <w:tcBorders>
              <w:bottom w:val="single" w:sz="6"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(452)</w:t>
            </w:r>
          </w:p>
        </w:tc>
        <w:tc>
          <w:tcPr>
            <w:tcW w:w="1019" w:type="dxa"/>
            <w:tcBorders>
              <w:bottom w:val="single" w:sz="6" w:space="0" w:color="auto"/>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r w:rsidR="00D66275" w:rsidRPr="00D66275" w:rsidTr="008C4900">
        <w:trPr>
          <w:trHeight w:val="60"/>
        </w:trPr>
        <w:tc>
          <w:tcPr>
            <w:tcW w:w="3345" w:type="dxa"/>
            <w:gridSpan w:val="3"/>
            <w:tcBorders>
              <w:lef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Total Equity</w:t>
            </w:r>
          </w:p>
        </w:tc>
        <w:tc>
          <w:tcPr>
            <w:tcW w:w="1077" w:type="dxa"/>
            <w:tcMar>
              <w:top w:w="57" w:type="dxa"/>
              <w:left w:w="57" w:type="dxa"/>
              <w:bottom w:w="57" w:type="dxa"/>
              <w:right w:w="57" w:type="dxa"/>
            </w:tcMar>
          </w:tcPr>
          <w:p w:rsidR="00D66275" w:rsidRPr="00D66275" w:rsidRDefault="00D66275" w:rsidP="0037072B">
            <w:pPr>
              <w:autoSpaceDE w:val="0"/>
              <w:autoSpaceDN w:val="0"/>
              <w:adjustRightInd w:val="0"/>
              <w:rPr>
                <w:rFonts w:ascii="Calibri" w:hAnsi="Calibri"/>
                <w:lang w:val="en-US"/>
              </w:rPr>
            </w:pPr>
          </w:p>
        </w:tc>
        <w:tc>
          <w:tcPr>
            <w:tcW w:w="1019" w:type="dxa"/>
            <w:tcBorders>
              <w:top w:val="single" w:sz="6" w:space="0" w:color="auto"/>
              <w:bottom w:val="double" w:sz="4"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b/>
                <w:bCs/>
                <w:color w:val="000000"/>
                <w:sz w:val="18"/>
                <w:szCs w:val="18"/>
                <w:lang w:val="en-GB"/>
              </w:rPr>
              <w:t xml:space="preserve">291 </w:t>
            </w:r>
          </w:p>
        </w:tc>
        <w:tc>
          <w:tcPr>
            <w:tcW w:w="959" w:type="dxa"/>
            <w:tcBorders>
              <w:top w:val="single" w:sz="6" w:space="0" w:color="auto"/>
              <w:bottom w:val="double" w:sz="4" w:space="0" w:color="auto"/>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635 </w:t>
            </w:r>
          </w:p>
        </w:tc>
        <w:tc>
          <w:tcPr>
            <w:tcW w:w="1019" w:type="dxa"/>
            <w:tcBorders>
              <w:top w:val="single" w:sz="6" w:space="0" w:color="auto"/>
              <w:bottom w:val="double" w:sz="4" w:space="0" w:color="auto"/>
              <w:right w:val="nil"/>
            </w:tcBorders>
            <w:tcMar>
              <w:top w:w="57" w:type="dxa"/>
              <w:left w:w="57" w:type="dxa"/>
              <w:bottom w:w="57" w:type="dxa"/>
              <w:right w:w="57" w:type="dxa"/>
            </w:tcMar>
          </w:tcPr>
          <w:p w:rsidR="00D66275" w:rsidRPr="00D66275" w:rsidRDefault="00D66275" w:rsidP="0037072B">
            <w:pPr>
              <w:tabs>
                <w:tab w:val="left" w:pos="2268"/>
              </w:tabs>
              <w:suppressAutoHyphens/>
              <w:autoSpaceDE w:val="0"/>
              <w:autoSpaceDN w:val="0"/>
              <w:adjustRightInd w:val="0"/>
              <w:jc w:val="righ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 - </w:t>
            </w:r>
          </w:p>
        </w:tc>
      </w:tr>
    </w:tbl>
    <w:p w:rsidR="00D66275" w:rsidRPr="00D66275" w:rsidRDefault="00D66275" w:rsidP="00D66275">
      <w:pPr>
        <w:tabs>
          <w:tab w:val="left" w:pos="2268"/>
        </w:tabs>
        <w:suppressAutoHyphens/>
        <w:autoSpaceDE w:val="0"/>
        <w:autoSpaceDN w:val="0"/>
        <w:adjustRightInd w:val="0"/>
        <w:spacing w:before="340" w:line="288" w:lineRule="auto"/>
        <w:ind w:left="113" w:hanging="113"/>
        <w:textAlignment w:val="center"/>
        <w:rPr>
          <w:rFonts w:ascii="Calibri" w:hAnsi="Calibri" w:cs="Calibri"/>
          <w:b/>
          <w:bCs/>
          <w:color w:val="000000"/>
          <w:sz w:val="16"/>
          <w:szCs w:val="16"/>
          <w:lang w:val="en-GB"/>
        </w:rPr>
      </w:pPr>
      <w:r w:rsidRPr="00D66275">
        <w:rPr>
          <w:rFonts w:ascii="Calibri" w:hAnsi="Calibri" w:cs="Calibri"/>
          <w:b/>
          <w:bCs/>
          <w:color w:val="000000"/>
          <w:sz w:val="16"/>
          <w:szCs w:val="16"/>
          <w:lang w:val="en-GB"/>
        </w:rPr>
        <w:t>Budget Variances Commentary</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This commentary is based on the original 2017–2018 budget in the PBS.</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Authority continues to maintain a positive net asset position while the entity remains in its current form.</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budget had been prepared on the basis that the Authority would be wound up after the life of the current Parliament.</w:t>
      </w:r>
    </w:p>
    <w:p w:rsidR="00D66275" w:rsidRDefault="00D66275" w:rsidP="00D66275">
      <w:pPr>
        <w:tabs>
          <w:tab w:val="left" w:pos="2268"/>
        </w:tabs>
        <w:suppressAutoHyphens/>
        <w:autoSpaceDE w:val="0"/>
        <w:autoSpaceDN w:val="0"/>
        <w:adjustRightInd w:val="0"/>
        <w:spacing w:line="288" w:lineRule="auto"/>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above statement should be read in conjunction with the accompanying notes.</w:t>
      </w:r>
    </w:p>
    <w:p w:rsidR="00D66275" w:rsidRPr="00D66275" w:rsidRDefault="00D66275" w:rsidP="0037072B">
      <w:pPr>
        <w:keepNext/>
        <w:tabs>
          <w:tab w:val="left" w:pos="1418"/>
        </w:tabs>
        <w:suppressAutoHyphens/>
        <w:autoSpaceDE w:val="0"/>
        <w:autoSpaceDN w:val="0"/>
        <w:adjustRightInd w:val="0"/>
        <w:spacing w:before="283" w:after="170" w:line="20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lang w:val="en-GB"/>
        </w:rPr>
        <w:t>Statement of Changes in Equity</w:t>
      </w:r>
      <w:r w:rsidRPr="00D66275">
        <w:rPr>
          <w:rFonts w:ascii="Calibri" w:hAnsi="Calibri" w:cs="Calibri"/>
          <w:b/>
          <w:bCs/>
          <w:caps/>
          <w:color w:val="00B6E8"/>
          <w:sz w:val="20"/>
          <w:szCs w:val="20"/>
          <w:lang w:val="en-GB"/>
        </w:rPr>
        <w:t xml:space="preserve"> </w:t>
      </w:r>
      <w:r w:rsidRPr="00D66275">
        <w:rPr>
          <w:rFonts w:ascii="Calibri" w:hAnsi="Calibri" w:cs="Calibri"/>
          <w:b/>
          <w:bCs/>
          <w:caps/>
          <w:color w:val="00B6E8"/>
          <w:sz w:val="16"/>
          <w:szCs w:val="16"/>
          <w:lang w:val="en-GB"/>
        </w:rPr>
        <w:t>for the period ended 30 June 2018</w:t>
      </w:r>
    </w:p>
    <w:tbl>
      <w:tblPr>
        <w:tblW w:w="0" w:type="auto"/>
        <w:tblInd w:w="-8" w:type="dxa"/>
        <w:tblLayout w:type="fixed"/>
        <w:tblCellMar>
          <w:left w:w="0" w:type="dxa"/>
          <w:right w:w="0" w:type="dxa"/>
        </w:tblCellMar>
        <w:tblLook w:val="0000" w:firstRow="0" w:lastRow="0" w:firstColumn="0" w:lastColumn="0" w:noHBand="0" w:noVBand="0"/>
      </w:tblPr>
      <w:tblGrid>
        <w:gridCol w:w="2580"/>
        <w:gridCol w:w="863"/>
        <w:gridCol w:w="863"/>
        <w:gridCol w:w="863"/>
        <w:gridCol w:w="862"/>
        <w:gridCol w:w="863"/>
        <w:gridCol w:w="863"/>
        <w:gridCol w:w="863"/>
        <w:gridCol w:w="863"/>
        <w:gridCol w:w="863"/>
      </w:tblGrid>
      <w:tr w:rsidR="00D66275" w:rsidRPr="00D66275" w:rsidTr="0037072B">
        <w:trPr>
          <w:trHeight w:val="60"/>
          <w:tblHeader/>
        </w:trPr>
        <w:tc>
          <w:tcPr>
            <w:tcW w:w="2580" w:type="dxa"/>
            <w:shd w:val="solid" w:color="00B6E8"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726" w:type="dxa"/>
            <w:gridSpan w:val="2"/>
            <w:shd w:val="solid" w:color="00B6E8" w:fill="auto"/>
            <w:tcMar>
              <w:top w:w="85" w:type="dxa"/>
              <w:left w:w="22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Retained Earnings</w:t>
            </w: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Budget</w:t>
            </w:r>
          </w:p>
        </w:tc>
        <w:tc>
          <w:tcPr>
            <w:tcW w:w="1725" w:type="dxa"/>
            <w:gridSpan w:val="2"/>
            <w:shd w:val="solid" w:color="00B6E8" w:fill="auto"/>
            <w:tcMar>
              <w:top w:w="85" w:type="dxa"/>
              <w:left w:w="170"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Contributed Equity</w:t>
            </w: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Budget</w:t>
            </w:r>
          </w:p>
        </w:tc>
        <w:tc>
          <w:tcPr>
            <w:tcW w:w="1726" w:type="dxa"/>
            <w:gridSpan w:val="2"/>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Total Equity</w:t>
            </w: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center"/>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Budget</w:t>
            </w:r>
          </w:p>
        </w:tc>
      </w:tr>
      <w:tr w:rsidR="00D66275" w:rsidRPr="00D66275" w:rsidTr="0037072B">
        <w:trPr>
          <w:trHeight w:val="60"/>
          <w:tblHeader/>
        </w:trPr>
        <w:tc>
          <w:tcPr>
            <w:tcW w:w="2580" w:type="dxa"/>
            <w:shd w:val="solid" w:color="00B6E8"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2017</w:t>
            </w: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c>
          <w:tcPr>
            <w:tcW w:w="862"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2017</w:t>
            </w: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2017</w:t>
            </w:r>
          </w:p>
        </w:tc>
        <w:tc>
          <w:tcPr>
            <w:tcW w:w="863"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r>
      <w:tr w:rsidR="00D66275" w:rsidRPr="00D66275" w:rsidTr="0037072B">
        <w:trPr>
          <w:trHeight w:val="60"/>
          <w:tblHeader/>
        </w:trPr>
        <w:tc>
          <w:tcPr>
            <w:tcW w:w="2580" w:type="dxa"/>
            <w:shd w:val="solid" w:color="BBE5F5"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863"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863"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862"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863"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863"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863"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863"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863"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r>
      <w:tr w:rsidR="00D66275" w:rsidRPr="00D66275" w:rsidTr="0037072B">
        <w:trPr>
          <w:trHeight w:val="60"/>
        </w:trPr>
        <w:tc>
          <w:tcPr>
            <w:tcW w:w="2580"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Opening balance</w:t>
            </w:r>
          </w:p>
        </w:tc>
        <w:tc>
          <w:tcPr>
            <w:tcW w:w="863"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2"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2580"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Balance carried forward from previous period</w:t>
            </w:r>
          </w:p>
        </w:tc>
        <w:tc>
          <w:tcPr>
            <w:tcW w:w="863"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(452)</w:t>
            </w:r>
          </w:p>
        </w:tc>
        <w:tc>
          <w:tcPr>
            <w:tcW w:w="863"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(469)</w:t>
            </w:r>
          </w:p>
        </w:tc>
        <w:tc>
          <w:tcPr>
            <w:tcW w:w="863" w:type="dxa"/>
            <w:tcBorders>
              <w:bottom w:val="single" w:sz="6" w:space="0" w:color="auto"/>
            </w:tcBorders>
            <w:shd w:val="solid" w:color="E6ECF2"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536 </w:t>
            </w:r>
          </w:p>
        </w:tc>
        <w:tc>
          <w:tcPr>
            <w:tcW w:w="862"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1,087 </w:t>
            </w:r>
          </w:p>
        </w:tc>
        <w:tc>
          <w:tcPr>
            <w:tcW w:w="863"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1,310 </w:t>
            </w:r>
          </w:p>
        </w:tc>
        <w:tc>
          <w:tcPr>
            <w:tcW w:w="863" w:type="dxa"/>
            <w:tcBorders>
              <w:bottom w:val="single" w:sz="6" w:space="0" w:color="auto"/>
            </w:tcBorders>
            <w:shd w:val="solid" w:color="E6ECF2"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635 </w:t>
            </w:r>
          </w:p>
        </w:tc>
        <w:tc>
          <w:tcPr>
            <w:tcW w:w="863"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841 </w:t>
            </w:r>
          </w:p>
        </w:tc>
        <w:tc>
          <w:tcPr>
            <w:tcW w:w="863" w:type="dxa"/>
            <w:tcBorders>
              <w:bottom w:val="single" w:sz="6" w:space="0" w:color="auto"/>
            </w:tcBorders>
            <w:shd w:val="solid" w:color="E6ECF2"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536 </w:t>
            </w:r>
          </w:p>
        </w:tc>
      </w:tr>
      <w:tr w:rsidR="00D66275" w:rsidRPr="00D66275" w:rsidTr="0037072B">
        <w:trPr>
          <w:trHeight w:val="60"/>
        </w:trPr>
        <w:tc>
          <w:tcPr>
            <w:tcW w:w="2580"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Adjusted opening balance</w:t>
            </w:r>
          </w:p>
        </w:tc>
        <w:tc>
          <w:tcPr>
            <w:tcW w:w="863" w:type="dxa"/>
            <w:tcBorders>
              <w:top w:val="single" w:sz="6" w:space="0" w:color="auto"/>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(452)</w:t>
            </w:r>
          </w:p>
        </w:tc>
        <w:tc>
          <w:tcPr>
            <w:tcW w:w="863" w:type="dxa"/>
            <w:tcBorders>
              <w:top w:val="single" w:sz="6" w:space="0" w:color="auto"/>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(469)</w:t>
            </w:r>
          </w:p>
        </w:tc>
        <w:tc>
          <w:tcPr>
            <w:tcW w:w="863" w:type="dxa"/>
            <w:tcBorders>
              <w:top w:val="single" w:sz="6" w:space="0" w:color="auto"/>
              <w:bottom w:val="single" w:sz="6" w:space="0" w:color="auto"/>
            </w:tcBorders>
            <w:shd w:val="solid" w:color="E6ECF2"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536 </w:t>
            </w:r>
          </w:p>
        </w:tc>
        <w:tc>
          <w:tcPr>
            <w:tcW w:w="862" w:type="dxa"/>
            <w:tcBorders>
              <w:top w:val="single" w:sz="6" w:space="0" w:color="auto"/>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1,087 </w:t>
            </w:r>
          </w:p>
        </w:tc>
        <w:tc>
          <w:tcPr>
            <w:tcW w:w="863" w:type="dxa"/>
            <w:tcBorders>
              <w:top w:val="single" w:sz="6" w:space="0" w:color="auto"/>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1,310 </w:t>
            </w:r>
          </w:p>
        </w:tc>
        <w:tc>
          <w:tcPr>
            <w:tcW w:w="863" w:type="dxa"/>
            <w:tcBorders>
              <w:top w:val="single" w:sz="6" w:space="0" w:color="auto"/>
              <w:bottom w:val="single" w:sz="6" w:space="0" w:color="auto"/>
            </w:tcBorders>
            <w:shd w:val="solid" w:color="E6ECF2"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top w:val="single" w:sz="6" w:space="0" w:color="auto"/>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635 </w:t>
            </w:r>
          </w:p>
        </w:tc>
        <w:tc>
          <w:tcPr>
            <w:tcW w:w="863" w:type="dxa"/>
            <w:tcBorders>
              <w:top w:val="single" w:sz="6" w:space="0" w:color="auto"/>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841 </w:t>
            </w:r>
          </w:p>
        </w:tc>
        <w:tc>
          <w:tcPr>
            <w:tcW w:w="863" w:type="dxa"/>
            <w:tcBorders>
              <w:top w:val="single" w:sz="6" w:space="0" w:color="auto"/>
              <w:bottom w:val="single" w:sz="6" w:space="0" w:color="auto"/>
            </w:tcBorders>
            <w:shd w:val="solid" w:color="E6ECF2"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536 </w:t>
            </w:r>
          </w:p>
        </w:tc>
      </w:tr>
      <w:tr w:rsidR="00D66275" w:rsidRPr="00D66275" w:rsidTr="0037072B">
        <w:trPr>
          <w:trHeight w:hRule="exact" w:val="113"/>
        </w:trPr>
        <w:tc>
          <w:tcPr>
            <w:tcW w:w="2580"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2"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2580" w:type="dxa"/>
            <w:tcMar>
              <w:top w:w="85" w:type="dxa"/>
              <w:left w:w="0"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Comprehensive Income/(Deficit)</w:t>
            </w:r>
          </w:p>
        </w:tc>
        <w:tc>
          <w:tcPr>
            <w:tcW w:w="863"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2"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2580"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Surplus/(Deficit) for the period</w:t>
            </w:r>
          </w:p>
        </w:tc>
        <w:tc>
          <w:tcPr>
            <w:tcW w:w="863"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(344)</w:t>
            </w:r>
          </w:p>
        </w:tc>
        <w:tc>
          <w:tcPr>
            <w:tcW w:w="863"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17 </w:t>
            </w:r>
          </w:p>
        </w:tc>
        <w:tc>
          <w:tcPr>
            <w:tcW w:w="863" w:type="dxa"/>
            <w:tcBorders>
              <w:bottom w:val="single" w:sz="6" w:space="0" w:color="auto"/>
            </w:tcBorders>
            <w:shd w:val="solid" w:color="E6ECF2"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(9)</w:t>
            </w:r>
          </w:p>
        </w:tc>
        <w:tc>
          <w:tcPr>
            <w:tcW w:w="862"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bottom w:val="single" w:sz="6" w:space="0" w:color="auto"/>
            </w:tcBorders>
            <w:shd w:val="solid" w:color="E6ECF2"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(344)</w:t>
            </w:r>
          </w:p>
        </w:tc>
        <w:tc>
          <w:tcPr>
            <w:tcW w:w="863"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17 </w:t>
            </w:r>
          </w:p>
        </w:tc>
        <w:tc>
          <w:tcPr>
            <w:tcW w:w="863" w:type="dxa"/>
            <w:tcBorders>
              <w:bottom w:val="single" w:sz="6" w:space="0" w:color="auto"/>
            </w:tcBorders>
            <w:shd w:val="solid" w:color="E6ECF2"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(9)</w:t>
            </w:r>
          </w:p>
        </w:tc>
      </w:tr>
      <w:tr w:rsidR="00D66275" w:rsidRPr="00D66275" w:rsidTr="0037072B">
        <w:trPr>
          <w:trHeight w:val="60"/>
        </w:trPr>
        <w:tc>
          <w:tcPr>
            <w:tcW w:w="2580"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Total comprehensive income/(deficit)</w:t>
            </w:r>
          </w:p>
        </w:tc>
        <w:tc>
          <w:tcPr>
            <w:tcW w:w="863" w:type="dxa"/>
            <w:tcBorders>
              <w:top w:val="single" w:sz="6" w:space="0" w:color="auto"/>
              <w:bottom w:val="single" w:sz="6" w:space="0" w:color="auto"/>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(344)</w:t>
            </w:r>
          </w:p>
        </w:tc>
        <w:tc>
          <w:tcPr>
            <w:tcW w:w="863" w:type="dxa"/>
            <w:tcBorders>
              <w:top w:val="single" w:sz="6" w:space="0" w:color="auto"/>
              <w:bottom w:val="single" w:sz="6" w:space="0" w:color="auto"/>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17 </w:t>
            </w:r>
          </w:p>
        </w:tc>
        <w:tc>
          <w:tcPr>
            <w:tcW w:w="863" w:type="dxa"/>
            <w:tcBorders>
              <w:top w:val="single" w:sz="6" w:space="0" w:color="auto"/>
              <w:bottom w:val="single" w:sz="6" w:space="0" w:color="auto"/>
            </w:tcBorders>
            <w:shd w:val="solid" w:color="E6ECF2" w:fill="auto"/>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(9)</w:t>
            </w:r>
          </w:p>
        </w:tc>
        <w:tc>
          <w:tcPr>
            <w:tcW w:w="862" w:type="dxa"/>
            <w:tcBorders>
              <w:top w:val="single" w:sz="6" w:space="0" w:color="auto"/>
              <w:bottom w:val="single" w:sz="6" w:space="0" w:color="auto"/>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Borders>
              <w:top w:val="single" w:sz="6" w:space="0" w:color="auto"/>
              <w:bottom w:val="single" w:sz="6" w:space="0" w:color="auto"/>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top w:val="single" w:sz="6" w:space="0" w:color="auto"/>
              <w:bottom w:val="single" w:sz="6" w:space="0" w:color="auto"/>
            </w:tcBorders>
            <w:shd w:val="solid" w:color="E6ECF2" w:fill="auto"/>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top w:val="single" w:sz="6" w:space="0" w:color="auto"/>
              <w:bottom w:val="single" w:sz="6" w:space="0" w:color="auto"/>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(344)</w:t>
            </w:r>
          </w:p>
        </w:tc>
        <w:tc>
          <w:tcPr>
            <w:tcW w:w="863" w:type="dxa"/>
            <w:tcBorders>
              <w:top w:val="single" w:sz="6" w:space="0" w:color="auto"/>
              <w:bottom w:val="single" w:sz="6" w:space="0" w:color="auto"/>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17 </w:t>
            </w:r>
          </w:p>
        </w:tc>
        <w:tc>
          <w:tcPr>
            <w:tcW w:w="863" w:type="dxa"/>
            <w:tcBorders>
              <w:top w:val="single" w:sz="6" w:space="0" w:color="auto"/>
              <w:bottom w:val="single" w:sz="6" w:space="0" w:color="auto"/>
            </w:tcBorders>
            <w:shd w:val="solid" w:color="E6ECF2" w:fill="auto"/>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(9)</w:t>
            </w:r>
          </w:p>
        </w:tc>
      </w:tr>
      <w:tr w:rsidR="00D66275" w:rsidRPr="00D66275" w:rsidTr="0037072B">
        <w:trPr>
          <w:trHeight w:hRule="exact" w:val="113"/>
        </w:trPr>
        <w:tc>
          <w:tcPr>
            <w:tcW w:w="2580"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2"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Borders>
              <w:top w:val="single" w:sz="6" w:space="0" w:color="auto"/>
            </w:tcBorders>
            <w:shd w:val="solid" w:color="E6ECF2"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2580" w:type="dxa"/>
            <w:tcMar>
              <w:top w:w="57" w:type="dxa"/>
              <w:left w:w="57" w:type="dxa"/>
              <w:bottom w:w="57"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Transactions with owners</w:t>
            </w:r>
          </w:p>
        </w:tc>
        <w:tc>
          <w:tcPr>
            <w:tcW w:w="863"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2"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2580" w:type="dxa"/>
            <w:tcMar>
              <w:top w:w="57" w:type="dxa"/>
              <w:left w:w="57" w:type="dxa"/>
              <w:bottom w:w="57"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Distribution to Owners</w:t>
            </w:r>
          </w:p>
        </w:tc>
        <w:tc>
          <w:tcPr>
            <w:tcW w:w="863"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2"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c>
          <w:tcPr>
            <w:tcW w:w="863" w:type="dxa"/>
            <w:shd w:val="solid" w:color="E6ECF2" w:fill="auto"/>
            <w:tcMar>
              <w:top w:w="57" w:type="dxa"/>
              <w:left w:w="57" w:type="dxa"/>
              <w:bottom w:w="57"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2580" w:type="dxa"/>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Distribution of equity</w:t>
            </w:r>
          </w:p>
        </w:tc>
        <w:tc>
          <w:tcPr>
            <w:tcW w:w="863" w:type="dxa"/>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2" w:type="dxa"/>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(527)</w:t>
            </w:r>
          </w:p>
        </w:tc>
      </w:tr>
      <w:tr w:rsidR="00D66275" w:rsidRPr="00D66275" w:rsidTr="0037072B">
        <w:trPr>
          <w:trHeight w:val="60"/>
        </w:trPr>
        <w:tc>
          <w:tcPr>
            <w:tcW w:w="2580" w:type="dxa"/>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Restructure adjustment</w:t>
            </w:r>
          </w:p>
        </w:tc>
        <w:tc>
          <w:tcPr>
            <w:tcW w:w="863" w:type="dxa"/>
            <w:tcBorders>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Borders>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bottom w:val="single" w:sz="6" w:space="0" w:color="auto"/>
            </w:tcBorders>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2" w:type="dxa"/>
            <w:tcBorders>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Borders>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(223)</w:t>
            </w:r>
          </w:p>
        </w:tc>
        <w:tc>
          <w:tcPr>
            <w:tcW w:w="863" w:type="dxa"/>
            <w:tcBorders>
              <w:bottom w:val="single" w:sz="6" w:space="0" w:color="auto"/>
            </w:tcBorders>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Borders>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(223)</w:t>
            </w:r>
          </w:p>
        </w:tc>
        <w:tc>
          <w:tcPr>
            <w:tcW w:w="863" w:type="dxa"/>
            <w:tcBorders>
              <w:bottom w:val="single" w:sz="6" w:space="0" w:color="auto"/>
            </w:tcBorders>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r>
      <w:tr w:rsidR="00D66275" w:rsidRPr="00D66275" w:rsidTr="0037072B">
        <w:trPr>
          <w:trHeight w:val="60"/>
        </w:trPr>
        <w:tc>
          <w:tcPr>
            <w:tcW w:w="2580" w:type="dxa"/>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Total transactions with owners</w:t>
            </w:r>
          </w:p>
        </w:tc>
        <w:tc>
          <w:tcPr>
            <w:tcW w:w="863" w:type="dxa"/>
            <w:tcBorders>
              <w:top w:val="single" w:sz="6" w:space="0" w:color="auto"/>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Borders>
              <w:top w:val="single" w:sz="6" w:space="0" w:color="auto"/>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top w:val="single" w:sz="6" w:space="0" w:color="auto"/>
              <w:bottom w:val="single" w:sz="6" w:space="0" w:color="auto"/>
            </w:tcBorders>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2" w:type="dxa"/>
            <w:tcBorders>
              <w:top w:val="single" w:sz="6" w:space="0" w:color="auto"/>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Borders>
              <w:top w:val="single" w:sz="6" w:space="0" w:color="auto"/>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(223)</w:t>
            </w:r>
          </w:p>
        </w:tc>
        <w:tc>
          <w:tcPr>
            <w:tcW w:w="863" w:type="dxa"/>
            <w:tcBorders>
              <w:top w:val="single" w:sz="6" w:space="0" w:color="auto"/>
              <w:bottom w:val="single" w:sz="6" w:space="0" w:color="auto"/>
            </w:tcBorders>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top w:val="single" w:sz="6" w:space="0" w:color="auto"/>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863" w:type="dxa"/>
            <w:tcBorders>
              <w:top w:val="single" w:sz="6" w:space="0" w:color="auto"/>
              <w:bottom w:val="single" w:sz="6"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(223)</w:t>
            </w:r>
          </w:p>
        </w:tc>
        <w:tc>
          <w:tcPr>
            <w:tcW w:w="863" w:type="dxa"/>
            <w:tcBorders>
              <w:top w:val="single" w:sz="6" w:space="0" w:color="auto"/>
              <w:bottom w:val="single" w:sz="6" w:space="0" w:color="auto"/>
            </w:tcBorders>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(527)</w:t>
            </w:r>
          </w:p>
        </w:tc>
      </w:tr>
      <w:tr w:rsidR="00D66275" w:rsidRPr="00D66275" w:rsidTr="008C4900">
        <w:trPr>
          <w:trHeight w:val="60"/>
        </w:trPr>
        <w:tc>
          <w:tcPr>
            <w:tcW w:w="2580" w:type="dxa"/>
            <w:tcBorders>
              <w:bottom w:val="single" w:sz="4"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Closing balance as at 30 June</w:t>
            </w:r>
          </w:p>
        </w:tc>
        <w:tc>
          <w:tcPr>
            <w:tcW w:w="863" w:type="dxa"/>
            <w:tcBorders>
              <w:top w:val="single" w:sz="6" w:space="0" w:color="auto"/>
              <w:bottom w:val="single" w:sz="4"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(796)</w:t>
            </w:r>
          </w:p>
        </w:tc>
        <w:tc>
          <w:tcPr>
            <w:tcW w:w="863" w:type="dxa"/>
            <w:tcBorders>
              <w:top w:val="single" w:sz="6" w:space="0" w:color="auto"/>
              <w:bottom w:val="single" w:sz="4"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(452)</w:t>
            </w:r>
          </w:p>
        </w:tc>
        <w:tc>
          <w:tcPr>
            <w:tcW w:w="863" w:type="dxa"/>
            <w:tcBorders>
              <w:top w:val="single" w:sz="6" w:space="0" w:color="auto"/>
              <w:bottom w:val="single" w:sz="4" w:space="0" w:color="auto"/>
            </w:tcBorders>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527 </w:t>
            </w:r>
          </w:p>
        </w:tc>
        <w:tc>
          <w:tcPr>
            <w:tcW w:w="862" w:type="dxa"/>
            <w:tcBorders>
              <w:top w:val="single" w:sz="6" w:space="0" w:color="auto"/>
              <w:bottom w:val="single" w:sz="4"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1,087 </w:t>
            </w:r>
          </w:p>
        </w:tc>
        <w:tc>
          <w:tcPr>
            <w:tcW w:w="863" w:type="dxa"/>
            <w:tcBorders>
              <w:top w:val="single" w:sz="6" w:space="0" w:color="auto"/>
              <w:bottom w:val="single" w:sz="4"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1,087 </w:t>
            </w:r>
          </w:p>
        </w:tc>
        <w:tc>
          <w:tcPr>
            <w:tcW w:w="863" w:type="dxa"/>
            <w:tcBorders>
              <w:top w:val="single" w:sz="6" w:space="0" w:color="auto"/>
              <w:bottom w:val="single" w:sz="4" w:space="0" w:color="auto"/>
            </w:tcBorders>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top w:val="single" w:sz="6" w:space="0" w:color="auto"/>
              <w:bottom w:val="single" w:sz="4"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291 </w:t>
            </w:r>
          </w:p>
        </w:tc>
        <w:tc>
          <w:tcPr>
            <w:tcW w:w="863" w:type="dxa"/>
            <w:tcBorders>
              <w:top w:val="single" w:sz="6" w:space="0" w:color="auto"/>
              <w:bottom w:val="single" w:sz="4"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635 </w:t>
            </w:r>
          </w:p>
        </w:tc>
        <w:tc>
          <w:tcPr>
            <w:tcW w:w="863" w:type="dxa"/>
            <w:tcBorders>
              <w:top w:val="single" w:sz="6" w:space="0" w:color="auto"/>
              <w:bottom w:val="single" w:sz="4" w:space="0" w:color="auto"/>
            </w:tcBorders>
            <w:shd w:val="solid" w:color="E6ECF2" w:fill="auto"/>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r>
      <w:tr w:rsidR="00D66275" w:rsidRPr="00D66275" w:rsidTr="008C4900">
        <w:trPr>
          <w:trHeight w:val="60"/>
        </w:trPr>
        <w:tc>
          <w:tcPr>
            <w:tcW w:w="2580" w:type="dxa"/>
            <w:tcBorders>
              <w:top w:val="single" w:sz="4" w:space="0" w:color="auto"/>
              <w:bottom w:val="single" w:sz="4" w:space="0" w:color="auto"/>
            </w:tcBorders>
            <w:tcMar>
              <w:top w:w="74" w:type="dxa"/>
              <w:left w:w="57" w:type="dxa"/>
              <w:bottom w:w="74"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Closing balance attributable to the Australian Government</w:t>
            </w:r>
          </w:p>
        </w:tc>
        <w:tc>
          <w:tcPr>
            <w:tcW w:w="863" w:type="dxa"/>
            <w:tcBorders>
              <w:top w:val="single" w:sz="4" w:space="0" w:color="auto"/>
              <w:bottom w:val="single" w:sz="4" w:space="0" w:color="auto"/>
            </w:tcBorders>
            <w:tcMar>
              <w:top w:w="74" w:type="dxa"/>
              <w:left w:w="57" w:type="dxa"/>
              <w:bottom w:w="74"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(796)</w:t>
            </w:r>
          </w:p>
        </w:tc>
        <w:tc>
          <w:tcPr>
            <w:tcW w:w="863" w:type="dxa"/>
            <w:tcBorders>
              <w:top w:val="single" w:sz="4" w:space="0" w:color="auto"/>
              <w:bottom w:val="single" w:sz="4" w:space="0" w:color="auto"/>
            </w:tcBorders>
            <w:tcMar>
              <w:top w:w="74" w:type="dxa"/>
              <w:left w:w="57" w:type="dxa"/>
              <w:bottom w:w="74"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(452)</w:t>
            </w:r>
          </w:p>
        </w:tc>
        <w:tc>
          <w:tcPr>
            <w:tcW w:w="863" w:type="dxa"/>
            <w:tcBorders>
              <w:top w:val="single" w:sz="4" w:space="0" w:color="auto"/>
              <w:bottom w:val="single" w:sz="4" w:space="0" w:color="auto"/>
            </w:tcBorders>
            <w:shd w:val="solid" w:color="E6ECF2" w:fill="auto"/>
            <w:tcMar>
              <w:top w:w="74" w:type="dxa"/>
              <w:left w:w="57" w:type="dxa"/>
              <w:bottom w:w="74"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527 </w:t>
            </w:r>
          </w:p>
        </w:tc>
        <w:tc>
          <w:tcPr>
            <w:tcW w:w="862" w:type="dxa"/>
            <w:tcBorders>
              <w:top w:val="single" w:sz="4" w:space="0" w:color="auto"/>
              <w:bottom w:val="single" w:sz="4" w:space="0" w:color="auto"/>
            </w:tcBorders>
            <w:tcMar>
              <w:top w:w="74" w:type="dxa"/>
              <w:left w:w="57" w:type="dxa"/>
              <w:bottom w:w="74"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1,087 </w:t>
            </w:r>
          </w:p>
        </w:tc>
        <w:tc>
          <w:tcPr>
            <w:tcW w:w="863" w:type="dxa"/>
            <w:tcBorders>
              <w:top w:val="single" w:sz="4" w:space="0" w:color="auto"/>
              <w:bottom w:val="single" w:sz="4" w:space="0" w:color="auto"/>
            </w:tcBorders>
            <w:tcMar>
              <w:top w:w="74" w:type="dxa"/>
              <w:left w:w="57" w:type="dxa"/>
              <w:bottom w:w="74"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1,087 </w:t>
            </w:r>
          </w:p>
        </w:tc>
        <w:tc>
          <w:tcPr>
            <w:tcW w:w="863" w:type="dxa"/>
            <w:tcBorders>
              <w:top w:val="single" w:sz="4" w:space="0" w:color="auto"/>
              <w:bottom w:val="single" w:sz="4" w:space="0" w:color="auto"/>
            </w:tcBorders>
            <w:shd w:val="solid" w:color="E6ECF2" w:fill="auto"/>
            <w:tcMar>
              <w:top w:w="74" w:type="dxa"/>
              <w:left w:w="57" w:type="dxa"/>
              <w:bottom w:w="74"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863" w:type="dxa"/>
            <w:tcBorders>
              <w:top w:val="single" w:sz="4" w:space="0" w:color="auto"/>
              <w:bottom w:val="single" w:sz="4" w:space="0" w:color="auto"/>
            </w:tcBorders>
            <w:tcMar>
              <w:top w:w="74" w:type="dxa"/>
              <w:left w:w="57" w:type="dxa"/>
              <w:bottom w:w="74"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291 </w:t>
            </w:r>
          </w:p>
        </w:tc>
        <w:tc>
          <w:tcPr>
            <w:tcW w:w="863" w:type="dxa"/>
            <w:tcBorders>
              <w:top w:val="single" w:sz="4" w:space="0" w:color="auto"/>
              <w:bottom w:val="single" w:sz="4" w:space="0" w:color="auto"/>
            </w:tcBorders>
            <w:tcMar>
              <w:top w:w="74" w:type="dxa"/>
              <w:left w:w="57" w:type="dxa"/>
              <w:bottom w:w="74"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635 </w:t>
            </w:r>
          </w:p>
        </w:tc>
        <w:tc>
          <w:tcPr>
            <w:tcW w:w="863" w:type="dxa"/>
            <w:tcBorders>
              <w:top w:val="single" w:sz="4" w:space="0" w:color="auto"/>
              <w:bottom w:val="single" w:sz="4" w:space="0" w:color="auto"/>
            </w:tcBorders>
            <w:shd w:val="solid" w:color="E6ECF2" w:fill="auto"/>
            <w:tcMar>
              <w:top w:w="74" w:type="dxa"/>
              <w:left w:w="57" w:type="dxa"/>
              <w:bottom w:w="74"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r>
    </w:tbl>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b/>
          <w:bCs/>
          <w:color w:val="000000"/>
          <w:sz w:val="18"/>
          <w:szCs w:val="18"/>
          <w:lang w:val="en-GB"/>
        </w:rPr>
      </w:pPr>
    </w:p>
    <w:p w:rsidR="00D66275" w:rsidRPr="00D66275" w:rsidRDefault="00D66275" w:rsidP="00D66275">
      <w:pPr>
        <w:tabs>
          <w:tab w:val="left" w:pos="2268"/>
        </w:tabs>
        <w:suppressAutoHyphens/>
        <w:autoSpaceDE w:val="0"/>
        <w:autoSpaceDN w:val="0"/>
        <w:adjustRightInd w:val="0"/>
        <w:spacing w:line="288" w:lineRule="auto"/>
        <w:ind w:left="113" w:hanging="113"/>
        <w:textAlignment w:val="center"/>
        <w:rPr>
          <w:rFonts w:ascii="Calibri" w:hAnsi="Calibri" w:cs="Calibri"/>
          <w:b/>
          <w:bCs/>
          <w:color w:val="000000"/>
          <w:sz w:val="16"/>
          <w:szCs w:val="16"/>
          <w:lang w:val="en-GB"/>
        </w:rPr>
      </w:pPr>
      <w:r w:rsidRPr="00D66275">
        <w:rPr>
          <w:rFonts w:ascii="Calibri" w:hAnsi="Calibri" w:cs="Calibri"/>
          <w:b/>
          <w:bCs/>
          <w:color w:val="000000"/>
          <w:sz w:val="16"/>
          <w:szCs w:val="16"/>
          <w:lang w:val="en-GB"/>
        </w:rPr>
        <w:t>Accounting Policy</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Equity Injections —Amounts appropriated which are designated as ‘equity injections’ for a year (less any formal reductions) and Departmental Capital Budgets (DCBs) are recognised directly in contributed equity in that year.</w:t>
      </w:r>
    </w:p>
    <w:p w:rsidR="00D66275" w:rsidRPr="00D66275" w:rsidRDefault="00D66275" w:rsidP="00D66275">
      <w:pPr>
        <w:tabs>
          <w:tab w:val="left" w:pos="2268"/>
        </w:tabs>
        <w:suppressAutoHyphens/>
        <w:autoSpaceDE w:val="0"/>
        <w:autoSpaceDN w:val="0"/>
        <w:adjustRightInd w:val="0"/>
        <w:spacing w:before="57" w:line="288" w:lineRule="auto"/>
        <w:ind w:left="113" w:hanging="113"/>
        <w:textAlignment w:val="center"/>
        <w:rPr>
          <w:rFonts w:ascii="Calibri" w:hAnsi="Calibri" w:cs="Calibri"/>
          <w:b/>
          <w:bCs/>
          <w:color w:val="000000"/>
          <w:sz w:val="16"/>
          <w:szCs w:val="16"/>
          <w:lang w:val="en-GB"/>
        </w:rPr>
      </w:pPr>
      <w:r w:rsidRPr="00D66275">
        <w:rPr>
          <w:rFonts w:ascii="Calibri" w:hAnsi="Calibri" w:cs="Calibri"/>
          <w:b/>
          <w:bCs/>
          <w:color w:val="000000"/>
          <w:sz w:val="16"/>
          <w:szCs w:val="16"/>
          <w:lang w:val="en-GB"/>
        </w:rPr>
        <w:t>Budget Variances Commentary</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This commentary is based on the original 2017–2018 budget in the PBS.</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Authority continues to maintain a positive balance attributable to the Australian Government position while the entity remains in its current form.</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budget had been prepared on the basis that the Authority would be wound up after the life of the current Parliament</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p>
    <w:p w:rsidR="00D66275" w:rsidRPr="00D66275" w:rsidRDefault="00D66275" w:rsidP="00D66275">
      <w:pPr>
        <w:tabs>
          <w:tab w:val="left" w:pos="2268"/>
        </w:tabs>
        <w:suppressAutoHyphens/>
        <w:autoSpaceDE w:val="0"/>
        <w:autoSpaceDN w:val="0"/>
        <w:adjustRightInd w:val="0"/>
        <w:spacing w:line="288" w:lineRule="auto"/>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above statement should be read in conjunction with the accompanying notes.</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p>
    <w:p w:rsidR="00D66275" w:rsidRPr="00D66275" w:rsidRDefault="00D66275" w:rsidP="0037072B">
      <w:pPr>
        <w:keepNext/>
        <w:tabs>
          <w:tab w:val="left" w:pos="1418"/>
        </w:tabs>
        <w:suppressAutoHyphens/>
        <w:autoSpaceDE w:val="0"/>
        <w:autoSpaceDN w:val="0"/>
        <w:adjustRightInd w:val="0"/>
        <w:spacing w:before="283" w:after="227" w:line="200" w:lineRule="atLeast"/>
        <w:textAlignment w:val="center"/>
        <w:rPr>
          <w:rFonts w:ascii="Calibri" w:hAnsi="Calibri" w:cs="Calibri"/>
          <w:b/>
          <w:bCs/>
          <w:caps/>
          <w:color w:val="00B6E8"/>
          <w:sz w:val="16"/>
          <w:szCs w:val="16"/>
          <w:lang w:val="en-GB"/>
        </w:rPr>
      </w:pPr>
      <w:r w:rsidRPr="00D66275">
        <w:rPr>
          <w:rFonts w:ascii="Calibri" w:hAnsi="Calibri" w:cs="Calibri"/>
          <w:b/>
          <w:bCs/>
          <w:caps/>
          <w:color w:val="00B6E8"/>
          <w:lang w:val="en-GB"/>
        </w:rPr>
        <w:t>CASH FLOW STATEMENT</w:t>
      </w:r>
      <w:r w:rsidRPr="00D66275">
        <w:rPr>
          <w:rFonts w:ascii="Calibri" w:hAnsi="Calibri" w:cs="Calibri"/>
          <w:b/>
          <w:bCs/>
          <w:caps/>
          <w:color w:val="00B6E8"/>
          <w:sz w:val="20"/>
          <w:szCs w:val="20"/>
          <w:lang w:val="en-GB"/>
        </w:rPr>
        <w:t xml:space="preserve"> </w:t>
      </w:r>
      <w:r w:rsidRPr="00D66275">
        <w:rPr>
          <w:rFonts w:ascii="Calibri" w:hAnsi="Calibri" w:cs="Calibri"/>
          <w:b/>
          <w:bCs/>
          <w:caps/>
          <w:color w:val="00B6E8"/>
          <w:sz w:val="16"/>
          <w:szCs w:val="16"/>
          <w:lang w:val="en-GB"/>
        </w:rPr>
        <w:t>For the period ended 30 June 2018</w:t>
      </w:r>
    </w:p>
    <w:tbl>
      <w:tblPr>
        <w:tblW w:w="0" w:type="auto"/>
        <w:tblInd w:w="-8" w:type="dxa"/>
        <w:tblLayout w:type="fixed"/>
        <w:tblCellMar>
          <w:left w:w="0" w:type="dxa"/>
          <w:right w:w="0" w:type="dxa"/>
        </w:tblCellMar>
        <w:tblLook w:val="0000" w:firstRow="0" w:lastRow="0" w:firstColumn="0" w:lastColumn="0" w:noHBand="0" w:noVBand="0"/>
      </w:tblPr>
      <w:tblGrid>
        <w:gridCol w:w="284"/>
        <w:gridCol w:w="4128"/>
        <w:gridCol w:w="1035"/>
        <w:gridCol w:w="949"/>
        <w:gridCol w:w="1035"/>
      </w:tblGrid>
      <w:tr w:rsidR="00D66275" w:rsidRPr="00D66275" w:rsidTr="0037072B">
        <w:trPr>
          <w:trHeight w:val="60"/>
          <w:tblHeader/>
        </w:trPr>
        <w:tc>
          <w:tcPr>
            <w:tcW w:w="4412" w:type="dxa"/>
            <w:gridSpan w:val="2"/>
            <w:shd w:val="solid" w:color="00B6E8"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shd w:val="solid" w:color="00B6E8"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949" w:type="dxa"/>
            <w:shd w:val="solid" w:color="00B6E8"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Original Budget</w:t>
            </w:r>
          </w:p>
        </w:tc>
      </w:tr>
      <w:tr w:rsidR="00D66275" w:rsidRPr="00D66275" w:rsidTr="0037072B">
        <w:trPr>
          <w:trHeight w:val="60"/>
          <w:tblHeader/>
        </w:trPr>
        <w:tc>
          <w:tcPr>
            <w:tcW w:w="284" w:type="dxa"/>
            <w:shd w:val="solid" w:color="00B6E8"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shd w:val="solid" w:color="00B6E8"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c>
          <w:tcPr>
            <w:tcW w:w="949"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2017</w:t>
            </w:r>
          </w:p>
        </w:tc>
        <w:tc>
          <w:tcPr>
            <w:tcW w:w="1035" w:type="dxa"/>
            <w:shd w:val="solid" w:color="00B6E8"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FFFFFF"/>
                <w:sz w:val="16"/>
                <w:szCs w:val="16"/>
                <w:lang w:val="en-GB"/>
              </w:rPr>
              <w:t>2018</w:t>
            </w:r>
          </w:p>
        </w:tc>
      </w:tr>
      <w:tr w:rsidR="00D66275" w:rsidRPr="00D66275" w:rsidTr="0037072B">
        <w:trPr>
          <w:trHeight w:val="60"/>
          <w:tblHeader/>
        </w:trPr>
        <w:tc>
          <w:tcPr>
            <w:tcW w:w="284" w:type="dxa"/>
            <w:shd w:val="solid" w:color="BBE5F5"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shd w:val="solid" w:color="BBE5F5" w:fill="auto"/>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949"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c>
          <w:tcPr>
            <w:tcW w:w="1035" w:type="dxa"/>
            <w:shd w:val="solid" w:color="BBE5F5" w:fill="auto"/>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7" w:line="160" w:lineRule="atLeast"/>
              <w:jc w:val="right"/>
              <w:textAlignment w:val="center"/>
              <w:rPr>
                <w:rFonts w:ascii="Calibri" w:hAnsi="Calibri" w:cs="Calibri"/>
                <w:b/>
                <w:bCs/>
                <w:caps/>
                <w:color w:val="FFFFFF"/>
                <w:sz w:val="16"/>
                <w:szCs w:val="16"/>
                <w:lang w:val="en-GB"/>
              </w:rPr>
            </w:pPr>
            <w:r w:rsidRPr="00D66275">
              <w:rPr>
                <w:rFonts w:ascii="Calibri" w:hAnsi="Calibri" w:cs="Calibri"/>
                <w:b/>
                <w:bCs/>
                <w:caps/>
                <w:color w:val="000000"/>
                <w:sz w:val="16"/>
                <w:szCs w:val="16"/>
                <w:lang w:val="en-GB"/>
              </w:rPr>
              <w:t>$’000</w:t>
            </w:r>
          </w:p>
        </w:tc>
      </w:tr>
      <w:tr w:rsidR="00D66275" w:rsidRPr="00D66275" w:rsidTr="0037072B">
        <w:trPr>
          <w:trHeight w:val="60"/>
        </w:trPr>
        <w:tc>
          <w:tcPr>
            <w:tcW w:w="4412" w:type="dxa"/>
            <w:gridSpan w:val="2"/>
            <w:tcBorders>
              <w:lef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OPERATING ACTIVITIES</w:t>
            </w:r>
          </w:p>
        </w:tc>
        <w:tc>
          <w:tcPr>
            <w:tcW w:w="1035"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949"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tcBorders>
              <w:righ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4412" w:type="dxa"/>
            <w:gridSpan w:val="2"/>
            <w:tcBorders>
              <w:lef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Cash received</w:t>
            </w:r>
          </w:p>
        </w:tc>
        <w:tc>
          <w:tcPr>
            <w:tcW w:w="1035"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949"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tcBorders>
              <w:righ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284" w:type="dxa"/>
            <w:tcBorders>
              <w:lef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Appropriations </w:t>
            </w:r>
          </w:p>
        </w:tc>
        <w:tc>
          <w:tcPr>
            <w:tcW w:w="1035"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949"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3,563 </w:t>
            </w:r>
          </w:p>
        </w:tc>
        <w:tc>
          <w:tcPr>
            <w:tcW w:w="1035" w:type="dxa"/>
            <w:tcBorders>
              <w:righ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1,000 </w:t>
            </w:r>
          </w:p>
        </w:tc>
      </w:tr>
      <w:tr w:rsidR="00D66275" w:rsidRPr="00D66275" w:rsidTr="0037072B">
        <w:trPr>
          <w:trHeight w:val="60"/>
        </w:trPr>
        <w:tc>
          <w:tcPr>
            <w:tcW w:w="284" w:type="dxa"/>
            <w:tcBorders>
              <w:lef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Sales of goods and rendering of services</w:t>
            </w:r>
          </w:p>
        </w:tc>
        <w:tc>
          <w:tcPr>
            <w:tcW w:w="1035"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1,462 </w:t>
            </w:r>
          </w:p>
        </w:tc>
        <w:tc>
          <w:tcPr>
            <w:tcW w:w="949"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673 </w:t>
            </w:r>
          </w:p>
        </w:tc>
        <w:tc>
          <w:tcPr>
            <w:tcW w:w="1035" w:type="dxa"/>
            <w:tcBorders>
              <w:righ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1,456 </w:t>
            </w:r>
          </w:p>
        </w:tc>
      </w:tr>
      <w:tr w:rsidR="00D66275" w:rsidRPr="00D66275" w:rsidTr="0037072B">
        <w:trPr>
          <w:trHeight w:val="60"/>
        </w:trPr>
        <w:tc>
          <w:tcPr>
            <w:tcW w:w="284" w:type="dxa"/>
            <w:tcBorders>
              <w:lef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Net GST received</w:t>
            </w:r>
          </w:p>
        </w:tc>
        <w:tc>
          <w:tcPr>
            <w:tcW w:w="1035"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17 </w:t>
            </w:r>
          </w:p>
        </w:tc>
        <w:tc>
          <w:tcPr>
            <w:tcW w:w="949"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52 </w:t>
            </w:r>
          </w:p>
        </w:tc>
        <w:tc>
          <w:tcPr>
            <w:tcW w:w="1035" w:type="dxa"/>
            <w:tcBorders>
              <w:bottom w:val="single" w:sz="6" w:space="0" w:color="auto"/>
              <w:righ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22 </w:t>
            </w:r>
          </w:p>
        </w:tc>
      </w:tr>
      <w:tr w:rsidR="00D66275" w:rsidRPr="00D66275" w:rsidTr="0037072B">
        <w:trPr>
          <w:trHeight w:val="60"/>
        </w:trPr>
        <w:tc>
          <w:tcPr>
            <w:tcW w:w="4412" w:type="dxa"/>
            <w:gridSpan w:val="2"/>
            <w:tcBorders>
              <w:lef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Total cash received</w:t>
            </w:r>
          </w:p>
        </w:tc>
        <w:tc>
          <w:tcPr>
            <w:tcW w:w="1035" w:type="dxa"/>
            <w:tcBorders>
              <w:top w:val="single" w:sz="6" w:space="0" w:color="auto"/>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1,479 </w:t>
            </w:r>
          </w:p>
        </w:tc>
        <w:tc>
          <w:tcPr>
            <w:tcW w:w="949" w:type="dxa"/>
            <w:tcBorders>
              <w:top w:val="single" w:sz="6" w:space="0" w:color="auto"/>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4,288 </w:t>
            </w:r>
          </w:p>
        </w:tc>
        <w:tc>
          <w:tcPr>
            <w:tcW w:w="1035" w:type="dxa"/>
            <w:tcBorders>
              <w:top w:val="single" w:sz="6" w:space="0" w:color="auto"/>
              <w:bottom w:val="single" w:sz="6" w:space="0" w:color="auto"/>
              <w:righ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2,478 </w:t>
            </w:r>
          </w:p>
        </w:tc>
      </w:tr>
      <w:tr w:rsidR="00D66275" w:rsidRPr="00D66275" w:rsidTr="0037072B">
        <w:trPr>
          <w:trHeight w:val="60"/>
        </w:trPr>
        <w:tc>
          <w:tcPr>
            <w:tcW w:w="284" w:type="dxa"/>
            <w:tcBorders>
              <w:lef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949" w:type="dxa"/>
            <w:tcBorders>
              <w:top w:val="single" w:sz="6"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tcBorders>
              <w:top w:val="single" w:sz="6" w:space="0" w:color="auto"/>
              <w:righ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4412" w:type="dxa"/>
            <w:gridSpan w:val="2"/>
            <w:tcBorders>
              <w:lef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Cash used</w:t>
            </w:r>
          </w:p>
        </w:tc>
        <w:tc>
          <w:tcPr>
            <w:tcW w:w="1035"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949"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tcBorders>
              <w:righ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284" w:type="dxa"/>
            <w:tcBorders>
              <w:lef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Employees</w:t>
            </w:r>
          </w:p>
        </w:tc>
        <w:tc>
          <w:tcPr>
            <w:tcW w:w="1035"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1,491 </w:t>
            </w:r>
          </w:p>
        </w:tc>
        <w:tc>
          <w:tcPr>
            <w:tcW w:w="949"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2,319 </w:t>
            </w:r>
          </w:p>
        </w:tc>
        <w:tc>
          <w:tcPr>
            <w:tcW w:w="1035" w:type="dxa"/>
            <w:tcBorders>
              <w:righ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1,498 </w:t>
            </w:r>
          </w:p>
        </w:tc>
      </w:tr>
      <w:tr w:rsidR="00D66275" w:rsidRPr="00D66275" w:rsidTr="0037072B">
        <w:trPr>
          <w:trHeight w:val="60"/>
        </w:trPr>
        <w:tc>
          <w:tcPr>
            <w:tcW w:w="284" w:type="dxa"/>
            <w:tcBorders>
              <w:lef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Suppliers</w:t>
            </w:r>
          </w:p>
        </w:tc>
        <w:tc>
          <w:tcPr>
            <w:tcW w:w="1035"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318 </w:t>
            </w:r>
          </w:p>
        </w:tc>
        <w:tc>
          <w:tcPr>
            <w:tcW w:w="949"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1,109 </w:t>
            </w:r>
          </w:p>
        </w:tc>
        <w:tc>
          <w:tcPr>
            <w:tcW w:w="1035" w:type="dxa"/>
            <w:tcBorders>
              <w:righ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604 </w:t>
            </w:r>
          </w:p>
        </w:tc>
      </w:tr>
      <w:tr w:rsidR="00D66275" w:rsidRPr="00D66275" w:rsidTr="0037072B">
        <w:trPr>
          <w:trHeight w:val="60"/>
        </w:trPr>
        <w:tc>
          <w:tcPr>
            <w:tcW w:w="284" w:type="dxa"/>
            <w:tcBorders>
              <w:lef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Cash transferred to OPA</w:t>
            </w:r>
          </w:p>
        </w:tc>
        <w:tc>
          <w:tcPr>
            <w:tcW w:w="1035"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 - </w:t>
            </w:r>
          </w:p>
        </w:tc>
        <w:tc>
          <w:tcPr>
            <w:tcW w:w="949" w:type="dxa"/>
            <w:tcBorders>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c>
          <w:tcPr>
            <w:tcW w:w="1035" w:type="dxa"/>
            <w:tcBorders>
              <w:bottom w:val="single" w:sz="6" w:space="0" w:color="auto"/>
              <w:righ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647 </w:t>
            </w:r>
          </w:p>
        </w:tc>
      </w:tr>
      <w:tr w:rsidR="00D66275" w:rsidRPr="00D66275" w:rsidTr="0037072B">
        <w:trPr>
          <w:trHeight w:val="60"/>
        </w:trPr>
        <w:tc>
          <w:tcPr>
            <w:tcW w:w="4412" w:type="dxa"/>
            <w:gridSpan w:val="2"/>
            <w:tcBorders>
              <w:lef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Total cash used</w:t>
            </w:r>
          </w:p>
        </w:tc>
        <w:tc>
          <w:tcPr>
            <w:tcW w:w="1035" w:type="dxa"/>
            <w:tcBorders>
              <w:top w:val="single" w:sz="6" w:space="0" w:color="auto"/>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1,809 </w:t>
            </w:r>
          </w:p>
        </w:tc>
        <w:tc>
          <w:tcPr>
            <w:tcW w:w="949" w:type="dxa"/>
            <w:tcBorders>
              <w:top w:val="single" w:sz="6" w:space="0" w:color="auto"/>
              <w:bottom w:val="single" w:sz="6"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3,428 </w:t>
            </w:r>
          </w:p>
        </w:tc>
        <w:tc>
          <w:tcPr>
            <w:tcW w:w="1035" w:type="dxa"/>
            <w:tcBorders>
              <w:top w:val="single" w:sz="6" w:space="0" w:color="auto"/>
              <w:bottom w:val="single" w:sz="6" w:space="0" w:color="auto"/>
              <w:righ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2,749 </w:t>
            </w:r>
          </w:p>
        </w:tc>
      </w:tr>
      <w:tr w:rsidR="00D66275" w:rsidRPr="00D66275" w:rsidTr="008C4900">
        <w:trPr>
          <w:trHeight w:val="60"/>
        </w:trPr>
        <w:tc>
          <w:tcPr>
            <w:tcW w:w="4412" w:type="dxa"/>
            <w:gridSpan w:val="2"/>
            <w:tcBorders>
              <w:lef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Net cash from (used by) operating activities</w:t>
            </w:r>
          </w:p>
        </w:tc>
        <w:tc>
          <w:tcPr>
            <w:tcW w:w="1035" w:type="dxa"/>
            <w:tcBorders>
              <w:top w:val="single" w:sz="6" w:space="0" w:color="auto"/>
              <w:bottom w:val="double" w:sz="4"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(330)</w:t>
            </w:r>
          </w:p>
        </w:tc>
        <w:tc>
          <w:tcPr>
            <w:tcW w:w="949" w:type="dxa"/>
            <w:tcBorders>
              <w:top w:val="single" w:sz="6" w:space="0" w:color="auto"/>
              <w:bottom w:val="double" w:sz="4" w:space="0" w:color="auto"/>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860 </w:t>
            </w:r>
          </w:p>
        </w:tc>
        <w:tc>
          <w:tcPr>
            <w:tcW w:w="1035" w:type="dxa"/>
            <w:tcBorders>
              <w:top w:val="single" w:sz="6" w:space="0" w:color="auto"/>
              <w:bottom w:val="double" w:sz="4" w:space="0" w:color="auto"/>
              <w:righ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(271)</w:t>
            </w:r>
          </w:p>
        </w:tc>
      </w:tr>
      <w:tr w:rsidR="00D66275" w:rsidRPr="00D66275" w:rsidTr="008C4900">
        <w:trPr>
          <w:trHeight w:val="60"/>
        </w:trPr>
        <w:tc>
          <w:tcPr>
            <w:tcW w:w="284" w:type="dxa"/>
            <w:tcBorders>
              <w:lef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tcBorders>
              <w:top w:val="double" w:sz="4"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949" w:type="dxa"/>
            <w:tcBorders>
              <w:top w:val="double" w:sz="4" w:space="0" w:color="auto"/>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1035" w:type="dxa"/>
            <w:tcBorders>
              <w:top w:val="double" w:sz="4" w:space="0" w:color="auto"/>
              <w:righ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r>
      <w:tr w:rsidR="00D66275" w:rsidRPr="00D66275" w:rsidTr="0037072B">
        <w:trPr>
          <w:trHeight w:val="60"/>
        </w:trPr>
        <w:tc>
          <w:tcPr>
            <w:tcW w:w="4412" w:type="dxa"/>
            <w:gridSpan w:val="2"/>
            <w:tcBorders>
              <w:lef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Net increase (decrease) in cash held</w:t>
            </w:r>
          </w:p>
        </w:tc>
        <w:tc>
          <w:tcPr>
            <w:tcW w:w="1035"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(330)</w:t>
            </w:r>
          </w:p>
        </w:tc>
        <w:tc>
          <w:tcPr>
            <w:tcW w:w="949"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860 </w:t>
            </w:r>
          </w:p>
        </w:tc>
        <w:tc>
          <w:tcPr>
            <w:tcW w:w="1035" w:type="dxa"/>
            <w:tcBorders>
              <w:righ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(271)</w:t>
            </w:r>
          </w:p>
        </w:tc>
      </w:tr>
      <w:tr w:rsidR="00D66275" w:rsidRPr="00D66275" w:rsidTr="00AC3AF6">
        <w:trPr>
          <w:trHeight w:val="60"/>
        </w:trPr>
        <w:tc>
          <w:tcPr>
            <w:tcW w:w="284" w:type="dxa"/>
            <w:tcBorders>
              <w:left w:val="nil"/>
            </w:tcBorders>
            <w:tcMar>
              <w:top w:w="85" w:type="dxa"/>
              <w:left w:w="57" w:type="dxa"/>
              <w:bottom w:w="85" w:type="dxa"/>
              <w:right w:w="57" w:type="dxa"/>
            </w:tcMar>
          </w:tcPr>
          <w:p w:rsidR="00D66275" w:rsidRPr="00D66275" w:rsidRDefault="00D66275" w:rsidP="00D66275">
            <w:pPr>
              <w:autoSpaceDE w:val="0"/>
              <w:autoSpaceDN w:val="0"/>
              <w:adjustRightInd w:val="0"/>
              <w:rPr>
                <w:rFonts w:ascii="Calibri" w:hAnsi="Calibri"/>
                <w:lang w:val="en-US"/>
              </w:rPr>
            </w:pPr>
          </w:p>
        </w:tc>
        <w:tc>
          <w:tcPr>
            <w:tcW w:w="4128" w:type="dxa"/>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Cash and cash equivalents at the beginning of the reporting period</w:t>
            </w:r>
          </w:p>
        </w:tc>
        <w:tc>
          <w:tcPr>
            <w:tcW w:w="1035" w:type="dxa"/>
            <w:tcBorders>
              <w:bottom w:val="single" w:sz="4" w:space="0" w:color="auto"/>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1,131 </w:t>
            </w:r>
          </w:p>
        </w:tc>
        <w:tc>
          <w:tcPr>
            <w:tcW w:w="949" w:type="dxa"/>
            <w:tcBorders>
              <w:bottom w:val="single" w:sz="4" w:space="0" w:color="auto"/>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271 </w:t>
            </w:r>
          </w:p>
        </w:tc>
        <w:tc>
          <w:tcPr>
            <w:tcW w:w="1035" w:type="dxa"/>
            <w:tcBorders>
              <w:bottom w:val="single" w:sz="4" w:space="0" w:color="auto"/>
              <w:right w:val="nil"/>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271 </w:t>
            </w:r>
          </w:p>
        </w:tc>
      </w:tr>
      <w:tr w:rsidR="00D66275" w:rsidRPr="00D66275" w:rsidTr="00AC3AF6">
        <w:trPr>
          <w:trHeight w:val="60"/>
        </w:trPr>
        <w:tc>
          <w:tcPr>
            <w:tcW w:w="4412" w:type="dxa"/>
            <w:gridSpan w:val="2"/>
            <w:tcBorders>
              <w:left w:val="nil"/>
            </w:tcBorders>
            <w:tcMar>
              <w:top w:w="85" w:type="dxa"/>
              <w:left w:w="57" w:type="dxa"/>
              <w:bottom w:w="85" w:type="dxa"/>
              <w:right w:w="57" w:type="dxa"/>
            </w:tcMar>
          </w:tcPr>
          <w:p w:rsidR="00D66275" w:rsidRPr="00D66275" w:rsidRDefault="00D66275" w:rsidP="00D66275">
            <w:pPr>
              <w:tabs>
                <w:tab w:val="left" w:pos="2268"/>
              </w:tabs>
              <w:suppressAutoHyphens/>
              <w:autoSpaceDE w:val="0"/>
              <w:autoSpaceDN w:val="0"/>
              <w:adjustRightInd w:val="0"/>
              <w:spacing w:after="50"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Cash and cash equivalents at the end of the reporting period</w:t>
            </w:r>
          </w:p>
        </w:tc>
        <w:tc>
          <w:tcPr>
            <w:tcW w:w="1035" w:type="dxa"/>
            <w:tcBorders>
              <w:top w:val="single" w:sz="4" w:space="0" w:color="auto"/>
              <w:bottom w:val="double" w:sz="4" w:space="0" w:color="auto"/>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xml:space="preserve">801 </w:t>
            </w:r>
          </w:p>
        </w:tc>
        <w:tc>
          <w:tcPr>
            <w:tcW w:w="949" w:type="dxa"/>
            <w:tcBorders>
              <w:top w:val="single" w:sz="4" w:space="0" w:color="auto"/>
              <w:bottom w:val="double" w:sz="4" w:space="0" w:color="auto"/>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1,131 </w:t>
            </w:r>
          </w:p>
        </w:tc>
        <w:tc>
          <w:tcPr>
            <w:tcW w:w="1035" w:type="dxa"/>
            <w:tcBorders>
              <w:top w:val="single" w:sz="4" w:space="0" w:color="auto"/>
              <w:bottom w:val="double" w:sz="4" w:space="0" w:color="auto"/>
              <w:right w:val="nil"/>
            </w:tcBorders>
            <w:tcMar>
              <w:top w:w="85" w:type="dxa"/>
              <w:left w:w="57" w:type="dxa"/>
              <w:bottom w:w="85" w:type="dxa"/>
              <w:right w:w="57" w:type="dxa"/>
            </w:tcMar>
            <w:vAlign w:val="center"/>
          </w:tcPr>
          <w:p w:rsidR="00D66275" w:rsidRPr="00D66275" w:rsidRDefault="00D66275" w:rsidP="00D66275">
            <w:pPr>
              <w:tabs>
                <w:tab w:val="left" w:pos="2268"/>
              </w:tabs>
              <w:suppressAutoHyphens/>
              <w:autoSpaceDE w:val="0"/>
              <w:autoSpaceDN w:val="0"/>
              <w:adjustRightInd w:val="0"/>
              <w:spacing w:after="50" w:line="220" w:lineRule="atLeast"/>
              <w:jc w:val="righ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 - </w:t>
            </w:r>
          </w:p>
        </w:tc>
      </w:tr>
    </w:tbl>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b/>
          <w:bCs/>
          <w:color w:val="000000"/>
          <w:sz w:val="18"/>
          <w:szCs w:val="18"/>
          <w:lang w:val="en-GB"/>
        </w:rPr>
      </w:pPr>
    </w:p>
    <w:p w:rsidR="00D66275" w:rsidRPr="00D66275" w:rsidRDefault="00D66275" w:rsidP="00D66275">
      <w:pPr>
        <w:tabs>
          <w:tab w:val="left" w:pos="2268"/>
        </w:tabs>
        <w:suppressAutoHyphens/>
        <w:autoSpaceDE w:val="0"/>
        <w:autoSpaceDN w:val="0"/>
        <w:adjustRightInd w:val="0"/>
        <w:spacing w:before="340" w:line="288" w:lineRule="auto"/>
        <w:ind w:left="113" w:hanging="113"/>
        <w:textAlignment w:val="center"/>
        <w:rPr>
          <w:rFonts w:ascii="Calibri" w:hAnsi="Calibri" w:cs="Calibri"/>
          <w:b/>
          <w:bCs/>
          <w:color w:val="000000"/>
          <w:sz w:val="16"/>
          <w:szCs w:val="16"/>
          <w:lang w:val="en-GB"/>
        </w:rPr>
      </w:pPr>
      <w:r w:rsidRPr="00D66275">
        <w:rPr>
          <w:rFonts w:ascii="Calibri" w:hAnsi="Calibri" w:cs="Calibri"/>
          <w:b/>
          <w:bCs/>
          <w:color w:val="000000"/>
          <w:sz w:val="16"/>
          <w:szCs w:val="16"/>
          <w:lang w:val="en-GB"/>
        </w:rPr>
        <w:t>Budget Variances Commentary</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This commentary is based on the original 2017–2018 budget in the PBS.</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budget had been prepared on the basis that the Authority would be wound up after the life of the current Parliament.</w:t>
      </w:r>
    </w:p>
    <w:p w:rsidR="00D66275" w:rsidRPr="00D66275" w:rsidRDefault="00D66275" w:rsidP="00D66275">
      <w:pPr>
        <w:tabs>
          <w:tab w:val="left" w:pos="2268"/>
        </w:tabs>
        <w:suppressAutoHyphens/>
        <w:autoSpaceDE w:val="0"/>
        <w:autoSpaceDN w:val="0"/>
        <w:adjustRightInd w:val="0"/>
        <w:spacing w:line="220" w:lineRule="atLeast"/>
        <w:textAlignment w:val="center"/>
        <w:rPr>
          <w:rFonts w:ascii="Calibri" w:hAnsi="Calibri" w:cs="Calibri"/>
          <w:color w:val="000000"/>
          <w:sz w:val="16"/>
          <w:szCs w:val="16"/>
          <w:lang w:val="en-GB"/>
        </w:rPr>
      </w:pPr>
    </w:p>
    <w:p w:rsidR="00D66275" w:rsidRDefault="00D66275" w:rsidP="00D66275">
      <w:pPr>
        <w:tabs>
          <w:tab w:val="left" w:pos="2268"/>
        </w:tabs>
        <w:suppressAutoHyphens/>
        <w:autoSpaceDE w:val="0"/>
        <w:autoSpaceDN w:val="0"/>
        <w:adjustRightInd w:val="0"/>
        <w:spacing w:line="288" w:lineRule="auto"/>
        <w:textAlignment w:val="center"/>
        <w:rPr>
          <w:rFonts w:ascii="Calibri" w:hAnsi="Calibri" w:cs="Calibri"/>
          <w:color w:val="000000"/>
          <w:sz w:val="16"/>
          <w:szCs w:val="16"/>
          <w:lang w:val="en-GB"/>
        </w:rPr>
      </w:pPr>
      <w:r w:rsidRPr="00D66275">
        <w:rPr>
          <w:rFonts w:ascii="Calibri" w:hAnsi="Calibri" w:cs="Calibri"/>
          <w:color w:val="000000"/>
          <w:sz w:val="16"/>
          <w:szCs w:val="16"/>
          <w:lang w:val="en-GB"/>
        </w:rPr>
        <w:t>The above statement should be read in conjunction with the accompanying notes.</w:t>
      </w:r>
    </w:p>
    <w:p w:rsidR="00D66275" w:rsidRDefault="00D66275">
      <w:pPr>
        <w:rPr>
          <w:rFonts w:ascii="Calibri" w:hAnsi="Calibri" w:cs="Calibri"/>
          <w:color w:val="000000"/>
          <w:sz w:val="16"/>
          <w:szCs w:val="16"/>
          <w:lang w:val="en-GB"/>
        </w:rPr>
      </w:pPr>
      <w:r>
        <w:rPr>
          <w:rFonts w:ascii="Calibri" w:hAnsi="Calibri" w:cs="Calibri"/>
          <w:color w:val="000000"/>
          <w:sz w:val="16"/>
          <w:szCs w:val="16"/>
          <w:lang w:val="en-GB"/>
        </w:rPr>
        <w:br w:type="page"/>
      </w:r>
    </w:p>
    <w:p w:rsidR="008C4900" w:rsidRPr="00AC3AF6" w:rsidRDefault="008C4900" w:rsidP="008C4900">
      <w:pPr>
        <w:tabs>
          <w:tab w:val="left" w:pos="2268"/>
        </w:tabs>
        <w:suppressAutoHyphens/>
        <w:autoSpaceDE w:val="0"/>
        <w:autoSpaceDN w:val="0"/>
        <w:adjustRightInd w:val="0"/>
        <w:spacing w:after="723" w:line="380" w:lineRule="atLeast"/>
        <w:textAlignment w:val="center"/>
        <w:rPr>
          <w:rFonts w:ascii="Calibri" w:hAnsi="Calibri" w:cs="Gotham Bold"/>
          <w:b/>
          <w:bCs/>
          <w:caps/>
          <w:color w:val="00B6E8"/>
          <w:spacing w:val="17"/>
          <w:sz w:val="34"/>
          <w:szCs w:val="34"/>
          <w:lang w:val="en-GB"/>
        </w:rPr>
      </w:pPr>
      <w:r w:rsidRPr="00AC3AF6">
        <w:rPr>
          <w:rFonts w:ascii="Calibri" w:hAnsi="Calibri" w:cs="Gotham Bold"/>
          <w:b/>
          <w:bCs/>
          <w:caps/>
          <w:color w:val="00B6E8"/>
          <w:spacing w:val="17"/>
          <w:sz w:val="34"/>
          <w:szCs w:val="34"/>
          <w:lang w:val="en-GB"/>
        </w:rPr>
        <w:t>Notes to the Financial Statements</w:t>
      </w:r>
    </w:p>
    <w:p w:rsidR="008C4900" w:rsidRPr="00AC3AF6" w:rsidRDefault="008C4900" w:rsidP="008C4900">
      <w:pPr>
        <w:tabs>
          <w:tab w:val="left" w:pos="850"/>
          <w:tab w:val="left" w:pos="1100"/>
        </w:tabs>
        <w:suppressAutoHyphens/>
        <w:autoSpaceDE w:val="0"/>
        <w:autoSpaceDN w:val="0"/>
        <w:adjustRightInd w:val="0"/>
        <w:spacing w:before="227" w:line="260" w:lineRule="atLeast"/>
        <w:ind w:left="510" w:hanging="510"/>
        <w:textAlignment w:val="center"/>
        <w:rPr>
          <w:rFonts w:ascii="Calibri" w:hAnsi="Calibri" w:cs="Gotham Black"/>
          <w:caps/>
          <w:color w:val="00B6E8"/>
          <w:sz w:val="22"/>
          <w:szCs w:val="22"/>
          <w:lang w:val="en-GB"/>
        </w:rPr>
      </w:pPr>
    </w:p>
    <w:p w:rsidR="008C4900" w:rsidRPr="00AC3AF6" w:rsidRDefault="008C4900" w:rsidP="008C4900">
      <w:pPr>
        <w:tabs>
          <w:tab w:val="left" w:pos="850"/>
          <w:tab w:val="left" w:pos="1100"/>
        </w:tabs>
        <w:suppressAutoHyphens/>
        <w:autoSpaceDE w:val="0"/>
        <w:autoSpaceDN w:val="0"/>
        <w:adjustRightInd w:val="0"/>
        <w:spacing w:before="227" w:line="260" w:lineRule="atLeast"/>
        <w:ind w:left="510" w:hanging="510"/>
        <w:textAlignment w:val="center"/>
        <w:rPr>
          <w:rFonts w:ascii="Calibri" w:hAnsi="Calibri" w:cs="Gotham Black"/>
          <w:caps/>
          <w:color w:val="00B6E8"/>
          <w:sz w:val="22"/>
          <w:szCs w:val="22"/>
          <w:lang w:val="en-GB"/>
        </w:rPr>
      </w:pPr>
      <w:r w:rsidRPr="00AC3AF6">
        <w:rPr>
          <w:rFonts w:ascii="Calibri" w:hAnsi="Calibri" w:cs="Gotham Black"/>
          <w:caps/>
          <w:color w:val="00B6E8"/>
          <w:sz w:val="22"/>
          <w:szCs w:val="22"/>
          <w:lang w:val="en-GB"/>
        </w:rPr>
        <w:t>Note 1: Overview</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1.1 Objectives of the Climate Change Authority</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The Climate Change Authority (the Authority) was established under the </w:t>
      </w:r>
      <w:r w:rsidRPr="00AC3AF6">
        <w:rPr>
          <w:rFonts w:ascii="Calibri" w:hAnsi="Calibri" w:cs="MetaNormalLF-Italic"/>
          <w:i/>
          <w:iCs/>
          <w:color w:val="000000"/>
          <w:sz w:val="18"/>
          <w:szCs w:val="18"/>
          <w:lang w:val="en-GB"/>
        </w:rPr>
        <w:t>Climate Change Authority Act 2011</w:t>
      </w:r>
      <w:r w:rsidRPr="00AC3AF6">
        <w:rPr>
          <w:rFonts w:ascii="Calibri" w:hAnsi="Calibri" w:cs="MetaNormalLF-Roman"/>
          <w:color w:val="000000"/>
          <w:sz w:val="18"/>
          <w:szCs w:val="18"/>
          <w:lang w:val="en-GB"/>
        </w:rPr>
        <w:t xml:space="preserve"> and commenced operation on 1 July 2012.</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The Authority is an Australian Government controlled entity and a not-for-profit entity. It is a non-corporate Commonwealth entity. The Authority’s objective is to provide rigorous, independent and balanced advice to the Minister for the Environment and Energy and the Australian Parliament on climate change policy, in order to improve the quality of life for all Australians. </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Authority is structured to meet a single outcome:</w:t>
      </w:r>
    </w:p>
    <w:p w:rsidR="008C4900" w:rsidRPr="00AC3AF6" w:rsidRDefault="008C4900" w:rsidP="008C4900">
      <w:pPr>
        <w:tabs>
          <w:tab w:val="left" w:pos="2268"/>
        </w:tabs>
        <w:suppressAutoHyphens/>
        <w:autoSpaceDE w:val="0"/>
        <w:autoSpaceDN w:val="0"/>
        <w:adjustRightInd w:val="0"/>
        <w:spacing w:after="113" w:line="220" w:lineRule="atLeast"/>
        <w:ind w:left="283" w:right="283"/>
        <w:textAlignment w:val="center"/>
        <w:rPr>
          <w:rFonts w:ascii="Calibri" w:hAnsi="Calibri" w:cs="MetaNormalLF-Italic"/>
          <w:i/>
          <w:iCs/>
          <w:color w:val="000000"/>
          <w:sz w:val="18"/>
          <w:szCs w:val="18"/>
          <w:lang w:val="en-GB"/>
        </w:rPr>
      </w:pPr>
      <w:r w:rsidRPr="00AC3AF6">
        <w:rPr>
          <w:rFonts w:ascii="Calibri" w:hAnsi="Calibri" w:cs="MetaNormalLF-Italic"/>
          <w:i/>
          <w:iCs/>
          <w:color w:val="000000"/>
          <w:sz w:val="18"/>
          <w:szCs w:val="18"/>
          <w:lang w:val="en-GB"/>
        </w:rPr>
        <w:t>Provide expert advice to the Australian Government on climate change mitigation initiatives, including through conducting regular and specifically commissioned reviews and through undertaking climate change research.</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Activities contributing toward this outcome are classified as departmental. Departmental activities involve the use of assets, liabilities, income and expenses controlled or incurred by the Authority in its own right. </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The Authority understands that it is Government policy to wind up the entity during the life of the current Parliament. </w:t>
      </w:r>
      <w:proofErr w:type="gramStart"/>
      <w:r w:rsidRPr="00AC3AF6">
        <w:rPr>
          <w:rFonts w:ascii="Calibri" w:hAnsi="Calibri" w:cs="MetaNormalLF-Roman"/>
          <w:color w:val="000000"/>
          <w:sz w:val="18"/>
          <w:szCs w:val="18"/>
          <w:lang w:val="en-GB"/>
        </w:rPr>
        <w:t>Consequently</w:t>
      </w:r>
      <w:proofErr w:type="gramEnd"/>
      <w:r w:rsidRPr="00AC3AF6">
        <w:rPr>
          <w:rFonts w:ascii="Calibri" w:hAnsi="Calibri" w:cs="MetaNormalLF-Roman"/>
          <w:color w:val="000000"/>
          <w:sz w:val="18"/>
          <w:szCs w:val="18"/>
          <w:lang w:val="en-GB"/>
        </w:rPr>
        <w:t xml:space="preserve"> all liabilities in the financial statements are considered to be current. </w:t>
      </w:r>
      <w:proofErr w:type="gramStart"/>
      <w:r w:rsidRPr="00AC3AF6">
        <w:rPr>
          <w:rFonts w:ascii="Calibri" w:hAnsi="Calibri" w:cs="MetaNormalLF-Roman"/>
          <w:color w:val="000000"/>
          <w:sz w:val="18"/>
          <w:szCs w:val="18"/>
          <w:lang w:val="en-GB"/>
        </w:rPr>
        <w:t>However</w:t>
      </w:r>
      <w:proofErr w:type="gramEnd"/>
      <w:r w:rsidRPr="00AC3AF6">
        <w:rPr>
          <w:rFonts w:ascii="Calibri" w:hAnsi="Calibri" w:cs="MetaNormalLF-Roman"/>
          <w:color w:val="000000"/>
          <w:sz w:val="18"/>
          <w:szCs w:val="18"/>
          <w:lang w:val="en-GB"/>
        </w:rPr>
        <w:t xml:space="preserve"> the Authority’s financial statements have been prepared on a going concern basis as enabling legislation is required to wind up the entity and this legislation was not passed by the previous Parliament and has lapsed. In addition, the Department of the Environment and Energy has provided written assurance that it will provide assistance to ensure the Authority is able to pay its debts as and when they fall due until September 2019.</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The Portfolio Budget Statements for the Authority are prepared in line with Government policy to wind up the Authority. This basis of preparation explains a number of variances to the original budget, specifically in relation to the Statement of Financial Position, Statement of Changes in Equity and the Cash Flow Statement. The original budget also does not contain the operating loss anticipated by the Authority and requested through formal Government processes due to timing differences between the production of the Portfolio Budget Statements and the approval of the operating loss request. </w:t>
      </w:r>
      <w:proofErr w:type="gramStart"/>
      <w:r w:rsidRPr="00AC3AF6">
        <w:rPr>
          <w:rFonts w:ascii="Calibri" w:hAnsi="Calibri" w:cs="MetaNormalLF-Roman"/>
          <w:color w:val="000000"/>
          <w:sz w:val="18"/>
          <w:szCs w:val="18"/>
          <w:lang w:val="en-GB"/>
        </w:rPr>
        <w:t>Therefore</w:t>
      </w:r>
      <w:proofErr w:type="gramEnd"/>
      <w:r w:rsidRPr="00AC3AF6">
        <w:rPr>
          <w:rFonts w:ascii="Calibri" w:hAnsi="Calibri" w:cs="MetaNormalLF-Roman"/>
          <w:color w:val="000000"/>
          <w:sz w:val="18"/>
          <w:szCs w:val="18"/>
          <w:lang w:val="en-GB"/>
        </w:rPr>
        <w:t xml:space="preserve"> the original budget is lower than reported actuals.</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1.2 Basis of Preparation of the Financial Statements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The financial statements are general purpose financial statements and are required by section 42 of the </w:t>
      </w:r>
      <w:r w:rsidRPr="00AC3AF6">
        <w:rPr>
          <w:rFonts w:ascii="Calibri" w:hAnsi="Calibri" w:cs="MetaNormalLF-Italic"/>
          <w:i/>
          <w:iCs/>
          <w:color w:val="000000"/>
          <w:sz w:val="18"/>
          <w:szCs w:val="18"/>
          <w:lang w:val="en-GB"/>
        </w:rPr>
        <w:t>Public Governance, Performance and Accountability Act 2013</w:t>
      </w:r>
      <w:r w:rsidRPr="00AC3AF6">
        <w:rPr>
          <w:rFonts w:ascii="Calibri" w:hAnsi="Calibri" w:cs="MetaNormalLF-Roman"/>
          <w:color w:val="000000"/>
          <w:sz w:val="18"/>
          <w:szCs w:val="18"/>
          <w:lang w:val="en-GB"/>
        </w:rPr>
        <w:t xml:space="preserve"> (PGPA Act). </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financial statements have been prepared in accordance with:</w:t>
      </w:r>
    </w:p>
    <w:p w:rsidR="008C4900" w:rsidRPr="00AC3AF6" w:rsidRDefault="008C4900" w:rsidP="008C4900">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w:t>
      </w:r>
      <w:r w:rsidRPr="00AC3AF6">
        <w:rPr>
          <w:rFonts w:ascii="Calibri" w:hAnsi="Calibri" w:cs="MetaNormalLF-Roman"/>
          <w:color w:val="000000"/>
          <w:sz w:val="18"/>
          <w:szCs w:val="18"/>
          <w:lang w:val="en-GB"/>
        </w:rPr>
        <w:tab/>
        <w:t xml:space="preserve">Public Governance, Performance and Accountability (Financial Reporting) Rule 2015 (FRR) made under the PGPA Act; and </w:t>
      </w:r>
    </w:p>
    <w:p w:rsidR="008C4900" w:rsidRPr="00AC3AF6" w:rsidRDefault="008C4900" w:rsidP="008C4900">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w:t>
      </w:r>
      <w:r w:rsidRPr="00AC3AF6">
        <w:rPr>
          <w:rFonts w:ascii="Calibri" w:hAnsi="Calibri" w:cs="MetaNormalLF-Roman"/>
          <w:color w:val="000000"/>
          <w:sz w:val="18"/>
          <w:szCs w:val="18"/>
          <w:lang w:val="en-GB"/>
        </w:rPr>
        <w:tab/>
        <w:t xml:space="preserve">Australian Accounting Standards and Interpretations – Reduced Disclosure Requirements issued by the Australian Accounting Standards Board (AASB) that apply for the </w:t>
      </w:r>
      <w:r w:rsidRPr="00AC3AF6">
        <w:rPr>
          <w:rFonts w:ascii="Calibri" w:hAnsi="Calibri" w:cs="MetaNormalLF-Roman"/>
          <w:color w:val="000000"/>
          <w:sz w:val="18"/>
          <w:szCs w:val="18"/>
          <w:lang w:val="en-GB"/>
        </w:rPr>
        <w:br/>
        <w:t>reporting period.</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financial statements are presented in Australian dollars and values are rounded to the nearest thousand dollars unless otherwise specified.</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1.3 Significant Accounting Judgements and Estimates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In applying the accounting policies outlined in these financial statements, management has made a number of judgements and applied estimates and assumptions to future events. </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No accounting assumptions or estimates have been identified that have a significant risk of causing a material adjustment to carrying amounts of assets and liabilities within the next accounting period.</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1.4 New Australian Accounting Standards</w:t>
      </w: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r w:rsidRPr="00AC3AF6">
        <w:rPr>
          <w:rFonts w:ascii="Calibri" w:hAnsi="Calibri" w:cs="Gotham Medium"/>
          <w:caps/>
          <w:color w:val="00B6E8"/>
          <w:sz w:val="16"/>
          <w:szCs w:val="16"/>
          <w:lang w:val="en-GB"/>
        </w:rPr>
        <w:t>New and modified Australian Accounting Standard Requirements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All new and modified standards and interpretations that were issued prior to the sign-off date and are applicable to the current reporting period did not have a material effect on the Authority’s financial statements. </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All new and modified standards and interpretations that were issued prior to the sign-off date and are applicable to future reporting periods are not expected to have a future material impact on the Authority’s financial statements.</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1.5 Revenue</w:t>
      </w: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r w:rsidRPr="00AC3AF6">
        <w:rPr>
          <w:rFonts w:ascii="Calibri" w:hAnsi="Calibri" w:cs="Gotham Medium"/>
          <w:caps/>
          <w:color w:val="00B6E8"/>
          <w:sz w:val="16"/>
          <w:szCs w:val="16"/>
          <w:lang w:val="en-GB"/>
        </w:rPr>
        <w:t>Revenue from Government</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Amounts appropriated (departmental appropriations) for the year (adjusted for any formal additions and reductions) are recognised as Revenue from Government when the Authority gains control of the appropriation. There was no direct appropriation received during the financial year, as the Authority’s revenue is now received through the Department of the Environment and Energy and is recorded as other revenue.</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Appropriations receivable are recognised at their nominal amounts.</w:t>
      </w: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r w:rsidRPr="00AC3AF6">
        <w:rPr>
          <w:rFonts w:ascii="Calibri" w:hAnsi="Calibri" w:cs="Gotham Medium"/>
          <w:caps/>
          <w:color w:val="00B6E8"/>
          <w:sz w:val="16"/>
          <w:szCs w:val="16"/>
          <w:lang w:val="en-GB"/>
        </w:rPr>
        <w:t>Other Revenue</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Revenue from other sources is recognised when:</w:t>
      </w:r>
    </w:p>
    <w:p w:rsidR="008C4900" w:rsidRPr="00AC3AF6" w:rsidRDefault="008C4900" w:rsidP="008C4900">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w:t>
      </w:r>
      <w:r w:rsidRPr="00AC3AF6">
        <w:rPr>
          <w:rFonts w:ascii="Calibri" w:hAnsi="Calibri" w:cs="MetaNormalLF-Roman"/>
          <w:color w:val="000000"/>
          <w:sz w:val="18"/>
          <w:szCs w:val="18"/>
          <w:lang w:val="en-GB"/>
        </w:rPr>
        <w:tab/>
        <w:t>the revenue and transaction costs incurred can be reliably measured; and</w:t>
      </w:r>
    </w:p>
    <w:p w:rsidR="008C4900" w:rsidRPr="00AC3AF6" w:rsidRDefault="008C4900" w:rsidP="008C4900">
      <w:pPr>
        <w:tabs>
          <w:tab w:val="left" w:pos="283"/>
          <w:tab w:val="left" w:pos="2268"/>
        </w:tabs>
        <w:suppressAutoHyphens/>
        <w:autoSpaceDE w:val="0"/>
        <w:autoSpaceDN w:val="0"/>
        <w:adjustRightInd w:val="0"/>
        <w:spacing w:after="113" w:line="220" w:lineRule="atLeast"/>
        <w:ind w:left="283" w:hanging="283"/>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w:t>
      </w:r>
      <w:r w:rsidRPr="00AC3AF6">
        <w:rPr>
          <w:rFonts w:ascii="Calibri" w:hAnsi="Calibri" w:cs="MetaNormalLF-Roman"/>
          <w:color w:val="000000"/>
          <w:sz w:val="18"/>
          <w:szCs w:val="18"/>
          <w:lang w:val="en-GB"/>
        </w:rPr>
        <w:tab/>
        <w:t xml:space="preserve">it is probable that the economic benefits associated with the transaction will flow to </w:t>
      </w:r>
      <w:r w:rsidRPr="00AC3AF6">
        <w:rPr>
          <w:rFonts w:ascii="Calibri" w:hAnsi="Calibri" w:cs="MetaNormalLF-Roman"/>
          <w:color w:val="000000"/>
          <w:sz w:val="18"/>
          <w:szCs w:val="18"/>
          <w:lang w:val="en-GB"/>
        </w:rPr>
        <w:br/>
        <w:t>the Authority.</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Receivables for goods and services, which have </w:t>
      </w:r>
      <w:proofErr w:type="gramStart"/>
      <w:r w:rsidRPr="00AC3AF6">
        <w:rPr>
          <w:rFonts w:ascii="Calibri" w:hAnsi="Calibri" w:cs="MetaNormalLF-Roman"/>
          <w:color w:val="000000"/>
          <w:sz w:val="18"/>
          <w:szCs w:val="18"/>
          <w:lang w:val="en-GB"/>
        </w:rPr>
        <w:t>30 day</w:t>
      </w:r>
      <w:proofErr w:type="gramEnd"/>
      <w:r w:rsidRPr="00AC3AF6">
        <w:rPr>
          <w:rFonts w:ascii="Calibri" w:hAnsi="Calibri" w:cs="MetaNormalLF-Roman"/>
          <w:color w:val="000000"/>
          <w:sz w:val="18"/>
          <w:szCs w:val="18"/>
          <w:lang w:val="en-GB"/>
        </w:rPr>
        <w:t xml:space="preserve"> terms, are recognised at the nominal amount due less any impairment allowance amount. Collectability of debts is reviewed at the </w:t>
      </w:r>
      <w:r w:rsidRPr="00AC3AF6">
        <w:rPr>
          <w:rFonts w:ascii="Calibri" w:hAnsi="Calibri" w:cs="MetaNormalLF-Roman"/>
          <w:color w:val="000000"/>
          <w:sz w:val="18"/>
          <w:szCs w:val="18"/>
          <w:lang w:val="en-GB"/>
        </w:rPr>
        <w:br/>
        <w:t>end of the reporting period. Allowances are made when collectability of the debt is no longer probable.</w:t>
      </w: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r w:rsidRPr="00AC3AF6">
        <w:rPr>
          <w:rFonts w:ascii="Calibri" w:hAnsi="Calibri" w:cs="Gotham Medium"/>
          <w:caps/>
          <w:color w:val="00B6E8"/>
          <w:sz w:val="16"/>
          <w:szCs w:val="16"/>
          <w:lang w:val="en-GB"/>
        </w:rPr>
        <w:t>Other Resources Received Free of Charge</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Resources received free of charge are recognised as other revenue when, and only when, a fair value can be reliably determined and the services would have been purchased if they had not been donated. Use of those resources is recognised as an expense.</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Resources received free of charge are recorded as either revenue or gains depending on their nature.</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1.6 Employee Benefits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Liabilities for ‘short-term employee benefits’ and termination benefits due within twelve months of the end of reporting period are measured at their nominal amounts.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nominal amount is calculated with regard to the rates expected to be paid on settlement of the liability.</w:t>
      </w: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r w:rsidRPr="00AC3AF6">
        <w:rPr>
          <w:rFonts w:ascii="Calibri" w:hAnsi="Calibri" w:cs="Gotham Medium"/>
          <w:caps/>
          <w:color w:val="00B6E8"/>
          <w:sz w:val="16"/>
          <w:szCs w:val="16"/>
          <w:lang w:val="en-GB"/>
        </w:rPr>
        <w:t>Leave</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The liability for employee benefits includes provision for annual leave and long service leave. No provision has been made for sick leave as all sick leave is </w:t>
      </w:r>
      <w:proofErr w:type="gramStart"/>
      <w:r w:rsidRPr="00AC3AF6">
        <w:rPr>
          <w:rFonts w:ascii="Calibri" w:hAnsi="Calibri" w:cs="MetaNormalLF-Roman"/>
          <w:color w:val="000000"/>
          <w:sz w:val="18"/>
          <w:szCs w:val="18"/>
          <w:lang w:val="en-GB"/>
        </w:rPr>
        <w:t>non vesting</w:t>
      </w:r>
      <w:proofErr w:type="gramEnd"/>
      <w:r w:rsidRPr="00AC3AF6">
        <w:rPr>
          <w:rFonts w:ascii="Calibri" w:hAnsi="Calibri" w:cs="MetaNormalLF-Roman"/>
          <w:color w:val="000000"/>
          <w:sz w:val="18"/>
          <w:szCs w:val="18"/>
          <w:lang w:val="en-GB"/>
        </w:rPr>
        <w:t xml:space="preserve"> and the average sick leave taken in future years by employees of the Authority is estimated to be less than the annual entitlement for sick leave.</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Leave liabilities are calculated on the basis of employees’ remuneration at the estimated salary rates that will be applied at the time the leave is taken, including the Authority’s employer superannuation contribution rates to the extent that the leave is likely to be taken during service rather than paid out on termination.</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liability for long service leave has been determined by use of the Australian Government Actuary’s shorthand method using the Standard Commonwealth sector probability profile.</w:t>
      </w: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r w:rsidRPr="00AC3AF6">
        <w:rPr>
          <w:rFonts w:ascii="Calibri" w:hAnsi="Calibri" w:cs="Gotham Medium"/>
          <w:caps/>
          <w:color w:val="00B6E8"/>
          <w:sz w:val="16"/>
          <w:szCs w:val="16"/>
          <w:lang w:val="en-GB"/>
        </w:rPr>
        <w:t>Separation and Redundancy</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The Authority recognises a provision for separation and redundancy when it has developed a detailed formal plan for the terminations and has informed those employees affected that it will carry out the terminations. </w:t>
      </w: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r w:rsidRPr="00AC3AF6">
        <w:rPr>
          <w:rFonts w:ascii="Calibri" w:hAnsi="Calibri" w:cs="Gotham Medium"/>
          <w:caps/>
          <w:color w:val="00B6E8"/>
          <w:sz w:val="16"/>
          <w:szCs w:val="16"/>
          <w:lang w:val="en-GB"/>
        </w:rPr>
        <w:t>Superannuation</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pacing w:val="-4"/>
          <w:sz w:val="18"/>
          <w:szCs w:val="18"/>
          <w:lang w:val="en-GB"/>
        </w:rPr>
        <w:t>The majority of staff at the Authority are members</w:t>
      </w:r>
      <w:r w:rsidRPr="00AC3AF6">
        <w:rPr>
          <w:rFonts w:ascii="Calibri" w:hAnsi="Calibri" w:cs="MetaNormalLF-Roman"/>
          <w:color w:val="000000"/>
          <w:sz w:val="18"/>
          <w:szCs w:val="18"/>
          <w:lang w:val="en-GB"/>
        </w:rPr>
        <w:t xml:space="preserve"> of the Public Sector Superannuation Scheme (PSS) or the PSS accumulation plan (</w:t>
      </w:r>
      <w:proofErr w:type="spellStart"/>
      <w:r w:rsidRPr="00AC3AF6">
        <w:rPr>
          <w:rFonts w:ascii="Calibri" w:hAnsi="Calibri" w:cs="MetaNormalLF-Roman"/>
          <w:color w:val="000000"/>
          <w:sz w:val="18"/>
          <w:szCs w:val="18"/>
          <w:lang w:val="en-GB"/>
        </w:rPr>
        <w:t>PSSap</w:t>
      </w:r>
      <w:proofErr w:type="spellEnd"/>
      <w:r w:rsidRPr="00AC3AF6">
        <w:rPr>
          <w:rFonts w:ascii="Calibri" w:hAnsi="Calibri" w:cs="MetaNormalLF-Roman"/>
          <w:color w:val="000000"/>
          <w:sz w:val="18"/>
          <w:szCs w:val="18"/>
          <w:lang w:val="en-GB"/>
        </w:rPr>
        <w:t>).</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PSS is a defined benefit scheme for the Australian Government. The </w:t>
      </w:r>
      <w:proofErr w:type="spellStart"/>
      <w:r w:rsidRPr="00AC3AF6">
        <w:rPr>
          <w:rFonts w:ascii="Calibri" w:hAnsi="Calibri" w:cs="MetaNormalLF-Roman"/>
          <w:color w:val="000000"/>
          <w:sz w:val="18"/>
          <w:szCs w:val="18"/>
          <w:lang w:val="en-GB"/>
        </w:rPr>
        <w:t>PSSap</w:t>
      </w:r>
      <w:proofErr w:type="spellEnd"/>
      <w:r w:rsidRPr="00AC3AF6">
        <w:rPr>
          <w:rFonts w:ascii="Calibri" w:hAnsi="Calibri" w:cs="MetaNormalLF-Roman"/>
          <w:color w:val="000000"/>
          <w:sz w:val="18"/>
          <w:szCs w:val="18"/>
          <w:lang w:val="en-GB"/>
        </w:rPr>
        <w:t xml:space="preserve"> is a defined contribution scheme.</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liability for defined benefits is recognised in the financial statements of the Australian Government and is settled by the Australian Government in due course. This liability is reported in the Department of Finance’s administered schedules and notes.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Authority makes employer contributions to the employees’ superannuation scheme at rates determined by an actuary to be sufficient to meet the current cost to the Government.</w:t>
      </w:r>
      <w:r w:rsidR="003309CC">
        <w:rPr>
          <w:rFonts w:ascii="Calibri" w:hAnsi="Calibri" w:cs="MetaNormalLF-Roman"/>
          <w:color w:val="000000"/>
          <w:sz w:val="18"/>
          <w:szCs w:val="18"/>
          <w:lang w:val="en-GB"/>
        </w:rPr>
        <w:t xml:space="preserve"> </w:t>
      </w:r>
      <w:r w:rsidRPr="00AC3AF6">
        <w:rPr>
          <w:rFonts w:ascii="Calibri" w:hAnsi="Calibri" w:cs="MetaNormalLF-Roman"/>
          <w:color w:val="000000"/>
          <w:sz w:val="18"/>
          <w:szCs w:val="18"/>
          <w:lang w:val="en-GB"/>
        </w:rPr>
        <w:t>The Authority accounts for the contributions as if they were contributions to defined contribution plans.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The liability for superannuation recognised as at </w:t>
      </w:r>
      <w:r w:rsidRPr="00AC3AF6">
        <w:rPr>
          <w:rFonts w:ascii="Calibri" w:hAnsi="Calibri" w:cs="MetaNormalLF-Roman"/>
          <w:color w:val="000000"/>
          <w:spacing w:val="-4"/>
          <w:sz w:val="18"/>
          <w:szCs w:val="18"/>
          <w:lang w:val="en-GB"/>
        </w:rPr>
        <w:t>30 June represents outstanding contributions.</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1.7 Leases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Authority only had operating leases where the lessor effectively retained substantially all risks and benefits.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Operating lease payments were expensed on a </w:t>
      </w:r>
      <w:proofErr w:type="gramStart"/>
      <w:r w:rsidRPr="00AC3AF6">
        <w:rPr>
          <w:rFonts w:ascii="Calibri" w:hAnsi="Calibri" w:cs="MetaNormalLF-Roman"/>
          <w:color w:val="000000"/>
          <w:sz w:val="18"/>
          <w:szCs w:val="18"/>
          <w:lang w:val="en-GB"/>
        </w:rPr>
        <w:t>straight line</w:t>
      </w:r>
      <w:proofErr w:type="gramEnd"/>
      <w:r w:rsidRPr="00AC3AF6">
        <w:rPr>
          <w:rFonts w:ascii="Calibri" w:hAnsi="Calibri" w:cs="MetaNormalLF-Roman"/>
          <w:color w:val="000000"/>
          <w:sz w:val="18"/>
          <w:szCs w:val="18"/>
          <w:lang w:val="en-GB"/>
        </w:rPr>
        <w:t xml:space="preserve"> basis, which is representative of the pattern of benefits derived from the leased assets. Following the move from Melbourne to Canberra in September 2016, the Authority no longer holds any leases.</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1.8 Financial Assets</w:t>
      </w: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r w:rsidRPr="00AC3AF6">
        <w:rPr>
          <w:rFonts w:ascii="Calibri" w:hAnsi="Calibri" w:cs="Gotham Medium"/>
          <w:caps/>
          <w:color w:val="00B6E8"/>
          <w:sz w:val="16"/>
          <w:szCs w:val="16"/>
          <w:lang w:val="en-GB"/>
        </w:rPr>
        <w:t>Cash and Cash Equivalents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Cash and cash equivalents include cash on hand and demand deposits in bank accounts. These are recognised at their nominal amounts.</w:t>
      </w: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r w:rsidRPr="00AC3AF6">
        <w:rPr>
          <w:rFonts w:ascii="Calibri" w:hAnsi="Calibri" w:cs="Gotham Medium"/>
          <w:caps/>
          <w:color w:val="00B6E8"/>
          <w:sz w:val="16"/>
          <w:szCs w:val="16"/>
          <w:lang w:val="en-GB"/>
        </w:rPr>
        <w:t>Trade and Other Receivables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Trade receivables and other receivables that have fixed or determinable payments and that are not quoted in an active market are classified as ‘loans and receivables’. Loans and receivables are measured at amortised cost using the effective interest method less impairment.</w:t>
      </w:r>
    </w:p>
    <w:p w:rsidR="008C4900" w:rsidRPr="00AC3AF6" w:rsidRDefault="008C4900" w:rsidP="008C4900">
      <w:pPr>
        <w:keepNext/>
        <w:suppressAutoHyphens/>
        <w:autoSpaceDE w:val="0"/>
        <w:autoSpaceDN w:val="0"/>
        <w:adjustRightInd w:val="0"/>
        <w:spacing w:line="220" w:lineRule="atLeast"/>
        <w:textAlignment w:val="center"/>
        <w:rPr>
          <w:rFonts w:ascii="Calibri" w:hAnsi="Calibri" w:cs="Gotham Medium"/>
          <w:caps/>
          <w:color w:val="00B6E8"/>
          <w:sz w:val="16"/>
          <w:szCs w:val="16"/>
          <w:lang w:val="en-GB"/>
        </w:rPr>
      </w:pPr>
      <w:r w:rsidRPr="00AC3AF6">
        <w:rPr>
          <w:rFonts w:ascii="Calibri" w:hAnsi="Calibri" w:cs="Gotham Medium"/>
          <w:caps/>
          <w:color w:val="00B6E8"/>
          <w:sz w:val="16"/>
          <w:szCs w:val="16"/>
          <w:lang w:val="en-GB"/>
        </w:rPr>
        <w:t>Impairment of financial assets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Financial assets are assessed for impairment at the end of each reporting period. No material indicators of impairment were found for financial assets.</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1.9 Financial Liabilities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Financial liabilities are classified as “Other financial liabilities” (refer to Note 10) Financial liabilities are recognised and derecognised upon ‘trade date’. Trade creditors and accruals are expected to be settled within 12 months. </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Other financial liabilities, including supplier and other payables, are recognised at amortised cost. Liabilities are recognised to the extent that the goods or services have been received (and irrespective of having been invoiced). </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All other financial liabilities for 2018 and 2017 are payable within one year. </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1.10 Contingent Liabilities and Contingent Assets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Contingent liabilities and contingent assets are not recognised in the Statement of Financial Position but when they exist are reported at Note 8. They may arise from uncertainty as to the existence of a liability or an asset or represent an asset or liability in respect of which the amount cannot be reliably measured. Contingent assets are disclosed when settlement is probable but not virtually certain and contingent liabilities are disclosed when settlement is greater than remote.</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b/>
          <w:bCs/>
          <w:caps/>
          <w:color w:val="00B6E8"/>
          <w:sz w:val="22"/>
          <w:szCs w:val="22"/>
          <w:lang w:val="en-GB"/>
        </w:rPr>
        <w:t>1.11 Taxation</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Authority is exempt from all forms of taxation except Fringe Benefits Tax (FBT) and the Goods and Services Tax (GST).</w:t>
      </w:r>
    </w:p>
    <w:p w:rsidR="00AC3AF6" w:rsidRPr="00AC3AF6" w:rsidRDefault="00AC3AF6"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lack"/>
          <w:caps/>
          <w:color w:val="00B6E8"/>
          <w:sz w:val="22"/>
          <w:szCs w:val="22"/>
          <w:lang w:val="en-GB"/>
        </w:rPr>
      </w:pPr>
      <w:r w:rsidRPr="00AC3AF6">
        <w:rPr>
          <w:rFonts w:ascii="Calibri" w:hAnsi="Calibri" w:cs="Gotham Black"/>
          <w:caps/>
          <w:color w:val="00B6E8"/>
          <w:sz w:val="22"/>
          <w:szCs w:val="22"/>
          <w:lang w:val="en-GB"/>
        </w:rPr>
        <w:br w:type="page"/>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lack"/>
          <w:caps/>
          <w:color w:val="00B6E8"/>
          <w:sz w:val="22"/>
          <w:szCs w:val="22"/>
          <w:lang w:val="en-GB"/>
        </w:rPr>
      </w:pPr>
      <w:r w:rsidRPr="00AC3AF6">
        <w:rPr>
          <w:rFonts w:ascii="Calibri" w:hAnsi="Calibri" w:cs="Gotham Black"/>
          <w:caps/>
          <w:color w:val="00B6E8"/>
          <w:sz w:val="22"/>
          <w:szCs w:val="22"/>
          <w:lang w:val="en-GB"/>
        </w:rPr>
        <w:t>Note 2: Events after the Reporting Period</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There was no subsequent event that had the potential to significantly affect the ongoing structure and financial activities of the Authority.</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lack"/>
          <w:caps/>
          <w:color w:val="00B6E8"/>
          <w:sz w:val="22"/>
          <w:szCs w:val="22"/>
          <w:lang w:val="en-GB"/>
        </w:rPr>
      </w:pPr>
      <w:r w:rsidRPr="00AC3AF6">
        <w:rPr>
          <w:rFonts w:ascii="Calibri" w:hAnsi="Calibri" w:cs="Gotham Bold"/>
          <w:caps/>
          <w:color w:val="00B6E8"/>
          <w:sz w:val="22"/>
          <w:szCs w:val="22"/>
          <w:lang w:val="en-GB"/>
        </w:rPr>
        <w:t>Note 3: Expenses</w:t>
      </w:r>
    </w:p>
    <w:p w:rsidR="008C4900" w:rsidRPr="00AC3AF6" w:rsidRDefault="008C4900" w:rsidP="008C4900">
      <w:pPr>
        <w:keepNext/>
        <w:tabs>
          <w:tab w:val="left" w:pos="1418"/>
        </w:tabs>
        <w:suppressAutoHyphens/>
        <w:autoSpaceDE w:val="0"/>
        <w:autoSpaceDN w:val="0"/>
        <w:adjustRightInd w:val="0"/>
        <w:spacing w:before="283" w:after="170" w:line="200" w:lineRule="atLeast"/>
        <w:textAlignment w:val="center"/>
        <w:rPr>
          <w:rFonts w:ascii="Calibri" w:hAnsi="Calibri" w:cs="Gotham Book"/>
          <w:caps/>
          <w:color w:val="00B6E8"/>
          <w:sz w:val="16"/>
          <w:szCs w:val="16"/>
          <w:lang w:val="en-GB"/>
        </w:rPr>
      </w:pPr>
      <w:r w:rsidRPr="00AC3AF6">
        <w:rPr>
          <w:rFonts w:ascii="Calibri" w:hAnsi="Calibri" w:cs="Gotham Book"/>
          <w:caps/>
          <w:color w:val="00B6E8"/>
          <w:sz w:val="16"/>
          <w:szCs w:val="16"/>
          <w:lang w:val="en-GB"/>
        </w:rPr>
        <w:t>Note 3A: Employee Benefits</w:t>
      </w:r>
    </w:p>
    <w:tbl>
      <w:tblPr>
        <w:tblW w:w="0" w:type="auto"/>
        <w:tblInd w:w="-8" w:type="dxa"/>
        <w:tblLayout w:type="fixed"/>
        <w:tblCellMar>
          <w:left w:w="0" w:type="dxa"/>
          <w:right w:w="0" w:type="dxa"/>
        </w:tblCellMar>
        <w:tblLook w:val="0000" w:firstRow="0" w:lastRow="0" w:firstColumn="0" w:lastColumn="0" w:noHBand="0" w:noVBand="0"/>
      </w:tblPr>
      <w:tblGrid>
        <w:gridCol w:w="5712"/>
        <w:gridCol w:w="857"/>
        <w:gridCol w:w="858"/>
      </w:tblGrid>
      <w:tr w:rsidR="008C4900" w:rsidRPr="00AC3AF6" w:rsidTr="008C4900">
        <w:trPr>
          <w:trHeight w:val="60"/>
          <w:tblHeader/>
        </w:trPr>
        <w:tc>
          <w:tcPr>
            <w:tcW w:w="5712" w:type="dxa"/>
            <w:shd w:val="solid" w:color="00B6E8" w:fill="auto"/>
            <w:tcMar>
              <w:top w:w="57" w:type="dxa"/>
              <w:left w:w="113" w:type="dxa"/>
              <w:bottom w:w="57" w:type="dxa"/>
              <w:right w:w="113"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113" w:type="dxa"/>
              <w:bottom w:w="57" w:type="dxa"/>
              <w:right w:w="113" w:type="dxa"/>
            </w:tcMar>
            <w:vAlign w:val="bottom"/>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2018</w:t>
            </w:r>
          </w:p>
        </w:tc>
        <w:tc>
          <w:tcPr>
            <w:tcW w:w="858" w:type="dxa"/>
            <w:shd w:val="solid" w:color="00B6E8" w:fill="auto"/>
            <w:tcMar>
              <w:top w:w="57" w:type="dxa"/>
              <w:left w:w="113" w:type="dxa"/>
              <w:bottom w:w="57" w:type="dxa"/>
              <w:right w:w="113" w:type="dxa"/>
            </w:tcMar>
            <w:vAlign w:val="bottom"/>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2017</w:t>
            </w:r>
          </w:p>
        </w:tc>
      </w:tr>
      <w:tr w:rsidR="008C4900" w:rsidRPr="00AC3AF6" w:rsidTr="008C4900">
        <w:trPr>
          <w:trHeight w:val="60"/>
          <w:tblHeader/>
        </w:trPr>
        <w:tc>
          <w:tcPr>
            <w:tcW w:w="5712" w:type="dxa"/>
            <w:shd w:val="solid" w:color="00B6E8" w:fill="auto"/>
            <w:tcMar>
              <w:top w:w="57" w:type="dxa"/>
              <w:left w:w="57" w:type="dxa"/>
              <w:bottom w:w="57" w:type="dxa"/>
              <w:right w:w="57"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c>
          <w:tcPr>
            <w:tcW w:w="858"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spacing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Wages and salaries</w:t>
            </w:r>
          </w:p>
        </w:tc>
        <w:tc>
          <w:tcPr>
            <w:tcW w:w="857" w:type="dxa"/>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spacing w:line="220" w:lineRule="atLeast"/>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1,168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spacing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1,233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Superannuation:</w:t>
            </w:r>
          </w:p>
        </w:tc>
        <w:tc>
          <w:tcPr>
            <w:tcW w:w="857" w:type="dxa"/>
            <w:tcMar>
              <w:top w:w="85" w:type="dxa"/>
              <w:left w:w="113" w:type="dxa"/>
              <w:bottom w:w="85" w:type="dxa"/>
              <w:right w:w="113" w:type="dxa"/>
            </w:tcMar>
            <w:vAlign w:val="bottom"/>
          </w:tcPr>
          <w:p w:rsidR="008C4900" w:rsidRPr="00AC3AF6" w:rsidRDefault="008C4900" w:rsidP="008C4900">
            <w:pPr>
              <w:autoSpaceDE w:val="0"/>
              <w:autoSpaceDN w:val="0"/>
              <w:adjustRightInd w:val="0"/>
              <w:rPr>
                <w:rFonts w:ascii="Calibri" w:hAnsi="Calibri"/>
                <w:lang w:val="en-US"/>
              </w:rPr>
            </w:pPr>
          </w:p>
        </w:tc>
        <w:tc>
          <w:tcPr>
            <w:tcW w:w="858" w:type="dxa"/>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r>
      <w:tr w:rsidR="008C4900" w:rsidRPr="00AC3AF6" w:rsidTr="008C4900">
        <w:trPr>
          <w:trHeight w:val="60"/>
        </w:trPr>
        <w:tc>
          <w:tcPr>
            <w:tcW w:w="5712" w:type="dxa"/>
            <w:tcMar>
              <w:top w:w="85" w:type="dxa"/>
              <w:left w:w="283"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Defined contribution plans</w:t>
            </w:r>
          </w:p>
        </w:tc>
        <w:tc>
          <w:tcPr>
            <w:tcW w:w="857" w:type="dxa"/>
            <w:tcMar>
              <w:top w:w="85" w:type="dxa"/>
              <w:left w:w="113" w:type="dxa"/>
              <w:bottom w:w="85" w:type="dxa"/>
              <w:right w:w="113" w:type="dxa"/>
            </w:tcMar>
            <w:vAlign w:val="bottom"/>
          </w:tcPr>
          <w:p w:rsidR="008C4900" w:rsidRPr="00AC3AF6" w:rsidRDefault="008C4900" w:rsidP="008C4900">
            <w:pPr>
              <w:tabs>
                <w:tab w:val="left" w:pos="2268"/>
              </w:tabs>
              <w:suppressAutoHyphens/>
              <w:autoSpaceDE w:val="0"/>
              <w:autoSpaceDN w:val="0"/>
              <w:adjustRightInd w:val="0"/>
              <w:spacing w:after="113" w:line="220" w:lineRule="atLeast"/>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93 </w:t>
            </w:r>
          </w:p>
        </w:tc>
        <w:tc>
          <w:tcPr>
            <w:tcW w:w="858" w:type="dxa"/>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116 </w:t>
            </w:r>
          </w:p>
        </w:tc>
      </w:tr>
      <w:tr w:rsidR="008C4900" w:rsidRPr="00AC3AF6" w:rsidTr="008C4900">
        <w:trPr>
          <w:trHeight w:val="60"/>
        </w:trPr>
        <w:tc>
          <w:tcPr>
            <w:tcW w:w="5712" w:type="dxa"/>
            <w:tcMar>
              <w:top w:w="85" w:type="dxa"/>
              <w:left w:w="283"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Defined benefits plans</w:t>
            </w:r>
          </w:p>
        </w:tc>
        <w:tc>
          <w:tcPr>
            <w:tcW w:w="857" w:type="dxa"/>
            <w:tcMar>
              <w:top w:w="85" w:type="dxa"/>
              <w:left w:w="113" w:type="dxa"/>
              <w:bottom w:w="85" w:type="dxa"/>
              <w:right w:w="113" w:type="dxa"/>
            </w:tcMar>
            <w:vAlign w:val="bottom"/>
          </w:tcPr>
          <w:p w:rsidR="008C4900" w:rsidRPr="00AC3AF6" w:rsidRDefault="008C4900" w:rsidP="008C4900">
            <w:pPr>
              <w:tabs>
                <w:tab w:val="left" w:pos="2268"/>
              </w:tabs>
              <w:suppressAutoHyphens/>
              <w:autoSpaceDE w:val="0"/>
              <w:autoSpaceDN w:val="0"/>
              <w:adjustRightInd w:val="0"/>
              <w:spacing w:after="113" w:line="220" w:lineRule="atLeast"/>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106 </w:t>
            </w:r>
          </w:p>
        </w:tc>
        <w:tc>
          <w:tcPr>
            <w:tcW w:w="858" w:type="dxa"/>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97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Leave and other entitlements</w:t>
            </w:r>
          </w:p>
        </w:tc>
        <w:tc>
          <w:tcPr>
            <w:tcW w:w="857" w:type="dxa"/>
            <w:tcMar>
              <w:top w:w="85" w:type="dxa"/>
              <w:left w:w="113" w:type="dxa"/>
              <w:bottom w:w="85" w:type="dxa"/>
              <w:right w:w="113" w:type="dxa"/>
            </w:tcMar>
            <w:vAlign w:val="bottom"/>
          </w:tcPr>
          <w:p w:rsidR="008C4900" w:rsidRPr="00AC3AF6" w:rsidRDefault="008C4900" w:rsidP="008C4900">
            <w:pPr>
              <w:tabs>
                <w:tab w:val="left" w:pos="2268"/>
              </w:tabs>
              <w:suppressAutoHyphens/>
              <w:autoSpaceDE w:val="0"/>
              <w:autoSpaceDN w:val="0"/>
              <w:adjustRightInd w:val="0"/>
              <w:spacing w:after="113" w:line="220" w:lineRule="atLeast"/>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136 </w:t>
            </w:r>
          </w:p>
        </w:tc>
        <w:tc>
          <w:tcPr>
            <w:tcW w:w="858" w:type="dxa"/>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301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Voluntary redundancy</w:t>
            </w:r>
          </w:p>
        </w:tc>
        <w:tc>
          <w:tcPr>
            <w:tcW w:w="857" w:type="dxa"/>
            <w:tcMar>
              <w:top w:w="85" w:type="dxa"/>
              <w:left w:w="113" w:type="dxa"/>
              <w:bottom w:w="85" w:type="dxa"/>
              <w:right w:w="113" w:type="dxa"/>
            </w:tcMar>
            <w:vAlign w:val="bottom"/>
          </w:tcPr>
          <w:p w:rsidR="008C4900" w:rsidRPr="00AC3AF6" w:rsidRDefault="008C4900" w:rsidP="008C4900">
            <w:pPr>
              <w:tabs>
                <w:tab w:val="left" w:pos="2268"/>
              </w:tabs>
              <w:suppressAutoHyphens/>
              <w:autoSpaceDE w:val="0"/>
              <w:autoSpaceDN w:val="0"/>
              <w:adjustRightInd w:val="0"/>
              <w:spacing w:after="113" w:line="220" w:lineRule="atLeast"/>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 - </w:t>
            </w:r>
          </w:p>
        </w:tc>
        <w:tc>
          <w:tcPr>
            <w:tcW w:w="858" w:type="dxa"/>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Italic"/>
                <w:iCs/>
                <w:color w:val="000000"/>
                <w:sz w:val="18"/>
                <w:szCs w:val="18"/>
                <w:lang w:val="en-GB"/>
              </w:rPr>
              <w:t xml:space="preserve">566 </w:t>
            </w:r>
          </w:p>
        </w:tc>
      </w:tr>
      <w:tr w:rsidR="008C4900" w:rsidRPr="00AC3AF6" w:rsidTr="00AC3AF6">
        <w:trPr>
          <w:trHeight w:val="60"/>
        </w:trPr>
        <w:tc>
          <w:tcPr>
            <w:tcW w:w="5712" w:type="dxa"/>
            <w:tcMar>
              <w:top w:w="85" w:type="dxa"/>
              <w:left w:w="57"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Other expenses</w:t>
            </w:r>
          </w:p>
        </w:tc>
        <w:tc>
          <w:tcPr>
            <w:tcW w:w="857" w:type="dxa"/>
            <w:tcBorders>
              <w:bottom w:val="single" w:sz="8" w:space="0" w:color="auto"/>
            </w:tcBorders>
            <w:tcMar>
              <w:top w:w="85" w:type="dxa"/>
              <w:left w:w="113" w:type="dxa"/>
              <w:bottom w:w="85" w:type="dxa"/>
              <w:right w:w="113" w:type="dxa"/>
            </w:tcMar>
            <w:vAlign w:val="bottom"/>
          </w:tcPr>
          <w:p w:rsidR="008C4900" w:rsidRPr="00AC3AF6" w:rsidRDefault="008C4900" w:rsidP="008C4900">
            <w:pPr>
              <w:tabs>
                <w:tab w:val="left" w:pos="2268"/>
              </w:tabs>
              <w:suppressAutoHyphens/>
              <w:autoSpaceDE w:val="0"/>
              <w:autoSpaceDN w:val="0"/>
              <w:adjustRightInd w:val="0"/>
              <w:spacing w:after="113" w:line="220" w:lineRule="atLeast"/>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14 </w:t>
            </w:r>
          </w:p>
        </w:tc>
        <w:tc>
          <w:tcPr>
            <w:tcW w:w="858" w:type="dxa"/>
            <w:tcBorders>
              <w:bottom w:val="single" w:sz="8" w:space="0" w:color="auto"/>
            </w:tcBorders>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26 </w:t>
            </w:r>
          </w:p>
        </w:tc>
      </w:tr>
      <w:tr w:rsidR="008C4900" w:rsidRPr="00AC3AF6" w:rsidTr="00AC3AF6">
        <w:trPr>
          <w:trHeight w:val="60"/>
        </w:trPr>
        <w:tc>
          <w:tcPr>
            <w:tcW w:w="5712" w:type="dxa"/>
            <w:tcMar>
              <w:top w:w="85" w:type="dxa"/>
              <w:left w:w="113" w:type="dxa"/>
              <w:bottom w:w="85" w:type="dxa"/>
              <w:right w:w="113" w:type="dxa"/>
            </w:tcMar>
          </w:tcPr>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b/>
                <w:color w:val="000000"/>
                <w:sz w:val="18"/>
                <w:szCs w:val="18"/>
                <w:lang w:val="en-GB"/>
              </w:rPr>
            </w:pPr>
            <w:r w:rsidRPr="00AC3AF6">
              <w:rPr>
                <w:rFonts w:ascii="Calibri" w:hAnsi="Calibri" w:cs="MetaMediumLF-Roman"/>
                <w:b/>
                <w:color w:val="000000"/>
                <w:sz w:val="18"/>
                <w:szCs w:val="18"/>
                <w:lang w:val="en-GB"/>
              </w:rPr>
              <w:t>Total employee benefits</w:t>
            </w:r>
          </w:p>
        </w:tc>
        <w:tc>
          <w:tcPr>
            <w:tcW w:w="857" w:type="dxa"/>
            <w:tcBorders>
              <w:top w:val="single" w:sz="8"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spacing w:line="220" w:lineRule="atLeast"/>
              <w:jc w:val="right"/>
              <w:textAlignment w:val="center"/>
              <w:rPr>
                <w:rFonts w:ascii="Calibri" w:hAnsi="Calibri" w:cs="MetaNormalLF-Roman"/>
                <w:b/>
                <w:color w:val="000000"/>
                <w:sz w:val="18"/>
                <w:szCs w:val="18"/>
                <w:lang w:val="en-GB"/>
              </w:rPr>
            </w:pPr>
            <w:r w:rsidRPr="00AC3AF6">
              <w:rPr>
                <w:rFonts w:ascii="Calibri" w:hAnsi="Calibri" w:cs="MetaMediumLF-Roman"/>
                <w:b/>
                <w:color w:val="000000"/>
                <w:sz w:val="18"/>
                <w:szCs w:val="18"/>
                <w:lang w:val="en-GB"/>
              </w:rPr>
              <w:t xml:space="preserve">1,517 </w:t>
            </w:r>
          </w:p>
        </w:tc>
        <w:tc>
          <w:tcPr>
            <w:tcW w:w="858" w:type="dxa"/>
            <w:tcBorders>
              <w:top w:val="single" w:sz="8"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spacing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2,339 </w:t>
            </w:r>
          </w:p>
        </w:tc>
      </w:tr>
    </w:tbl>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Italic"/>
          <w:i/>
          <w:iCs/>
          <w:color w:val="000000"/>
          <w:sz w:val="18"/>
          <w:szCs w:val="18"/>
          <w:lang w:val="en-GB"/>
        </w:rPr>
      </w:pPr>
    </w:p>
    <w:p w:rsidR="00AC3AF6" w:rsidRDefault="00AC3AF6">
      <w:pPr>
        <w:rPr>
          <w:rFonts w:ascii="Calibri" w:hAnsi="Calibri" w:cs="Gotham Book"/>
          <w:caps/>
          <w:color w:val="00B6E8"/>
          <w:sz w:val="16"/>
          <w:szCs w:val="16"/>
          <w:lang w:val="en-GB"/>
        </w:rPr>
      </w:pPr>
      <w:r>
        <w:rPr>
          <w:rFonts w:ascii="Calibri" w:hAnsi="Calibri" w:cs="Gotham Book"/>
          <w:caps/>
          <w:color w:val="00B6E8"/>
          <w:sz w:val="16"/>
          <w:szCs w:val="16"/>
          <w:lang w:val="en-GB"/>
        </w:rPr>
        <w:br w:type="page"/>
      </w:r>
    </w:p>
    <w:p w:rsidR="008C4900" w:rsidRPr="00AC3AF6" w:rsidRDefault="008C4900" w:rsidP="008C4900">
      <w:pPr>
        <w:keepNext/>
        <w:tabs>
          <w:tab w:val="left" w:pos="1418"/>
        </w:tabs>
        <w:suppressAutoHyphens/>
        <w:autoSpaceDE w:val="0"/>
        <w:autoSpaceDN w:val="0"/>
        <w:adjustRightInd w:val="0"/>
        <w:spacing w:before="283" w:after="170" w:line="200" w:lineRule="atLeast"/>
        <w:textAlignment w:val="center"/>
        <w:rPr>
          <w:rFonts w:ascii="Calibri" w:hAnsi="Calibri" w:cs="Gotham Book"/>
          <w:caps/>
          <w:color w:val="00B6E8"/>
          <w:sz w:val="16"/>
          <w:szCs w:val="16"/>
          <w:lang w:val="en-GB"/>
        </w:rPr>
      </w:pPr>
      <w:r w:rsidRPr="00AC3AF6">
        <w:rPr>
          <w:rFonts w:ascii="Calibri" w:hAnsi="Calibri" w:cs="Gotham Book"/>
          <w:caps/>
          <w:color w:val="00B6E8"/>
          <w:sz w:val="16"/>
          <w:szCs w:val="16"/>
          <w:lang w:val="en-GB"/>
        </w:rPr>
        <w:t>Note 3B: suppliers</w:t>
      </w:r>
    </w:p>
    <w:tbl>
      <w:tblPr>
        <w:tblW w:w="0" w:type="auto"/>
        <w:tblInd w:w="-8" w:type="dxa"/>
        <w:tblLayout w:type="fixed"/>
        <w:tblCellMar>
          <w:left w:w="0" w:type="dxa"/>
          <w:right w:w="0" w:type="dxa"/>
        </w:tblCellMar>
        <w:tblLook w:val="0000" w:firstRow="0" w:lastRow="0" w:firstColumn="0" w:lastColumn="0" w:noHBand="0" w:noVBand="0"/>
      </w:tblPr>
      <w:tblGrid>
        <w:gridCol w:w="5712"/>
        <w:gridCol w:w="857"/>
        <w:gridCol w:w="858"/>
      </w:tblGrid>
      <w:tr w:rsidR="008C4900" w:rsidRPr="00AC3AF6" w:rsidTr="008C4900">
        <w:trPr>
          <w:trHeight w:val="60"/>
          <w:tblHeader/>
        </w:trPr>
        <w:tc>
          <w:tcPr>
            <w:tcW w:w="5712" w:type="dxa"/>
            <w:shd w:val="solid" w:color="00B6E8" w:fill="auto"/>
            <w:tcMar>
              <w:top w:w="57" w:type="dxa"/>
              <w:left w:w="113" w:type="dxa"/>
              <w:bottom w:w="57" w:type="dxa"/>
              <w:right w:w="113"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2018</w:t>
            </w:r>
          </w:p>
        </w:tc>
        <w:tc>
          <w:tcPr>
            <w:tcW w:w="858"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2017</w:t>
            </w:r>
          </w:p>
        </w:tc>
      </w:tr>
      <w:tr w:rsidR="008C4900" w:rsidRPr="00AC3AF6" w:rsidTr="008C4900">
        <w:trPr>
          <w:trHeight w:val="60"/>
          <w:tblHeader/>
        </w:trPr>
        <w:tc>
          <w:tcPr>
            <w:tcW w:w="5712" w:type="dxa"/>
            <w:shd w:val="solid" w:color="00B6E8" w:fill="auto"/>
            <w:tcMar>
              <w:top w:w="57" w:type="dxa"/>
              <w:left w:w="57" w:type="dxa"/>
              <w:bottom w:w="57" w:type="dxa"/>
              <w:right w:w="57"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c>
          <w:tcPr>
            <w:tcW w:w="858"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Goods and services supplied or rendered</w:t>
            </w:r>
          </w:p>
        </w:tc>
        <w:tc>
          <w:tcPr>
            <w:tcW w:w="857" w:type="dxa"/>
            <w:tcMar>
              <w:top w:w="85" w:type="dxa"/>
              <w:left w:w="113" w:type="dxa"/>
              <w:bottom w:w="85" w:type="dxa"/>
              <w:right w:w="113" w:type="dxa"/>
            </w:tcMar>
            <w:vAlign w:val="bottom"/>
          </w:tcPr>
          <w:p w:rsidR="008C4900" w:rsidRPr="00AC3AF6" w:rsidRDefault="008C4900" w:rsidP="00AC3AF6">
            <w:pPr>
              <w:autoSpaceDE w:val="0"/>
              <w:autoSpaceDN w:val="0"/>
              <w:adjustRightInd w:val="0"/>
              <w:rPr>
                <w:rFonts w:ascii="Calibri" w:hAnsi="Calibri"/>
                <w:lang w:val="en-US"/>
              </w:rPr>
            </w:pPr>
          </w:p>
        </w:tc>
        <w:tc>
          <w:tcPr>
            <w:tcW w:w="858" w:type="dxa"/>
            <w:tcMar>
              <w:top w:w="85" w:type="dxa"/>
              <w:left w:w="57" w:type="dxa"/>
              <w:bottom w:w="85" w:type="dxa"/>
              <w:right w:w="57" w:type="dxa"/>
            </w:tcMar>
            <w:vAlign w:val="bottom"/>
          </w:tcPr>
          <w:p w:rsidR="008C4900" w:rsidRPr="00AC3AF6" w:rsidRDefault="008C4900" w:rsidP="00AC3AF6">
            <w:pPr>
              <w:autoSpaceDE w:val="0"/>
              <w:autoSpaceDN w:val="0"/>
              <w:adjustRightInd w:val="0"/>
              <w:rPr>
                <w:rFonts w:ascii="Calibri" w:hAnsi="Calibri"/>
                <w:lang w:val="en-US"/>
              </w:rPr>
            </w:pP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Consultants</w:t>
            </w:r>
          </w:p>
        </w:tc>
        <w:tc>
          <w:tcPr>
            <w:tcW w:w="857" w:type="dxa"/>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50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212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Contractors</w:t>
            </w:r>
          </w:p>
        </w:tc>
        <w:tc>
          <w:tcPr>
            <w:tcW w:w="857" w:type="dxa"/>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 -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3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Audit services (received free of charge)</w:t>
            </w:r>
          </w:p>
        </w:tc>
        <w:tc>
          <w:tcPr>
            <w:tcW w:w="857" w:type="dxa"/>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60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62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Travel</w:t>
            </w:r>
          </w:p>
        </w:tc>
        <w:tc>
          <w:tcPr>
            <w:tcW w:w="857" w:type="dxa"/>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37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62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Administrative services under MoU</w:t>
            </w:r>
          </w:p>
        </w:tc>
        <w:tc>
          <w:tcPr>
            <w:tcW w:w="857" w:type="dxa"/>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103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197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Staffing &amp; recruitment expenses</w:t>
            </w:r>
          </w:p>
        </w:tc>
        <w:tc>
          <w:tcPr>
            <w:tcW w:w="857" w:type="dxa"/>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16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20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Property and related expenses</w:t>
            </w:r>
          </w:p>
        </w:tc>
        <w:tc>
          <w:tcPr>
            <w:tcW w:w="857" w:type="dxa"/>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115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13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Sitting fees</w:t>
            </w:r>
          </w:p>
        </w:tc>
        <w:tc>
          <w:tcPr>
            <w:tcW w:w="857" w:type="dxa"/>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16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52 </w:t>
            </w: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Subscriptions</w:t>
            </w:r>
          </w:p>
        </w:tc>
        <w:tc>
          <w:tcPr>
            <w:tcW w:w="857" w:type="dxa"/>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1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23 </w:t>
            </w:r>
          </w:p>
        </w:tc>
      </w:tr>
      <w:tr w:rsidR="008C4900" w:rsidRPr="00AC3AF6" w:rsidTr="00AC3AF6">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Other</w:t>
            </w:r>
          </w:p>
        </w:tc>
        <w:tc>
          <w:tcPr>
            <w:tcW w:w="857" w:type="dxa"/>
            <w:tcBorders>
              <w:bottom w:val="single" w:sz="4" w:space="0" w:color="auto"/>
            </w:tcBorders>
            <w:tcMar>
              <w:top w:w="85" w:type="dxa"/>
              <w:left w:w="113" w:type="dxa"/>
              <w:bottom w:w="85"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47 </w:t>
            </w:r>
          </w:p>
        </w:tc>
        <w:tc>
          <w:tcPr>
            <w:tcW w:w="858" w:type="dxa"/>
            <w:tcBorders>
              <w:bottom w:val="sing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24 </w:t>
            </w:r>
          </w:p>
        </w:tc>
      </w:tr>
      <w:tr w:rsidR="008C4900" w:rsidRPr="00AC3AF6" w:rsidTr="00AC3AF6">
        <w:trPr>
          <w:trHeight w:val="60"/>
        </w:trPr>
        <w:tc>
          <w:tcPr>
            <w:tcW w:w="5712" w:type="dxa"/>
            <w:tcMar>
              <w:top w:w="85" w:type="dxa"/>
              <w:left w:w="113" w:type="dxa"/>
              <w:bottom w:w="85" w:type="dxa"/>
              <w:right w:w="113"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Total goods and services supplied or rendered</w:t>
            </w:r>
          </w:p>
        </w:tc>
        <w:tc>
          <w:tcPr>
            <w:tcW w:w="857"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b/>
                <w:color w:val="000000"/>
                <w:sz w:val="18"/>
                <w:szCs w:val="18"/>
                <w:lang w:val="en-GB"/>
              </w:rPr>
            </w:pPr>
            <w:r w:rsidRPr="00AC3AF6">
              <w:rPr>
                <w:rFonts w:ascii="Calibri" w:hAnsi="Calibri" w:cs="MetaMediumLF-Roman"/>
                <w:b/>
                <w:color w:val="000000"/>
                <w:sz w:val="18"/>
                <w:szCs w:val="18"/>
                <w:lang w:val="en-GB"/>
              </w:rPr>
              <w:t xml:space="preserve">445 </w:t>
            </w:r>
          </w:p>
        </w:tc>
        <w:tc>
          <w:tcPr>
            <w:tcW w:w="858"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668 </w:t>
            </w:r>
          </w:p>
        </w:tc>
      </w:tr>
      <w:tr w:rsidR="008C4900" w:rsidRPr="00AC3AF6" w:rsidTr="00AC3AF6">
        <w:trPr>
          <w:trHeight w:val="60"/>
        </w:trPr>
        <w:tc>
          <w:tcPr>
            <w:tcW w:w="5712" w:type="dxa"/>
            <w:tcMar>
              <w:top w:w="85" w:type="dxa"/>
              <w:left w:w="57" w:type="dxa"/>
              <w:bottom w:w="85" w:type="dxa"/>
              <w:right w:w="57" w:type="dxa"/>
            </w:tcMar>
          </w:tcPr>
          <w:p w:rsidR="008C4900" w:rsidRPr="00AC3AF6" w:rsidRDefault="008C4900" w:rsidP="00AC3AF6">
            <w:pPr>
              <w:autoSpaceDE w:val="0"/>
              <w:autoSpaceDN w:val="0"/>
              <w:adjustRightInd w:val="0"/>
              <w:rPr>
                <w:rFonts w:ascii="Calibri" w:hAnsi="Calibri"/>
                <w:lang w:val="en-US"/>
              </w:rPr>
            </w:pPr>
          </w:p>
        </w:tc>
        <w:tc>
          <w:tcPr>
            <w:tcW w:w="857" w:type="dxa"/>
            <w:tcBorders>
              <w:top w:val="double" w:sz="4" w:space="0" w:color="auto"/>
            </w:tcBorders>
            <w:tcMar>
              <w:top w:w="85" w:type="dxa"/>
              <w:left w:w="113" w:type="dxa"/>
              <w:bottom w:w="85" w:type="dxa"/>
              <w:right w:w="113" w:type="dxa"/>
            </w:tcMar>
            <w:vAlign w:val="bottom"/>
          </w:tcPr>
          <w:p w:rsidR="008C4900" w:rsidRPr="00AC3AF6" w:rsidRDefault="008C4900" w:rsidP="00AC3AF6">
            <w:pPr>
              <w:autoSpaceDE w:val="0"/>
              <w:autoSpaceDN w:val="0"/>
              <w:adjustRightInd w:val="0"/>
              <w:rPr>
                <w:rFonts w:ascii="Calibri" w:hAnsi="Calibri"/>
                <w:lang w:val="en-US"/>
              </w:rPr>
            </w:pPr>
          </w:p>
        </w:tc>
        <w:tc>
          <w:tcPr>
            <w:tcW w:w="858" w:type="dxa"/>
            <w:tcBorders>
              <w:top w:val="double" w:sz="4" w:space="0" w:color="auto"/>
            </w:tcBorders>
            <w:tcMar>
              <w:top w:w="85" w:type="dxa"/>
              <w:left w:w="57" w:type="dxa"/>
              <w:bottom w:w="85" w:type="dxa"/>
              <w:right w:w="57" w:type="dxa"/>
            </w:tcMar>
            <w:vAlign w:val="bottom"/>
          </w:tcPr>
          <w:p w:rsidR="008C4900" w:rsidRPr="00AC3AF6" w:rsidRDefault="008C4900" w:rsidP="00AC3AF6">
            <w:pPr>
              <w:autoSpaceDE w:val="0"/>
              <w:autoSpaceDN w:val="0"/>
              <w:adjustRightInd w:val="0"/>
              <w:rPr>
                <w:rFonts w:ascii="Calibri" w:hAnsi="Calibri"/>
                <w:lang w:val="en-US"/>
              </w:rPr>
            </w:pP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Goods supplied</w:t>
            </w:r>
          </w:p>
        </w:tc>
        <w:tc>
          <w:tcPr>
            <w:tcW w:w="857"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14</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31</w:t>
            </w:r>
          </w:p>
        </w:tc>
      </w:tr>
      <w:tr w:rsidR="008C4900" w:rsidRPr="00AC3AF6" w:rsidTr="00AC3AF6">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Services rendered</w:t>
            </w:r>
          </w:p>
        </w:tc>
        <w:tc>
          <w:tcPr>
            <w:tcW w:w="857" w:type="dxa"/>
            <w:tcBorders>
              <w:bottom w:val="sing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431</w:t>
            </w:r>
          </w:p>
        </w:tc>
        <w:tc>
          <w:tcPr>
            <w:tcW w:w="858" w:type="dxa"/>
            <w:tcBorders>
              <w:bottom w:val="sing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637</w:t>
            </w:r>
          </w:p>
        </w:tc>
      </w:tr>
      <w:tr w:rsidR="008C4900" w:rsidRPr="00AC3AF6" w:rsidTr="00AC3AF6">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b/>
                <w:color w:val="000000"/>
                <w:sz w:val="18"/>
                <w:szCs w:val="18"/>
                <w:lang w:val="en-GB"/>
              </w:rPr>
            </w:pPr>
            <w:r w:rsidRPr="00AC3AF6">
              <w:rPr>
                <w:rFonts w:ascii="Calibri" w:hAnsi="Calibri" w:cs="MetaMediumLF-Roman"/>
                <w:b/>
                <w:color w:val="000000"/>
                <w:sz w:val="18"/>
                <w:szCs w:val="18"/>
                <w:lang w:val="en-GB"/>
              </w:rPr>
              <w:t>Total goods and services supplied or rendered</w:t>
            </w:r>
          </w:p>
        </w:tc>
        <w:tc>
          <w:tcPr>
            <w:tcW w:w="857"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b/>
                <w:color w:val="000000"/>
                <w:sz w:val="18"/>
                <w:szCs w:val="18"/>
                <w:lang w:val="en-GB"/>
              </w:rPr>
            </w:pPr>
            <w:r w:rsidRPr="00AC3AF6">
              <w:rPr>
                <w:rFonts w:ascii="Calibri" w:hAnsi="Calibri" w:cs="MetaMediumLF-Roman"/>
                <w:b/>
                <w:color w:val="000000"/>
                <w:sz w:val="18"/>
                <w:szCs w:val="18"/>
                <w:lang w:val="en-GB"/>
              </w:rPr>
              <w:t>445</w:t>
            </w:r>
          </w:p>
        </w:tc>
        <w:tc>
          <w:tcPr>
            <w:tcW w:w="858"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668</w:t>
            </w:r>
          </w:p>
        </w:tc>
      </w:tr>
      <w:tr w:rsidR="008C4900" w:rsidRPr="00AC3AF6" w:rsidTr="00AC3AF6">
        <w:trPr>
          <w:trHeight w:val="60"/>
        </w:trPr>
        <w:tc>
          <w:tcPr>
            <w:tcW w:w="5712" w:type="dxa"/>
            <w:tcMar>
              <w:top w:w="85" w:type="dxa"/>
              <w:left w:w="57" w:type="dxa"/>
              <w:bottom w:w="85" w:type="dxa"/>
              <w:right w:w="57" w:type="dxa"/>
            </w:tcMar>
          </w:tcPr>
          <w:p w:rsidR="008C4900" w:rsidRPr="00AC3AF6" w:rsidRDefault="008C4900" w:rsidP="00AC3AF6">
            <w:pPr>
              <w:autoSpaceDE w:val="0"/>
              <w:autoSpaceDN w:val="0"/>
              <w:adjustRightInd w:val="0"/>
              <w:rPr>
                <w:rFonts w:ascii="Calibri" w:hAnsi="Calibri"/>
                <w:lang w:val="en-US"/>
              </w:rPr>
            </w:pPr>
          </w:p>
        </w:tc>
        <w:tc>
          <w:tcPr>
            <w:tcW w:w="857" w:type="dxa"/>
            <w:tcBorders>
              <w:top w:val="double" w:sz="4" w:space="0" w:color="auto"/>
            </w:tcBorders>
            <w:tcMar>
              <w:top w:w="113" w:type="dxa"/>
              <w:left w:w="113" w:type="dxa"/>
              <w:bottom w:w="113" w:type="dxa"/>
              <w:right w:w="113" w:type="dxa"/>
            </w:tcMar>
            <w:vAlign w:val="bottom"/>
          </w:tcPr>
          <w:p w:rsidR="008C4900" w:rsidRPr="00AC3AF6" w:rsidRDefault="008C4900" w:rsidP="00AC3AF6">
            <w:pPr>
              <w:autoSpaceDE w:val="0"/>
              <w:autoSpaceDN w:val="0"/>
              <w:adjustRightInd w:val="0"/>
              <w:rPr>
                <w:rFonts w:ascii="Calibri" w:hAnsi="Calibri"/>
                <w:lang w:val="en-US"/>
              </w:rPr>
            </w:pPr>
          </w:p>
        </w:tc>
        <w:tc>
          <w:tcPr>
            <w:tcW w:w="858" w:type="dxa"/>
            <w:tcBorders>
              <w:top w:val="double" w:sz="4" w:space="0" w:color="auto"/>
            </w:tcBorders>
            <w:tcMar>
              <w:top w:w="85" w:type="dxa"/>
              <w:left w:w="57" w:type="dxa"/>
              <w:bottom w:w="85" w:type="dxa"/>
              <w:right w:w="57" w:type="dxa"/>
            </w:tcMar>
            <w:vAlign w:val="bottom"/>
          </w:tcPr>
          <w:p w:rsidR="008C4900" w:rsidRPr="00AC3AF6" w:rsidRDefault="008C4900" w:rsidP="00AC3AF6">
            <w:pPr>
              <w:autoSpaceDE w:val="0"/>
              <w:autoSpaceDN w:val="0"/>
              <w:adjustRightInd w:val="0"/>
              <w:rPr>
                <w:rFonts w:ascii="Calibri" w:hAnsi="Calibri"/>
                <w:lang w:val="en-US"/>
              </w:rPr>
            </w:pPr>
          </w:p>
        </w:tc>
      </w:tr>
      <w:tr w:rsidR="008C4900" w:rsidRPr="00AC3AF6" w:rsidTr="008C4900">
        <w:trPr>
          <w:trHeight w:val="60"/>
        </w:trPr>
        <w:tc>
          <w:tcPr>
            <w:tcW w:w="5712" w:type="dxa"/>
            <w:tcMar>
              <w:top w:w="85" w:type="dxa"/>
              <w:left w:w="0"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 Other supplier expenses</w:t>
            </w:r>
          </w:p>
        </w:tc>
        <w:tc>
          <w:tcPr>
            <w:tcW w:w="857" w:type="dxa"/>
            <w:tcMar>
              <w:top w:w="113" w:type="dxa"/>
              <w:left w:w="113" w:type="dxa"/>
              <w:bottom w:w="113" w:type="dxa"/>
              <w:right w:w="113" w:type="dxa"/>
            </w:tcMar>
            <w:vAlign w:val="bottom"/>
          </w:tcPr>
          <w:p w:rsidR="008C4900" w:rsidRPr="00AC3AF6" w:rsidRDefault="008C4900" w:rsidP="00AC3AF6">
            <w:pPr>
              <w:autoSpaceDE w:val="0"/>
              <w:autoSpaceDN w:val="0"/>
              <w:adjustRightInd w:val="0"/>
              <w:rPr>
                <w:rFonts w:ascii="Calibri" w:hAnsi="Calibri"/>
                <w:lang w:val="en-US"/>
              </w:rPr>
            </w:pPr>
          </w:p>
        </w:tc>
        <w:tc>
          <w:tcPr>
            <w:tcW w:w="858" w:type="dxa"/>
            <w:tcMar>
              <w:top w:w="85" w:type="dxa"/>
              <w:left w:w="57" w:type="dxa"/>
              <w:bottom w:w="85" w:type="dxa"/>
              <w:right w:w="57" w:type="dxa"/>
            </w:tcMar>
            <w:vAlign w:val="bottom"/>
          </w:tcPr>
          <w:p w:rsidR="008C4900" w:rsidRPr="00AC3AF6" w:rsidRDefault="008C4900" w:rsidP="00AC3AF6">
            <w:pPr>
              <w:autoSpaceDE w:val="0"/>
              <w:autoSpaceDN w:val="0"/>
              <w:adjustRightInd w:val="0"/>
              <w:rPr>
                <w:rFonts w:ascii="Calibri" w:hAnsi="Calibri"/>
                <w:lang w:val="en-US"/>
              </w:rPr>
            </w:pPr>
          </w:p>
        </w:tc>
      </w:tr>
      <w:tr w:rsidR="008C4900" w:rsidRPr="00AC3AF6" w:rsidTr="008C4900">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Operating lease rentals – external parties:</w:t>
            </w:r>
          </w:p>
        </w:tc>
        <w:tc>
          <w:tcPr>
            <w:tcW w:w="857" w:type="dxa"/>
            <w:tcMar>
              <w:top w:w="113" w:type="dxa"/>
              <w:left w:w="113" w:type="dxa"/>
              <w:bottom w:w="113" w:type="dxa"/>
              <w:right w:w="113" w:type="dxa"/>
            </w:tcMar>
            <w:vAlign w:val="bottom"/>
          </w:tcPr>
          <w:p w:rsidR="008C4900" w:rsidRPr="00AC3AF6" w:rsidRDefault="008C4900" w:rsidP="00AC3AF6">
            <w:pPr>
              <w:autoSpaceDE w:val="0"/>
              <w:autoSpaceDN w:val="0"/>
              <w:adjustRightInd w:val="0"/>
              <w:rPr>
                <w:rFonts w:ascii="Calibri" w:hAnsi="Calibri"/>
                <w:lang w:val="en-US"/>
              </w:rPr>
            </w:pPr>
          </w:p>
        </w:tc>
        <w:tc>
          <w:tcPr>
            <w:tcW w:w="858" w:type="dxa"/>
            <w:tcMar>
              <w:top w:w="85" w:type="dxa"/>
              <w:left w:w="57" w:type="dxa"/>
              <w:bottom w:w="85" w:type="dxa"/>
              <w:right w:w="57" w:type="dxa"/>
            </w:tcMar>
            <w:vAlign w:val="bottom"/>
          </w:tcPr>
          <w:p w:rsidR="008C4900" w:rsidRPr="00AC3AF6" w:rsidRDefault="008C4900" w:rsidP="00AC3AF6">
            <w:pPr>
              <w:autoSpaceDE w:val="0"/>
              <w:autoSpaceDN w:val="0"/>
              <w:adjustRightInd w:val="0"/>
              <w:rPr>
                <w:rFonts w:ascii="Calibri" w:hAnsi="Calibri"/>
                <w:lang w:val="en-US"/>
              </w:rPr>
            </w:pPr>
          </w:p>
        </w:tc>
      </w:tr>
      <w:tr w:rsidR="008C4900" w:rsidRPr="00AC3AF6" w:rsidTr="008C4900">
        <w:trPr>
          <w:trHeight w:val="60"/>
        </w:trPr>
        <w:tc>
          <w:tcPr>
            <w:tcW w:w="5712" w:type="dxa"/>
            <w:tcMar>
              <w:top w:w="85" w:type="dxa"/>
              <w:left w:w="283"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Minimum lease payments</w:t>
            </w:r>
          </w:p>
        </w:tc>
        <w:tc>
          <w:tcPr>
            <w:tcW w:w="857" w:type="dxa"/>
            <w:tcMar>
              <w:top w:w="113" w:type="dxa"/>
              <w:left w:w="113" w:type="dxa"/>
              <w:bottom w:w="113"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 - </w:t>
            </w:r>
          </w:p>
        </w:tc>
        <w:tc>
          <w:tcPr>
            <w:tcW w:w="858" w:type="dxa"/>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159 </w:t>
            </w:r>
          </w:p>
        </w:tc>
      </w:tr>
      <w:tr w:rsidR="008C4900" w:rsidRPr="00AC3AF6" w:rsidTr="00AC3AF6">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Workers compensation premiums</w:t>
            </w:r>
          </w:p>
        </w:tc>
        <w:tc>
          <w:tcPr>
            <w:tcW w:w="857" w:type="dxa"/>
            <w:tcBorders>
              <w:bottom w:val="single" w:sz="4" w:space="0" w:color="auto"/>
            </w:tcBorders>
            <w:tcMar>
              <w:top w:w="113" w:type="dxa"/>
              <w:left w:w="113" w:type="dxa"/>
              <w:bottom w:w="113"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11 </w:t>
            </w:r>
          </w:p>
        </w:tc>
        <w:tc>
          <w:tcPr>
            <w:tcW w:w="858" w:type="dxa"/>
            <w:tcBorders>
              <w:bottom w:val="sing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14 </w:t>
            </w:r>
          </w:p>
        </w:tc>
      </w:tr>
      <w:tr w:rsidR="008C4900" w:rsidRPr="00AC3AF6" w:rsidTr="00AC3AF6">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Total other suppliers expenses</w:t>
            </w:r>
          </w:p>
        </w:tc>
        <w:tc>
          <w:tcPr>
            <w:tcW w:w="857" w:type="dxa"/>
            <w:tcBorders>
              <w:top w:val="single" w:sz="4" w:space="0" w:color="auto"/>
              <w:bottom w:val="single" w:sz="4" w:space="0" w:color="auto"/>
            </w:tcBorders>
            <w:tcMar>
              <w:top w:w="113" w:type="dxa"/>
              <w:left w:w="113" w:type="dxa"/>
              <w:bottom w:w="113"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 xml:space="preserve">11 </w:t>
            </w:r>
          </w:p>
        </w:tc>
        <w:tc>
          <w:tcPr>
            <w:tcW w:w="858" w:type="dxa"/>
            <w:tcBorders>
              <w:top w:val="single" w:sz="4" w:space="0" w:color="auto"/>
              <w:bottom w:val="sing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173 </w:t>
            </w:r>
          </w:p>
        </w:tc>
      </w:tr>
      <w:tr w:rsidR="008C4900" w:rsidRPr="00AC3AF6" w:rsidTr="00AC3AF6">
        <w:trPr>
          <w:trHeight w:val="60"/>
        </w:trPr>
        <w:tc>
          <w:tcPr>
            <w:tcW w:w="5712" w:type="dxa"/>
            <w:tcMar>
              <w:top w:w="85" w:type="dxa"/>
              <w:left w:w="57"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Total suppliers</w:t>
            </w:r>
          </w:p>
        </w:tc>
        <w:tc>
          <w:tcPr>
            <w:tcW w:w="857" w:type="dxa"/>
            <w:tcBorders>
              <w:top w:val="single" w:sz="4" w:space="0" w:color="auto"/>
              <w:bottom w:val="double" w:sz="4" w:space="0" w:color="auto"/>
            </w:tcBorders>
            <w:tcMar>
              <w:top w:w="113" w:type="dxa"/>
              <w:left w:w="113" w:type="dxa"/>
              <w:bottom w:w="113"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 xml:space="preserve">456 </w:t>
            </w:r>
          </w:p>
        </w:tc>
        <w:tc>
          <w:tcPr>
            <w:tcW w:w="858"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841 </w:t>
            </w:r>
          </w:p>
        </w:tc>
      </w:tr>
    </w:tbl>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Gotham Black"/>
          <w:caps/>
          <w:color w:val="00B6E8"/>
          <w:sz w:val="22"/>
          <w:szCs w:val="22"/>
          <w:lang w:val="en-GB"/>
        </w:rPr>
      </w:pPr>
    </w:p>
    <w:p w:rsidR="00AC3AF6" w:rsidRDefault="00AC3AF6">
      <w:pPr>
        <w:rPr>
          <w:rFonts w:ascii="Calibri" w:hAnsi="Calibri" w:cs="Gotham Bold"/>
          <w:caps/>
          <w:color w:val="00B6E8"/>
          <w:sz w:val="22"/>
          <w:szCs w:val="22"/>
          <w:lang w:val="en-GB"/>
        </w:rPr>
      </w:pPr>
      <w:r>
        <w:rPr>
          <w:rFonts w:ascii="Calibri" w:hAnsi="Calibri" w:cs="Gotham Bold"/>
          <w:caps/>
          <w:color w:val="00B6E8"/>
          <w:sz w:val="22"/>
          <w:szCs w:val="22"/>
          <w:lang w:val="en-GB"/>
        </w:rPr>
        <w:br w:type="page"/>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caps/>
          <w:color w:val="00B6E8"/>
          <w:sz w:val="22"/>
          <w:szCs w:val="22"/>
          <w:lang w:val="en-GB"/>
        </w:rPr>
      </w:pPr>
      <w:r w:rsidRPr="00AC3AF6">
        <w:rPr>
          <w:rFonts w:ascii="Calibri" w:hAnsi="Calibri" w:cs="Gotham Bold"/>
          <w:caps/>
          <w:color w:val="00B6E8"/>
          <w:sz w:val="22"/>
          <w:szCs w:val="22"/>
          <w:lang w:val="en-GB"/>
        </w:rPr>
        <w:t>Note 4: other revenue</w:t>
      </w:r>
    </w:p>
    <w:tbl>
      <w:tblPr>
        <w:tblW w:w="0" w:type="auto"/>
        <w:tblInd w:w="-8" w:type="dxa"/>
        <w:tblLayout w:type="fixed"/>
        <w:tblCellMar>
          <w:left w:w="0" w:type="dxa"/>
          <w:right w:w="0" w:type="dxa"/>
        </w:tblCellMar>
        <w:tblLook w:val="0000" w:firstRow="0" w:lastRow="0" w:firstColumn="0" w:lastColumn="0" w:noHBand="0" w:noVBand="0"/>
      </w:tblPr>
      <w:tblGrid>
        <w:gridCol w:w="5712"/>
        <w:gridCol w:w="857"/>
        <w:gridCol w:w="858"/>
      </w:tblGrid>
      <w:tr w:rsidR="008C4900" w:rsidRPr="00AC3AF6" w:rsidTr="008C4900">
        <w:trPr>
          <w:trHeight w:val="60"/>
          <w:tblHeader/>
        </w:trPr>
        <w:tc>
          <w:tcPr>
            <w:tcW w:w="5712" w:type="dxa"/>
            <w:shd w:val="solid" w:color="00B6E8" w:fill="auto"/>
            <w:tcMar>
              <w:top w:w="57" w:type="dxa"/>
              <w:left w:w="113" w:type="dxa"/>
              <w:bottom w:w="57" w:type="dxa"/>
              <w:right w:w="113"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2018</w:t>
            </w:r>
          </w:p>
        </w:tc>
        <w:tc>
          <w:tcPr>
            <w:tcW w:w="858"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2017</w:t>
            </w:r>
          </w:p>
        </w:tc>
      </w:tr>
      <w:tr w:rsidR="008C4900" w:rsidRPr="00AC3AF6" w:rsidTr="008C4900">
        <w:trPr>
          <w:trHeight w:val="60"/>
          <w:tblHeader/>
        </w:trPr>
        <w:tc>
          <w:tcPr>
            <w:tcW w:w="5712" w:type="dxa"/>
            <w:shd w:val="solid" w:color="00B6E8" w:fill="auto"/>
            <w:tcMar>
              <w:top w:w="57" w:type="dxa"/>
              <w:left w:w="57" w:type="dxa"/>
              <w:bottom w:w="57" w:type="dxa"/>
              <w:right w:w="57"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c>
          <w:tcPr>
            <w:tcW w:w="858"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r>
      <w:tr w:rsidR="008C4900" w:rsidRPr="00AC3AF6" w:rsidTr="008C4900">
        <w:trPr>
          <w:trHeight w:val="60"/>
        </w:trPr>
        <w:tc>
          <w:tcPr>
            <w:tcW w:w="5712" w:type="dxa"/>
            <w:tcMar>
              <w:top w:w="85" w:type="dxa"/>
              <w:left w:w="283"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Payments from Portfolio Department</w:t>
            </w:r>
          </w:p>
        </w:tc>
        <w:tc>
          <w:tcPr>
            <w:tcW w:w="857" w:type="dxa"/>
            <w:tcMar>
              <w:top w:w="113" w:type="dxa"/>
              <w:left w:w="113" w:type="dxa"/>
              <w:bottom w:w="113" w:type="dxa"/>
              <w:right w:w="113"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1,566 </w:t>
            </w:r>
          </w:p>
        </w:tc>
        <w:tc>
          <w:tcPr>
            <w:tcW w:w="858" w:type="dxa"/>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661 </w:t>
            </w:r>
          </w:p>
        </w:tc>
      </w:tr>
      <w:tr w:rsidR="008C4900" w:rsidRPr="00AC3AF6" w:rsidTr="00AC3AF6">
        <w:trPr>
          <w:trHeight w:val="60"/>
        </w:trPr>
        <w:tc>
          <w:tcPr>
            <w:tcW w:w="5712" w:type="dxa"/>
            <w:tcMar>
              <w:top w:w="85" w:type="dxa"/>
              <w:left w:w="283"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Fringe Benefits Tax Refund</w:t>
            </w:r>
          </w:p>
        </w:tc>
        <w:tc>
          <w:tcPr>
            <w:tcW w:w="857" w:type="dxa"/>
            <w:tcBorders>
              <w:bottom w:val="single" w:sz="4" w:space="0" w:color="auto"/>
            </w:tcBorders>
            <w:tcMar>
              <w:top w:w="113" w:type="dxa"/>
              <w:left w:w="113" w:type="dxa"/>
              <w:bottom w:w="113" w:type="dxa"/>
              <w:right w:w="113"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3 </w:t>
            </w:r>
          </w:p>
        </w:tc>
        <w:tc>
          <w:tcPr>
            <w:tcW w:w="858" w:type="dxa"/>
            <w:tcBorders>
              <w:bottom w:val="single" w:sz="4" w:space="0" w:color="auto"/>
            </w:tcBorders>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 - </w:t>
            </w:r>
          </w:p>
        </w:tc>
      </w:tr>
      <w:tr w:rsidR="008C4900" w:rsidRPr="00AC3AF6" w:rsidTr="00AC3AF6">
        <w:trPr>
          <w:trHeight w:val="60"/>
        </w:trPr>
        <w:tc>
          <w:tcPr>
            <w:tcW w:w="5712" w:type="dxa"/>
            <w:tcMar>
              <w:top w:w="113" w:type="dxa"/>
              <w:left w:w="113" w:type="dxa"/>
              <w:bottom w:w="113" w:type="dxa"/>
              <w:right w:w="113" w:type="dxa"/>
            </w:tcMar>
          </w:tcPr>
          <w:p w:rsidR="008C4900" w:rsidRPr="00AC3AF6" w:rsidRDefault="008C4900" w:rsidP="008C4900">
            <w:pPr>
              <w:tabs>
                <w:tab w:val="left" w:pos="2268"/>
              </w:tabs>
              <w:suppressAutoHyphens/>
              <w:autoSpaceDE w:val="0"/>
              <w:autoSpaceDN w:val="0"/>
              <w:adjustRightInd w:val="0"/>
              <w:spacing w:after="57" w:line="220" w:lineRule="atLeast"/>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Total other revenue</w:t>
            </w:r>
          </w:p>
        </w:tc>
        <w:tc>
          <w:tcPr>
            <w:tcW w:w="857"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 xml:space="preserve">1,569 </w:t>
            </w:r>
          </w:p>
        </w:tc>
        <w:tc>
          <w:tcPr>
            <w:tcW w:w="858"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661 </w:t>
            </w:r>
          </w:p>
        </w:tc>
      </w:tr>
      <w:tr w:rsidR="008C4900" w:rsidRPr="00AC3AF6" w:rsidTr="00AC3AF6">
        <w:trPr>
          <w:trHeight w:val="60"/>
        </w:trPr>
        <w:tc>
          <w:tcPr>
            <w:tcW w:w="5712" w:type="dxa"/>
            <w:tcMar>
              <w:top w:w="85" w:type="dxa"/>
              <w:left w:w="57" w:type="dxa"/>
              <w:bottom w:w="85" w:type="dxa"/>
              <w:right w:w="57" w:type="dxa"/>
            </w:tcMar>
          </w:tcPr>
          <w:p w:rsidR="008C4900" w:rsidRPr="00AC3AF6" w:rsidRDefault="008C4900" w:rsidP="008C4900">
            <w:pPr>
              <w:autoSpaceDE w:val="0"/>
              <w:autoSpaceDN w:val="0"/>
              <w:adjustRightInd w:val="0"/>
              <w:rPr>
                <w:rFonts w:ascii="Calibri" w:hAnsi="Calibri"/>
                <w:lang w:val="en-US"/>
              </w:rPr>
            </w:pPr>
          </w:p>
        </w:tc>
        <w:tc>
          <w:tcPr>
            <w:tcW w:w="857" w:type="dxa"/>
            <w:tcBorders>
              <w:top w:val="double" w:sz="4" w:space="0" w:color="auto"/>
            </w:tcBorders>
            <w:tcMar>
              <w:top w:w="113" w:type="dxa"/>
              <w:left w:w="113" w:type="dxa"/>
              <w:bottom w:w="113" w:type="dxa"/>
              <w:right w:w="113" w:type="dxa"/>
            </w:tcMar>
            <w:vAlign w:val="bottom"/>
          </w:tcPr>
          <w:p w:rsidR="008C4900" w:rsidRPr="00AC3AF6" w:rsidRDefault="008C4900" w:rsidP="008C4900">
            <w:pPr>
              <w:autoSpaceDE w:val="0"/>
              <w:autoSpaceDN w:val="0"/>
              <w:adjustRightInd w:val="0"/>
              <w:rPr>
                <w:rFonts w:ascii="Calibri" w:hAnsi="Calibri"/>
                <w:lang w:val="en-US"/>
              </w:rPr>
            </w:pPr>
          </w:p>
        </w:tc>
        <w:tc>
          <w:tcPr>
            <w:tcW w:w="858" w:type="dxa"/>
            <w:tcBorders>
              <w:top w:val="double" w:sz="4" w:space="0" w:color="auto"/>
            </w:tcBorders>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r>
    </w:tbl>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r w:rsidRPr="00AC3AF6">
        <w:rPr>
          <w:rFonts w:ascii="Calibri" w:hAnsi="Calibri" w:cs="Gotham Bold"/>
          <w:caps/>
          <w:color w:val="00B6E8"/>
          <w:sz w:val="22"/>
          <w:szCs w:val="22"/>
          <w:lang w:val="en-GB"/>
        </w:rPr>
        <w:t xml:space="preserve">Note </w:t>
      </w:r>
      <w:r w:rsidRPr="00AC3AF6">
        <w:rPr>
          <w:rFonts w:ascii="Calibri" w:hAnsi="Calibri" w:cs="Gotham Black"/>
          <w:caps/>
          <w:color w:val="00B6E8"/>
          <w:sz w:val="22"/>
          <w:szCs w:val="22"/>
          <w:lang w:val="en-GB"/>
        </w:rPr>
        <w:t>5: Trade and Other Receivables</w:t>
      </w:r>
    </w:p>
    <w:tbl>
      <w:tblPr>
        <w:tblW w:w="0" w:type="auto"/>
        <w:tblInd w:w="-8" w:type="dxa"/>
        <w:tblLayout w:type="fixed"/>
        <w:tblCellMar>
          <w:left w:w="0" w:type="dxa"/>
          <w:right w:w="0" w:type="dxa"/>
        </w:tblCellMar>
        <w:tblLook w:val="0000" w:firstRow="0" w:lastRow="0" w:firstColumn="0" w:lastColumn="0" w:noHBand="0" w:noVBand="0"/>
      </w:tblPr>
      <w:tblGrid>
        <w:gridCol w:w="5712"/>
        <w:gridCol w:w="857"/>
        <w:gridCol w:w="858"/>
      </w:tblGrid>
      <w:tr w:rsidR="008C4900" w:rsidRPr="00AC3AF6" w:rsidTr="008C4900">
        <w:trPr>
          <w:trHeight w:val="60"/>
          <w:tblHeader/>
        </w:trPr>
        <w:tc>
          <w:tcPr>
            <w:tcW w:w="5712" w:type="dxa"/>
            <w:shd w:val="solid" w:color="00B6E8" w:fill="auto"/>
            <w:tcMar>
              <w:top w:w="57" w:type="dxa"/>
              <w:left w:w="113" w:type="dxa"/>
              <w:bottom w:w="57" w:type="dxa"/>
              <w:right w:w="113"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center"/>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2018</w:t>
            </w:r>
          </w:p>
        </w:tc>
        <w:tc>
          <w:tcPr>
            <w:tcW w:w="858" w:type="dxa"/>
            <w:shd w:val="solid" w:color="00B6E8" w:fill="auto"/>
            <w:tcMar>
              <w:top w:w="57" w:type="dxa"/>
              <w:left w:w="57" w:type="dxa"/>
              <w:bottom w:w="57" w:type="dxa"/>
              <w:right w:w="57" w:type="dxa"/>
            </w:tcMar>
            <w:vAlign w:val="center"/>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2017</w:t>
            </w:r>
          </w:p>
        </w:tc>
      </w:tr>
      <w:tr w:rsidR="008C4900" w:rsidRPr="00AC3AF6" w:rsidTr="008C4900">
        <w:trPr>
          <w:trHeight w:val="60"/>
          <w:tblHeader/>
        </w:trPr>
        <w:tc>
          <w:tcPr>
            <w:tcW w:w="5712" w:type="dxa"/>
            <w:shd w:val="solid" w:color="00B6E8" w:fill="auto"/>
            <w:tcMar>
              <w:top w:w="57" w:type="dxa"/>
              <w:left w:w="57" w:type="dxa"/>
              <w:bottom w:w="57" w:type="dxa"/>
              <w:right w:w="57"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c>
          <w:tcPr>
            <w:tcW w:w="858"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r>
      <w:tr w:rsidR="008C4900" w:rsidRPr="00AC3AF6" w:rsidTr="008C4900">
        <w:trPr>
          <w:trHeight w:val="60"/>
        </w:trPr>
        <w:tc>
          <w:tcPr>
            <w:tcW w:w="5712" w:type="dxa"/>
            <w:tcMar>
              <w:top w:w="85" w:type="dxa"/>
              <w:left w:w="113"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Other </w:t>
            </w:r>
            <w:r w:rsidR="00A64801" w:rsidRPr="00AC3AF6">
              <w:rPr>
                <w:rFonts w:ascii="Calibri" w:hAnsi="Calibri" w:cs="MetaNormalLF-Roman"/>
                <w:color w:val="000000"/>
                <w:sz w:val="18"/>
                <w:szCs w:val="18"/>
                <w:lang w:val="en-GB"/>
              </w:rPr>
              <w:t>receivables</w:t>
            </w:r>
          </w:p>
        </w:tc>
        <w:tc>
          <w:tcPr>
            <w:tcW w:w="857" w:type="dxa"/>
            <w:tcMar>
              <w:top w:w="85" w:type="dxa"/>
              <w:left w:w="113" w:type="dxa"/>
              <w:bottom w:w="85" w:type="dxa"/>
              <w:right w:w="113" w:type="dxa"/>
            </w:tcMar>
            <w:vAlign w:val="bottom"/>
          </w:tcPr>
          <w:p w:rsidR="008C4900" w:rsidRPr="00AC3AF6" w:rsidRDefault="008C4900" w:rsidP="008C4900">
            <w:pPr>
              <w:tabs>
                <w:tab w:val="left" w:pos="2268"/>
              </w:tabs>
              <w:suppressAutoHyphens/>
              <w:autoSpaceDE w:val="0"/>
              <w:autoSpaceDN w:val="0"/>
              <w:adjustRightInd w:val="0"/>
              <w:spacing w:after="113" w:line="220" w:lineRule="atLeast"/>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66 </w:t>
            </w:r>
          </w:p>
        </w:tc>
        <w:tc>
          <w:tcPr>
            <w:tcW w:w="858" w:type="dxa"/>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Italic"/>
                <w:i/>
                <w:iCs/>
                <w:color w:val="000000"/>
                <w:sz w:val="18"/>
                <w:szCs w:val="18"/>
                <w:lang w:val="en-GB"/>
              </w:rPr>
              <w:t xml:space="preserve"> - </w:t>
            </w:r>
          </w:p>
        </w:tc>
      </w:tr>
      <w:tr w:rsidR="008C4900" w:rsidRPr="00AC3AF6" w:rsidTr="00AC3AF6">
        <w:trPr>
          <w:trHeight w:val="60"/>
        </w:trPr>
        <w:tc>
          <w:tcPr>
            <w:tcW w:w="5712" w:type="dxa"/>
            <w:tcMar>
              <w:top w:w="85" w:type="dxa"/>
              <w:left w:w="113"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GST receivable from the Australian Taxation Office</w:t>
            </w:r>
          </w:p>
        </w:tc>
        <w:tc>
          <w:tcPr>
            <w:tcW w:w="857" w:type="dxa"/>
            <w:tcBorders>
              <w:bottom w:val="single" w:sz="4" w:space="0" w:color="auto"/>
            </w:tcBorders>
            <w:tcMar>
              <w:top w:w="85" w:type="dxa"/>
              <w:left w:w="113" w:type="dxa"/>
              <w:bottom w:w="85" w:type="dxa"/>
              <w:right w:w="113" w:type="dxa"/>
            </w:tcMar>
            <w:vAlign w:val="bottom"/>
          </w:tcPr>
          <w:p w:rsidR="008C4900" w:rsidRPr="00AC3AF6" w:rsidRDefault="008C4900" w:rsidP="008C4900">
            <w:pPr>
              <w:tabs>
                <w:tab w:val="left" w:pos="2268"/>
              </w:tabs>
              <w:suppressAutoHyphens/>
              <w:autoSpaceDE w:val="0"/>
              <w:autoSpaceDN w:val="0"/>
              <w:adjustRightInd w:val="0"/>
              <w:spacing w:after="113" w:line="220" w:lineRule="atLeast"/>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2 </w:t>
            </w:r>
          </w:p>
        </w:tc>
        <w:tc>
          <w:tcPr>
            <w:tcW w:w="858" w:type="dxa"/>
            <w:tcBorders>
              <w:bottom w:val="single" w:sz="4" w:space="0" w:color="auto"/>
            </w:tcBorders>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13 </w:t>
            </w:r>
          </w:p>
        </w:tc>
      </w:tr>
      <w:tr w:rsidR="008C4900" w:rsidRPr="00AC3AF6" w:rsidTr="00AC3AF6">
        <w:trPr>
          <w:trHeight w:val="345"/>
        </w:trPr>
        <w:tc>
          <w:tcPr>
            <w:tcW w:w="5712" w:type="dxa"/>
            <w:tcMar>
              <w:top w:w="85" w:type="dxa"/>
              <w:left w:w="113" w:type="dxa"/>
              <w:bottom w:w="85" w:type="dxa"/>
              <w:right w:w="113" w:type="dxa"/>
            </w:tcMar>
          </w:tcPr>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b/>
                <w:color w:val="000000"/>
                <w:sz w:val="18"/>
                <w:szCs w:val="18"/>
                <w:lang w:val="en-GB"/>
              </w:rPr>
            </w:pPr>
            <w:r w:rsidRPr="00AC3AF6">
              <w:rPr>
                <w:rFonts w:ascii="Calibri" w:hAnsi="Calibri" w:cs="MetaMediumLF-Roman"/>
                <w:b/>
                <w:color w:val="000000"/>
                <w:sz w:val="18"/>
                <w:szCs w:val="18"/>
                <w:lang w:val="en-GB"/>
              </w:rPr>
              <w:t>Total receivables</w:t>
            </w:r>
          </w:p>
        </w:tc>
        <w:tc>
          <w:tcPr>
            <w:tcW w:w="857"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spacing w:line="220" w:lineRule="atLeast"/>
              <w:jc w:val="right"/>
              <w:textAlignment w:val="center"/>
              <w:rPr>
                <w:rFonts w:ascii="Calibri" w:hAnsi="Calibri" w:cs="MetaNormalLF-Roman"/>
                <w:b/>
                <w:color w:val="000000"/>
                <w:sz w:val="18"/>
                <w:szCs w:val="18"/>
                <w:lang w:val="en-GB"/>
              </w:rPr>
            </w:pPr>
            <w:r w:rsidRPr="00AC3AF6">
              <w:rPr>
                <w:rFonts w:ascii="Calibri" w:hAnsi="Calibri" w:cs="MetaMediumLF-Roman"/>
                <w:b/>
                <w:color w:val="000000"/>
                <w:sz w:val="18"/>
                <w:szCs w:val="18"/>
                <w:lang w:val="en-GB"/>
              </w:rPr>
              <w:t xml:space="preserve">68 </w:t>
            </w:r>
          </w:p>
        </w:tc>
        <w:tc>
          <w:tcPr>
            <w:tcW w:w="858"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spacing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13 </w:t>
            </w:r>
          </w:p>
        </w:tc>
      </w:tr>
    </w:tbl>
    <w:p w:rsidR="008C4900" w:rsidRPr="00AC3AF6" w:rsidRDefault="008C4900" w:rsidP="008C4900">
      <w:pPr>
        <w:tabs>
          <w:tab w:val="left" w:pos="119"/>
          <w:tab w:val="left" w:pos="2268"/>
        </w:tabs>
        <w:suppressAutoHyphens/>
        <w:autoSpaceDE w:val="0"/>
        <w:autoSpaceDN w:val="0"/>
        <w:adjustRightInd w:val="0"/>
        <w:spacing w:after="57" w:line="160" w:lineRule="atLeast"/>
        <w:textAlignment w:val="center"/>
        <w:rPr>
          <w:rFonts w:ascii="Calibri" w:hAnsi="Calibri" w:cs="MetaNormalLF-Italic"/>
          <w:i/>
          <w:iCs/>
          <w:color w:val="000000"/>
          <w:sz w:val="18"/>
          <w:szCs w:val="18"/>
          <w:lang w:val="en-GB"/>
        </w:rPr>
      </w:pPr>
    </w:p>
    <w:p w:rsidR="008C4900" w:rsidRPr="00AC3AF6" w:rsidRDefault="008C4900" w:rsidP="008C4900">
      <w:pPr>
        <w:tabs>
          <w:tab w:val="center" w:pos="6180"/>
          <w:tab w:val="center" w:pos="7080"/>
        </w:tabs>
        <w:suppressAutoHyphens/>
        <w:autoSpaceDE w:val="0"/>
        <w:autoSpaceDN w:val="0"/>
        <w:adjustRightInd w:val="0"/>
        <w:spacing w:after="113" w:line="220" w:lineRule="atLeast"/>
        <w:textAlignment w:val="center"/>
        <w:rPr>
          <w:rFonts w:ascii="Calibri" w:hAnsi="Calibri" w:cs="MetaNormalLF-Roman"/>
          <w:color w:val="000000"/>
          <w:sz w:val="17"/>
          <w:szCs w:val="17"/>
          <w:lang w:val="en-GB"/>
        </w:rPr>
      </w:pPr>
      <w:r w:rsidRPr="00AC3AF6">
        <w:rPr>
          <w:rFonts w:ascii="Calibri" w:hAnsi="Calibri" w:cs="MetaNormalLF-Roman"/>
          <w:color w:val="000000"/>
          <w:sz w:val="17"/>
          <w:szCs w:val="17"/>
          <w:lang w:val="en-GB"/>
        </w:rPr>
        <w:t>The Authority’s credit terms</w:t>
      </w:r>
      <w:r w:rsidRPr="00AC3AF6">
        <w:rPr>
          <w:rFonts w:ascii="Calibri" w:hAnsi="Calibri" w:cs="MetaNormalLF-Roman"/>
          <w:color w:val="000000"/>
          <w:sz w:val="17"/>
          <w:szCs w:val="17"/>
          <w:lang w:val="en-GB"/>
        </w:rPr>
        <w:tab/>
        <w:t>30 days</w:t>
      </w:r>
      <w:r w:rsidRPr="00AC3AF6">
        <w:rPr>
          <w:rFonts w:ascii="Calibri" w:hAnsi="Calibri" w:cs="MetaNormalLF-Roman"/>
          <w:color w:val="000000"/>
          <w:sz w:val="17"/>
          <w:szCs w:val="17"/>
          <w:lang w:val="en-GB"/>
        </w:rPr>
        <w:tab/>
        <w:t>30 days</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lack"/>
          <w:caps/>
          <w:color w:val="00B6E8"/>
          <w:sz w:val="22"/>
          <w:szCs w:val="22"/>
          <w:lang w:val="en-GB"/>
        </w:rPr>
      </w:pPr>
      <w:r w:rsidRPr="00AC3AF6">
        <w:rPr>
          <w:rFonts w:ascii="Calibri" w:hAnsi="Calibri" w:cs="Gotham Black"/>
          <w:caps/>
          <w:color w:val="00B6E8"/>
          <w:sz w:val="22"/>
          <w:szCs w:val="22"/>
          <w:lang w:val="en-GB"/>
        </w:rPr>
        <w:t>Note 6: other PAYABLES</w:t>
      </w:r>
    </w:p>
    <w:tbl>
      <w:tblPr>
        <w:tblW w:w="0" w:type="auto"/>
        <w:tblInd w:w="-8" w:type="dxa"/>
        <w:tblLayout w:type="fixed"/>
        <w:tblCellMar>
          <w:left w:w="0" w:type="dxa"/>
          <w:right w:w="0" w:type="dxa"/>
        </w:tblCellMar>
        <w:tblLook w:val="0000" w:firstRow="0" w:lastRow="0" w:firstColumn="0" w:lastColumn="0" w:noHBand="0" w:noVBand="0"/>
      </w:tblPr>
      <w:tblGrid>
        <w:gridCol w:w="5712"/>
        <w:gridCol w:w="857"/>
        <w:gridCol w:w="858"/>
      </w:tblGrid>
      <w:tr w:rsidR="008C4900" w:rsidRPr="00AC3AF6" w:rsidTr="008C4900">
        <w:trPr>
          <w:trHeight w:val="60"/>
          <w:tblHeader/>
        </w:trPr>
        <w:tc>
          <w:tcPr>
            <w:tcW w:w="5712" w:type="dxa"/>
            <w:shd w:val="solid" w:color="00B6E8" w:fill="auto"/>
            <w:tcMar>
              <w:top w:w="57" w:type="dxa"/>
              <w:left w:w="113" w:type="dxa"/>
              <w:bottom w:w="57" w:type="dxa"/>
              <w:right w:w="113"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2018</w:t>
            </w:r>
          </w:p>
        </w:tc>
        <w:tc>
          <w:tcPr>
            <w:tcW w:w="858"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2017</w:t>
            </w:r>
          </w:p>
        </w:tc>
      </w:tr>
      <w:tr w:rsidR="008C4900" w:rsidRPr="00AC3AF6" w:rsidTr="008C4900">
        <w:trPr>
          <w:trHeight w:val="60"/>
          <w:tblHeader/>
        </w:trPr>
        <w:tc>
          <w:tcPr>
            <w:tcW w:w="5712" w:type="dxa"/>
            <w:shd w:val="solid" w:color="00B6E8" w:fill="auto"/>
            <w:tcMar>
              <w:top w:w="57" w:type="dxa"/>
              <w:left w:w="57" w:type="dxa"/>
              <w:bottom w:w="57" w:type="dxa"/>
              <w:right w:w="57"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c>
          <w:tcPr>
            <w:tcW w:w="858"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r>
      <w:tr w:rsidR="008C4900" w:rsidRPr="00AC3AF6" w:rsidTr="00AC3AF6">
        <w:trPr>
          <w:trHeight w:val="60"/>
        </w:trPr>
        <w:tc>
          <w:tcPr>
            <w:tcW w:w="5712" w:type="dxa"/>
            <w:tcMar>
              <w:top w:w="85" w:type="dxa"/>
              <w:left w:w="113"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Salaries and wages</w:t>
            </w:r>
          </w:p>
        </w:tc>
        <w:tc>
          <w:tcPr>
            <w:tcW w:w="857" w:type="dxa"/>
            <w:tcBorders>
              <w:bottom w:val="single" w:sz="4" w:space="0" w:color="auto"/>
            </w:tcBorders>
            <w:tcMar>
              <w:top w:w="85" w:type="dxa"/>
              <w:left w:w="113" w:type="dxa"/>
              <w:bottom w:w="85" w:type="dxa"/>
              <w:right w:w="113" w:type="dxa"/>
            </w:tcMar>
            <w:vAlign w:val="bottom"/>
          </w:tcPr>
          <w:p w:rsidR="008C4900" w:rsidRPr="00AC3AF6" w:rsidRDefault="008C4900" w:rsidP="008C4900">
            <w:pPr>
              <w:tabs>
                <w:tab w:val="left" w:pos="2268"/>
              </w:tabs>
              <w:suppressAutoHyphens/>
              <w:autoSpaceDE w:val="0"/>
              <w:autoSpaceDN w:val="0"/>
              <w:adjustRightInd w:val="0"/>
              <w:spacing w:after="113" w:line="220" w:lineRule="atLeast"/>
              <w:jc w:val="righ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 xml:space="preserve">11 </w:t>
            </w:r>
          </w:p>
        </w:tc>
        <w:tc>
          <w:tcPr>
            <w:tcW w:w="858" w:type="dxa"/>
            <w:tcBorders>
              <w:bottom w:val="single" w:sz="4" w:space="0" w:color="auto"/>
            </w:tcBorders>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11 </w:t>
            </w:r>
          </w:p>
        </w:tc>
      </w:tr>
      <w:tr w:rsidR="008C4900" w:rsidRPr="00AC3AF6" w:rsidTr="00AC3AF6">
        <w:trPr>
          <w:trHeight w:val="345"/>
        </w:trPr>
        <w:tc>
          <w:tcPr>
            <w:tcW w:w="5712" w:type="dxa"/>
            <w:tcMar>
              <w:top w:w="85" w:type="dxa"/>
              <w:left w:w="113" w:type="dxa"/>
              <w:bottom w:w="85" w:type="dxa"/>
              <w:right w:w="113" w:type="dxa"/>
            </w:tcMar>
          </w:tcPr>
          <w:p w:rsidR="008C4900" w:rsidRPr="00AC3AF6" w:rsidRDefault="008C4900" w:rsidP="00AC3AF6">
            <w:pPr>
              <w:tabs>
                <w:tab w:val="left" w:pos="2268"/>
              </w:tabs>
              <w:suppressAutoHyphens/>
              <w:autoSpaceDE w:val="0"/>
              <w:autoSpaceDN w:val="0"/>
              <w:adjustRightInd w:val="0"/>
              <w:spacing w:line="220" w:lineRule="atLeast"/>
              <w:textAlignment w:val="center"/>
              <w:rPr>
                <w:rFonts w:ascii="Calibri" w:hAnsi="Calibri" w:cs="MetaNormalLF-Roman"/>
                <w:b/>
                <w:color w:val="000000"/>
                <w:sz w:val="18"/>
                <w:szCs w:val="18"/>
                <w:lang w:val="en-GB"/>
              </w:rPr>
            </w:pPr>
            <w:r w:rsidRPr="00AC3AF6">
              <w:rPr>
                <w:rFonts w:ascii="Calibri" w:hAnsi="Calibri" w:cs="MetaMediumLF-Roman"/>
                <w:b/>
                <w:color w:val="000000"/>
                <w:sz w:val="18"/>
                <w:szCs w:val="18"/>
                <w:lang w:val="en-GB"/>
              </w:rPr>
              <w:t>Total other payables</w:t>
            </w:r>
          </w:p>
        </w:tc>
        <w:tc>
          <w:tcPr>
            <w:tcW w:w="857"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spacing w:line="220" w:lineRule="atLeast"/>
              <w:jc w:val="right"/>
              <w:textAlignment w:val="center"/>
              <w:rPr>
                <w:rFonts w:ascii="Calibri" w:hAnsi="Calibri" w:cs="MetaNormalLF-Roman"/>
                <w:b/>
                <w:color w:val="000000"/>
                <w:sz w:val="18"/>
                <w:szCs w:val="18"/>
                <w:lang w:val="en-GB"/>
              </w:rPr>
            </w:pPr>
            <w:r w:rsidRPr="00AC3AF6">
              <w:rPr>
                <w:rFonts w:ascii="Calibri" w:hAnsi="Calibri" w:cs="MetaMediumLF-Roman"/>
                <w:b/>
                <w:color w:val="000000"/>
                <w:sz w:val="18"/>
                <w:szCs w:val="18"/>
                <w:lang w:val="en-GB"/>
              </w:rPr>
              <w:t xml:space="preserve">11 </w:t>
            </w:r>
          </w:p>
        </w:tc>
        <w:tc>
          <w:tcPr>
            <w:tcW w:w="858"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spacing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11 </w:t>
            </w:r>
          </w:p>
        </w:tc>
      </w:tr>
      <w:tr w:rsidR="008C4900" w:rsidRPr="00AC3AF6" w:rsidTr="00AC3AF6">
        <w:trPr>
          <w:trHeight w:val="345"/>
        </w:trPr>
        <w:tc>
          <w:tcPr>
            <w:tcW w:w="5712" w:type="dxa"/>
            <w:tcMar>
              <w:top w:w="85" w:type="dxa"/>
              <w:left w:w="113" w:type="dxa"/>
              <w:bottom w:w="85" w:type="dxa"/>
              <w:right w:w="113" w:type="dxa"/>
            </w:tcMar>
          </w:tcPr>
          <w:p w:rsidR="008C4900" w:rsidRPr="00AC3AF6" w:rsidRDefault="008C4900" w:rsidP="008C4900">
            <w:pPr>
              <w:autoSpaceDE w:val="0"/>
              <w:autoSpaceDN w:val="0"/>
              <w:adjustRightInd w:val="0"/>
              <w:rPr>
                <w:rFonts w:ascii="Calibri" w:hAnsi="Calibri"/>
                <w:lang w:val="en-US"/>
              </w:rPr>
            </w:pPr>
          </w:p>
        </w:tc>
        <w:tc>
          <w:tcPr>
            <w:tcW w:w="857" w:type="dxa"/>
            <w:tcBorders>
              <w:top w:val="double" w:sz="4" w:space="0" w:color="auto"/>
            </w:tcBorders>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c>
          <w:tcPr>
            <w:tcW w:w="858" w:type="dxa"/>
            <w:tcBorders>
              <w:top w:val="double" w:sz="4" w:space="0" w:color="auto"/>
            </w:tcBorders>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r>
      <w:tr w:rsidR="008C4900" w:rsidRPr="00AC3AF6" w:rsidTr="008C4900">
        <w:trPr>
          <w:trHeight w:val="345"/>
        </w:trPr>
        <w:tc>
          <w:tcPr>
            <w:tcW w:w="5712" w:type="dxa"/>
            <w:tcMar>
              <w:top w:w="85" w:type="dxa"/>
              <w:left w:w="113" w:type="dxa"/>
              <w:bottom w:w="85" w:type="dxa"/>
              <w:right w:w="113" w:type="dxa"/>
            </w:tcMar>
          </w:tcPr>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MediumLF-Roman"/>
                <w:color w:val="000000"/>
                <w:sz w:val="18"/>
                <w:szCs w:val="18"/>
                <w:lang w:val="en-GB"/>
              </w:rPr>
              <w:t>Other payables are expected to be settled in no more than 12 months</w:t>
            </w:r>
          </w:p>
        </w:tc>
        <w:tc>
          <w:tcPr>
            <w:tcW w:w="857" w:type="dxa"/>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c>
          <w:tcPr>
            <w:tcW w:w="858" w:type="dxa"/>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r>
    </w:tbl>
    <w:p w:rsidR="008C4900" w:rsidRPr="00AC3AF6" w:rsidRDefault="008C4900" w:rsidP="008C4900">
      <w:pPr>
        <w:tabs>
          <w:tab w:val="left" w:pos="119"/>
          <w:tab w:val="left" w:pos="2268"/>
        </w:tabs>
        <w:suppressAutoHyphens/>
        <w:autoSpaceDE w:val="0"/>
        <w:autoSpaceDN w:val="0"/>
        <w:adjustRightInd w:val="0"/>
        <w:spacing w:after="220" w:line="160" w:lineRule="atLeast"/>
        <w:textAlignment w:val="center"/>
        <w:rPr>
          <w:rFonts w:ascii="Calibri" w:hAnsi="Calibri" w:cs="MetaNormalLF-Italic"/>
          <w:i/>
          <w:iCs/>
          <w:color w:val="000000"/>
          <w:sz w:val="12"/>
          <w:szCs w:val="12"/>
          <w:lang w:val="en-GB"/>
        </w:rPr>
      </w:pPr>
    </w:p>
    <w:p w:rsidR="00AC3AF6" w:rsidRDefault="00AC3AF6">
      <w:pPr>
        <w:rPr>
          <w:rFonts w:ascii="Calibri" w:hAnsi="Calibri" w:cs="Gotham Black"/>
          <w:caps/>
          <w:color w:val="00B6E8"/>
          <w:sz w:val="22"/>
          <w:szCs w:val="22"/>
          <w:lang w:val="en-GB"/>
        </w:rPr>
      </w:pPr>
      <w:r>
        <w:rPr>
          <w:rFonts w:ascii="Calibri" w:hAnsi="Calibri" w:cs="Gotham Black"/>
          <w:caps/>
          <w:color w:val="00B6E8"/>
          <w:sz w:val="22"/>
          <w:szCs w:val="22"/>
          <w:lang w:val="en-GB"/>
        </w:rPr>
        <w:br w:type="page"/>
      </w:r>
    </w:p>
    <w:p w:rsidR="008C4900" w:rsidRPr="00AC3AF6" w:rsidRDefault="008C4900" w:rsidP="008C4900">
      <w:pPr>
        <w:tabs>
          <w:tab w:val="left" w:pos="850"/>
          <w:tab w:val="left" w:pos="1100"/>
        </w:tabs>
        <w:suppressAutoHyphens/>
        <w:autoSpaceDE w:val="0"/>
        <w:autoSpaceDN w:val="0"/>
        <w:adjustRightInd w:val="0"/>
        <w:spacing w:before="227" w:after="113" w:line="260" w:lineRule="atLeast"/>
        <w:textAlignment w:val="center"/>
        <w:rPr>
          <w:rFonts w:ascii="Calibri" w:hAnsi="Calibri" w:cs="MetaNormalLF-Roman"/>
          <w:color w:val="000000"/>
          <w:lang w:val="en-GB"/>
        </w:rPr>
      </w:pPr>
      <w:r w:rsidRPr="00AC3AF6">
        <w:rPr>
          <w:rFonts w:ascii="Calibri" w:hAnsi="Calibri" w:cs="Gotham Black"/>
          <w:caps/>
          <w:color w:val="00B6E8"/>
          <w:sz w:val="22"/>
          <w:szCs w:val="22"/>
          <w:lang w:val="en-GB"/>
        </w:rPr>
        <w:t>Note 7: Employee provisions</w:t>
      </w:r>
    </w:p>
    <w:tbl>
      <w:tblPr>
        <w:tblW w:w="0" w:type="auto"/>
        <w:tblInd w:w="-8" w:type="dxa"/>
        <w:tblLayout w:type="fixed"/>
        <w:tblCellMar>
          <w:left w:w="0" w:type="dxa"/>
          <w:right w:w="0" w:type="dxa"/>
        </w:tblCellMar>
        <w:tblLook w:val="0000" w:firstRow="0" w:lastRow="0" w:firstColumn="0" w:lastColumn="0" w:noHBand="0" w:noVBand="0"/>
      </w:tblPr>
      <w:tblGrid>
        <w:gridCol w:w="5712"/>
        <w:gridCol w:w="857"/>
        <w:gridCol w:w="858"/>
      </w:tblGrid>
      <w:tr w:rsidR="008C4900" w:rsidRPr="00AC3AF6" w:rsidTr="008C4900">
        <w:trPr>
          <w:trHeight w:val="60"/>
          <w:tblHeader/>
        </w:trPr>
        <w:tc>
          <w:tcPr>
            <w:tcW w:w="5712" w:type="dxa"/>
            <w:shd w:val="solid" w:color="00B6E8" w:fill="auto"/>
            <w:tcMar>
              <w:top w:w="57" w:type="dxa"/>
              <w:left w:w="113" w:type="dxa"/>
              <w:bottom w:w="57" w:type="dxa"/>
              <w:right w:w="113" w:type="dxa"/>
            </w:tcMar>
            <w:vAlign w:val="bottom"/>
          </w:tcPr>
          <w:p w:rsidR="008C4900" w:rsidRPr="00AC3AF6" w:rsidRDefault="008C4900" w:rsidP="00AC3AF6">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2018</w:t>
            </w:r>
          </w:p>
        </w:tc>
        <w:tc>
          <w:tcPr>
            <w:tcW w:w="858" w:type="dxa"/>
            <w:shd w:val="solid" w:color="00B6E8" w:fill="auto"/>
            <w:tcMar>
              <w:top w:w="57" w:type="dxa"/>
              <w:left w:w="57" w:type="dxa"/>
              <w:bottom w:w="57"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2017</w:t>
            </w:r>
          </w:p>
        </w:tc>
      </w:tr>
      <w:tr w:rsidR="008C4900" w:rsidRPr="00AC3AF6" w:rsidTr="008C4900">
        <w:trPr>
          <w:trHeight w:val="60"/>
          <w:tblHeader/>
        </w:trPr>
        <w:tc>
          <w:tcPr>
            <w:tcW w:w="5712" w:type="dxa"/>
            <w:shd w:val="solid" w:color="00B6E8" w:fill="auto"/>
            <w:tcMar>
              <w:top w:w="57" w:type="dxa"/>
              <w:left w:w="57" w:type="dxa"/>
              <w:bottom w:w="57" w:type="dxa"/>
              <w:right w:w="57" w:type="dxa"/>
            </w:tcMar>
            <w:vAlign w:val="bottom"/>
          </w:tcPr>
          <w:p w:rsidR="008C4900" w:rsidRPr="00AC3AF6" w:rsidRDefault="008C4900" w:rsidP="00AC3AF6">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c>
          <w:tcPr>
            <w:tcW w:w="858" w:type="dxa"/>
            <w:shd w:val="solid" w:color="00B6E8" w:fill="auto"/>
            <w:tcMar>
              <w:top w:w="57" w:type="dxa"/>
              <w:left w:w="57" w:type="dxa"/>
              <w:bottom w:w="57"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r>
      <w:tr w:rsidR="008C4900" w:rsidRPr="00AC3AF6" w:rsidTr="00AC3AF6">
        <w:trPr>
          <w:trHeight w:val="60"/>
        </w:trPr>
        <w:tc>
          <w:tcPr>
            <w:tcW w:w="5712" w:type="dxa"/>
            <w:tcMar>
              <w:top w:w="85" w:type="dxa"/>
              <w:left w:w="283" w:type="dxa"/>
              <w:bottom w:w="85"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Leave</w:t>
            </w:r>
          </w:p>
        </w:tc>
        <w:tc>
          <w:tcPr>
            <w:tcW w:w="857" w:type="dxa"/>
            <w:tcBorders>
              <w:bottom w:val="single" w:sz="4" w:space="0" w:color="auto"/>
            </w:tcBorders>
            <w:tcMar>
              <w:top w:w="113" w:type="dxa"/>
              <w:left w:w="113" w:type="dxa"/>
              <w:bottom w:w="113" w:type="dxa"/>
              <w:right w:w="113"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508 </w:t>
            </w:r>
          </w:p>
        </w:tc>
        <w:tc>
          <w:tcPr>
            <w:tcW w:w="858" w:type="dxa"/>
            <w:tcBorders>
              <w:bottom w:val="sing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416 </w:t>
            </w:r>
          </w:p>
        </w:tc>
      </w:tr>
      <w:tr w:rsidR="008C4900" w:rsidRPr="00AC3AF6" w:rsidTr="00AC3AF6">
        <w:trPr>
          <w:trHeight w:val="60"/>
        </w:trPr>
        <w:tc>
          <w:tcPr>
            <w:tcW w:w="5712" w:type="dxa"/>
            <w:tcMar>
              <w:top w:w="113" w:type="dxa"/>
              <w:left w:w="113" w:type="dxa"/>
              <w:bottom w:w="113" w:type="dxa"/>
              <w:right w:w="113"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Total employee provisions</w:t>
            </w:r>
          </w:p>
        </w:tc>
        <w:tc>
          <w:tcPr>
            <w:tcW w:w="857"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 xml:space="preserve">508 </w:t>
            </w:r>
          </w:p>
        </w:tc>
        <w:tc>
          <w:tcPr>
            <w:tcW w:w="858"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416 </w:t>
            </w:r>
          </w:p>
        </w:tc>
      </w:tr>
    </w:tbl>
    <w:p w:rsidR="008C4900" w:rsidRPr="00AC3AF6" w:rsidRDefault="008C4900" w:rsidP="008C4900">
      <w:pPr>
        <w:tabs>
          <w:tab w:val="left" w:pos="850"/>
          <w:tab w:val="left" w:pos="1100"/>
        </w:tabs>
        <w:suppressAutoHyphens/>
        <w:autoSpaceDE w:val="0"/>
        <w:autoSpaceDN w:val="0"/>
        <w:adjustRightInd w:val="0"/>
        <w:spacing w:before="227" w:after="113" w:line="260" w:lineRule="atLeast"/>
        <w:textAlignment w:val="center"/>
        <w:rPr>
          <w:rFonts w:ascii="Calibri" w:hAnsi="Calibri" w:cs="Gotham Bold"/>
          <w:b/>
          <w:bCs/>
          <w:caps/>
          <w:color w:val="00B6E8"/>
          <w:sz w:val="22"/>
          <w:szCs w:val="22"/>
          <w:lang w:val="en-GB"/>
        </w:rPr>
      </w:pPr>
    </w:p>
    <w:p w:rsidR="008C4900" w:rsidRPr="00AC3AF6" w:rsidRDefault="008C4900" w:rsidP="008C4900">
      <w:pPr>
        <w:tabs>
          <w:tab w:val="left" w:pos="850"/>
          <w:tab w:val="left" w:pos="1100"/>
        </w:tabs>
        <w:suppressAutoHyphens/>
        <w:autoSpaceDE w:val="0"/>
        <w:autoSpaceDN w:val="0"/>
        <w:adjustRightInd w:val="0"/>
        <w:spacing w:before="113" w:after="113" w:line="260" w:lineRule="atLeast"/>
        <w:ind w:left="510" w:hanging="510"/>
        <w:textAlignment w:val="center"/>
        <w:rPr>
          <w:rFonts w:ascii="Calibri" w:hAnsi="Calibri" w:cs="Gotham Black"/>
          <w:caps/>
          <w:color w:val="00B6E8"/>
          <w:sz w:val="22"/>
          <w:szCs w:val="22"/>
          <w:lang w:val="en-GB"/>
        </w:rPr>
      </w:pPr>
      <w:r w:rsidRPr="00AC3AF6">
        <w:rPr>
          <w:rFonts w:ascii="Calibri" w:hAnsi="Calibri" w:cs="Gotham Black"/>
          <w:caps/>
          <w:color w:val="00B6E8"/>
          <w:sz w:val="22"/>
          <w:szCs w:val="22"/>
          <w:lang w:val="en-GB"/>
        </w:rPr>
        <w:t>Note 8: Managing uncertainties</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Authority had no quantifiable contingencies at either 30 June 2018 or 2017.</w:t>
      </w:r>
      <w:r w:rsidR="00FB26CA">
        <w:rPr>
          <w:rFonts w:ascii="Calibri" w:hAnsi="Calibri" w:cs="MetaNormalLF-Roman"/>
          <w:color w:val="000000"/>
          <w:sz w:val="18"/>
          <w:szCs w:val="18"/>
          <w:lang w:val="en-GB"/>
        </w:rPr>
        <w:t xml:space="preserve"> </w:t>
      </w:r>
      <w:r w:rsidR="00AC3AF6">
        <w:rPr>
          <w:rFonts w:ascii="Calibri" w:hAnsi="Calibri" w:cs="MetaNormalLF-Roman"/>
          <w:color w:val="000000"/>
          <w:sz w:val="18"/>
          <w:szCs w:val="18"/>
          <w:lang w:val="en-GB"/>
        </w:rPr>
        <w:br/>
      </w:r>
      <w:r w:rsidRPr="00AC3AF6">
        <w:rPr>
          <w:rFonts w:ascii="Calibri" w:hAnsi="Calibri" w:cs="MetaNormalLF-Roman"/>
          <w:color w:val="000000"/>
          <w:sz w:val="18"/>
          <w:szCs w:val="18"/>
          <w:lang w:val="en-GB"/>
        </w:rPr>
        <w:t>The Authority had no unquantifiable contingencies at either 30 June 2018 or 2017.</w:t>
      </w:r>
    </w:p>
    <w:p w:rsidR="008C4900" w:rsidRPr="00AC3AF6" w:rsidRDefault="008C4900" w:rsidP="008C4900">
      <w:pPr>
        <w:tabs>
          <w:tab w:val="left" w:pos="850"/>
          <w:tab w:val="left" w:pos="1100"/>
        </w:tabs>
        <w:suppressAutoHyphens/>
        <w:autoSpaceDE w:val="0"/>
        <w:autoSpaceDN w:val="0"/>
        <w:adjustRightInd w:val="0"/>
        <w:spacing w:after="113" w:line="260" w:lineRule="atLeast"/>
        <w:ind w:left="510" w:hanging="510"/>
        <w:textAlignment w:val="center"/>
        <w:rPr>
          <w:rFonts w:ascii="Calibri" w:hAnsi="Calibri" w:cs="Gotham Black"/>
          <w:caps/>
          <w:color w:val="00B6E8"/>
          <w:sz w:val="22"/>
          <w:szCs w:val="22"/>
          <w:lang w:val="en-GB"/>
        </w:rPr>
      </w:pPr>
      <w:r w:rsidRPr="00AC3AF6">
        <w:rPr>
          <w:rFonts w:ascii="Calibri" w:hAnsi="Calibri" w:cs="Gotham Black"/>
          <w:caps/>
          <w:color w:val="00B6E8"/>
          <w:sz w:val="22"/>
          <w:szCs w:val="22"/>
          <w:lang w:val="en-GB"/>
        </w:rPr>
        <w:t>Note 9: Key Management Personnel Remuneration</w:t>
      </w:r>
    </w:p>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Key Management Personnel (KMP) are those persons having authority and responsibility for planning, directing and controlling the activities of the entity, directly or indirectly. The Authority has determined the KMP to be the CEO of the Authority.</w:t>
      </w:r>
    </w:p>
    <w:tbl>
      <w:tblPr>
        <w:tblW w:w="0" w:type="auto"/>
        <w:tblInd w:w="-8" w:type="dxa"/>
        <w:tblLayout w:type="fixed"/>
        <w:tblCellMar>
          <w:left w:w="0" w:type="dxa"/>
          <w:right w:w="0" w:type="dxa"/>
        </w:tblCellMar>
        <w:tblLook w:val="0000" w:firstRow="0" w:lastRow="0" w:firstColumn="0" w:lastColumn="0" w:noHBand="0" w:noVBand="0"/>
      </w:tblPr>
      <w:tblGrid>
        <w:gridCol w:w="5712"/>
        <w:gridCol w:w="857"/>
        <w:gridCol w:w="858"/>
      </w:tblGrid>
      <w:tr w:rsidR="008C4900" w:rsidRPr="00AC3AF6" w:rsidTr="007A07D3">
        <w:trPr>
          <w:trHeight w:val="60"/>
          <w:tblHeader/>
        </w:trPr>
        <w:tc>
          <w:tcPr>
            <w:tcW w:w="5712" w:type="dxa"/>
            <w:shd w:val="solid" w:color="00B6E8" w:fill="auto"/>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2018</w:t>
            </w:r>
          </w:p>
        </w:tc>
        <w:tc>
          <w:tcPr>
            <w:tcW w:w="858" w:type="dxa"/>
            <w:shd w:val="solid" w:color="00B6E8" w:fill="auto"/>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2017</w:t>
            </w:r>
          </w:p>
        </w:tc>
      </w:tr>
      <w:tr w:rsidR="008C4900" w:rsidRPr="00AC3AF6" w:rsidTr="007A07D3">
        <w:trPr>
          <w:trHeight w:val="60"/>
          <w:tblHeader/>
        </w:trPr>
        <w:tc>
          <w:tcPr>
            <w:tcW w:w="5712" w:type="dxa"/>
            <w:shd w:val="solid" w:color="00B6E8" w:fill="auto"/>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c>
          <w:tcPr>
            <w:tcW w:w="858" w:type="dxa"/>
            <w:shd w:val="solid" w:color="00B6E8" w:fill="auto"/>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Short-term employee benefits:</w:t>
            </w:r>
          </w:p>
        </w:tc>
        <w:tc>
          <w:tcPr>
            <w:tcW w:w="857" w:type="dxa"/>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8" w:type="dxa"/>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Salary</w:t>
            </w:r>
          </w:p>
        </w:tc>
        <w:tc>
          <w:tcPr>
            <w:tcW w:w="857" w:type="dxa"/>
            <w:tcMar>
              <w:top w:w="57" w:type="dxa"/>
              <w:left w:w="57" w:type="dxa"/>
              <w:bottom w:w="57" w:type="dxa"/>
              <w:right w:w="57" w:type="dxa"/>
            </w:tcMar>
          </w:tcPr>
          <w:p w:rsidR="008C4900" w:rsidRPr="00951E2F" w:rsidRDefault="008C4900" w:rsidP="00AC3AF6">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951E2F">
              <w:rPr>
                <w:rFonts w:ascii="Calibri" w:hAnsi="Calibri" w:cs="MetaMediumLF-Roman"/>
                <w:color w:val="000000"/>
                <w:sz w:val="18"/>
                <w:szCs w:val="18"/>
                <w:lang w:val="en-GB"/>
              </w:rPr>
              <w:t xml:space="preserve">289 </w:t>
            </w:r>
          </w:p>
        </w:tc>
        <w:tc>
          <w:tcPr>
            <w:tcW w:w="858"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308 </w:t>
            </w: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Allowances</w:t>
            </w:r>
          </w:p>
        </w:tc>
        <w:tc>
          <w:tcPr>
            <w:tcW w:w="857" w:type="dxa"/>
            <w:tcBorders>
              <w:bottom w:val="sing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 - </w:t>
            </w:r>
          </w:p>
        </w:tc>
        <w:tc>
          <w:tcPr>
            <w:tcW w:w="858" w:type="dxa"/>
            <w:tcBorders>
              <w:bottom w:val="sing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6 </w:t>
            </w: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Total short-term employee benefits</w:t>
            </w:r>
          </w:p>
        </w:tc>
        <w:tc>
          <w:tcPr>
            <w:tcW w:w="857" w:type="dxa"/>
            <w:tcBorders>
              <w:top w:val="single" w:sz="4" w:space="0" w:color="auto"/>
              <w:bottom w:val="doub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 xml:space="preserve">289 </w:t>
            </w:r>
          </w:p>
        </w:tc>
        <w:tc>
          <w:tcPr>
            <w:tcW w:w="858" w:type="dxa"/>
            <w:tcBorders>
              <w:top w:val="single" w:sz="4" w:space="0" w:color="auto"/>
              <w:bottom w:val="doub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314 </w:t>
            </w:r>
          </w:p>
        </w:tc>
      </w:tr>
      <w:tr w:rsidR="008C4900" w:rsidRPr="00AC3AF6" w:rsidTr="007A07D3">
        <w:trPr>
          <w:trHeight w:hRule="exact" w:val="113"/>
        </w:trPr>
        <w:tc>
          <w:tcPr>
            <w:tcW w:w="5712" w:type="dxa"/>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7" w:type="dxa"/>
            <w:tcBorders>
              <w:top w:val="double" w:sz="4" w:space="0" w:color="auto"/>
            </w:tcBorders>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8" w:type="dxa"/>
            <w:tcBorders>
              <w:top w:val="double" w:sz="4" w:space="0" w:color="auto"/>
            </w:tcBorders>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Post-employment benefits</w:t>
            </w:r>
          </w:p>
        </w:tc>
        <w:tc>
          <w:tcPr>
            <w:tcW w:w="857" w:type="dxa"/>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8" w:type="dxa"/>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Superannuation</w:t>
            </w:r>
          </w:p>
        </w:tc>
        <w:tc>
          <w:tcPr>
            <w:tcW w:w="857" w:type="dxa"/>
            <w:tcBorders>
              <w:bottom w:val="sing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52 </w:t>
            </w:r>
          </w:p>
        </w:tc>
        <w:tc>
          <w:tcPr>
            <w:tcW w:w="858" w:type="dxa"/>
            <w:tcBorders>
              <w:bottom w:val="sing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51 </w:t>
            </w: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Total post-employment benefits</w:t>
            </w:r>
          </w:p>
        </w:tc>
        <w:tc>
          <w:tcPr>
            <w:tcW w:w="857" w:type="dxa"/>
            <w:tcBorders>
              <w:top w:val="single" w:sz="4" w:space="0" w:color="auto"/>
              <w:bottom w:val="doub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 xml:space="preserve">52 </w:t>
            </w:r>
          </w:p>
        </w:tc>
        <w:tc>
          <w:tcPr>
            <w:tcW w:w="858" w:type="dxa"/>
            <w:tcBorders>
              <w:top w:val="single" w:sz="4" w:space="0" w:color="auto"/>
              <w:bottom w:val="doub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51 </w:t>
            </w:r>
          </w:p>
        </w:tc>
      </w:tr>
      <w:tr w:rsidR="008C4900" w:rsidRPr="00AC3AF6" w:rsidTr="007A07D3">
        <w:trPr>
          <w:trHeight w:hRule="exact" w:val="113"/>
        </w:trPr>
        <w:tc>
          <w:tcPr>
            <w:tcW w:w="5712" w:type="dxa"/>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7" w:type="dxa"/>
            <w:tcBorders>
              <w:top w:val="double" w:sz="4" w:space="0" w:color="auto"/>
            </w:tcBorders>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8" w:type="dxa"/>
            <w:tcBorders>
              <w:top w:val="double" w:sz="4" w:space="0" w:color="auto"/>
            </w:tcBorders>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Other long-term employee benefits:</w:t>
            </w:r>
          </w:p>
        </w:tc>
        <w:tc>
          <w:tcPr>
            <w:tcW w:w="857" w:type="dxa"/>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8" w:type="dxa"/>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Annual leave accrued</w:t>
            </w:r>
          </w:p>
        </w:tc>
        <w:tc>
          <w:tcPr>
            <w:tcW w:w="857"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25 </w:t>
            </w:r>
          </w:p>
        </w:tc>
        <w:tc>
          <w:tcPr>
            <w:tcW w:w="858"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25 </w:t>
            </w: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Long service leave accrued</w:t>
            </w:r>
          </w:p>
        </w:tc>
        <w:tc>
          <w:tcPr>
            <w:tcW w:w="857" w:type="dxa"/>
            <w:tcBorders>
              <w:bottom w:val="sing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8 </w:t>
            </w:r>
          </w:p>
        </w:tc>
        <w:tc>
          <w:tcPr>
            <w:tcW w:w="858" w:type="dxa"/>
            <w:tcBorders>
              <w:bottom w:val="sing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8 </w:t>
            </w: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Total other long-term employee benefits</w:t>
            </w:r>
          </w:p>
        </w:tc>
        <w:tc>
          <w:tcPr>
            <w:tcW w:w="857" w:type="dxa"/>
            <w:tcBorders>
              <w:top w:val="single" w:sz="4" w:space="0" w:color="auto"/>
              <w:bottom w:val="doub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 xml:space="preserve">33 </w:t>
            </w:r>
          </w:p>
        </w:tc>
        <w:tc>
          <w:tcPr>
            <w:tcW w:w="858" w:type="dxa"/>
            <w:tcBorders>
              <w:top w:val="single" w:sz="4" w:space="0" w:color="auto"/>
              <w:bottom w:val="doub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33 </w:t>
            </w:r>
          </w:p>
        </w:tc>
      </w:tr>
      <w:tr w:rsidR="008C4900" w:rsidRPr="00AC3AF6" w:rsidTr="007A07D3">
        <w:trPr>
          <w:trHeight w:hRule="exact" w:val="113"/>
        </w:trPr>
        <w:tc>
          <w:tcPr>
            <w:tcW w:w="5712" w:type="dxa"/>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7" w:type="dxa"/>
            <w:tcBorders>
              <w:top w:val="double" w:sz="4" w:space="0" w:color="auto"/>
            </w:tcBorders>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c>
          <w:tcPr>
            <w:tcW w:w="858" w:type="dxa"/>
            <w:tcBorders>
              <w:top w:val="double" w:sz="4" w:space="0" w:color="auto"/>
            </w:tcBorders>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lang w:val="en-US"/>
              </w:rPr>
            </w:pP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Termination benefits</w:t>
            </w:r>
          </w:p>
        </w:tc>
        <w:tc>
          <w:tcPr>
            <w:tcW w:w="857" w:type="dxa"/>
            <w:tcBorders>
              <w:bottom w:val="sing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 - </w:t>
            </w:r>
          </w:p>
        </w:tc>
        <w:tc>
          <w:tcPr>
            <w:tcW w:w="858" w:type="dxa"/>
            <w:tcBorders>
              <w:bottom w:val="sing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 - </w:t>
            </w: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Total termination benefits</w:t>
            </w:r>
          </w:p>
        </w:tc>
        <w:tc>
          <w:tcPr>
            <w:tcW w:w="857" w:type="dxa"/>
            <w:tcBorders>
              <w:top w:val="single" w:sz="4" w:space="0" w:color="auto"/>
              <w:bottom w:val="doub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 xml:space="preserve"> - </w:t>
            </w:r>
          </w:p>
        </w:tc>
        <w:tc>
          <w:tcPr>
            <w:tcW w:w="858" w:type="dxa"/>
            <w:tcBorders>
              <w:top w:val="single" w:sz="4" w:space="0" w:color="auto"/>
              <w:bottom w:val="doub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 - </w:t>
            </w:r>
          </w:p>
        </w:tc>
      </w:tr>
      <w:tr w:rsidR="008C4900" w:rsidRPr="00AC3AF6" w:rsidTr="007A07D3">
        <w:trPr>
          <w:trHeight w:hRule="exact" w:val="226"/>
        </w:trPr>
        <w:tc>
          <w:tcPr>
            <w:tcW w:w="5712" w:type="dxa"/>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b/>
                <w:lang w:val="en-US"/>
              </w:rPr>
            </w:pPr>
          </w:p>
        </w:tc>
        <w:tc>
          <w:tcPr>
            <w:tcW w:w="857" w:type="dxa"/>
            <w:tcBorders>
              <w:top w:val="double" w:sz="4" w:space="0" w:color="auto"/>
              <w:bottom w:val="single" w:sz="4" w:space="0" w:color="auto"/>
            </w:tcBorders>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b/>
                <w:lang w:val="en-US"/>
              </w:rPr>
            </w:pPr>
          </w:p>
        </w:tc>
        <w:tc>
          <w:tcPr>
            <w:tcW w:w="858" w:type="dxa"/>
            <w:tcBorders>
              <w:top w:val="double" w:sz="4" w:space="0" w:color="auto"/>
              <w:bottom w:val="single" w:sz="4" w:space="0" w:color="auto"/>
            </w:tcBorders>
            <w:tcMar>
              <w:top w:w="57" w:type="dxa"/>
              <w:left w:w="57" w:type="dxa"/>
              <w:bottom w:w="57" w:type="dxa"/>
              <w:right w:w="57" w:type="dxa"/>
            </w:tcMar>
          </w:tcPr>
          <w:p w:rsidR="008C4900" w:rsidRPr="00AC3AF6" w:rsidRDefault="008C4900" w:rsidP="00AC3AF6">
            <w:pPr>
              <w:autoSpaceDE w:val="0"/>
              <w:autoSpaceDN w:val="0"/>
              <w:adjustRightInd w:val="0"/>
              <w:rPr>
                <w:rFonts w:ascii="Calibri" w:hAnsi="Calibri"/>
                <w:b/>
                <w:lang w:val="en-US"/>
              </w:rPr>
            </w:pPr>
          </w:p>
        </w:tc>
      </w:tr>
      <w:tr w:rsidR="008C4900" w:rsidRPr="00AC3AF6" w:rsidTr="007A07D3">
        <w:trPr>
          <w:trHeight w:val="60"/>
        </w:trPr>
        <w:tc>
          <w:tcPr>
            <w:tcW w:w="5712" w:type="dxa"/>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Total senior executive remuneration expenses</w:t>
            </w:r>
          </w:p>
        </w:tc>
        <w:tc>
          <w:tcPr>
            <w:tcW w:w="857" w:type="dxa"/>
            <w:tcBorders>
              <w:top w:val="single" w:sz="4" w:space="0" w:color="auto"/>
              <w:bottom w:val="doub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AC3AF6">
              <w:rPr>
                <w:rFonts w:ascii="Calibri" w:hAnsi="Calibri" w:cs="MetaMediumLF-Roman"/>
                <w:b/>
                <w:color w:val="000000"/>
                <w:sz w:val="18"/>
                <w:szCs w:val="18"/>
                <w:lang w:val="en-GB"/>
              </w:rPr>
              <w:t xml:space="preserve">374 </w:t>
            </w:r>
          </w:p>
        </w:tc>
        <w:tc>
          <w:tcPr>
            <w:tcW w:w="858" w:type="dxa"/>
            <w:tcBorders>
              <w:top w:val="single" w:sz="4" w:space="0" w:color="auto"/>
              <w:bottom w:val="double" w:sz="4" w:space="0" w:color="auto"/>
            </w:tcBorders>
            <w:tcMar>
              <w:top w:w="57" w:type="dxa"/>
              <w:left w:w="57" w:type="dxa"/>
              <w:bottom w:w="57" w:type="dxa"/>
              <w:right w:w="57" w:type="dxa"/>
            </w:tcMar>
          </w:tcPr>
          <w:p w:rsidR="008C4900" w:rsidRPr="00AC3AF6" w:rsidRDefault="008C4900" w:rsidP="00AC3AF6">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398 </w:t>
            </w:r>
          </w:p>
        </w:tc>
      </w:tr>
      <w:tr w:rsidR="008C4900" w:rsidRPr="00AC3AF6" w:rsidTr="00AC3AF6">
        <w:trPr>
          <w:trHeight w:hRule="exact" w:val="283"/>
        </w:trPr>
        <w:tc>
          <w:tcPr>
            <w:tcW w:w="5712" w:type="dxa"/>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c>
          <w:tcPr>
            <w:tcW w:w="857" w:type="dxa"/>
            <w:tcBorders>
              <w:top w:val="double" w:sz="4" w:space="0" w:color="auto"/>
            </w:tcBorders>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c>
          <w:tcPr>
            <w:tcW w:w="858" w:type="dxa"/>
            <w:tcBorders>
              <w:top w:val="double" w:sz="4" w:space="0" w:color="auto"/>
            </w:tcBorders>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r>
      <w:tr w:rsidR="008C4900" w:rsidRPr="00AC3AF6" w:rsidTr="008C4900">
        <w:trPr>
          <w:trHeight w:val="60"/>
        </w:trPr>
        <w:tc>
          <w:tcPr>
            <w:tcW w:w="7427" w:type="dxa"/>
            <w:gridSpan w:val="3"/>
            <w:tcMar>
              <w:top w:w="85" w:type="dxa"/>
              <w:left w:w="57" w:type="dxa"/>
              <w:bottom w:w="85" w:type="dxa"/>
              <w:right w:w="57" w:type="dxa"/>
            </w:tcMar>
          </w:tcPr>
          <w:p w:rsidR="008C4900" w:rsidRPr="00AC3AF6" w:rsidRDefault="008C4900" w:rsidP="008C4900">
            <w:pPr>
              <w:tabs>
                <w:tab w:val="left" w:pos="2268"/>
              </w:tabs>
              <w:suppressAutoHyphens/>
              <w:autoSpaceDE w:val="0"/>
              <w:autoSpaceDN w:val="0"/>
              <w:adjustRightInd w:val="0"/>
              <w:spacing w:before="113"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total number of KMP that are included in the above table are 1. (2017:1)</w:t>
            </w:r>
            <w:r w:rsidRPr="00AC3AF6">
              <w:rPr>
                <w:rFonts w:ascii="Calibri" w:hAnsi="Calibri" w:cs="MetaNormalLF-Roman"/>
                <w:color w:val="000000"/>
                <w:sz w:val="18"/>
                <w:szCs w:val="18"/>
                <w:lang w:val="en-GB"/>
              </w:rPr>
              <w:tab/>
            </w:r>
            <w:r w:rsidRPr="00AC3AF6">
              <w:rPr>
                <w:rFonts w:ascii="Calibri" w:hAnsi="Calibri" w:cs="MetaNormalLF-Roman"/>
                <w:color w:val="000000"/>
                <w:sz w:val="18"/>
                <w:szCs w:val="18"/>
                <w:lang w:val="en-GB"/>
              </w:rPr>
              <w:tab/>
            </w:r>
          </w:p>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above KMP remuneration excludes the remuneration and other benefits of the Portfolio Minister.  The Portfolio Minister’s remuneration and other benefits are set by the Remuneration Tribunal and are not paid by the Authority.</w:t>
            </w:r>
          </w:p>
        </w:tc>
      </w:tr>
    </w:tbl>
    <w:p w:rsidR="008C4900" w:rsidRPr="00AC3AF6" w:rsidRDefault="008C4900" w:rsidP="00AC3AF6">
      <w:pPr>
        <w:tabs>
          <w:tab w:val="left" w:pos="119"/>
          <w:tab w:val="left" w:pos="2268"/>
        </w:tabs>
        <w:suppressAutoHyphens/>
        <w:autoSpaceDE w:val="0"/>
        <w:autoSpaceDN w:val="0"/>
        <w:adjustRightInd w:val="0"/>
        <w:spacing w:after="220" w:line="160" w:lineRule="atLeast"/>
        <w:textAlignment w:val="center"/>
        <w:rPr>
          <w:rFonts w:ascii="Calibri" w:hAnsi="Calibri" w:cs="MetaNormalLF-Italic"/>
          <w:i/>
          <w:iCs/>
          <w:color w:val="000000"/>
          <w:sz w:val="12"/>
          <w:szCs w:val="12"/>
          <w:lang w:val="en-GB"/>
        </w:rPr>
      </w:pPr>
    </w:p>
    <w:p w:rsidR="008C4900" w:rsidRPr="00AC3AF6" w:rsidRDefault="008C4900" w:rsidP="008C4900">
      <w:pPr>
        <w:keepNext/>
        <w:tabs>
          <w:tab w:val="left" w:pos="1418"/>
        </w:tabs>
        <w:suppressAutoHyphens/>
        <w:autoSpaceDE w:val="0"/>
        <w:autoSpaceDN w:val="0"/>
        <w:adjustRightInd w:val="0"/>
        <w:spacing w:before="170" w:after="113" w:line="200" w:lineRule="atLeast"/>
        <w:textAlignment w:val="center"/>
        <w:rPr>
          <w:rFonts w:ascii="Calibri" w:hAnsi="Calibri" w:cs="Gotham Book"/>
          <w:caps/>
          <w:color w:val="00B6E8"/>
          <w:sz w:val="16"/>
          <w:szCs w:val="16"/>
          <w:lang w:val="en-GB"/>
        </w:rPr>
      </w:pPr>
      <w:r w:rsidRPr="00AC3AF6">
        <w:rPr>
          <w:rFonts w:ascii="Calibri" w:hAnsi="Calibri" w:cs="Gotham Book"/>
          <w:caps/>
          <w:color w:val="00B6E8"/>
          <w:sz w:val="16"/>
          <w:szCs w:val="16"/>
          <w:lang w:val="en-GB"/>
        </w:rPr>
        <w:t>Related Party Disclosures</w:t>
      </w:r>
    </w:p>
    <w:p w:rsidR="008C4900" w:rsidRPr="00B51AC7" w:rsidRDefault="008C4900" w:rsidP="008C4900">
      <w:pPr>
        <w:tabs>
          <w:tab w:val="left" w:pos="2268"/>
        </w:tabs>
        <w:suppressAutoHyphens/>
        <w:autoSpaceDE w:val="0"/>
        <w:autoSpaceDN w:val="0"/>
        <w:adjustRightInd w:val="0"/>
        <w:spacing w:after="28" w:line="220" w:lineRule="atLeast"/>
        <w:textAlignment w:val="center"/>
        <w:rPr>
          <w:rFonts w:ascii="Calibri" w:hAnsi="Calibri" w:cs="MetaMediumLF-Roman"/>
          <w:b/>
          <w:color w:val="000000"/>
          <w:sz w:val="18"/>
          <w:szCs w:val="18"/>
          <w:lang w:val="en-GB"/>
        </w:rPr>
      </w:pPr>
      <w:r w:rsidRPr="00B51AC7">
        <w:rPr>
          <w:rFonts w:ascii="Calibri" w:hAnsi="Calibri" w:cs="MetaMediumLF-Roman"/>
          <w:b/>
          <w:color w:val="000000"/>
          <w:sz w:val="18"/>
          <w:szCs w:val="18"/>
          <w:lang w:val="en-GB"/>
        </w:rPr>
        <w:t>Related party relationships:</w:t>
      </w:r>
    </w:p>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The Authority is an Australian Government controlled entity. Related parties to the Authority are Key Management Personnel including the Portfolio Minister and Executive.</w:t>
      </w:r>
    </w:p>
    <w:p w:rsidR="008C4900" w:rsidRPr="00B51AC7" w:rsidRDefault="008C4900" w:rsidP="008C4900">
      <w:pPr>
        <w:tabs>
          <w:tab w:val="left" w:pos="2268"/>
        </w:tabs>
        <w:suppressAutoHyphens/>
        <w:autoSpaceDE w:val="0"/>
        <w:autoSpaceDN w:val="0"/>
        <w:adjustRightInd w:val="0"/>
        <w:spacing w:before="57" w:after="28" w:line="220" w:lineRule="atLeast"/>
        <w:textAlignment w:val="center"/>
        <w:rPr>
          <w:rFonts w:ascii="Calibri" w:hAnsi="Calibri" w:cs="MetaMediumLF-Roman"/>
          <w:b/>
          <w:color w:val="000000"/>
          <w:sz w:val="18"/>
          <w:szCs w:val="18"/>
          <w:lang w:val="en-GB"/>
        </w:rPr>
      </w:pPr>
      <w:bookmarkStart w:id="42" w:name="_GoBack"/>
      <w:r w:rsidRPr="00B51AC7">
        <w:rPr>
          <w:rFonts w:ascii="Calibri" w:hAnsi="Calibri" w:cs="MetaMediumLF-Roman"/>
          <w:b/>
          <w:color w:val="000000"/>
          <w:sz w:val="18"/>
          <w:szCs w:val="18"/>
          <w:lang w:val="en-GB"/>
        </w:rPr>
        <w:t>Transactions with related parties:</w:t>
      </w:r>
    </w:p>
    <w:bookmarkEnd w:id="42"/>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Given the breadth of Government activities, related parties may transact with the Authority in the same capacity as ordinary citizens.  These transactions have not been separately disclosed in this note.  There were no significant transactions with related parties during the year.  All related party transactions were in the ordinary course of business and do not require separate disclosure.</w:t>
      </w: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lack"/>
          <w:caps/>
          <w:color w:val="00B6E8"/>
          <w:sz w:val="22"/>
          <w:szCs w:val="22"/>
          <w:lang w:val="en-GB"/>
        </w:rPr>
      </w:pPr>
      <w:r w:rsidRPr="00AC3AF6">
        <w:rPr>
          <w:rFonts w:ascii="Calibri" w:hAnsi="Calibri" w:cs="Gotham Black"/>
          <w:caps/>
          <w:color w:val="00B6E8"/>
          <w:sz w:val="22"/>
          <w:szCs w:val="22"/>
          <w:lang w:val="en-GB"/>
        </w:rPr>
        <w:t>Note 10: Categories of Financial Instruments</w:t>
      </w:r>
    </w:p>
    <w:tbl>
      <w:tblPr>
        <w:tblW w:w="0" w:type="auto"/>
        <w:tblInd w:w="-8" w:type="dxa"/>
        <w:tblLayout w:type="fixed"/>
        <w:tblCellMar>
          <w:left w:w="0" w:type="dxa"/>
          <w:right w:w="0" w:type="dxa"/>
        </w:tblCellMar>
        <w:tblLook w:val="0000" w:firstRow="0" w:lastRow="0" w:firstColumn="0" w:lastColumn="0" w:noHBand="0" w:noVBand="0"/>
      </w:tblPr>
      <w:tblGrid>
        <w:gridCol w:w="5712"/>
        <w:gridCol w:w="857"/>
        <w:gridCol w:w="858"/>
      </w:tblGrid>
      <w:tr w:rsidR="008C4900" w:rsidRPr="00AC3AF6" w:rsidTr="008C4900">
        <w:trPr>
          <w:trHeight w:val="60"/>
          <w:tblHeader/>
        </w:trPr>
        <w:tc>
          <w:tcPr>
            <w:tcW w:w="5712" w:type="dxa"/>
            <w:shd w:val="solid" w:color="00B6E8" w:fill="auto"/>
            <w:tcMar>
              <w:top w:w="57" w:type="dxa"/>
              <w:left w:w="113" w:type="dxa"/>
              <w:bottom w:w="57" w:type="dxa"/>
              <w:right w:w="113"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2018</w:t>
            </w:r>
          </w:p>
        </w:tc>
        <w:tc>
          <w:tcPr>
            <w:tcW w:w="858"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160" w:lineRule="atLeast"/>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z w:val="16"/>
                <w:szCs w:val="16"/>
                <w:lang w:val="en-GB"/>
              </w:rPr>
              <w:t>2017</w:t>
            </w:r>
          </w:p>
        </w:tc>
      </w:tr>
      <w:tr w:rsidR="008C4900" w:rsidRPr="00AC3AF6" w:rsidTr="008C4900">
        <w:trPr>
          <w:trHeight w:val="60"/>
          <w:tblHeader/>
        </w:trPr>
        <w:tc>
          <w:tcPr>
            <w:tcW w:w="5712" w:type="dxa"/>
            <w:shd w:val="solid" w:color="00B6E8" w:fill="auto"/>
            <w:tcMar>
              <w:top w:w="57" w:type="dxa"/>
              <w:left w:w="57" w:type="dxa"/>
              <w:bottom w:w="57" w:type="dxa"/>
              <w:right w:w="57" w:type="dxa"/>
            </w:tcMar>
          </w:tcPr>
          <w:p w:rsidR="008C4900" w:rsidRPr="00AC3AF6" w:rsidRDefault="008C4900" w:rsidP="008C4900">
            <w:pPr>
              <w:autoSpaceDE w:val="0"/>
              <w:autoSpaceDN w:val="0"/>
              <w:adjustRightInd w:val="0"/>
              <w:rPr>
                <w:rFonts w:ascii="Calibri" w:hAnsi="Calibri"/>
                <w:lang w:val="en-US"/>
              </w:rPr>
            </w:pPr>
          </w:p>
        </w:tc>
        <w:tc>
          <w:tcPr>
            <w:tcW w:w="857"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c>
          <w:tcPr>
            <w:tcW w:w="858" w:type="dxa"/>
            <w:shd w:val="solid" w:color="00B6E8" w:fill="auto"/>
            <w:tcMar>
              <w:top w:w="57" w:type="dxa"/>
              <w:left w:w="57" w:type="dxa"/>
              <w:bottom w:w="57" w:type="dxa"/>
              <w:right w:w="57"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PlusBold-Roman"/>
                <w:color w:val="000000"/>
                <w:sz w:val="18"/>
                <w:szCs w:val="18"/>
                <w:lang w:val="en-GB"/>
              </w:rPr>
            </w:pPr>
            <w:r w:rsidRPr="00AC3AF6">
              <w:rPr>
                <w:rFonts w:ascii="Calibri" w:hAnsi="Calibri" w:cs="MetaPlusBold-Roman"/>
                <w:color w:val="000000"/>
                <w:sz w:val="18"/>
                <w:szCs w:val="18"/>
                <w:lang w:val="en-GB"/>
              </w:rPr>
              <w:t>$’000</w:t>
            </w:r>
          </w:p>
        </w:tc>
      </w:tr>
      <w:tr w:rsidR="008C4900" w:rsidRPr="00AC3AF6" w:rsidTr="008C4900">
        <w:trPr>
          <w:trHeight w:val="60"/>
        </w:trPr>
        <w:tc>
          <w:tcPr>
            <w:tcW w:w="5712" w:type="dxa"/>
            <w:tcMar>
              <w:top w:w="113" w:type="dxa"/>
              <w:left w:w="113" w:type="dxa"/>
              <w:bottom w:w="113" w:type="dxa"/>
              <w:right w:w="113" w:type="dxa"/>
            </w:tcMar>
          </w:tcPr>
          <w:p w:rsidR="008C4900" w:rsidRPr="00AC3AF6" w:rsidRDefault="008C4900" w:rsidP="008C4900">
            <w:pPr>
              <w:tabs>
                <w:tab w:val="left" w:pos="2268"/>
              </w:tabs>
              <w:suppressAutoHyphens/>
              <w:autoSpaceDE w:val="0"/>
              <w:autoSpaceDN w:val="0"/>
              <w:adjustRightInd w:val="0"/>
              <w:spacing w:after="57" w:line="220" w:lineRule="atLeas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Financial Assets</w:t>
            </w:r>
          </w:p>
        </w:tc>
        <w:tc>
          <w:tcPr>
            <w:tcW w:w="857" w:type="dxa"/>
            <w:tcMar>
              <w:top w:w="113" w:type="dxa"/>
              <w:left w:w="113" w:type="dxa"/>
              <w:bottom w:w="113" w:type="dxa"/>
              <w:right w:w="113" w:type="dxa"/>
            </w:tcMar>
            <w:vAlign w:val="bottom"/>
          </w:tcPr>
          <w:p w:rsidR="008C4900" w:rsidRPr="00AC3AF6" w:rsidRDefault="008C4900" w:rsidP="008C4900">
            <w:pPr>
              <w:autoSpaceDE w:val="0"/>
              <w:autoSpaceDN w:val="0"/>
              <w:adjustRightInd w:val="0"/>
              <w:rPr>
                <w:rFonts w:ascii="Calibri" w:hAnsi="Calibri"/>
                <w:lang w:val="en-US"/>
              </w:rPr>
            </w:pPr>
          </w:p>
        </w:tc>
        <w:tc>
          <w:tcPr>
            <w:tcW w:w="858" w:type="dxa"/>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r>
      <w:tr w:rsidR="008C4900" w:rsidRPr="00AC3AF6" w:rsidTr="008C4900">
        <w:trPr>
          <w:trHeight w:val="60"/>
        </w:trPr>
        <w:tc>
          <w:tcPr>
            <w:tcW w:w="5712" w:type="dxa"/>
            <w:tcMar>
              <w:top w:w="113" w:type="dxa"/>
              <w:left w:w="113" w:type="dxa"/>
              <w:bottom w:w="113" w:type="dxa"/>
              <w:right w:w="113" w:type="dxa"/>
            </w:tcMar>
          </w:tcPr>
          <w:p w:rsidR="008C4900" w:rsidRPr="00AC3AF6" w:rsidRDefault="008C4900" w:rsidP="008C4900">
            <w:pPr>
              <w:tabs>
                <w:tab w:val="left" w:pos="2268"/>
              </w:tabs>
              <w:suppressAutoHyphens/>
              <w:autoSpaceDE w:val="0"/>
              <w:autoSpaceDN w:val="0"/>
              <w:adjustRightInd w:val="0"/>
              <w:spacing w:after="57" w:line="220" w:lineRule="atLeas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Loans and receivables:</w:t>
            </w:r>
          </w:p>
        </w:tc>
        <w:tc>
          <w:tcPr>
            <w:tcW w:w="857" w:type="dxa"/>
            <w:tcMar>
              <w:top w:w="113" w:type="dxa"/>
              <w:left w:w="113" w:type="dxa"/>
              <w:bottom w:w="113" w:type="dxa"/>
              <w:right w:w="113" w:type="dxa"/>
            </w:tcMar>
            <w:vAlign w:val="bottom"/>
          </w:tcPr>
          <w:p w:rsidR="008C4900" w:rsidRPr="00AC3AF6" w:rsidRDefault="008C4900" w:rsidP="008C4900">
            <w:pPr>
              <w:autoSpaceDE w:val="0"/>
              <w:autoSpaceDN w:val="0"/>
              <w:adjustRightInd w:val="0"/>
              <w:rPr>
                <w:rFonts w:ascii="Calibri" w:hAnsi="Calibri"/>
                <w:lang w:val="en-US"/>
              </w:rPr>
            </w:pPr>
          </w:p>
        </w:tc>
        <w:tc>
          <w:tcPr>
            <w:tcW w:w="858" w:type="dxa"/>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r>
      <w:tr w:rsidR="008C4900" w:rsidRPr="00AC3AF6" w:rsidTr="007A07D3">
        <w:trPr>
          <w:trHeight w:val="60"/>
        </w:trPr>
        <w:tc>
          <w:tcPr>
            <w:tcW w:w="5712" w:type="dxa"/>
            <w:tcMar>
              <w:top w:w="85" w:type="dxa"/>
              <w:left w:w="283"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Cash</w:t>
            </w:r>
          </w:p>
        </w:tc>
        <w:tc>
          <w:tcPr>
            <w:tcW w:w="857" w:type="dxa"/>
            <w:tcBorders>
              <w:bottom w:val="single" w:sz="4" w:space="0" w:color="auto"/>
            </w:tcBorders>
            <w:tcMar>
              <w:top w:w="113" w:type="dxa"/>
              <w:left w:w="113" w:type="dxa"/>
              <w:bottom w:w="113" w:type="dxa"/>
              <w:right w:w="113"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801 </w:t>
            </w:r>
          </w:p>
        </w:tc>
        <w:tc>
          <w:tcPr>
            <w:tcW w:w="858" w:type="dxa"/>
            <w:tcBorders>
              <w:bottom w:val="single" w:sz="4" w:space="0" w:color="auto"/>
            </w:tcBorders>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1,131 </w:t>
            </w:r>
          </w:p>
        </w:tc>
      </w:tr>
      <w:tr w:rsidR="008C4900" w:rsidRPr="00AC3AF6" w:rsidTr="007A07D3">
        <w:trPr>
          <w:trHeight w:val="60"/>
        </w:trPr>
        <w:tc>
          <w:tcPr>
            <w:tcW w:w="5712" w:type="dxa"/>
            <w:tcMar>
              <w:top w:w="113" w:type="dxa"/>
              <w:left w:w="113" w:type="dxa"/>
              <w:bottom w:w="113" w:type="dxa"/>
              <w:right w:w="113" w:type="dxa"/>
            </w:tcMar>
          </w:tcPr>
          <w:p w:rsidR="008C4900" w:rsidRPr="007A07D3" w:rsidRDefault="008C4900" w:rsidP="008C4900">
            <w:pPr>
              <w:tabs>
                <w:tab w:val="left" w:pos="2268"/>
              </w:tabs>
              <w:suppressAutoHyphens/>
              <w:autoSpaceDE w:val="0"/>
              <w:autoSpaceDN w:val="0"/>
              <w:adjustRightInd w:val="0"/>
              <w:spacing w:after="57" w:line="220" w:lineRule="atLeast"/>
              <w:textAlignment w:val="center"/>
              <w:rPr>
                <w:rFonts w:ascii="Calibri" w:hAnsi="Calibri" w:cs="MetaMediumLF-Roman"/>
                <w:b/>
                <w:color w:val="000000"/>
                <w:sz w:val="18"/>
                <w:szCs w:val="18"/>
                <w:lang w:val="en-GB"/>
              </w:rPr>
            </w:pPr>
            <w:r w:rsidRPr="007A07D3">
              <w:rPr>
                <w:rFonts w:ascii="Calibri" w:hAnsi="Calibri" w:cs="MetaMediumLF-Roman"/>
                <w:b/>
                <w:color w:val="000000"/>
                <w:sz w:val="18"/>
                <w:szCs w:val="18"/>
                <w:lang w:val="en-GB"/>
              </w:rPr>
              <w:t>Total loans and receivables</w:t>
            </w:r>
          </w:p>
        </w:tc>
        <w:tc>
          <w:tcPr>
            <w:tcW w:w="857" w:type="dxa"/>
            <w:tcBorders>
              <w:top w:val="single" w:sz="4" w:space="0" w:color="auto"/>
              <w:bottom w:val="double" w:sz="4" w:space="0" w:color="auto"/>
            </w:tcBorders>
            <w:tcMar>
              <w:top w:w="85" w:type="dxa"/>
              <w:left w:w="57" w:type="dxa"/>
              <w:bottom w:w="85" w:type="dxa"/>
              <w:right w:w="57" w:type="dxa"/>
            </w:tcMar>
            <w:vAlign w:val="bottom"/>
          </w:tcPr>
          <w:p w:rsidR="008C4900" w:rsidRPr="007A07D3"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MediumLF-Roman"/>
                <w:b/>
                <w:color w:val="000000"/>
                <w:sz w:val="18"/>
                <w:szCs w:val="18"/>
                <w:lang w:val="en-GB"/>
              </w:rPr>
            </w:pPr>
            <w:r w:rsidRPr="007A07D3">
              <w:rPr>
                <w:rFonts w:ascii="Calibri" w:hAnsi="Calibri" w:cs="MetaMediumLF-Roman"/>
                <w:b/>
                <w:color w:val="000000"/>
                <w:sz w:val="18"/>
                <w:szCs w:val="18"/>
                <w:lang w:val="en-GB"/>
              </w:rPr>
              <w:t xml:space="preserve">801 </w:t>
            </w:r>
          </w:p>
        </w:tc>
        <w:tc>
          <w:tcPr>
            <w:tcW w:w="858"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1,131 </w:t>
            </w:r>
          </w:p>
        </w:tc>
      </w:tr>
      <w:tr w:rsidR="008C4900" w:rsidRPr="00AC3AF6" w:rsidTr="007A07D3">
        <w:trPr>
          <w:trHeight w:val="60"/>
        </w:trPr>
        <w:tc>
          <w:tcPr>
            <w:tcW w:w="5712" w:type="dxa"/>
            <w:tcMar>
              <w:top w:w="85" w:type="dxa"/>
              <w:left w:w="57" w:type="dxa"/>
              <w:bottom w:w="85" w:type="dxa"/>
              <w:right w:w="57" w:type="dxa"/>
            </w:tcMar>
          </w:tcPr>
          <w:p w:rsidR="008C4900" w:rsidRPr="00AC3AF6" w:rsidRDefault="008C4900" w:rsidP="008C4900">
            <w:pPr>
              <w:autoSpaceDE w:val="0"/>
              <w:autoSpaceDN w:val="0"/>
              <w:adjustRightInd w:val="0"/>
              <w:rPr>
                <w:rFonts w:ascii="Calibri" w:hAnsi="Calibri"/>
                <w:lang w:val="en-US"/>
              </w:rPr>
            </w:pPr>
          </w:p>
        </w:tc>
        <w:tc>
          <w:tcPr>
            <w:tcW w:w="857" w:type="dxa"/>
            <w:tcBorders>
              <w:top w:val="double" w:sz="4" w:space="0" w:color="auto"/>
            </w:tcBorders>
            <w:tcMar>
              <w:top w:w="113" w:type="dxa"/>
              <w:left w:w="113" w:type="dxa"/>
              <w:bottom w:w="113" w:type="dxa"/>
              <w:right w:w="113" w:type="dxa"/>
            </w:tcMar>
            <w:vAlign w:val="bottom"/>
          </w:tcPr>
          <w:p w:rsidR="008C4900" w:rsidRPr="00AC3AF6" w:rsidRDefault="008C4900" w:rsidP="008C4900">
            <w:pPr>
              <w:autoSpaceDE w:val="0"/>
              <w:autoSpaceDN w:val="0"/>
              <w:adjustRightInd w:val="0"/>
              <w:rPr>
                <w:rFonts w:ascii="Calibri" w:hAnsi="Calibri"/>
                <w:lang w:val="en-US"/>
              </w:rPr>
            </w:pPr>
          </w:p>
        </w:tc>
        <w:tc>
          <w:tcPr>
            <w:tcW w:w="858" w:type="dxa"/>
            <w:tcBorders>
              <w:top w:val="double" w:sz="4" w:space="0" w:color="auto"/>
            </w:tcBorders>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r>
      <w:tr w:rsidR="008C4900" w:rsidRPr="00AC3AF6" w:rsidTr="008C4900">
        <w:trPr>
          <w:trHeight w:val="60"/>
        </w:trPr>
        <w:tc>
          <w:tcPr>
            <w:tcW w:w="5712" w:type="dxa"/>
            <w:tcMar>
              <w:top w:w="113" w:type="dxa"/>
              <w:left w:w="113" w:type="dxa"/>
              <w:bottom w:w="113" w:type="dxa"/>
              <w:right w:w="113" w:type="dxa"/>
            </w:tcMar>
          </w:tcPr>
          <w:p w:rsidR="008C4900" w:rsidRPr="00AC3AF6" w:rsidRDefault="008C4900" w:rsidP="008C4900">
            <w:pPr>
              <w:tabs>
                <w:tab w:val="left" w:pos="2268"/>
              </w:tabs>
              <w:suppressAutoHyphens/>
              <w:autoSpaceDE w:val="0"/>
              <w:autoSpaceDN w:val="0"/>
              <w:adjustRightInd w:val="0"/>
              <w:spacing w:after="57" w:line="220" w:lineRule="atLeas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Financial liabilities (at amortised cost)</w:t>
            </w:r>
          </w:p>
        </w:tc>
        <w:tc>
          <w:tcPr>
            <w:tcW w:w="857" w:type="dxa"/>
            <w:tcMar>
              <w:top w:w="113" w:type="dxa"/>
              <w:left w:w="113" w:type="dxa"/>
              <w:bottom w:w="113" w:type="dxa"/>
              <w:right w:w="113" w:type="dxa"/>
            </w:tcMar>
            <w:vAlign w:val="bottom"/>
          </w:tcPr>
          <w:p w:rsidR="008C4900" w:rsidRPr="00AC3AF6" w:rsidRDefault="008C4900" w:rsidP="008C4900">
            <w:pPr>
              <w:autoSpaceDE w:val="0"/>
              <w:autoSpaceDN w:val="0"/>
              <w:adjustRightInd w:val="0"/>
              <w:rPr>
                <w:rFonts w:ascii="Calibri" w:hAnsi="Calibri"/>
                <w:lang w:val="en-US"/>
              </w:rPr>
            </w:pPr>
          </w:p>
        </w:tc>
        <w:tc>
          <w:tcPr>
            <w:tcW w:w="858" w:type="dxa"/>
            <w:tcMar>
              <w:top w:w="85" w:type="dxa"/>
              <w:left w:w="57" w:type="dxa"/>
              <w:bottom w:w="85" w:type="dxa"/>
              <w:right w:w="57" w:type="dxa"/>
            </w:tcMar>
            <w:vAlign w:val="bottom"/>
          </w:tcPr>
          <w:p w:rsidR="008C4900" w:rsidRPr="00AC3AF6" w:rsidRDefault="008C4900" w:rsidP="008C4900">
            <w:pPr>
              <w:autoSpaceDE w:val="0"/>
              <w:autoSpaceDN w:val="0"/>
              <w:adjustRightInd w:val="0"/>
              <w:rPr>
                <w:rFonts w:ascii="Calibri" w:hAnsi="Calibri"/>
                <w:lang w:val="en-US"/>
              </w:rPr>
            </w:pPr>
          </w:p>
        </w:tc>
      </w:tr>
      <w:tr w:rsidR="008C4900" w:rsidRPr="00AC3AF6" w:rsidTr="007A07D3">
        <w:trPr>
          <w:trHeight w:val="60"/>
        </w:trPr>
        <w:tc>
          <w:tcPr>
            <w:tcW w:w="5712" w:type="dxa"/>
            <w:tcMar>
              <w:top w:w="85" w:type="dxa"/>
              <w:left w:w="283" w:type="dxa"/>
              <w:bottom w:w="85" w:type="dxa"/>
              <w:right w:w="57" w:type="dxa"/>
            </w:tcMar>
          </w:tcPr>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Payables – suppliers</w:t>
            </w:r>
          </w:p>
        </w:tc>
        <w:tc>
          <w:tcPr>
            <w:tcW w:w="857" w:type="dxa"/>
            <w:tcBorders>
              <w:bottom w:val="single" w:sz="4" w:space="0" w:color="auto"/>
            </w:tcBorders>
            <w:tcMar>
              <w:top w:w="113" w:type="dxa"/>
              <w:left w:w="113" w:type="dxa"/>
              <w:bottom w:w="113" w:type="dxa"/>
              <w:right w:w="113" w:type="dxa"/>
            </w:tcMar>
            <w:vAlign w:val="bottom"/>
          </w:tcPr>
          <w:p w:rsidR="008C4900" w:rsidRPr="00AC3AF6" w:rsidRDefault="008C4900" w:rsidP="008C4900">
            <w:pPr>
              <w:tabs>
                <w:tab w:val="left" w:pos="2268"/>
              </w:tabs>
              <w:suppressAutoHyphens/>
              <w:autoSpaceDE w:val="0"/>
              <w:autoSpaceDN w:val="0"/>
              <w:adjustRightInd w:val="0"/>
              <w:spacing w:after="57" w:line="220" w:lineRule="atLeast"/>
              <w:jc w:val="right"/>
              <w:textAlignment w:val="center"/>
              <w:rPr>
                <w:rFonts w:ascii="Calibri" w:hAnsi="Calibri" w:cs="MetaMediumLF-Roman"/>
                <w:color w:val="000000"/>
                <w:sz w:val="18"/>
                <w:szCs w:val="18"/>
                <w:lang w:val="en-GB"/>
              </w:rPr>
            </w:pPr>
            <w:r w:rsidRPr="00AC3AF6">
              <w:rPr>
                <w:rFonts w:ascii="Calibri" w:hAnsi="Calibri" w:cs="MetaMediumLF-Roman"/>
                <w:color w:val="000000"/>
                <w:sz w:val="18"/>
                <w:szCs w:val="18"/>
                <w:lang w:val="en-GB"/>
              </w:rPr>
              <w:t xml:space="preserve">59 </w:t>
            </w:r>
          </w:p>
        </w:tc>
        <w:tc>
          <w:tcPr>
            <w:tcW w:w="858" w:type="dxa"/>
            <w:tcBorders>
              <w:bottom w:val="single" w:sz="4" w:space="0" w:color="auto"/>
            </w:tcBorders>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82 </w:t>
            </w:r>
          </w:p>
        </w:tc>
      </w:tr>
      <w:tr w:rsidR="008C4900" w:rsidRPr="00AC3AF6" w:rsidTr="007A07D3">
        <w:trPr>
          <w:trHeight w:val="60"/>
        </w:trPr>
        <w:tc>
          <w:tcPr>
            <w:tcW w:w="5712" w:type="dxa"/>
            <w:tcMar>
              <w:top w:w="113" w:type="dxa"/>
              <w:left w:w="113" w:type="dxa"/>
              <w:bottom w:w="113" w:type="dxa"/>
              <w:right w:w="113" w:type="dxa"/>
            </w:tcMar>
          </w:tcPr>
          <w:p w:rsidR="008C4900" w:rsidRPr="007A07D3" w:rsidRDefault="008C4900" w:rsidP="008C4900">
            <w:pPr>
              <w:tabs>
                <w:tab w:val="left" w:pos="2268"/>
              </w:tabs>
              <w:suppressAutoHyphens/>
              <w:autoSpaceDE w:val="0"/>
              <w:autoSpaceDN w:val="0"/>
              <w:adjustRightInd w:val="0"/>
              <w:spacing w:after="57" w:line="220" w:lineRule="atLeast"/>
              <w:textAlignment w:val="center"/>
              <w:rPr>
                <w:rFonts w:ascii="Calibri" w:hAnsi="Calibri" w:cs="MetaMediumLF-Roman"/>
                <w:b/>
                <w:color w:val="000000"/>
                <w:sz w:val="18"/>
                <w:szCs w:val="18"/>
                <w:lang w:val="en-GB"/>
              </w:rPr>
            </w:pPr>
            <w:r w:rsidRPr="007A07D3">
              <w:rPr>
                <w:rFonts w:ascii="Calibri" w:hAnsi="Calibri" w:cs="MetaMediumLF-Roman"/>
                <w:b/>
                <w:color w:val="000000"/>
                <w:sz w:val="18"/>
                <w:szCs w:val="18"/>
                <w:lang w:val="en-GB"/>
              </w:rPr>
              <w:t>Total financial liabilities measured at amortised cost</w:t>
            </w:r>
          </w:p>
        </w:tc>
        <w:tc>
          <w:tcPr>
            <w:tcW w:w="857" w:type="dxa"/>
            <w:tcBorders>
              <w:top w:val="single" w:sz="4" w:space="0" w:color="auto"/>
              <w:bottom w:val="double" w:sz="4" w:space="0" w:color="auto"/>
            </w:tcBorders>
            <w:tcMar>
              <w:top w:w="85" w:type="dxa"/>
              <w:left w:w="57" w:type="dxa"/>
              <w:bottom w:w="85" w:type="dxa"/>
              <w:right w:w="57" w:type="dxa"/>
            </w:tcMar>
            <w:vAlign w:val="bottom"/>
          </w:tcPr>
          <w:p w:rsidR="008C4900" w:rsidRPr="007A07D3"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MediumLF-Roman"/>
                <w:b/>
                <w:color w:val="000000"/>
                <w:sz w:val="18"/>
                <w:szCs w:val="18"/>
                <w:lang w:val="en-GB"/>
              </w:rPr>
            </w:pPr>
            <w:r w:rsidRPr="007A07D3">
              <w:rPr>
                <w:rFonts w:ascii="Calibri" w:hAnsi="Calibri" w:cs="MetaMediumLF-Roman"/>
                <w:b/>
                <w:color w:val="000000"/>
                <w:sz w:val="18"/>
                <w:szCs w:val="18"/>
                <w:lang w:val="en-GB"/>
              </w:rPr>
              <w:t xml:space="preserve">59 </w:t>
            </w:r>
          </w:p>
        </w:tc>
        <w:tc>
          <w:tcPr>
            <w:tcW w:w="858" w:type="dxa"/>
            <w:tcBorders>
              <w:top w:val="single" w:sz="4" w:space="0" w:color="auto"/>
              <w:bottom w:val="double" w:sz="4" w:space="0" w:color="auto"/>
            </w:tcBorders>
            <w:tcMar>
              <w:top w:w="85" w:type="dxa"/>
              <w:left w:w="57" w:type="dxa"/>
              <w:bottom w:w="85" w:type="dxa"/>
              <w:right w:w="57" w:type="dxa"/>
            </w:tcMar>
            <w:vAlign w:val="bottom"/>
          </w:tcPr>
          <w:p w:rsidR="008C4900" w:rsidRPr="00AC3AF6" w:rsidRDefault="008C4900" w:rsidP="008C4900">
            <w:pPr>
              <w:tabs>
                <w:tab w:val="left" w:pos="2268"/>
              </w:tabs>
              <w:suppressAutoHyphens/>
              <w:autoSpaceDE w:val="0"/>
              <w:autoSpaceDN w:val="0"/>
              <w:adjustRightInd w:val="0"/>
              <w:spacing w:after="50" w:line="220" w:lineRule="atLeast"/>
              <w:jc w:val="right"/>
              <w:textAlignment w:val="center"/>
              <w:rPr>
                <w:rFonts w:ascii="Calibri" w:hAnsi="Calibri" w:cs="MetaNormalLF-Roman"/>
                <w:color w:val="000000"/>
                <w:sz w:val="18"/>
                <w:szCs w:val="18"/>
                <w:lang w:val="en-GB"/>
              </w:rPr>
            </w:pPr>
            <w:r w:rsidRPr="00AC3AF6">
              <w:rPr>
                <w:rFonts w:ascii="Calibri" w:hAnsi="Calibri" w:cs="MetaNormalLF-Roman"/>
                <w:color w:val="000000"/>
                <w:sz w:val="18"/>
                <w:szCs w:val="18"/>
                <w:lang w:val="en-GB"/>
              </w:rPr>
              <w:t xml:space="preserve">82 </w:t>
            </w:r>
          </w:p>
        </w:tc>
      </w:tr>
    </w:tbl>
    <w:p w:rsidR="008C4900"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pP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old"/>
          <w:b/>
          <w:bCs/>
          <w:caps/>
          <w:color w:val="00B6E8"/>
          <w:sz w:val="22"/>
          <w:szCs w:val="22"/>
          <w:lang w:val="en-GB"/>
        </w:rPr>
      </w:pP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lack"/>
          <w:caps/>
          <w:color w:val="00B6E8"/>
          <w:sz w:val="22"/>
          <w:szCs w:val="22"/>
          <w:lang w:val="en-GB"/>
        </w:rPr>
        <w:sectPr w:rsidR="008C4900" w:rsidRPr="00AC3AF6" w:rsidSect="007261AC">
          <w:footerReference w:type="even" r:id="rId15"/>
          <w:footerReference w:type="default" r:id="rId16"/>
          <w:pgSz w:w="12240" w:h="15840"/>
          <w:pgMar w:top="1701" w:right="1134" w:bottom="1134" w:left="1134" w:header="720" w:footer="720" w:gutter="0"/>
          <w:cols w:space="720"/>
          <w:noEndnote/>
          <w:titlePg/>
        </w:sectPr>
      </w:pPr>
    </w:p>
    <w:p w:rsidR="008C4900" w:rsidRPr="00AC3AF6" w:rsidRDefault="008C4900" w:rsidP="008C4900">
      <w:pPr>
        <w:tabs>
          <w:tab w:val="left" w:pos="850"/>
          <w:tab w:val="left" w:pos="1100"/>
        </w:tabs>
        <w:suppressAutoHyphens/>
        <w:autoSpaceDE w:val="0"/>
        <w:autoSpaceDN w:val="0"/>
        <w:adjustRightInd w:val="0"/>
        <w:spacing w:before="227" w:after="113" w:line="260" w:lineRule="atLeast"/>
        <w:ind w:left="510" w:hanging="510"/>
        <w:textAlignment w:val="center"/>
        <w:rPr>
          <w:rFonts w:ascii="Calibri" w:hAnsi="Calibri" w:cs="Gotham Black"/>
          <w:caps/>
          <w:color w:val="00B6E8"/>
          <w:sz w:val="22"/>
          <w:szCs w:val="22"/>
          <w:lang w:val="en-GB"/>
        </w:rPr>
      </w:pPr>
      <w:r w:rsidRPr="00AC3AF6">
        <w:rPr>
          <w:rFonts w:ascii="Calibri" w:hAnsi="Calibri" w:cs="Gotham Black"/>
          <w:caps/>
          <w:color w:val="00B6E8"/>
          <w:sz w:val="22"/>
          <w:szCs w:val="22"/>
          <w:lang w:val="en-GB"/>
        </w:rPr>
        <w:t>Note 11: Appropriations</w:t>
      </w:r>
    </w:p>
    <w:p w:rsidR="008C4900" w:rsidRPr="00AC3AF6" w:rsidRDefault="008C4900" w:rsidP="008C4900">
      <w:pPr>
        <w:keepNext/>
        <w:tabs>
          <w:tab w:val="left" w:pos="1418"/>
        </w:tabs>
        <w:suppressAutoHyphens/>
        <w:autoSpaceDE w:val="0"/>
        <w:autoSpaceDN w:val="0"/>
        <w:adjustRightInd w:val="0"/>
        <w:spacing w:before="283" w:line="200" w:lineRule="atLeast"/>
        <w:textAlignment w:val="center"/>
        <w:rPr>
          <w:rFonts w:ascii="Calibri" w:hAnsi="Calibri" w:cs="Gotham Book"/>
          <w:caps/>
          <w:color w:val="00B6E8"/>
          <w:sz w:val="16"/>
          <w:szCs w:val="16"/>
          <w:lang w:val="en-GB"/>
        </w:rPr>
      </w:pPr>
      <w:r w:rsidRPr="00AC3AF6">
        <w:rPr>
          <w:rFonts w:ascii="Calibri" w:hAnsi="Calibri" w:cs="Gotham Book"/>
          <w:caps/>
          <w:color w:val="00B6E8"/>
          <w:sz w:val="16"/>
          <w:szCs w:val="16"/>
          <w:lang w:val="en-GB"/>
        </w:rPr>
        <w:t>Note 11A: Annual Appropriations (Recoverable GST exclusive) for 2018</w:t>
      </w:r>
    </w:p>
    <w:tbl>
      <w:tblPr>
        <w:tblW w:w="0" w:type="auto"/>
        <w:tblInd w:w="-8" w:type="dxa"/>
        <w:tblLayout w:type="fixed"/>
        <w:tblCellMar>
          <w:left w:w="0" w:type="dxa"/>
          <w:right w:w="0" w:type="dxa"/>
        </w:tblCellMar>
        <w:tblLook w:val="0000" w:firstRow="0" w:lastRow="0" w:firstColumn="0" w:lastColumn="0" w:noHBand="0" w:noVBand="0"/>
      </w:tblPr>
      <w:tblGrid>
        <w:gridCol w:w="1361"/>
        <w:gridCol w:w="1374"/>
        <w:gridCol w:w="1460"/>
        <w:gridCol w:w="794"/>
        <w:gridCol w:w="780"/>
        <w:gridCol w:w="1318"/>
        <w:gridCol w:w="1261"/>
        <w:gridCol w:w="950"/>
        <w:gridCol w:w="1431"/>
      </w:tblGrid>
      <w:tr w:rsidR="008C4900" w:rsidRPr="00AC3AF6" w:rsidTr="007A07D3">
        <w:trPr>
          <w:trHeight w:val="60"/>
          <w:tblHeader/>
        </w:trPr>
        <w:tc>
          <w:tcPr>
            <w:tcW w:w="1361" w:type="dxa"/>
            <w:vMerge w:val="restart"/>
            <w:shd w:val="solid" w:color="00B6E8" w:fill="auto"/>
            <w:tcMar>
              <w:top w:w="57" w:type="dxa"/>
              <w:left w:w="0" w:type="dxa"/>
              <w:bottom w:w="57" w:type="dxa"/>
              <w:right w:w="0" w:type="dxa"/>
            </w:tcMar>
          </w:tcPr>
          <w:p w:rsidR="008C4900" w:rsidRPr="00AC3AF6" w:rsidRDefault="008C4900" w:rsidP="007A07D3">
            <w:pPr>
              <w:autoSpaceDE w:val="0"/>
              <w:autoSpaceDN w:val="0"/>
              <w:adjustRightInd w:val="0"/>
              <w:rPr>
                <w:rFonts w:ascii="Calibri" w:hAnsi="Calibri"/>
                <w:lang w:val="en-US"/>
              </w:rPr>
            </w:pPr>
          </w:p>
        </w:tc>
        <w:tc>
          <w:tcPr>
            <w:tcW w:w="5726" w:type="dxa"/>
            <w:gridSpan w:val="5"/>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center"/>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en-GB"/>
              </w:rPr>
              <w:t>2018 Appropriations</w:t>
            </w:r>
          </w:p>
        </w:tc>
        <w:tc>
          <w:tcPr>
            <w:tcW w:w="1261" w:type="dxa"/>
            <w:vMerge w:val="restart"/>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pacing w:val="-3"/>
                <w:w w:val="95"/>
                <w:sz w:val="14"/>
                <w:szCs w:val="14"/>
                <w:lang w:val="en-GB"/>
              </w:rPr>
              <w:t>Appropriation applied in 2016 (current and prior years)</w:t>
            </w:r>
          </w:p>
        </w:tc>
        <w:tc>
          <w:tcPr>
            <w:tcW w:w="950" w:type="dxa"/>
            <w:vMerge w:val="restart"/>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pt-BR"/>
              </w:rPr>
              <w:t>Variance</w:t>
            </w:r>
          </w:p>
        </w:tc>
        <w:tc>
          <w:tcPr>
            <w:tcW w:w="1431" w:type="dxa"/>
            <w:vMerge w:val="restart"/>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pacing w:val="-3"/>
                <w:w w:val="95"/>
                <w:sz w:val="14"/>
                <w:szCs w:val="14"/>
                <w:lang w:val="pt-BR"/>
              </w:rPr>
              <w:t>Section 51 determinations</w:t>
            </w:r>
          </w:p>
        </w:tc>
      </w:tr>
      <w:tr w:rsidR="008C4900" w:rsidRPr="00AC3AF6" w:rsidTr="007A07D3">
        <w:trPr>
          <w:trHeight w:val="60"/>
          <w:tblHeader/>
        </w:trPr>
        <w:tc>
          <w:tcPr>
            <w:tcW w:w="1361" w:type="dxa"/>
            <w:vMerge/>
          </w:tcPr>
          <w:p w:rsidR="008C4900" w:rsidRPr="00AC3AF6" w:rsidRDefault="008C4900" w:rsidP="007A07D3">
            <w:pPr>
              <w:autoSpaceDE w:val="0"/>
              <w:autoSpaceDN w:val="0"/>
              <w:adjustRightInd w:val="0"/>
              <w:rPr>
                <w:rFonts w:ascii="Calibri" w:hAnsi="Calibri"/>
                <w:lang w:val="en-US"/>
              </w:rPr>
            </w:pPr>
          </w:p>
        </w:tc>
        <w:tc>
          <w:tcPr>
            <w:tcW w:w="2834" w:type="dxa"/>
            <w:gridSpan w:val="2"/>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center"/>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en-GB"/>
              </w:rPr>
              <w:t>Appropriation Act</w:t>
            </w:r>
          </w:p>
        </w:tc>
        <w:tc>
          <w:tcPr>
            <w:tcW w:w="1574" w:type="dxa"/>
            <w:gridSpan w:val="2"/>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center"/>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en-GB"/>
              </w:rPr>
              <w:t>PGPA Act</w:t>
            </w:r>
          </w:p>
        </w:tc>
        <w:tc>
          <w:tcPr>
            <w:tcW w:w="1318" w:type="dxa"/>
            <w:vMerge w:val="restart"/>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pacing w:val="-3"/>
                <w:w w:val="95"/>
                <w:sz w:val="14"/>
                <w:szCs w:val="14"/>
                <w:lang w:val="en-GB"/>
              </w:rPr>
              <w:t>Total Appropriation</w:t>
            </w:r>
          </w:p>
        </w:tc>
        <w:tc>
          <w:tcPr>
            <w:tcW w:w="1261" w:type="dxa"/>
            <w:vMerge/>
          </w:tcPr>
          <w:p w:rsidR="008C4900" w:rsidRPr="00AC3AF6" w:rsidRDefault="008C4900" w:rsidP="007A07D3">
            <w:pPr>
              <w:autoSpaceDE w:val="0"/>
              <w:autoSpaceDN w:val="0"/>
              <w:adjustRightInd w:val="0"/>
              <w:rPr>
                <w:rFonts w:ascii="Calibri" w:hAnsi="Calibri"/>
                <w:lang w:val="en-US"/>
              </w:rPr>
            </w:pPr>
          </w:p>
        </w:tc>
        <w:tc>
          <w:tcPr>
            <w:tcW w:w="950" w:type="dxa"/>
            <w:vMerge/>
          </w:tcPr>
          <w:p w:rsidR="008C4900" w:rsidRPr="00AC3AF6" w:rsidRDefault="008C4900" w:rsidP="007A07D3">
            <w:pPr>
              <w:autoSpaceDE w:val="0"/>
              <w:autoSpaceDN w:val="0"/>
              <w:adjustRightInd w:val="0"/>
              <w:rPr>
                <w:rFonts w:ascii="Calibri" w:hAnsi="Calibri"/>
                <w:lang w:val="en-US"/>
              </w:rPr>
            </w:pPr>
          </w:p>
        </w:tc>
        <w:tc>
          <w:tcPr>
            <w:tcW w:w="1431" w:type="dxa"/>
            <w:vMerge/>
          </w:tcPr>
          <w:p w:rsidR="008C4900" w:rsidRPr="00AC3AF6" w:rsidRDefault="008C4900" w:rsidP="007A07D3">
            <w:pPr>
              <w:autoSpaceDE w:val="0"/>
              <w:autoSpaceDN w:val="0"/>
              <w:adjustRightInd w:val="0"/>
              <w:rPr>
                <w:rFonts w:ascii="Calibri" w:hAnsi="Calibri"/>
                <w:lang w:val="en-US"/>
              </w:rPr>
            </w:pPr>
          </w:p>
        </w:tc>
      </w:tr>
      <w:tr w:rsidR="008C4900" w:rsidRPr="00AC3AF6" w:rsidTr="007A07D3">
        <w:trPr>
          <w:trHeight w:val="501"/>
          <w:tblHeader/>
        </w:trPr>
        <w:tc>
          <w:tcPr>
            <w:tcW w:w="1361" w:type="dxa"/>
            <w:vMerge/>
          </w:tcPr>
          <w:p w:rsidR="008C4900" w:rsidRPr="00AC3AF6" w:rsidRDefault="008C4900" w:rsidP="007A07D3">
            <w:pPr>
              <w:autoSpaceDE w:val="0"/>
              <w:autoSpaceDN w:val="0"/>
              <w:adjustRightInd w:val="0"/>
              <w:rPr>
                <w:rFonts w:ascii="Calibri" w:hAnsi="Calibri"/>
                <w:lang w:val="en-US"/>
              </w:rPr>
            </w:pPr>
          </w:p>
        </w:tc>
        <w:tc>
          <w:tcPr>
            <w:tcW w:w="1374" w:type="dxa"/>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pacing w:val="-3"/>
                <w:w w:val="95"/>
                <w:sz w:val="14"/>
                <w:szCs w:val="14"/>
                <w:lang w:val="en-GB"/>
              </w:rPr>
              <w:t>Annual Appropriation</w:t>
            </w:r>
          </w:p>
        </w:tc>
        <w:tc>
          <w:tcPr>
            <w:tcW w:w="1460" w:type="dxa"/>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pacing w:val="-3"/>
                <w:w w:val="95"/>
                <w:sz w:val="14"/>
                <w:szCs w:val="14"/>
                <w:lang w:val="en-GB"/>
              </w:rPr>
              <w:t>Appropriation Reduced</w:t>
            </w:r>
          </w:p>
        </w:tc>
        <w:tc>
          <w:tcPr>
            <w:tcW w:w="794" w:type="dxa"/>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en-GB"/>
              </w:rPr>
              <w:t xml:space="preserve">Section </w:t>
            </w:r>
            <w:r w:rsidRPr="00AC3AF6">
              <w:rPr>
                <w:rFonts w:ascii="Calibri" w:hAnsi="Calibri" w:cs="Gotham Bold"/>
                <w:b/>
                <w:bCs/>
                <w:caps/>
                <w:color w:val="FFFFFF"/>
                <w:w w:val="95"/>
                <w:sz w:val="14"/>
                <w:szCs w:val="14"/>
                <w:lang w:val="en-GB"/>
              </w:rPr>
              <w:br/>
              <w:t>74</w:t>
            </w:r>
          </w:p>
        </w:tc>
        <w:tc>
          <w:tcPr>
            <w:tcW w:w="780" w:type="dxa"/>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en-GB"/>
              </w:rPr>
              <w:t>Section 75</w:t>
            </w:r>
          </w:p>
        </w:tc>
        <w:tc>
          <w:tcPr>
            <w:tcW w:w="1318" w:type="dxa"/>
            <w:vMerge/>
          </w:tcPr>
          <w:p w:rsidR="008C4900" w:rsidRPr="00AC3AF6" w:rsidRDefault="008C4900" w:rsidP="007A07D3">
            <w:pPr>
              <w:autoSpaceDE w:val="0"/>
              <w:autoSpaceDN w:val="0"/>
              <w:adjustRightInd w:val="0"/>
              <w:rPr>
                <w:rFonts w:ascii="Calibri" w:hAnsi="Calibri"/>
                <w:lang w:val="en-US"/>
              </w:rPr>
            </w:pPr>
          </w:p>
        </w:tc>
        <w:tc>
          <w:tcPr>
            <w:tcW w:w="1261" w:type="dxa"/>
            <w:vMerge/>
          </w:tcPr>
          <w:p w:rsidR="008C4900" w:rsidRPr="00AC3AF6" w:rsidRDefault="008C4900" w:rsidP="007A07D3">
            <w:pPr>
              <w:autoSpaceDE w:val="0"/>
              <w:autoSpaceDN w:val="0"/>
              <w:adjustRightInd w:val="0"/>
              <w:rPr>
                <w:rFonts w:ascii="Calibri" w:hAnsi="Calibri"/>
                <w:lang w:val="en-US"/>
              </w:rPr>
            </w:pPr>
          </w:p>
        </w:tc>
        <w:tc>
          <w:tcPr>
            <w:tcW w:w="950" w:type="dxa"/>
            <w:vMerge/>
          </w:tcPr>
          <w:p w:rsidR="008C4900" w:rsidRPr="00AC3AF6" w:rsidRDefault="008C4900" w:rsidP="007A07D3">
            <w:pPr>
              <w:autoSpaceDE w:val="0"/>
              <w:autoSpaceDN w:val="0"/>
              <w:adjustRightInd w:val="0"/>
              <w:rPr>
                <w:rFonts w:ascii="Calibri" w:hAnsi="Calibri"/>
                <w:lang w:val="en-US"/>
              </w:rPr>
            </w:pPr>
          </w:p>
        </w:tc>
        <w:tc>
          <w:tcPr>
            <w:tcW w:w="1431" w:type="dxa"/>
            <w:vMerge/>
          </w:tcPr>
          <w:p w:rsidR="008C4900" w:rsidRPr="00AC3AF6" w:rsidRDefault="008C4900" w:rsidP="007A07D3">
            <w:pPr>
              <w:autoSpaceDE w:val="0"/>
              <w:autoSpaceDN w:val="0"/>
              <w:adjustRightInd w:val="0"/>
              <w:rPr>
                <w:rFonts w:ascii="Calibri" w:hAnsi="Calibri"/>
                <w:lang w:val="en-US"/>
              </w:rPr>
            </w:pPr>
          </w:p>
        </w:tc>
      </w:tr>
      <w:tr w:rsidR="008C4900" w:rsidRPr="00AC3AF6" w:rsidTr="007A07D3">
        <w:trPr>
          <w:trHeight w:val="170"/>
          <w:tblHeader/>
        </w:trPr>
        <w:tc>
          <w:tcPr>
            <w:tcW w:w="1361" w:type="dxa"/>
            <w:vMerge/>
            <w:tcBorders>
              <w:bottom w:val="single" w:sz="4" w:space="0" w:color="auto"/>
            </w:tcBorders>
          </w:tcPr>
          <w:p w:rsidR="008C4900" w:rsidRPr="00AC3AF6" w:rsidRDefault="008C4900" w:rsidP="007A07D3">
            <w:pPr>
              <w:autoSpaceDE w:val="0"/>
              <w:autoSpaceDN w:val="0"/>
              <w:adjustRightInd w:val="0"/>
              <w:rPr>
                <w:rFonts w:ascii="Calibri" w:hAnsi="Calibri"/>
                <w:lang w:val="en-US"/>
              </w:rPr>
            </w:pPr>
          </w:p>
        </w:tc>
        <w:tc>
          <w:tcPr>
            <w:tcW w:w="1374"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1460"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794"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780"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1318"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1261"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950"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1431"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r>
      <w:tr w:rsidR="008C4900" w:rsidRPr="00AC3AF6" w:rsidTr="007A07D3">
        <w:trPr>
          <w:trHeight w:val="60"/>
        </w:trPr>
        <w:tc>
          <w:tcPr>
            <w:tcW w:w="9298" w:type="dxa"/>
            <w:gridSpan w:val="8"/>
            <w:tcBorders>
              <w:top w:val="single" w:sz="4" w:space="0" w:color="auto"/>
              <w:bottom w:val="single" w:sz="4" w:space="0" w:color="auto"/>
            </w:tcBorders>
            <w:tcMar>
              <w:top w:w="113" w:type="dxa"/>
              <w:left w:w="0" w:type="dxa"/>
              <w:bottom w:w="113" w:type="dxa"/>
              <w:right w:w="0" w:type="dxa"/>
            </w:tcMar>
          </w:tcPr>
          <w:p w:rsidR="008C4900" w:rsidRPr="007A07D3" w:rsidRDefault="008C4900" w:rsidP="007A07D3">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7A07D3">
              <w:rPr>
                <w:rFonts w:ascii="Calibri" w:hAnsi="Calibri" w:cs="MetaMediumLF-Roman"/>
                <w:b/>
                <w:color w:val="000000"/>
                <w:sz w:val="16"/>
                <w:szCs w:val="16"/>
                <w:lang w:val="en-GB"/>
              </w:rPr>
              <w:t>Departmental</w:t>
            </w:r>
          </w:p>
        </w:tc>
        <w:tc>
          <w:tcPr>
            <w:tcW w:w="1431" w:type="dxa"/>
            <w:tcBorders>
              <w:top w:val="single" w:sz="4" w:space="0" w:color="auto"/>
              <w:bottom w:val="single" w:sz="4" w:space="0" w:color="auto"/>
            </w:tcBorders>
            <w:tcMar>
              <w:top w:w="113" w:type="dxa"/>
              <w:left w:w="57" w:type="dxa"/>
              <w:bottom w:w="113" w:type="dxa"/>
              <w:right w:w="57" w:type="dxa"/>
            </w:tcMar>
            <w:vAlign w:val="bottom"/>
          </w:tcPr>
          <w:p w:rsidR="008C4900" w:rsidRPr="00AC3AF6" w:rsidRDefault="008C4900" w:rsidP="007A07D3">
            <w:pPr>
              <w:autoSpaceDE w:val="0"/>
              <w:autoSpaceDN w:val="0"/>
              <w:adjustRightInd w:val="0"/>
              <w:rPr>
                <w:rFonts w:ascii="Calibri" w:hAnsi="Calibri"/>
                <w:lang w:val="en-US"/>
              </w:rPr>
            </w:pPr>
          </w:p>
        </w:tc>
      </w:tr>
      <w:tr w:rsidR="008C4900" w:rsidRPr="00AC3AF6" w:rsidTr="007A07D3">
        <w:trPr>
          <w:trHeight w:val="60"/>
        </w:trPr>
        <w:tc>
          <w:tcPr>
            <w:tcW w:w="1361" w:type="dxa"/>
            <w:tcBorders>
              <w:top w:val="single" w:sz="4" w:space="0" w:color="auto"/>
              <w:bottom w:val="single" w:sz="4" w:space="0" w:color="auto"/>
            </w:tcBorders>
            <w:tcMar>
              <w:top w:w="113" w:type="dxa"/>
              <w:left w:w="0" w:type="dxa"/>
              <w:bottom w:w="113" w:type="dxa"/>
              <w:right w:w="0" w:type="dxa"/>
            </w:tcMar>
          </w:tcPr>
          <w:p w:rsidR="008C4900" w:rsidRPr="00AC3AF6" w:rsidRDefault="008C4900" w:rsidP="007A07D3">
            <w:pPr>
              <w:tabs>
                <w:tab w:val="left" w:pos="2268"/>
              </w:tabs>
              <w:suppressAutoHyphens/>
              <w:autoSpaceDE w:val="0"/>
              <w:autoSpaceDN w:val="0"/>
              <w:adjustRightInd w:val="0"/>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Ordinary annual services</w:t>
            </w:r>
          </w:p>
        </w:tc>
        <w:tc>
          <w:tcPr>
            <w:tcW w:w="1374"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6"/>
                <w:szCs w:val="16"/>
                <w:lang w:val="en-GB"/>
              </w:rPr>
              <w:t xml:space="preserve"> - </w:t>
            </w:r>
          </w:p>
        </w:tc>
        <w:tc>
          <w:tcPr>
            <w:tcW w:w="1460"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 xml:space="preserve"> -   </w:t>
            </w:r>
          </w:p>
        </w:tc>
        <w:tc>
          <w:tcPr>
            <w:tcW w:w="794"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6"/>
                <w:szCs w:val="16"/>
                <w:lang w:val="en-GB"/>
              </w:rPr>
              <w:t xml:space="preserve"> - </w:t>
            </w:r>
          </w:p>
        </w:tc>
        <w:tc>
          <w:tcPr>
            <w:tcW w:w="780"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 xml:space="preserve"> -   </w:t>
            </w:r>
          </w:p>
        </w:tc>
        <w:tc>
          <w:tcPr>
            <w:tcW w:w="1318"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 xml:space="preserve"> - </w:t>
            </w:r>
          </w:p>
        </w:tc>
        <w:tc>
          <w:tcPr>
            <w:tcW w:w="1261" w:type="dxa"/>
            <w:tcBorders>
              <w:top w:val="single" w:sz="4" w:space="0" w:color="auto"/>
              <w:bottom w:val="single" w:sz="4" w:space="0" w:color="auto"/>
            </w:tcBorders>
            <w:tcMar>
              <w:top w:w="113" w:type="dxa"/>
              <w:left w:w="170" w:type="dxa"/>
              <w:bottom w:w="113"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7A07D3">
              <w:rPr>
                <w:rFonts w:ascii="Calibri" w:hAnsi="Calibri" w:cs="MetaMediumLF-Roman"/>
                <w:b/>
                <w:color w:val="000000"/>
                <w:sz w:val="16"/>
                <w:szCs w:val="16"/>
                <w:lang w:val="en-GB"/>
              </w:rPr>
              <w:t xml:space="preserve">330 </w:t>
            </w:r>
          </w:p>
        </w:tc>
        <w:tc>
          <w:tcPr>
            <w:tcW w:w="950"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(330)</w:t>
            </w:r>
          </w:p>
        </w:tc>
        <w:tc>
          <w:tcPr>
            <w:tcW w:w="1431"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 xml:space="preserve"> -   </w:t>
            </w:r>
          </w:p>
        </w:tc>
      </w:tr>
      <w:tr w:rsidR="008C4900" w:rsidRPr="00AC3AF6" w:rsidTr="007A07D3">
        <w:trPr>
          <w:trHeight w:val="60"/>
        </w:trPr>
        <w:tc>
          <w:tcPr>
            <w:tcW w:w="1361" w:type="dxa"/>
            <w:tcBorders>
              <w:top w:val="single" w:sz="4" w:space="0" w:color="auto"/>
              <w:bottom w:val="single" w:sz="4" w:space="0" w:color="auto"/>
            </w:tcBorders>
            <w:tcMar>
              <w:top w:w="113" w:type="dxa"/>
              <w:left w:w="0" w:type="dxa"/>
              <w:bottom w:w="113" w:type="dxa"/>
              <w:right w:w="0" w:type="dxa"/>
            </w:tcMar>
          </w:tcPr>
          <w:p w:rsidR="008C4900" w:rsidRPr="007A07D3" w:rsidRDefault="008C4900" w:rsidP="007A07D3">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7A07D3">
              <w:rPr>
                <w:rFonts w:ascii="Calibri" w:hAnsi="Calibri" w:cs="MetaMediumLF-Roman"/>
                <w:b/>
                <w:color w:val="000000"/>
                <w:spacing w:val="-3"/>
                <w:sz w:val="16"/>
                <w:szCs w:val="16"/>
                <w:lang w:val="en-GB"/>
              </w:rPr>
              <w:t>Total departmental</w:t>
            </w:r>
          </w:p>
        </w:tc>
        <w:tc>
          <w:tcPr>
            <w:tcW w:w="1374"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6"/>
                <w:szCs w:val="16"/>
                <w:lang w:val="en-GB"/>
              </w:rPr>
              <w:t xml:space="preserve"> - </w:t>
            </w:r>
          </w:p>
        </w:tc>
        <w:tc>
          <w:tcPr>
            <w:tcW w:w="1460"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 xml:space="preserve"> -   </w:t>
            </w:r>
          </w:p>
        </w:tc>
        <w:tc>
          <w:tcPr>
            <w:tcW w:w="794"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6"/>
                <w:szCs w:val="16"/>
                <w:lang w:val="en-GB"/>
              </w:rPr>
              <w:t xml:space="preserve"> - </w:t>
            </w:r>
          </w:p>
        </w:tc>
        <w:tc>
          <w:tcPr>
            <w:tcW w:w="780"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 xml:space="preserve"> -   </w:t>
            </w:r>
          </w:p>
        </w:tc>
        <w:tc>
          <w:tcPr>
            <w:tcW w:w="1318"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 xml:space="preserve"> - </w:t>
            </w:r>
          </w:p>
        </w:tc>
        <w:tc>
          <w:tcPr>
            <w:tcW w:w="1261" w:type="dxa"/>
            <w:tcBorders>
              <w:top w:val="single" w:sz="4" w:space="0" w:color="auto"/>
              <w:bottom w:val="single" w:sz="4" w:space="0" w:color="auto"/>
            </w:tcBorders>
            <w:tcMar>
              <w:top w:w="113" w:type="dxa"/>
              <w:left w:w="170" w:type="dxa"/>
              <w:bottom w:w="113"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7A07D3">
              <w:rPr>
                <w:rFonts w:ascii="Calibri" w:hAnsi="Calibri" w:cs="MetaMediumLF-Roman"/>
                <w:b/>
                <w:color w:val="000000"/>
                <w:sz w:val="16"/>
                <w:szCs w:val="16"/>
                <w:lang w:val="en-GB"/>
              </w:rPr>
              <w:t xml:space="preserve">330 </w:t>
            </w:r>
          </w:p>
        </w:tc>
        <w:tc>
          <w:tcPr>
            <w:tcW w:w="950"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(330)</w:t>
            </w:r>
          </w:p>
        </w:tc>
        <w:tc>
          <w:tcPr>
            <w:tcW w:w="1431" w:type="dxa"/>
            <w:tcBorders>
              <w:top w:val="single" w:sz="4" w:space="0" w:color="auto"/>
              <w:bottom w:val="single" w:sz="4" w:space="0" w:color="auto"/>
            </w:tcBorders>
            <w:tcMar>
              <w:top w:w="113" w:type="dxa"/>
              <w:left w:w="170" w:type="dxa"/>
              <w:bottom w:w="113"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 xml:space="preserve"> -   </w:t>
            </w:r>
          </w:p>
        </w:tc>
      </w:tr>
    </w:tbl>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6"/>
          <w:szCs w:val="16"/>
          <w:lang w:val="en-GB"/>
        </w:rPr>
      </w:pPr>
      <w:r w:rsidRPr="00AC3AF6">
        <w:rPr>
          <w:rFonts w:ascii="Calibri" w:hAnsi="Calibri" w:cs="MetaNormalLF-Roman"/>
          <w:color w:val="000000"/>
          <w:sz w:val="16"/>
          <w:szCs w:val="16"/>
          <w:lang w:val="en-GB"/>
        </w:rPr>
        <w:t>Prior year appropriations are represented in Table 11A. There are no current year appropriations received or applied.</w:t>
      </w:r>
    </w:p>
    <w:p w:rsidR="008C4900" w:rsidRPr="00AC3AF6" w:rsidRDefault="008C4900" w:rsidP="008C4900">
      <w:pPr>
        <w:tabs>
          <w:tab w:val="left" w:pos="2268"/>
        </w:tabs>
        <w:suppressAutoHyphens/>
        <w:autoSpaceDE w:val="0"/>
        <w:autoSpaceDN w:val="0"/>
        <w:adjustRightInd w:val="0"/>
        <w:spacing w:after="170" w:line="220" w:lineRule="atLeast"/>
        <w:textAlignment w:val="center"/>
        <w:rPr>
          <w:rFonts w:ascii="Calibri" w:hAnsi="Calibri" w:cs="MetaNormalLF-Roman"/>
          <w:color w:val="000000"/>
          <w:sz w:val="16"/>
          <w:szCs w:val="16"/>
          <w:lang w:val="en-GB"/>
        </w:rPr>
      </w:pPr>
      <w:r w:rsidRPr="00AC3AF6">
        <w:rPr>
          <w:rFonts w:ascii="Calibri" w:hAnsi="Calibri" w:cs="MetaNormalLF-Roman"/>
          <w:color w:val="000000"/>
          <w:sz w:val="16"/>
          <w:szCs w:val="16"/>
          <w:lang w:val="en-GB"/>
        </w:rPr>
        <w:t xml:space="preserve">There were no amounts quarantined or Section 51 adjustments in the current financial year. There were no departmental capital budget amounts in </w:t>
      </w:r>
      <w:r w:rsidRPr="00AC3AF6">
        <w:rPr>
          <w:rFonts w:ascii="Calibri" w:hAnsi="Calibri" w:cs="MetaNormalLF-Roman"/>
          <w:color w:val="000000"/>
          <w:sz w:val="16"/>
          <w:szCs w:val="16"/>
          <w:lang w:val="en-GB"/>
        </w:rPr>
        <w:br/>
        <w:t>current financial year.</w:t>
      </w:r>
    </w:p>
    <w:p w:rsidR="008C4900" w:rsidRPr="00AC3AF6" w:rsidRDefault="008C4900" w:rsidP="008C4900">
      <w:pPr>
        <w:keepNext/>
        <w:tabs>
          <w:tab w:val="left" w:pos="1418"/>
        </w:tabs>
        <w:suppressAutoHyphens/>
        <w:autoSpaceDE w:val="0"/>
        <w:autoSpaceDN w:val="0"/>
        <w:adjustRightInd w:val="0"/>
        <w:spacing w:before="283" w:line="200" w:lineRule="atLeast"/>
        <w:textAlignment w:val="center"/>
        <w:rPr>
          <w:rFonts w:ascii="Calibri" w:hAnsi="Calibri" w:cs="Gotham Book"/>
          <w:caps/>
          <w:color w:val="00B6E8"/>
          <w:sz w:val="16"/>
          <w:szCs w:val="16"/>
          <w:lang w:val="en-GB"/>
        </w:rPr>
      </w:pPr>
      <w:r w:rsidRPr="00AC3AF6">
        <w:rPr>
          <w:rFonts w:ascii="Calibri" w:hAnsi="Calibri" w:cs="Gotham Book"/>
          <w:caps/>
          <w:color w:val="00B6E8"/>
          <w:sz w:val="16"/>
          <w:szCs w:val="16"/>
          <w:lang w:val="en-GB"/>
        </w:rPr>
        <w:t>Note 11A: Annual Appropriations (Recoverable GST exclusive) for 2017</w:t>
      </w:r>
    </w:p>
    <w:tbl>
      <w:tblPr>
        <w:tblW w:w="0" w:type="auto"/>
        <w:tblInd w:w="-8" w:type="dxa"/>
        <w:tblLayout w:type="fixed"/>
        <w:tblCellMar>
          <w:left w:w="0" w:type="dxa"/>
          <w:right w:w="0" w:type="dxa"/>
        </w:tblCellMar>
        <w:tblLook w:val="0000" w:firstRow="0" w:lastRow="0" w:firstColumn="0" w:lastColumn="0" w:noHBand="0" w:noVBand="0"/>
      </w:tblPr>
      <w:tblGrid>
        <w:gridCol w:w="1375"/>
        <w:gridCol w:w="1375"/>
        <w:gridCol w:w="1459"/>
        <w:gridCol w:w="794"/>
        <w:gridCol w:w="780"/>
        <w:gridCol w:w="1318"/>
        <w:gridCol w:w="1261"/>
        <w:gridCol w:w="950"/>
        <w:gridCol w:w="1431"/>
      </w:tblGrid>
      <w:tr w:rsidR="008C4900" w:rsidRPr="00AC3AF6" w:rsidTr="007A07D3">
        <w:trPr>
          <w:trHeight w:val="60"/>
          <w:tblHeader/>
        </w:trPr>
        <w:tc>
          <w:tcPr>
            <w:tcW w:w="1375" w:type="dxa"/>
            <w:vMerge w:val="restart"/>
            <w:shd w:val="solid" w:color="00B6E8" w:fill="auto"/>
            <w:tcMar>
              <w:top w:w="57" w:type="dxa"/>
              <w:left w:w="0" w:type="dxa"/>
              <w:bottom w:w="57" w:type="dxa"/>
              <w:right w:w="0" w:type="dxa"/>
            </w:tcMar>
          </w:tcPr>
          <w:p w:rsidR="008C4900" w:rsidRPr="00AC3AF6" w:rsidRDefault="008C4900" w:rsidP="007A07D3">
            <w:pPr>
              <w:autoSpaceDE w:val="0"/>
              <w:autoSpaceDN w:val="0"/>
              <w:adjustRightInd w:val="0"/>
              <w:rPr>
                <w:rFonts w:ascii="Calibri" w:hAnsi="Calibri"/>
                <w:lang w:val="en-US"/>
              </w:rPr>
            </w:pPr>
          </w:p>
        </w:tc>
        <w:tc>
          <w:tcPr>
            <w:tcW w:w="5726" w:type="dxa"/>
            <w:gridSpan w:val="5"/>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center"/>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en-GB"/>
              </w:rPr>
              <w:t>2017 Appropriations</w:t>
            </w:r>
          </w:p>
        </w:tc>
        <w:tc>
          <w:tcPr>
            <w:tcW w:w="1261" w:type="dxa"/>
            <w:vMerge w:val="restart"/>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pacing w:val="-3"/>
                <w:w w:val="95"/>
                <w:sz w:val="14"/>
                <w:szCs w:val="14"/>
                <w:lang w:val="en-GB"/>
              </w:rPr>
              <w:t>Appropriation applied in 2016 (current and prior years)</w:t>
            </w:r>
          </w:p>
        </w:tc>
        <w:tc>
          <w:tcPr>
            <w:tcW w:w="950" w:type="dxa"/>
            <w:vMerge w:val="restart"/>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pt-BR"/>
              </w:rPr>
              <w:t>Variance</w:t>
            </w:r>
          </w:p>
        </w:tc>
        <w:tc>
          <w:tcPr>
            <w:tcW w:w="1431" w:type="dxa"/>
            <w:vMerge w:val="restart"/>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pacing w:val="-3"/>
                <w:w w:val="95"/>
                <w:sz w:val="14"/>
                <w:szCs w:val="14"/>
                <w:lang w:val="pt-BR"/>
              </w:rPr>
              <w:t>Section 51 determinations</w:t>
            </w:r>
          </w:p>
        </w:tc>
      </w:tr>
      <w:tr w:rsidR="008C4900" w:rsidRPr="00AC3AF6" w:rsidTr="007A07D3">
        <w:trPr>
          <w:trHeight w:val="60"/>
          <w:tblHeader/>
        </w:trPr>
        <w:tc>
          <w:tcPr>
            <w:tcW w:w="1375" w:type="dxa"/>
            <w:vMerge/>
          </w:tcPr>
          <w:p w:rsidR="008C4900" w:rsidRPr="00AC3AF6" w:rsidRDefault="008C4900" w:rsidP="007A07D3">
            <w:pPr>
              <w:autoSpaceDE w:val="0"/>
              <w:autoSpaceDN w:val="0"/>
              <w:adjustRightInd w:val="0"/>
              <w:rPr>
                <w:rFonts w:ascii="Calibri" w:hAnsi="Calibri"/>
                <w:lang w:val="en-US"/>
              </w:rPr>
            </w:pPr>
          </w:p>
        </w:tc>
        <w:tc>
          <w:tcPr>
            <w:tcW w:w="2834" w:type="dxa"/>
            <w:gridSpan w:val="2"/>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center"/>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en-GB"/>
              </w:rPr>
              <w:t>Appropriation Act</w:t>
            </w:r>
          </w:p>
        </w:tc>
        <w:tc>
          <w:tcPr>
            <w:tcW w:w="1574" w:type="dxa"/>
            <w:gridSpan w:val="2"/>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center"/>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en-GB"/>
              </w:rPr>
              <w:t>PGPA Act</w:t>
            </w:r>
          </w:p>
        </w:tc>
        <w:tc>
          <w:tcPr>
            <w:tcW w:w="1318" w:type="dxa"/>
            <w:vMerge w:val="restart"/>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pacing w:val="-3"/>
                <w:w w:val="95"/>
                <w:sz w:val="14"/>
                <w:szCs w:val="14"/>
                <w:lang w:val="en-GB"/>
              </w:rPr>
              <w:t>Total Appropriation</w:t>
            </w:r>
          </w:p>
        </w:tc>
        <w:tc>
          <w:tcPr>
            <w:tcW w:w="1261" w:type="dxa"/>
            <w:vMerge/>
          </w:tcPr>
          <w:p w:rsidR="008C4900" w:rsidRPr="00AC3AF6" w:rsidRDefault="008C4900" w:rsidP="007A07D3">
            <w:pPr>
              <w:autoSpaceDE w:val="0"/>
              <w:autoSpaceDN w:val="0"/>
              <w:adjustRightInd w:val="0"/>
              <w:rPr>
                <w:rFonts w:ascii="Calibri" w:hAnsi="Calibri"/>
                <w:lang w:val="en-US"/>
              </w:rPr>
            </w:pPr>
          </w:p>
        </w:tc>
        <w:tc>
          <w:tcPr>
            <w:tcW w:w="950" w:type="dxa"/>
            <w:vMerge/>
          </w:tcPr>
          <w:p w:rsidR="008C4900" w:rsidRPr="00AC3AF6" w:rsidRDefault="008C4900" w:rsidP="007A07D3">
            <w:pPr>
              <w:autoSpaceDE w:val="0"/>
              <w:autoSpaceDN w:val="0"/>
              <w:adjustRightInd w:val="0"/>
              <w:rPr>
                <w:rFonts w:ascii="Calibri" w:hAnsi="Calibri"/>
                <w:lang w:val="en-US"/>
              </w:rPr>
            </w:pPr>
          </w:p>
        </w:tc>
        <w:tc>
          <w:tcPr>
            <w:tcW w:w="1431" w:type="dxa"/>
            <w:vMerge/>
          </w:tcPr>
          <w:p w:rsidR="008C4900" w:rsidRPr="00AC3AF6" w:rsidRDefault="008C4900" w:rsidP="007A07D3">
            <w:pPr>
              <w:autoSpaceDE w:val="0"/>
              <w:autoSpaceDN w:val="0"/>
              <w:adjustRightInd w:val="0"/>
              <w:rPr>
                <w:rFonts w:ascii="Calibri" w:hAnsi="Calibri"/>
                <w:lang w:val="en-US"/>
              </w:rPr>
            </w:pPr>
          </w:p>
        </w:tc>
      </w:tr>
      <w:tr w:rsidR="008C4900" w:rsidRPr="00AC3AF6" w:rsidTr="007A07D3">
        <w:trPr>
          <w:trHeight w:val="501"/>
          <w:tblHeader/>
        </w:trPr>
        <w:tc>
          <w:tcPr>
            <w:tcW w:w="1375" w:type="dxa"/>
            <w:vMerge/>
          </w:tcPr>
          <w:p w:rsidR="008C4900" w:rsidRPr="00AC3AF6" w:rsidRDefault="008C4900" w:rsidP="007A07D3">
            <w:pPr>
              <w:autoSpaceDE w:val="0"/>
              <w:autoSpaceDN w:val="0"/>
              <w:adjustRightInd w:val="0"/>
              <w:rPr>
                <w:rFonts w:ascii="Calibri" w:hAnsi="Calibri"/>
                <w:lang w:val="en-US"/>
              </w:rPr>
            </w:pPr>
          </w:p>
        </w:tc>
        <w:tc>
          <w:tcPr>
            <w:tcW w:w="1375" w:type="dxa"/>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pacing w:val="-3"/>
                <w:w w:val="95"/>
                <w:sz w:val="14"/>
                <w:szCs w:val="14"/>
                <w:lang w:val="en-GB"/>
              </w:rPr>
              <w:t>Annual Appropriation</w:t>
            </w:r>
          </w:p>
        </w:tc>
        <w:tc>
          <w:tcPr>
            <w:tcW w:w="1459" w:type="dxa"/>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spacing w:val="-3"/>
                <w:w w:val="95"/>
                <w:sz w:val="14"/>
                <w:szCs w:val="14"/>
                <w:lang w:val="en-GB"/>
              </w:rPr>
              <w:t>Appropriation Reduced</w:t>
            </w:r>
          </w:p>
        </w:tc>
        <w:tc>
          <w:tcPr>
            <w:tcW w:w="794" w:type="dxa"/>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en-GB"/>
              </w:rPr>
              <w:t xml:space="preserve">Section </w:t>
            </w:r>
            <w:r w:rsidRPr="00AC3AF6">
              <w:rPr>
                <w:rFonts w:ascii="Calibri" w:hAnsi="Calibri" w:cs="Gotham Bold"/>
                <w:b/>
                <w:bCs/>
                <w:caps/>
                <w:color w:val="FFFFFF"/>
                <w:w w:val="95"/>
                <w:sz w:val="14"/>
                <w:szCs w:val="14"/>
                <w:lang w:val="en-GB"/>
              </w:rPr>
              <w:br/>
              <w:t>74</w:t>
            </w:r>
          </w:p>
        </w:tc>
        <w:tc>
          <w:tcPr>
            <w:tcW w:w="780" w:type="dxa"/>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Gotham Bold"/>
                <w:b/>
                <w:bCs/>
                <w:caps/>
                <w:color w:val="FFFFFF"/>
                <w:sz w:val="16"/>
                <w:szCs w:val="16"/>
                <w:lang w:val="en-GB"/>
              </w:rPr>
            </w:pPr>
            <w:r w:rsidRPr="00AC3AF6">
              <w:rPr>
                <w:rFonts w:ascii="Calibri" w:hAnsi="Calibri" w:cs="Gotham Bold"/>
                <w:b/>
                <w:bCs/>
                <w:caps/>
                <w:color w:val="FFFFFF"/>
                <w:w w:val="95"/>
                <w:sz w:val="14"/>
                <w:szCs w:val="14"/>
                <w:lang w:val="en-GB"/>
              </w:rPr>
              <w:t>Section 75</w:t>
            </w:r>
          </w:p>
        </w:tc>
        <w:tc>
          <w:tcPr>
            <w:tcW w:w="1318" w:type="dxa"/>
            <w:vMerge/>
          </w:tcPr>
          <w:p w:rsidR="008C4900" w:rsidRPr="00AC3AF6" w:rsidRDefault="008C4900" w:rsidP="007A07D3">
            <w:pPr>
              <w:autoSpaceDE w:val="0"/>
              <w:autoSpaceDN w:val="0"/>
              <w:adjustRightInd w:val="0"/>
              <w:rPr>
                <w:rFonts w:ascii="Calibri" w:hAnsi="Calibri"/>
                <w:lang w:val="en-US"/>
              </w:rPr>
            </w:pPr>
          </w:p>
        </w:tc>
        <w:tc>
          <w:tcPr>
            <w:tcW w:w="1261" w:type="dxa"/>
            <w:vMerge/>
          </w:tcPr>
          <w:p w:rsidR="008C4900" w:rsidRPr="00AC3AF6" w:rsidRDefault="008C4900" w:rsidP="007A07D3">
            <w:pPr>
              <w:autoSpaceDE w:val="0"/>
              <w:autoSpaceDN w:val="0"/>
              <w:adjustRightInd w:val="0"/>
              <w:rPr>
                <w:rFonts w:ascii="Calibri" w:hAnsi="Calibri"/>
                <w:lang w:val="en-US"/>
              </w:rPr>
            </w:pPr>
          </w:p>
        </w:tc>
        <w:tc>
          <w:tcPr>
            <w:tcW w:w="950" w:type="dxa"/>
            <w:vMerge/>
          </w:tcPr>
          <w:p w:rsidR="008C4900" w:rsidRPr="00AC3AF6" w:rsidRDefault="008C4900" w:rsidP="007A07D3">
            <w:pPr>
              <w:autoSpaceDE w:val="0"/>
              <w:autoSpaceDN w:val="0"/>
              <w:adjustRightInd w:val="0"/>
              <w:rPr>
                <w:rFonts w:ascii="Calibri" w:hAnsi="Calibri"/>
                <w:lang w:val="en-US"/>
              </w:rPr>
            </w:pPr>
          </w:p>
        </w:tc>
        <w:tc>
          <w:tcPr>
            <w:tcW w:w="1431" w:type="dxa"/>
            <w:vMerge/>
          </w:tcPr>
          <w:p w:rsidR="008C4900" w:rsidRPr="00AC3AF6" w:rsidRDefault="008C4900" w:rsidP="007A07D3">
            <w:pPr>
              <w:autoSpaceDE w:val="0"/>
              <w:autoSpaceDN w:val="0"/>
              <w:adjustRightInd w:val="0"/>
              <w:rPr>
                <w:rFonts w:ascii="Calibri" w:hAnsi="Calibri"/>
                <w:lang w:val="en-US"/>
              </w:rPr>
            </w:pPr>
          </w:p>
        </w:tc>
      </w:tr>
      <w:tr w:rsidR="008C4900" w:rsidRPr="00AC3AF6" w:rsidTr="007A07D3">
        <w:trPr>
          <w:trHeight w:val="170"/>
          <w:tblHeader/>
        </w:trPr>
        <w:tc>
          <w:tcPr>
            <w:tcW w:w="1375" w:type="dxa"/>
            <w:vMerge/>
            <w:tcBorders>
              <w:bottom w:val="single" w:sz="4" w:space="0" w:color="auto"/>
            </w:tcBorders>
          </w:tcPr>
          <w:p w:rsidR="008C4900" w:rsidRPr="00AC3AF6" w:rsidRDefault="008C4900" w:rsidP="007A07D3">
            <w:pPr>
              <w:autoSpaceDE w:val="0"/>
              <w:autoSpaceDN w:val="0"/>
              <w:adjustRightInd w:val="0"/>
              <w:rPr>
                <w:rFonts w:ascii="Calibri" w:hAnsi="Calibri"/>
                <w:lang w:val="en-US"/>
              </w:rPr>
            </w:pPr>
          </w:p>
        </w:tc>
        <w:tc>
          <w:tcPr>
            <w:tcW w:w="1375"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1459"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794"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780"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1318"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1261"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950"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c>
          <w:tcPr>
            <w:tcW w:w="1431" w:type="dxa"/>
            <w:tcBorders>
              <w:bottom w:val="single" w:sz="4" w:space="0" w:color="auto"/>
            </w:tcBorders>
            <w:shd w:val="solid" w:color="00B6E8" w:fill="auto"/>
            <w:tcMar>
              <w:top w:w="57" w:type="dxa"/>
              <w:left w:w="57" w:type="dxa"/>
              <w:bottom w:w="57" w:type="dxa"/>
              <w:right w:w="57" w:type="dxa"/>
            </w:tcMar>
            <w:vAlign w:val="bottom"/>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PlusBold-Roman"/>
                <w:color w:val="000000"/>
                <w:sz w:val="18"/>
                <w:szCs w:val="18"/>
                <w:lang w:val="en-GB"/>
              </w:rPr>
            </w:pPr>
            <w:r w:rsidRPr="00AC3AF6">
              <w:rPr>
                <w:rFonts w:ascii="Calibri" w:hAnsi="Calibri" w:cs="MetaPlusBold-Roman"/>
                <w:color w:val="000000"/>
                <w:w w:val="95"/>
                <w:sz w:val="14"/>
                <w:szCs w:val="14"/>
                <w:lang w:val="en-GB"/>
              </w:rPr>
              <w:t>$’000</w:t>
            </w:r>
          </w:p>
        </w:tc>
      </w:tr>
      <w:tr w:rsidR="008C4900" w:rsidRPr="00AC3AF6" w:rsidTr="007A07D3">
        <w:trPr>
          <w:trHeight w:val="60"/>
        </w:trPr>
        <w:tc>
          <w:tcPr>
            <w:tcW w:w="9312" w:type="dxa"/>
            <w:gridSpan w:val="8"/>
            <w:tcBorders>
              <w:top w:val="single" w:sz="4" w:space="0" w:color="auto"/>
              <w:bottom w:val="single" w:sz="4" w:space="0" w:color="auto"/>
            </w:tcBorders>
            <w:tcMar>
              <w:top w:w="113" w:type="dxa"/>
              <w:left w:w="0" w:type="dxa"/>
              <w:bottom w:w="113" w:type="dxa"/>
              <w:right w:w="0" w:type="dxa"/>
            </w:tcMar>
          </w:tcPr>
          <w:p w:rsidR="008C4900" w:rsidRPr="007A07D3" w:rsidRDefault="008C4900" w:rsidP="007A07D3">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7A07D3">
              <w:rPr>
                <w:rFonts w:ascii="Calibri" w:hAnsi="Calibri" w:cs="MetaMediumLF-Roman"/>
                <w:b/>
                <w:color w:val="000000"/>
                <w:sz w:val="16"/>
                <w:szCs w:val="16"/>
                <w:lang w:val="en-GB"/>
              </w:rPr>
              <w:t>Departmental</w:t>
            </w:r>
          </w:p>
        </w:tc>
        <w:tc>
          <w:tcPr>
            <w:tcW w:w="1431" w:type="dxa"/>
            <w:tcBorders>
              <w:top w:val="single" w:sz="4" w:space="0" w:color="auto"/>
              <w:bottom w:val="single" w:sz="4" w:space="0" w:color="auto"/>
            </w:tcBorders>
            <w:tcMar>
              <w:top w:w="113" w:type="dxa"/>
              <w:left w:w="57" w:type="dxa"/>
              <w:bottom w:w="113" w:type="dxa"/>
              <w:right w:w="57" w:type="dxa"/>
            </w:tcMar>
            <w:vAlign w:val="bottom"/>
          </w:tcPr>
          <w:p w:rsidR="008C4900" w:rsidRPr="007A07D3" w:rsidRDefault="008C4900" w:rsidP="007A07D3">
            <w:pPr>
              <w:autoSpaceDE w:val="0"/>
              <w:autoSpaceDN w:val="0"/>
              <w:adjustRightInd w:val="0"/>
              <w:rPr>
                <w:rFonts w:ascii="Calibri" w:hAnsi="Calibri"/>
                <w:b/>
                <w:lang w:val="en-US"/>
              </w:rPr>
            </w:pPr>
          </w:p>
        </w:tc>
      </w:tr>
      <w:tr w:rsidR="008C4900" w:rsidRPr="00AC3AF6" w:rsidTr="007A07D3">
        <w:trPr>
          <w:trHeight w:val="60"/>
        </w:trPr>
        <w:tc>
          <w:tcPr>
            <w:tcW w:w="1375" w:type="dxa"/>
            <w:tcBorders>
              <w:top w:val="single" w:sz="4" w:space="0" w:color="auto"/>
              <w:bottom w:val="single" w:sz="4" w:space="0" w:color="auto"/>
            </w:tcBorders>
            <w:tcMar>
              <w:top w:w="113" w:type="dxa"/>
              <w:left w:w="0" w:type="dxa"/>
              <w:bottom w:w="113" w:type="dxa"/>
              <w:right w:w="0" w:type="dxa"/>
            </w:tcMar>
          </w:tcPr>
          <w:p w:rsidR="008C4900" w:rsidRPr="007A07D3" w:rsidRDefault="008C4900" w:rsidP="007A07D3">
            <w:pPr>
              <w:tabs>
                <w:tab w:val="left" w:pos="2268"/>
              </w:tabs>
              <w:suppressAutoHyphens/>
              <w:autoSpaceDE w:val="0"/>
              <w:autoSpaceDN w:val="0"/>
              <w:adjustRightInd w:val="0"/>
              <w:textAlignment w:val="center"/>
              <w:rPr>
                <w:rFonts w:ascii="Calibri" w:hAnsi="Calibri" w:cs="MetaNormalLF-Roman"/>
                <w:b/>
                <w:color w:val="000000"/>
                <w:sz w:val="18"/>
                <w:szCs w:val="18"/>
                <w:lang w:val="en-GB"/>
              </w:rPr>
            </w:pPr>
            <w:r w:rsidRPr="007A07D3">
              <w:rPr>
                <w:rFonts w:ascii="Calibri" w:hAnsi="Calibri" w:cs="MetaNormalLF-Roman"/>
                <w:b/>
                <w:color w:val="000000"/>
                <w:sz w:val="16"/>
                <w:szCs w:val="16"/>
                <w:lang w:val="en-GB"/>
              </w:rPr>
              <w:t>Ordinary annual services</w:t>
            </w:r>
          </w:p>
        </w:tc>
        <w:tc>
          <w:tcPr>
            <w:tcW w:w="1375"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7A07D3">
              <w:rPr>
                <w:rFonts w:ascii="Calibri" w:hAnsi="Calibri" w:cs="MetaMediumLF-Roman"/>
                <w:b/>
                <w:color w:val="000000"/>
                <w:sz w:val="16"/>
                <w:szCs w:val="16"/>
                <w:lang w:val="en-GB"/>
              </w:rPr>
              <w:t xml:space="preserve"> 2,563 </w:t>
            </w:r>
          </w:p>
        </w:tc>
        <w:tc>
          <w:tcPr>
            <w:tcW w:w="1459"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NormalLF-Roman"/>
                <w:b/>
                <w:color w:val="000000"/>
                <w:sz w:val="18"/>
                <w:szCs w:val="18"/>
                <w:lang w:val="en-GB"/>
              </w:rPr>
            </w:pPr>
            <w:r w:rsidRPr="007A07D3">
              <w:rPr>
                <w:rFonts w:ascii="Calibri" w:hAnsi="Calibri" w:cs="MetaNormalLF-Roman"/>
                <w:b/>
                <w:color w:val="000000"/>
                <w:sz w:val="16"/>
                <w:szCs w:val="16"/>
                <w:lang w:val="en-GB"/>
              </w:rPr>
              <w:t xml:space="preserve"> -   </w:t>
            </w:r>
          </w:p>
        </w:tc>
        <w:tc>
          <w:tcPr>
            <w:tcW w:w="794"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7A07D3">
              <w:rPr>
                <w:rFonts w:ascii="Calibri" w:hAnsi="Calibri" w:cs="MetaMediumLF-Roman"/>
                <w:b/>
                <w:color w:val="000000"/>
                <w:sz w:val="16"/>
                <w:szCs w:val="16"/>
                <w:lang w:val="en-GB"/>
              </w:rPr>
              <w:t xml:space="preserve"> 661 </w:t>
            </w:r>
          </w:p>
        </w:tc>
        <w:tc>
          <w:tcPr>
            <w:tcW w:w="780"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NormalLF-Roman"/>
                <w:b/>
                <w:color w:val="000000"/>
                <w:sz w:val="18"/>
                <w:szCs w:val="18"/>
                <w:lang w:val="en-GB"/>
              </w:rPr>
            </w:pPr>
            <w:r w:rsidRPr="007A07D3">
              <w:rPr>
                <w:rFonts w:ascii="Calibri" w:hAnsi="Calibri" w:cs="MetaNormalLF-Roman"/>
                <w:b/>
                <w:color w:val="000000"/>
                <w:sz w:val="16"/>
                <w:szCs w:val="16"/>
                <w:lang w:val="en-GB"/>
              </w:rPr>
              <w:t xml:space="preserve"> -   </w:t>
            </w:r>
          </w:p>
        </w:tc>
        <w:tc>
          <w:tcPr>
            <w:tcW w:w="1318"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7A07D3">
              <w:rPr>
                <w:rFonts w:ascii="Calibri" w:hAnsi="Calibri" w:cs="MetaNormalLF-Roman"/>
                <w:color w:val="000000"/>
                <w:sz w:val="16"/>
                <w:szCs w:val="16"/>
                <w:lang w:val="en-GB"/>
              </w:rPr>
              <w:t xml:space="preserve"> 3,224 </w:t>
            </w:r>
          </w:p>
        </w:tc>
        <w:tc>
          <w:tcPr>
            <w:tcW w:w="1261"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7A07D3">
              <w:rPr>
                <w:rFonts w:ascii="Calibri" w:hAnsi="Calibri" w:cs="MetaMediumLF-Roman"/>
                <w:b/>
                <w:color w:val="000000"/>
                <w:sz w:val="16"/>
                <w:szCs w:val="16"/>
                <w:lang w:val="en-GB"/>
              </w:rPr>
              <w:t xml:space="preserve"> 4,224 </w:t>
            </w:r>
          </w:p>
        </w:tc>
        <w:tc>
          <w:tcPr>
            <w:tcW w:w="950"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7A07D3">
              <w:rPr>
                <w:rFonts w:ascii="Calibri" w:hAnsi="Calibri" w:cs="MetaNormalLF-Roman"/>
                <w:color w:val="000000"/>
                <w:sz w:val="16"/>
                <w:szCs w:val="16"/>
                <w:lang w:val="en-GB"/>
              </w:rPr>
              <w:t>(1,000)</w:t>
            </w:r>
          </w:p>
        </w:tc>
        <w:tc>
          <w:tcPr>
            <w:tcW w:w="1431"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NormalLF-Roman"/>
                <w:b/>
                <w:color w:val="000000"/>
                <w:sz w:val="18"/>
                <w:szCs w:val="18"/>
                <w:lang w:val="en-GB"/>
              </w:rPr>
            </w:pPr>
            <w:r w:rsidRPr="007A07D3">
              <w:rPr>
                <w:rFonts w:ascii="Calibri" w:hAnsi="Calibri" w:cs="MetaNormalLF-Roman"/>
                <w:b/>
                <w:color w:val="000000"/>
                <w:sz w:val="16"/>
                <w:szCs w:val="16"/>
                <w:lang w:val="en-GB"/>
              </w:rPr>
              <w:t xml:space="preserve"> -   </w:t>
            </w:r>
          </w:p>
        </w:tc>
      </w:tr>
      <w:tr w:rsidR="008C4900" w:rsidRPr="00AC3AF6" w:rsidTr="007A07D3">
        <w:trPr>
          <w:trHeight w:val="60"/>
        </w:trPr>
        <w:tc>
          <w:tcPr>
            <w:tcW w:w="1375" w:type="dxa"/>
            <w:tcBorders>
              <w:top w:val="single" w:sz="4" w:space="0" w:color="auto"/>
              <w:bottom w:val="single" w:sz="4" w:space="0" w:color="auto"/>
            </w:tcBorders>
            <w:tcMar>
              <w:top w:w="113" w:type="dxa"/>
              <w:left w:w="0" w:type="dxa"/>
              <w:bottom w:w="113" w:type="dxa"/>
              <w:right w:w="0" w:type="dxa"/>
            </w:tcMar>
          </w:tcPr>
          <w:p w:rsidR="008C4900" w:rsidRPr="007A07D3" w:rsidRDefault="008C4900" w:rsidP="007A07D3">
            <w:pPr>
              <w:tabs>
                <w:tab w:val="left" w:pos="2268"/>
              </w:tabs>
              <w:suppressAutoHyphens/>
              <w:autoSpaceDE w:val="0"/>
              <w:autoSpaceDN w:val="0"/>
              <w:adjustRightInd w:val="0"/>
              <w:textAlignment w:val="center"/>
              <w:rPr>
                <w:rFonts w:ascii="Calibri" w:hAnsi="Calibri" w:cs="MetaMediumLF-Roman"/>
                <w:b/>
                <w:color w:val="000000"/>
                <w:sz w:val="18"/>
                <w:szCs w:val="18"/>
                <w:lang w:val="en-GB"/>
              </w:rPr>
            </w:pPr>
            <w:r w:rsidRPr="007A07D3">
              <w:rPr>
                <w:rFonts w:ascii="Calibri" w:hAnsi="Calibri" w:cs="MetaMediumLF-Roman"/>
                <w:b/>
                <w:color w:val="000000"/>
                <w:spacing w:val="-3"/>
                <w:sz w:val="16"/>
                <w:szCs w:val="16"/>
                <w:lang w:val="en-GB"/>
              </w:rPr>
              <w:t>Total departmental</w:t>
            </w:r>
          </w:p>
        </w:tc>
        <w:tc>
          <w:tcPr>
            <w:tcW w:w="1375" w:type="dxa"/>
            <w:tcBorders>
              <w:top w:val="single" w:sz="4" w:space="0" w:color="auto"/>
              <w:bottom w:val="single" w:sz="4" w:space="0" w:color="auto"/>
            </w:tcBorders>
            <w:tcMar>
              <w:top w:w="57" w:type="dxa"/>
              <w:left w:w="170" w:type="dxa"/>
              <w:bottom w:w="57"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6"/>
                <w:szCs w:val="16"/>
                <w:lang w:val="en-GB"/>
              </w:rPr>
              <w:t xml:space="preserve"> 2,563 </w:t>
            </w:r>
          </w:p>
        </w:tc>
        <w:tc>
          <w:tcPr>
            <w:tcW w:w="1459" w:type="dxa"/>
            <w:tcBorders>
              <w:top w:val="single" w:sz="4" w:space="0" w:color="auto"/>
              <w:bottom w:val="single" w:sz="4" w:space="0" w:color="auto"/>
            </w:tcBorders>
            <w:tcMar>
              <w:top w:w="57" w:type="dxa"/>
              <w:left w:w="170" w:type="dxa"/>
              <w:bottom w:w="57"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 xml:space="preserve"> -   </w:t>
            </w:r>
          </w:p>
        </w:tc>
        <w:tc>
          <w:tcPr>
            <w:tcW w:w="794" w:type="dxa"/>
            <w:tcBorders>
              <w:top w:val="single" w:sz="4" w:space="0" w:color="auto"/>
              <w:bottom w:val="single" w:sz="4" w:space="0" w:color="auto"/>
            </w:tcBorders>
            <w:tcMar>
              <w:top w:w="57" w:type="dxa"/>
              <w:left w:w="170" w:type="dxa"/>
              <w:bottom w:w="57"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MediumLF-Roman"/>
                <w:color w:val="000000"/>
                <w:sz w:val="18"/>
                <w:szCs w:val="18"/>
                <w:lang w:val="en-GB"/>
              </w:rPr>
            </w:pPr>
            <w:r w:rsidRPr="00AC3AF6">
              <w:rPr>
                <w:rFonts w:ascii="Calibri" w:hAnsi="Calibri" w:cs="MetaMediumLF-Roman"/>
                <w:color w:val="000000"/>
                <w:sz w:val="16"/>
                <w:szCs w:val="16"/>
                <w:lang w:val="en-GB"/>
              </w:rPr>
              <w:t xml:space="preserve"> 661 </w:t>
            </w:r>
          </w:p>
        </w:tc>
        <w:tc>
          <w:tcPr>
            <w:tcW w:w="780" w:type="dxa"/>
            <w:tcBorders>
              <w:top w:val="single" w:sz="4" w:space="0" w:color="auto"/>
              <w:bottom w:val="single" w:sz="4" w:space="0" w:color="auto"/>
            </w:tcBorders>
            <w:tcMar>
              <w:top w:w="57" w:type="dxa"/>
              <w:left w:w="170" w:type="dxa"/>
              <w:bottom w:w="57" w:type="dxa"/>
              <w:right w:w="57" w:type="dxa"/>
            </w:tcMar>
            <w:vAlign w:val="center"/>
          </w:tcPr>
          <w:p w:rsidR="008C4900" w:rsidRPr="00AC3AF6"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AC3AF6">
              <w:rPr>
                <w:rFonts w:ascii="Calibri" w:hAnsi="Calibri" w:cs="MetaNormalLF-Roman"/>
                <w:color w:val="000000"/>
                <w:sz w:val="16"/>
                <w:szCs w:val="16"/>
                <w:lang w:val="en-GB"/>
              </w:rPr>
              <w:t xml:space="preserve"> -   </w:t>
            </w:r>
          </w:p>
        </w:tc>
        <w:tc>
          <w:tcPr>
            <w:tcW w:w="1318"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7A07D3">
              <w:rPr>
                <w:rFonts w:ascii="Calibri" w:hAnsi="Calibri" w:cs="MetaNormalLF-Roman"/>
                <w:color w:val="000000"/>
                <w:sz w:val="16"/>
                <w:szCs w:val="16"/>
                <w:lang w:val="en-GB"/>
              </w:rPr>
              <w:t xml:space="preserve"> 3,224 </w:t>
            </w:r>
          </w:p>
        </w:tc>
        <w:tc>
          <w:tcPr>
            <w:tcW w:w="1261"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MediumLF-Roman"/>
                <w:b/>
                <w:color w:val="000000"/>
                <w:sz w:val="18"/>
                <w:szCs w:val="18"/>
                <w:lang w:val="en-GB"/>
              </w:rPr>
            </w:pPr>
            <w:r w:rsidRPr="007A07D3">
              <w:rPr>
                <w:rFonts w:ascii="Calibri" w:hAnsi="Calibri" w:cs="MetaMediumLF-Roman"/>
                <w:b/>
                <w:color w:val="000000"/>
                <w:sz w:val="16"/>
                <w:szCs w:val="16"/>
                <w:lang w:val="en-GB"/>
              </w:rPr>
              <w:t xml:space="preserve"> 4,224 </w:t>
            </w:r>
          </w:p>
        </w:tc>
        <w:tc>
          <w:tcPr>
            <w:tcW w:w="950"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NormalLF-Roman"/>
                <w:color w:val="000000"/>
                <w:sz w:val="18"/>
                <w:szCs w:val="18"/>
                <w:lang w:val="en-GB"/>
              </w:rPr>
            </w:pPr>
            <w:r w:rsidRPr="007A07D3">
              <w:rPr>
                <w:rFonts w:ascii="Calibri" w:hAnsi="Calibri" w:cs="MetaNormalLF-Roman"/>
                <w:color w:val="000000"/>
                <w:sz w:val="16"/>
                <w:szCs w:val="16"/>
                <w:lang w:val="en-GB"/>
              </w:rPr>
              <w:t>(1,000)</w:t>
            </w:r>
          </w:p>
        </w:tc>
        <w:tc>
          <w:tcPr>
            <w:tcW w:w="1431" w:type="dxa"/>
            <w:tcBorders>
              <w:top w:val="single" w:sz="4" w:space="0" w:color="auto"/>
              <w:bottom w:val="single" w:sz="4" w:space="0" w:color="auto"/>
            </w:tcBorders>
            <w:tcMar>
              <w:top w:w="57" w:type="dxa"/>
              <w:left w:w="170" w:type="dxa"/>
              <w:bottom w:w="57" w:type="dxa"/>
              <w:right w:w="57" w:type="dxa"/>
            </w:tcMar>
            <w:vAlign w:val="center"/>
          </w:tcPr>
          <w:p w:rsidR="008C4900" w:rsidRPr="007A07D3" w:rsidRDefault="008C4900" w:rsidP="007A07D3">
            <w:pPr>
              <w:tabs>
                <w:tab w:val="left" w:pos="2268"/>
              </w:tabs>
              <w:suppressAutoHyphens/>
              <w:autoSpaceDE w:val="0"/>
              <w:autoSpaceDN w:val="0"/>
              <w:adjustRightInd w:val="0"/>
              <w:jc w:val="right"/>
              <w:textAlignment w:val="center"/>
              <w:rPr>
                <w:rFonts w:ascii="Calibri" w:hAnsi="Calibri" w:cs="MetaNormalLF-Roman"/>
                <w:b/>
                <w:color w:val="000000"/>
                <w:sz w:val="18"/>
                <w:szCs w:val="18"/>
                <w:lang w:val="en-GB"/>
              </w:rPr>
            </w:pPr>
            <w:r w:rsidRPr="007A07D3">
              <w:rPr>
                <w:rFonts w:ascii="Calibri" w:hAnsi="Calibri" w:cs="MetaNormalLF-Roman"/>
                <w:b/>
                <w:color w:val="000000"/>
                <w:sz w:val="16"/>
                <w:szCs w:val="16"/>
                <w:lang w:val="en-GB"/>
              </w:rPr>
              <w:t xml:space="preserve"> -   </w:t>
            </w:r>
          </w:p>
        </w:tc>
      </w:tr>
    </w:tbl>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6"/>
          <w:szCs w:val="16"/>
          <w:lang w:val="en-GB"/>
        </w:rPr>
      </w:pPr>
      <w:r w:rsidRPr="00AC3AF6">
        <w:rPr>
          <w:rFonts w:ascii="Calibri" w:hAnsi="Calibri" w:cs="MetaNormalLF-Roman"/>
          <w:color w:val="000000"/>
          <w:sz w:val="16"/>
          <w:szCs w:val="16"/>
          <w:lang w:val="en-GB"/>
        </w:rPr>
        <w:t xml:space="preserve">There were no amounts quarantined or Section 51 adjustments in the prior financial year. There were no departmental capital budget amounts in </w:t>
      </w:r>
      <w:r w:rsidRPr="00AC3AF6">
        <w:rPr>
          <w:rFonts w:ascii="Calibri" w:hAnsi="Calibri" w:cs="MetaNormalLF-Roman"/>
          <w:color w:val="000000"/>
          <w:sz w:val="16"/>
          <w:szCs w:val="16"/>
          <w:lang w:val="en-GB"/>
        </w:rPr>
        <w:br/>
        <w:t xml:space="preserve">prior financial year. </w:t>
      </w:r>
    </w:p>
    <w:p w:rsidR="008C4900" w:rsidRPr="00AC3AF6" w:rsidRDefault="008C4900" w:rsidP="008C4900">
      <w:pPr>
        <w:tabs>
          <w:tab w:val="left" w:pos="2268"/>
        </w:tabs>
        <w:suppressAutoHyphens/>
        <w:autoSpaceDE w:val="0"/>
        <w:autoSpaceDN w:val="0"/>
        <w:adjustRightInd w:val="0"/>
        <w:spacing w:after="50" w:line="220" w:lineRule="atLeast"/>
        <w:textAlignment w:val="center"/>
        <w:rPr>
          <w:rFonts w:ascii="Calibri" w:hAnsi="Calibri" w:cs="MetaNormalLF-Roman"/>
          <w:color w:val="000000"/>
          <w:sz w:val="16"/>
          <w:szCs w:val="16"/>
          <w:lang w:val="en-GB"/>
        </w:rPr>
      </w:pPr>
      <w:r w:rsidRPr="00AC3AF6">
        <w:rPr>
          <w:rFonts w:ascii="Calibri" w:hAnsi="Calibri" w:cs="MetaNormalLF-Roman"/>
          <w:color w:val="000000"/>
          <w:sz w:val="16"/>
          <w:szCs w:val="16"/>
          <w:lang w:val="en-GB"/>
        </w:rPr>
        <w:t>The variance represents the drawdown of prior year unspent appropriation.</w:t>
      </w:r>
    </w:p>
    <w:p w:rsidR="008C4900" w:rsidRPr="00AC3AF6" w:rsidRDefault="008C4900" w:rsidP="007A07D3">
      <w:pPr>
        <w:keepNext/>
        <w:tabs>
          <w:tab w:val="left" w:pos="1418"/>
        </w:tabs>
        <w:suppressAutoHyphens/>
        <w:autoSpaceDE w:val="0"/>
        <w:autoSpaceDN w:val="0"/>
        <w:adjustRightInd w:val="0"/>
        <w:spacing w:before="300" w:after="170" w:line="200" w:lineRule="atLeast"/>
        <w:textAlignment w:val="center"/>
        <w:rPr>
          <w:rFonts w:ascii="Calibri" w:hAnsi="Calibri" w:cs="Gotham Book"/>
          <w:caps/>
          <w:color w:val="00B6E8"/>
          <w:sz w:val="16"/>
          <w:szCs w:val="16"/>
          <w:lang w:val="en-GB"/>
        </w:rPr>
      </w:pPr>
      <w:r w:rsidRPr="00AC3AF6">
        <w:rPr>
          <w:rFonts w:ascii="Calibri" w:hAnsi="Calibri" w:cs="Gotham Book"/>
          <w:caps/>
          <w:color w:val="00B6E8"/>
          <w:sz w:val="16"/>
          <w:szCs w:val="16"/>
          <w:lang w:val="en-GB"/>
        </w:rPr>
        <w:t>Note 11B: Unspent Departmental Annual Appropriations (Recoverable GST exclusive)</w:t>
      </w:r>
    </w:p>
    <w:p w:rsidR="00AC3AF6" w:rsidRPr="00AC3AF6" w:rsidRDefault="008C4900" w:rsidP="008C4900">
      <w:pPr>
        <w:tabs>
          <w:tab w:val="left" w:pos="2268"/>
        </w:tabs>
        <w:suppressAutoHyphens/>
        <w:autoSpaceDE w:val="0"/>
        <w:autoSpaceDN w:val="0"/>
        <w:adjustRightInd w:val="0"/>
        <w:spacing w:after="113" w:line="220" w:lineRule="atLeast"/>
        <w:textAlignment w:val="center"/>
        <w:rPr>
          <w:rFonts w:ascii="Calibri" w:hAnsi="Calibri" w:cs="MetaNormalLF-Roman"/>
          <w:color w:val="000000"/>
          <w:sz w:val="18"/>
          <w:szCs w:val="18"/>
          <w:lang w:val="en-GB"/>
        </w:rPr>
        <w:sectPr w:rsidR="00AC3AF6" w:rsidRPr="00AC3AF6" w:rsidSect="008C4900">
          <w:pgSz w:w="15840" w:h="12240" w:orient="landscape"/>
          <w:pgMar w:top="1134" w:right="1134" w:bottom="1134" w:left="1701" w:header="720" w:footer="720" w:gutter="0"/>
          <w:cols w:space="720"/>
          <w:noEndnote/>
          <w:docGrid w:linePitch="326"/>
        </w:sectPr>
      </w:pPr>
      <w:r w:rsidRPr="00AC3AF6">
        <w:rPr>
          <w:rFonts w:ascii="Calibri" w:hAnsi="Calibri" w:cs="MetaNormalLF-Roman"/>
          <w:color w:val="000000"/>
          <w:sz w:val="18"/>
          <w:szCs w:val="18"/>
          <w:lang w:val="en-GB"/>
        </w:rPr>
        <w:t xml:space="preserve">Cash held by the Authority is represented by cash at bank. </w:t>
      </w:r>
    </w:p>
    <w:p w:rsidR="00D66275" w:rsidRPr="00AC3AF6" w:rsidRDefault="00D66275" w:rsidP="00DD269C">
      <w:pPr>
        <w:pStyle w:val="01Heading1"/>
      </w:pPr>
      <w:bookmarkStart w:id="43" w:name="_Toc527458465"/>
      <w:r w:rsidRPr="00AC3AF6">
        <w:t>Appendix B List of requirements</w:t>
      </w:r>
      <w:bookmarkEnd w:id="43"/>
    </w:p>
    <w:tbl>
      <w:tblPr>
        <w:tblW w:w="0" w:type="auto"/>
        <w:tblInd w:w="-8" w:type="dxa"/>
        <w:tblLayout w:type="fixed"/>
        <w:tblCellMar>
          <w:left w:w="0" w:type="dxa"/>
          <w:right w:w="0" w:type="dxa"/>
        </w:tblCellMar>
        <w:tblLook w:val="0000" w:firstRow="0" w:lastRow="0" w:firstColumn="0" w:lastColumn="0" w:noHBand="0" w:noVBand="0"/>
      </w:tblPr>
      <w:tblGrid>
        <w:gridCol w:w="1247"/>
        <w:gridCol w:w="964"/>
        <w:gridCol w:w="6011"/>
        <w:gridCol w:w="1559"/>
      </w:tblGrid>
      <w:tr w:rsidR="00D66275" w:rsidRPr="00AC3AF6" w:rsidTr="00D66275">
        <w:trPr>
          <w:trHeight w:val="60"/>
          <w:tblHeader/>
        </w:trPr>
        <w:tc>
          <w:tcPr>
            <w:tcW w:w="1247" w:type="dxa"/>
            <w:tcBorders>
              <w:top w:val="single" w:sz="6" w:space="0" w:color="000000"/>
              <w:left w:val="single" w:sz="6" w:space="0" w:color="00B6E8"/>
              <w:bottom w:val="single" w:sz="6" w:space="0" w:color="000000"/>
              <w:right w:val="single" w:sz="8" w:space="0" w:color="00B6E8"/>
            </w:tcBorders>
            <w:shd w:val="solid" w:color="00B6E8" w:fill="auto"/>
            <w:tcMar>
              <w:top w:w="96" w:type="dxa"/>
              <w:left w:w="85" w:type="dxa"/>
              <w:bottom w:w="113" w:type="dxa"/>
              <w:right w:w="85" w:type="dxa"/>
            </w:tcMar>
            <w:vAlign w:val="bottom"/>
          </w:tcPr>
          <w:p w:rsidR="00D66275" w:rsidRPr="00AC3AF6"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AC3AF6">
              <w:rPr>
                <w:rFonts w:ascii="Calibri" w:hAnsi="Calibri" w:cs="Calibri"/>
                <w:b/>
                <w:bCs/>
                <w:caps/>
                <w:color w:val="FFFFFF"/>
                <w:sz w:val="16"/>
                <w:szCs w:val="16"/>
                <w:lang w:val="en-GB"/>
              </w:rPr>
              <w:t>PGPA RULE REFERENCE</w:t>
            </w:r>
          </w:p>
        </w:tc>
        <w:tc>
          <w:tcPr>
            <w:tcW w:w="964" w:type="dxa"/>
            <w:tcBorders>
              <w:top w:val="single" w:sz="6" w:space="0" w:color="000000"/>
              <w:left w:val="single" w:sz="8" w:space="0" w:color="00B6E8"/>
              <w:bottom w:val="single" w:sz="6" w:space="0" w:color="000000"/>
              <w:right w:val="single" w:sz="8" w:space="0" w:color="00B6E8"/>
            </w:tcBorders>
            <w:shd w:val="solid" w:color="00B6E8" w:fill="auto"/>
            <w:tcMar>
              <w:top w:w="96" w:type="dxa"/>
              <w:left w:w="85" w:type="dxa"/>
              <w:bottom w:w="113" w:type="dxa"/>
              <w:right w:w="85" w:type="dxa"/>
            </w:tcMar>
            <w:vAlign w:val="bottom"/>
          </w:tcPr>
          <w:p w:rsidR="00D66275" w:rsidRPr="00AC3AF6"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AC3AF6">
              <w:rPr>
                <w:rFonts w:ascii="Calibri" w:hAnsi="Calibri" w:cs="Calibri"/>
                <w:b/>
                <w:bCs/>
                <w:caps/>
                <w:color w:val="FFFFFF"/>
                <w:sz w:val="16"/>
                <w:szCs w:val="16"/>
                <w:lang w:val="en-GB"/>
              </w:rPr>
              <w:t>PART OF REPORT</w:t>
            </w:r>
          </w:p>
        </w:tc>
        <w:tc>
          <w:tcPr>
            <w:tcW w:w="6011" w:type="dxa"/>
            <w:tcBorders>
              <w:top w:val="single" w:sz="6" w:space="0" w:color="000000"/>
              <w:left w:val="single" w:sz="8" w:space="0" w:color="00B6E8"/>
              <w:bottom w:val="single" w:sz="6" w:space="0" w:color="000000"/>
              <w:right w:val="single" w:sz="8" w:space="0" w:color="00B6E8"/>
            </w:tcBorders>
            <w:shd w:val="solid" w:color="00B6E8" w:fill="auto"/>
            <w:tcMar>
              <w:top w:w="96" w:type="dxa"/>
              <w:left w:w="85" w:type="dxa"/>
              <w:bottom w:w="113" w:type="dxa"/>
              <w:right w:w="85" w:type="dxa"/>
            </w:tcMar>
            <w:vAlign w:val="bottom"/>
          </w:tcPr>
          <w:p w:rsidR="00D66275" w:rsidRPr="00AC3AF6"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AC3AF6">
              <w:rPr>
                <w:rFonts w:ascii="Calibri" w:hAnsi="Calibri" w:cs="Calibri"/>
                <w:b/>
                <w:bCs/>
                <w:caps/>
                <w:color w:val="FFFFFF"/>
                <w:sz w:val="16"/>
                <w:szCs w:val="16"/>
                <w:lang w:val="en-GB"/>
              </w:rPr>
              <w:t>DESCRIPTION</w:t>
            </w:r>
          </w:p>
        </w:tc>
        <w:tc>
          <w:tcPr>
            <w:tcW w:w="1559" w:type="dxa"/>
            <w:tcBorders>
              <w:top w:val="single" w:sz="6" w:space="0" w:color="000000"/>
              <w:left w:val="single" w:sz="8" w:space="0" w:color="00B6E8"/>
              <w:bottom w:val="single" w:sz="6" w:space="0" w:color="000000"/>
              <w:right w:val="single" w:sz="6" w:space="0" w:color="00B6E8"/>
            </w:tcBorders>
            <w:shd w:val="solid" w:color="00B6E8" w:fill="auto"/>
            <w:tcMar>
              <w:top w:w="96" w:type="dxa"/>
              <w:left w:w="85" w:type="dxa"/>
              <w:bottom w:w="113" w:type="dxa"/>
              <w:right w:w="85" w:type="dxa"/>
            </w:tcMar>
            <w:vAlign w:val="bottom"/>
          </w:tcPr>
          <w:p w:rsidR="00D66275" w:rsidRPr="00AC3AF6"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AC3AF6">
              <w:rPr>
                <w:rFonts w:ascii="Calibri" w:hAnsi="Calibri" w:cs="Calibri"/>
                <w:b/>
                <w:bCs/>
                <w:caps/>
                <w:color w:val="FFFFFF"/>
                <w:sz w:val="16"/>
                <w:szCs w:val="16"/>
                <w:lang w:val="en-GB"/>
              </w:rPr>
              <w:t>REQUIREMENT</w:t>
            </w:r>
          </w:p>
        </w:tc>
      </w:tr>
      <w:tr w:rsidR="00D66275" w:rsidRPr="00AC3AF6" w:rsidTr="00D66275">
        <w:trPr>
          <w:trHeight w:val="60"/>
        </w:trPr>
        <w:tc>
          <w:tcPr>
            <w:tcW w:w="1247"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b/>
                <w:bCs/>
                <w:color w:val="000000"/>
                <w:sz w:val="18"/>
                <w:szCs w:val="18"/>
                <w:lang w:val="en-GB"/>
              </w:rPr>
              <w:t>17AD(g)</w:t>
            </w:r>
          </w:p>
        </w:tc>
        <w:tc>
          <w:tcPr>
            <w:tcW w:w="6975" w:type="dxa"/>
            <w:gridSpan w:val="2"/>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b/>
                <w:bCs/>
                <w:color w:val="000000"/>
                <w:sz w:val="18"/>
                <w:szCs w:val="18"/>
                <w:lang w:val="en-GB"/>
              </w:rPr>
              <w:t>Letter of transmittal</w:t>
            </w:r>
          </w:p>
        </w:tc>
        <w:tc>
          <w:tcPr>
            <w:tcW w:w="1559"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b/>
                <w:bCs/>
                <w:color w:val="000000"/>
                <w:sz w:val="18"/>
                <w:szCs w:val="18"/>
                <w:lang w:val="en-GB"/>
              </w:rPr>
              <w:t> </w:t>
            </w:r>
          </w:p>
        </w:tc>
      </w:tr>
      <w:tr w:rsidR="00D66275" w:rsidRPr="00AC3AF6"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17AI</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Mandatory</w:t>
            </w:r>
          </w:p>
        </w:tc>
      </w:tr>
      <w:tr w:rsidR="00D66275" w:rsidRPr="00AC3AF6" w:rsidTr="00D66275">
        <w:trPr>
          <w:trHeight w:val="60"/>
        </w:trPr>
        <w:tc>
          <w:tcPr>
            <w:tcW w:w="1247"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b/>
                <w:bCs/>
                <w:color w:val="000000"/>
                <w:sz w:val="18"/>
                <w:szCs w:val="18"/>
                <w:lang w:val="en-GB"/>
              </w:rPr>
              <w:t>17AD(h)</w:t>
            </w:r>
          </w:p>
        </w:tc>
        <w:tc>
          <w:tcPr>
            <w:tcW w:w="6975" w:type="dxa"/>
            <w:gridSpan w:val="2"/>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b/>
                <w:bCs/>
                <w:color w:val="000000"/>
                <w:sz w:val="18"/>
                <w:szCs w:val="18"/>
                <w:lang w:val="en-GB"/>
              </w:rPr>
              <w:t>Aids to access</w:t>
            </w:r>
          </w:p>
        </w:tc>
        <w:tc>
          <w:tcPr>
            <w:tcW w:w="1559"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b/>
                <w:bCs/>
                <w:color w:val="000000"/>
                <w:sz w:val="18"/>
                <w:szCs w:val="18"/>
                <w:lang w:val="en-GB"/>
              </w:rPr>
              <w:t> </w:t>
            </w:r>
          </w:p>
        </w:tc>
      </w:tr>
      <w:tr w:rsidR="00D66275" w:rsidRPr="00AC3AF6"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17AJ(a)</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Table of contents.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Mandatory</w:t>
            </w:r>
          </w:p>
        </w:tc>
      </w:tr>
      <w:tr w:rsidR="00D66275" w:rsidRPr="00AC3AF6"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17AJ(b)</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Alphabetical index.</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AC3AF6"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AC3AF6">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17AJ(c)</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Glossary of abbreviations and acronyms.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17AJ(d)</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List of requirements.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17AJ(e)</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Details of contact officer.</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17AJ(f)</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Entity’s website address.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17AJ(g)</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Electronic address of report.</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17AD(a)</w:t>
            </w:r>
          </w:p>
        </w:tc>
        <w:tc>
          <w:tcPr>
            <w:tcW w:w="6975" w:type="dxa"/>
            <w:gridSpan w:val="2"/>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Review by accountable authority</w:t>
            </w:r>
          </w:p>
        </w:tc>
        <w:tc>
          <w:tcPr>
            <w:tcW w:w="1559"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17AD(a)</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review by the accountable authority of the entity.</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17AD(b)</w:t>
            </w:r>
          </w:p>
        </w:tc>
        <w:tc>
          <w:tcPr>
            <w:tcW w:w="8534" w:type="dxa"/>
            <w:gridSpan w:val="3"/>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Overview of the entity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17AE(1)(a)(</w:t>
            </w:r>
            <w:proofErr w:type="spellStart"/>
            <w:r w:rsidRPr="00D66275">
              <w:rPr>
                <w:rFonts w:ascii="Calibri" w:hAnsi="Calibri" w:cs="Calibri"/>
                <w:color w:val="000000"/>
                <w:sz w:val="18"/>
                <w:szCs w:val="18"/>
                <w:lang w:val="en-GB"/>
              </w:rPr>
              <w:t>i</w:t>
            </w:r>
            <w:proofErr w:type="spellEnd"/>
            <w:r w:rsidRPr="00D66275">
              <w:rPr>
                <w:rFonts w:ascii="Calibri" w:hAnsi="Calibri" w:cs="Calibri"/>
                <w:color w:val="000000"/>
                <w:sz w:val="18"/>
                <w:szCs w:val="18"/>
                <w:lang w:val="en-GB"/>
              </w:rPr>
              <w:t>)</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description of the role and functions of the entity.</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17AE(1)(a)(ii)</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description of the organisational structure of the entity.</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17AE(1)(a)(iii)</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description of the outcomes and programmes administered by the entity.</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17AE(1)(a)(iv)</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description of the purposes of the entity as included in corporate plan.</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17AE(1)(b)</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An outline of the structure of the portfolio of the entity.</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Portfolio departments—mandatory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17AE(2)</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Where the outcomes and programmes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17AD(c)</w:t>
            </w:r>
          </w:p>
        </w:tc>
        <w:tc>
          <w:tcPr>
            <w:tcW w:w="6975" w:type="dxa"/>
            <w:gridSpan w:val="2"/>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Report on the Performance of the entity</w:t>
            </w:r>
          </w:p>
        </w:tc>
        <w:tc>
          <w:tcPr>
            <w:tcW w:w="1559"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 </w:t>
            </w:r>
          </w:p>
        </w:tc>
        <w:tc>
          <w:tcPr>
            <w:tcW w:w="6975" w:type="dxa"/>
            <w:gridSpan w:val="2"/>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Annual performance Statements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 </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17AD(c)(</w:t>
            </w:r>
            <w:proofErr w:type="spellStart"/>
            <w:r w:rsidRPr="00D66275">
              <w:rPr>
                <w:rFonts w:ascii="Calibri" w:hAnsi="Calibri" w:cs="Calibri"/>
                <w:color w:val="000000"/>
                <w:sz w:val="18"/>
                <w:szCs w:val="18"/>
                <w:lang w:val="en-GB"/>
              </w:rPr>
              <w:t>i</w:t>
            </w:r>
            <w:proofErr w:type="spellEnd"/>
            <w:r w:rsidRPr="00D66275">
              <w:rPr>
                <w:rFonts w:ascii="Calibri" w:hAnsi="Calibri" w:cs="Calibri"/>
                <w:color w:val="000000"/>
                <w:sz w:val="18"/>
                <w:szCs w:val="18"/>
                <w:lang w:val="en-GB"/>
              </w:rPr>
              <w:t>); 16F</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Annual performance statement in accordance with paragraph 39(1)(b) of the Act and section 16F of the Rule.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17AD(c)(ii)</w:t>
            </w:r>
          </w:p>
        </w:tc>
        <w:tc>
          <w:tcPr>
            <w:tcW w:w="8534" w:type="dxa"/>
            <w:gridSpan w:val="3"/>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Report on Financial Performance</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17AF(1)(a)</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discussion and analysis of the entity’s financial performance.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17AF(1)(b)</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table summarising the total resources and total payments of the entity.</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17AF(2)</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17AD(d)</w:t>
            </w:r>
          </w:p>
        </w:tc>
        <w:tc>
          <w:tcPr>
            <w:tcW w:w="8534" w:type="dxa"/>
            <w:gridSpan w:val="3"/>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Management and Accountability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i/>
                <w:iCs/>
                <w:color w:val="000000"/>
                <w:sz w:val="18"/>
                <w:szCs w:val="18"/>
                <w:lang w:val="en-GB"/>
              </w:rPr>
              <w:t> </w:t>
            </w:r>
          </w:p>
        </w:tc>
        <w:tc>
          <w:tcPr>
            <w:tcW w:w="8534" w:type="dxa"/>
            <w:gridSpan w:val="3"/>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Corporate Governance</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17AG(2)(a)</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compliance with section 10 (fraud systems)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17AG(2)(b)(</w:t>
            </w:r>
            <w:proofErr w:type="spellStart"/>
            <w:r w:rsidRPr="00D66275">
              <w:rPr>
                <w:rFonts w:ascii="Calibri" w:hAnsi="Calibri" w:cs="Calibri"/>
                <w:color w:val="000000"/>
                <w:sz w:val="18"/>
                <w:szCs w:val="18"/>
                <w:lang w:val="en-GB"/>
              </w:rPr>
              <w:t>i</w:t>
            </w:r>
            <w:proofErr w:type="spellEnd"/>
            <w:r w:rsidRPr="00D66275">
              <w:rPr>
                <w:rFonts w:ascii="Calibri" w:hAnsi="Calibri" w:cs="Calibri"/>
                <w:color w:val="000000"/>
                <w:sz w:val="18"/>
                <w:szCs w:val="18"/>
                <w:lang w:val="en-GB"/>
              </w:rPr>
              <w:t>)</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certification by accountable authority that fraud risk assessments and fraud control plans have been prepared.</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17AG(2)(b)(ii)</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certification by accountable authority that appropriate mechanisms for preventing, detecting incidents of, investigating or otherwise dealing with, and recording or reporting fraud that meet the specific needs of the entity are in place.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17AG(2)(b)(iii)</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certification by accountable authority that all reasonable measures have been taken to deal appropriately with fraud relating to the entity.</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17AG(2)(c)</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An outline of structures and processes in place for the entity to implement principles and objectives of corporate governance.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17AG(2)(d)–(e)</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statement of significant issues reported to Minister under paragraph 19(1)(e) of the Act that relates to non-compliance with Finance law and action taken to remedy non-compliance.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 </w:t>
            </w:r>
          </w:p>
        </w:tc>
        <w:tc>
          <w:tcPr>
            <w:tcW w:w="8534" w:type="dxa"/>
            <w:gridSpan w:val="3"/>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External Scrutiny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17AG(3)</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the most significant developments in external scrutiny and the entity’s response to the scrutiny.</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17AG(3)(a)</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judicial decisions and decisions of administrative tribunals and by the Australian Information Commissioner that may have a significant effect on the operations of the entity.</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17AG(3)(b)</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any reports on operations of the entity by the Auditor-General (other than report under section 43 of the Act), a Parliamentary Committee, or the Commonwealth Ombudsman.</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17AG(3)(c)</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any capability reviews on the entity that were released during the period.</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 </w:t>
            </w:r>
          </w:p>
        </w:tc>
        <w:tc>
          <w:tcPr>
            <w:tcW w:w="8534" w:type="dxa"/>
            <w:gridSpan w:val="3"/>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Management of Human Resources</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17AG(4)(a)</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An assessment of the entity’s effectiveness in managing and developing employees to achieve entity objectives.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17AG(4)(b)</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Statistics on the entity’s APS employees on an ongoing and non-ongoing basis; including the following:</w:t>
            </w:r>
          </w:p>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Statistics on staffing classification level;</w:t>
            </w:r>
          </w:p>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Statistics on full-time employees;</w:t>
            </w:r>
          </w:p>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Statistics on part-time employees;</w:t>
            </w:r>
          </w:p>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Statistics on gender;</w:t>
            </w:r>
          </w:p>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Statistics on staff location;</w:t>
            </w:r>
          </w:p>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Statistics on employees who identify as Indigenous.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17AG(4)(c)</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any enterprise agreements, individual flexibility arrangements, Australian workplace agreements, common law contracts and determinations under subsection 24(1) of the </w:t>
            </w:r>
            <w:r w:rsidRPr="00D66275">
              <w:rPr>
                <w:rFonts w:ascii="Calibri" w:hAnsi="Calibri" w:cs="Calibri"/>
                <w:i/>
                <w:iCs/>
                <w:color w:val="000000"/>
                <w:sz w:val="18"/>
                <w:szCs w:val="18"/>
                <w:lang w:val="en-GB"/>
              </w:rPr>
              <w:t>Public Service Act 1999.</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17AG(4)(c)(</w:t>
            </w:r>
            <w:proofErr w:type="spellStart"/>
            <w:r w:rsidRPr="00D66275">
              <w:rPr>
                <w:rFonts w:ascii="Calibri" w:hAnsi="Calibri" w:cs="Calibri"/>
                <w:color w:val="000000"/>
                <w:sz w:val="18"/>
                <w:szCs w:val="18"/>
                <w:lang w:val="en-GB"/>
              </w:rPr>
              <w:t>i</w:t>
            </w:r>
            <w:proofErr w:type="spellEnd"/>
            <w:r w:rsidRPr="00D66275">
              <w:rPr>
                <w:rFonts w:ascii="Calibri" w:hAnsi="Calibri" w:cs="Calibri"/>
                <w:color w:val="000000"/>
                <w:sz w:val="18"/>
                <w:szCs w:val="18"/>
                <w:lang w:val="en-GB"/>
              </w:rPr>
              <w:t>)</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the number of SES and non-SES employees covered by agreements etc identified in paragraph 17AD(4)(c).</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17AG(4)(c)(ii)</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The salary ranges available for APS employees by classification level.</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17AG(4)(c)(iii)</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autoSpaceDE w:val="0"/>
              <w:autoSpaceDN w:val="0"/>
              <w:adjustRightInd w:val="0"/>
              <w:rPr>
                <w:rFonts w:ascii="Calibri" w:hAnsi="Calibri"/>
                <w:lang w:val="en-US"/>
              </w:rPr>
            </w:pP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description of non-salary benefits provided to employees.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17AG(4)(d)(</w:t>
            </w:r>
            <w:proofErr w:type="spellStart"/>
            <w:r w:rsidRPr="00D66275">
              <w:rPr>
                <w:rFonts w:ascii="Calibri" w:hAnsi="Calibri" w:cs="Calibri"/>
                <w:color w:val="000000"/>
                <w:sz w:val="18"/>
                <w:szCs w:val="18"/>
                <w:lang w:val="en-GB"/>
              </w:rPr>
              <w:t>i</w:t>
            </w:r>
            <w:proofErr w:type="spellEnd"/>
            <w:r w:rsidRPr="00D66275">
              <w:rPr>
                <w:rFonts w:ascii="Calibri" w:hAnsi="Calibri" w:cs="Calibri"/>
                <w:color w:val="000000"/>
                <w:sz w:val="18"/>
                <w:szCs w:val="18"/>
                <w:lang w:val="en-GB"/>
              </w:rPr>
              <w:t>)</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the number of employees at each classification level who received performance pay.</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17AG(4)(d)(ii)</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aggregate amounts of performance pay at each classification level.</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17AG(4)(d)(iii)</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the average amount of performance payment, and range of such payments, at each classification level.</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17AG(4)(d)(iv)</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on aggregate amount of performance payments.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 </w:t>
            </w:r>
          </w:p>
        </w:tc>
        <w:tc>
          <w:tcPr>
            <w:tcW w:w="6975" w:type="dxa"/>
            <w:gridSpan w:val="2"/>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Assets Management</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 </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17AG(5)</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An assessment of effectiveness of assets management where asset management is a significant part of the entity’s activities.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 </w:t>
            </w:r>
          </w:p>
        </w:tc>
        <w:tc>
          <w:tcPr>
            <w:tcW w:w="6975" w:type="dxa"/>
            <w:gridSpan w:val="2"/>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Purchasing</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 </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17AG(6)</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An assessment of entity performance against the </w:t>
            </w:r>
            <w:r w:rsidRPr="00D66275">
              <w:rPr>
                <w:rFonts w:ascii="Calibri" w:hAnsi="Calibri" w:cs="Calibri"/>
                <w:i/>
                <w:iCs/>
                <w:color w:val="000000"/>
                <w:sz w:val="18"/>
                <w:szCs w:val="18"/>
                <w:lang w:val="en-GB"/>
              </w:rPr>
              <w:t>Commonwealth Procurement Rules.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w:t>
            </w:r>
          </w:p>
        </w:tc>
        <w:tc>
          <w:tcPr>
            <w:tcW w:w="6975" w:type="dxa"/>
            <w:gridSpan w:val="2"/>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Consultants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17AG(7)(a)</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17AG(7)(b)</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 statement that </w:t>
            </w:r>
            <w:r w:rsidRPr="00D66275">
              <w:rPr>
                <w:rFonts w:ascii="Calibri" w:hAnsi="Calibri" w:cs="Calibri"/>
                <w:i/>
                <w:iCs/>
                <w:color w:val="000000"/>
                <w:sz w:val="18"/>
                <w:szCs w:val="18"/>
                <w:lang w:val="en-GB"/>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17AG(7)(c)</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summary of the policies and procedures for selecting and engaging consultants and the main categories of purposes for which consultants were selected and engaged.</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17AG(7)(d)</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A statement that </w:t>
            </w:r>
            <w:r w:rsidRPr="00D66275">
              <w:rPr>
                <w:rFonts w:ascii="Calibri" w:hAnsi="Calibri" w:cs="Calibri"/>
                <w:i/>
                <w:iCs/>
                <w:color w:val="000000"/>
                <w:sz w:val="18"/>
                <w:szCs w:val="18"/>
                <w:lang w:val="en-GB"/>
              </w:rPr>
              <w:t xml:space="preserve">“Annual reports contain information about actual expenditure on contracts for consultancies. Information on the value of contracts and consultancies is available on the </w:t>
            </w:r>
            <w:proofErr w:type="spellStart"/>
            <w:r w:rsidRPr="00D66275">
              <w:rPr>
                <w:rFonts w:ascii="Calibri" w:hAnsi="Calibri" w:cs="Calibri"/>
                <w:i/>
                <w:iCs/>
                <w:color w:val="000000"/>
                <w:sz w:val="18"/>
                <w:szCs w:val="18"/>
                <w:lang w:val="en-GB"/>
              </w:rPr>
              <w:t>AusTender</w:t>
            </w:r>
            <w:proofErr w:type="spellEnd"/>
            <w:r w:rsidRPr="00D66275">
              <w:rPr>
                <w:rFonts w:ascii="Calibri" w:hAnsi="Calibri" w:cs="Calibri"/>
                <w:i/>
                <w:iCs/>
                <w:color w:val="000000"/>
                <w:sz w:val="18"/>
                <w:szCs w:val="18"/>
                <w:lang w:val="en-GB"/>
              </w:rPr>
              <w:t xml:space="preserve"> website.”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 </w:t>
            </w:r>
          </w:p>
        </w:tc>
        <w:tc>
          <w:tcPr>
            <w:tcW w:w="6975" w:type="dxa"/>
            <w:gridSpan w:val="2"/>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Australian National Audit Office Access Clauses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 </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17AG(8)</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an entity entered into a contract with a value of more than $100 000 (inclusive of GST) and the contract did not provide the Auditor-General with access to the contractor’s premises, the report must include the name of the contractor, purpose and value of the contract, and the reason why a clause allowing access was not included in the contract.</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w:t>
            </w:r>
          </w:p>
        </w:tc>
        <w:tc>
          <w:tcPr>
            <w:tcW w:w="6975" w:type="dxa"/>
            <w:gridSpan w:val="2"/>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Exempt contracts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17AG(9)</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If an entity entered into a contract or there is a standing offer with a value greater than $10 000 (inclusive of GST) which has been exempted from being published in </w:t>
            </w:r>
            <w:proofErr w:type="spellStart"/>
            <w:r w:rsidRPr="00D66275">
              <w:rPr>
                <w:rFonts w:ascii="Calibri" w:hAnsi="Calibri" w:cs="Calibri"/>
                <w:color w:val="000000"/>
                <w:sz w:val="18"/>
                <w:szCs w:val="18"/>
                <w:lang w:val="en-GB"/>
              </w:rPr>
              <w:t>AusTender</w:t>
            </w:r>
            <w:proofErr w:type="spellEnd"/>
            <w:r w:rsidRPr="00D66275">
              <w:rPr>
                <w:rFonts w:ascii="Calibri" w:hAnsi="Calibri" w:cs="Calibri"/>
                <w:color w:val="000000"/>
                <w:sz w:val="18"/>
                <w:szCs w:val="18"/>
                <w:lang w:val="en-GB"/>
              </w:rPr>
              <w:t xml:space="preserve">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w:t>
            </w:r>
          </w:p>
        </w:tc>
        <w:tc>
          <w:tcPr>
            <w:tcW w:w="6975" w:type="dxa"/>
            <w:gridSpan w:val="2"/>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Small business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17AG(10)(a)</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statement that </w:t>
            </w:r>
            <w:r w:rsidRPr="00D66275">
              <w:rPr>
                <w:rFonts w:ascii="Calibri" w:hAnsi="Calibri" w:cs="Calibri"/>
                <w:i/>
                <w:iCs/>
                <w:color w:val="000000"/>
                <w:sz w:val="18"/>
                <w:szCs w:val="18"/>
                <w:lang w:val="en-GB"/>
              </w:rPr>
              <w:t>“[Name of entity] supports small business participation in the Commonwealth Government procurement market. Small and Medium Enterprises (SME) and Small Enterprise participation statistics are available on the Department of Finance’s website.”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17AG(10)(b)</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An outline of the ways in which the procurement practices of the entity support small and medium enterprises.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17AG(10)(c)</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xml:space="preserve">If the entity is considered by the Department administered by the Finance Minister as material in nature—a statement that </w:t>
            </w:r>
            <w:r w:rsidRPr="00D66275">
              <w:rPr>
                <w:rFonts w:ascii="Calibri" w:hAnsi="Calibri" w:cs="Calibri"/>
                <w:i/>
                <w:iCs/>
                <w:color w:val="000000"/>
                <w:sz w:val="18"/>
                <w:szCs w:val="18"/>
                <w:lang w:val="en-GB"/>
              </w:rPr>
              <w:t>“[Name of entity] recognises the importance of ensuring that small businesses are paid on time. The results of the Survey of Australian Government Payments to Small Business are available on the Treasury’s website.”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w:t>
            </w:r>
          </w:p>
        </w:tc>
        <w:tc>
          <w:tcPr>
            <w:tcW w:w="6975" w:type="dxa"/>
            <w:gridSpan w:val="2"/>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i/>
                <w:iCs/>
                <w:color w:val="000000"/>
                <w:sz w:val="18"/>
                <w:szCs w:val="18"/>
                <w:lang w:val="en-GB"/>
              </w:rPr>
              <w:t>Financial Statements</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 </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17AD(e)</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Inclusion of the annual financial statements in accordance with subsection 43(4) of the Act.</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17AD(f)</w:t>
            </w:r>
          </w:p>
        </w:tc>
        <w:tc>
          <w:tcPr>
            <w:tcW w:w="8534" w:type="dxa"/>
            <w:gridSpan w:val="3"/>
            <w:tcBorders>
              <w:top w:val="single" w:sz="4" w:space="0" w:color="000000"/>
              <w:left w:val="single" w:sz="6" w:space="0" w:color="auto"/>
              <w:bottom w:val="single" w:sz="4" w:space="0" w:color="000000"/>
              <w:right w:val="single" w:sz="6" w:space="0" w:color="auto"/>
            </w:tcBorders>
            <w:shd w:val="solid" w:color="BBE5F5" w:fill="auto"/>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b/>
                <w:bCs/>
                <w:color w:val="000000"/>
                <w:sz w:val="18"/>
                <w:szCs w:val="18"/>
                <w:lang w:val="en-GB"/>
              </w:rPr>
              <w:t>Other Mandatory Information</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17AH(1)(a)(</w:t>
            </w:r>
            <w:proofErr w:type="spellStart"/>
            <w:r w:rsidRPr="00D66275">
              <w:rPr>
                <w:rFonts w:ascii="Calibri" w:hAnsi="Calibri" w:cs="Calibri"/>
                <w:color w:val="000000"/>
                <w:sz w:val="18"/>
                <w:szCs w:val="18"/>
                <w:lang w:val="en-GB"/>
              </w:rPr>
              <w:t>i</w:t>
            </w:r>
            <w:proofErr w:type="spellEnd"/>
            <w:r w:rsidRPr="00D66275">
              <w:rPr>
                <w:rFonts w:ascii="Calibri" w:hAnsi="Calibri" w:cs="Calibri"/>
                <w:color w:val="000000"/>
                <w:sz w:val="18"/>
                <w:szCs w:val="18"/>
                <w:lang w:val="en-GB"/>
              </w:rPr>
              <w:t>)</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the entity conducted advertising campaigns, a statement that </w:t>
            </w:r>
            <w:r w:rsidRPr="00D66275">
              <w:rPr>
                <w:rFonts w:ascii="Calibri" w:hAnsi="Calibri" w:cs="Calibri"/>
                <w:i/>
                <w:iCs/>
                <w:color w:val="000000"/>
                <w:sz w:val="18"/>
                <w:szCs w:val="18"/>
                <w:lang w:val="en-GB"/>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17AH(1)(a)(ii)</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the entity did not conduct advertising campaigns, a statement to that effect.</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17AH(1)(b)</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A statement that </w:t>
            </w:r>
            <w:r w:rsidRPr="00D66275">
              <w:rPr>
                <w:rFonts w:ascii="Calibri" w:hAnsi="Calibri" w:cs="Calibri"/>
                <w:i/>
                <w:iCs/>
                <w:color w:val="000000"/>
                <w:sz w:val="18"/>
                <w:szCs w:val="18"/>
                <w:lang w:val="en-GB"/>
              </w:rPr>
              <w:t>“Information on grants awarded to [name of entity] during [reporting period] is available at [address of entity’s website].”</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17AH(1)(c)</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Outline of mechanisms of disability reporting, including reference to website for further information.</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17AH(1)(d)</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Website reference to where the entity’s Information Publication Scheme statement pursuant to Part II of FOI Act can be found.</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17AH(1)(e)</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Correction of material errors in previous annual report</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If applicable, mandatory</w:t>
            </w:r>
          </w:p>
        </w:tc>
      </w:tr>
      <w:tr w:rsidR="00D66275" w:rsidRPr="00D66275" w:rsidTr="00D66275">
        <w:trPr>
          <w:trHeight w:val="60"/>
        </w:trPr>
        <w:tc>
          <w:tcPr>
            <w:tcW w:w="1247"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17AH(2)</w:t>
            </w:r>
          </w:p>
        </w:tc>
        <w:tc>
          <w:tcPr>
            <w:tcW w:w="964"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 </w:t>
            </w:r>
          </w:p>
        </w:tc>
        <w:tc>
          <w:tcPr>
            <w:tcW w:w="6011"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Information required by other legislation</w:t>
            </w:r>
          </w:p>
        </w:tc>
        <w:tc>
          <w:tcPr>
            <w:tcW w:w="1559" w:type="dxa"/>
            <w:tcBorders>
              <w:top w:val="single" w:sz="4" w:space="0" w:color="000000"/>
              <w:left w:val="single" w:sz="6" w:space="0" w:color="auto"/>
              <w:bottom w:val="single" w:sz="4" w:space="0" w:color="000000"/>
              <w:right w:val="single" w:sz="6" w:space="0" w:color="auto"/>
            </w:tcBorders>
            <w:tcMar>
              <w:top w:w="96" w:type="dxa"/>
              <w:left w:w="85" w:type="dxa"/>
              <w:bottom w:w="113" w:type="dxa"/>
              <w:right w:w="85" w:type="dxa"/>
            </w:tcMar>
          </w:tcPr>
          <w:p w:rsidR="00D66275" w:rsidRPr="00D66275" w:rsidRDefault="00D66275" w:rsidP="007261AC">
            <w:pPr>
              <w:tabs>
                <w:tab w:val="left" w:pos="2268"/>
              </w:tabs>
              <w:suppressAutoHyphens/>
              <w:autoSpaceDE w:val="0"/>
              <w:autoSpaceDN w:val="0"/>
              <w:adjustRightInd w:val="0"/>
              <w:spacing w:line="220" w:lineRule="atLeast"/>
              <w:textAlignment w:val="center"/>
              <w:rPr>
                <w:rFonts w:ascii="Calibri" w:hAnsi="Calibri" w:cs="Calibri"/>
                <w:color w:val="000000"/>
                <w:sz w:val="18"/>
                <w:szCs w:val="18"/>
                <w:lang w:val="en-GB"/>
              </w:rPr>
            </w:pPr>
            <w:r w:rsidRPr="00D66275">
              <w:rPr>
                <w:rFonts w:ascii="Calibri" w:hAnsi="Calibri" w:cs="Calibri"/>
                <w:color w:val="000000"/>
                <w:sz w:val="18"/>
                <w:szCs w:val="18"/>
                <w:lang w:val="en-GB"/>
              </w:rPr>
              <w:t>Mandatory</w:t>
            </w:r>
          </w:p>
        </w:tc>
      </w:tr>
    </w:tbl>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p>
    <w:p w:rsidR="00D66275" w:rsidRDefault="00D66275">
      <w:pPr>
        <w:rPr>
          <w:rFonts w:ascii="Calibri" w:hAnsi="Calibri" w:cs="Calibri"/>
          <w:b/>
          <w:bCs/>
          <w:caps/>
          <w:color w:val="00B6E8"/>
          <w:spacing w:val="17"/>
          <w:sz w:val="34"/>
          <w:szCs w:val="34"/>
          <w:lang w:val="en-GB"/>
        </w:rPr>
      </w:pPr>
      <w:r>
        <w:rPr>
          <w:rFonts w:ascii="Calibri" w:hAnsi="Calibri" w:cs="Calibri"/>
          <w:b/>
          <w:bCs/>
          <w:caps/>
          <w:color w:val="00B6E8"/>
          <w:spacing w:val="17"/>
          <w:sz w:val="34"/>
          <w:szCs w:val="34"/>
          <w:lang w:val="en-GB"/>
        </w:rPr>
        <w:br w:type="page"/>
      </w:r>
    </w:p>
    <w:p w:rsidR="00D66275" w:rsidRPr="00D66275" w:rsidRDefault="00D66275" w:rsidP="00DD269C">
      <w:pPr>
        <w:pStyle w:val="01Heading1"/>
      </w:pPr>
      <w:bookmarkStart w:id="44" w:name="_Toc527458466"/>
      <w:r w:rsidRPr="00D66275">
        <w:t>Glossary</w:t>
      </w:r>
      <w:bookmarkEnd w:id="44"/>
      <w:r w:rsidRPr="00D66275">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942"/>
        <w:gridCol w:w="7697"/>
      </w:tblGrid>
      <w:tr w:rsidR="00D66275" w:rsidRPr="00D66275" w:rsidTr="00D66275">
        <w:trPr>
          <w:trHeight w:val="60"/>
          <w:tblHeader/>
        </w:trPr>
        <w:tc>
          <w:tcPr>
            <w:tcW w:w="1942" w:type="dxa"/>
            <w:tcBorders>
              <w:top w:val="single" w:sz="6" w:space="0" w:color="000000"/>
              <w:left w:val="single" w:sz="6" w:space="0" w:color="000000"/>
              <w:bottom w:val="single" w:sz="6" w:space="0" w:color="000000"/>
              <w:right w:val="single" w:sz="6" w:space="0" w:color="000000"/>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8"/>
                <w:szCs w:val="18"/>
                <w:lang w:val="en-GB"/>
              </w:rPr>
              <w:t>TERM</w:t>
            </w:r>
          </w:p>
        </w:tc>
        <w:tc>
          <w:tcPr>
            <w:tcW w:w="7697" w:type="dxa"/>
            <w:tcBorders>
              <w:top w:val="single" w:sz="6" w:space="0" w:color="000000"/>
              <w:left w:val="single" w:sz="6" w:space="0" w:color="000000"/>
              <w:bottom w:val="single" w:sz="6" w:space="0" w:color="000000"/>
              <w:right w:val="single" w:sz="6" w:space="0" w:color="000000"/>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8"/>
                <w:szCs w:val="18"/>
                <w:lang w:val="en-GB"/>
              </w:rPr>
              <w:t>MEANING</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proofErr w:type="spellStart"/>
            <w:r w:rsidRPr="00D66275">
              <w:rPr>
                <w:rFonts w:ascii="Calibri" w:hAnsi="Calibri" w:cs="Calibri"/>
                <w:color w:val="000000"/>
                <w:sz w:val="18"/>
                <w:szCs w:val="18"/>
                <w:lang w:val="en-GB"/>
              </w:rPr>
              <w:t>AusTender</w:t>
            </w:r>
            <w:proofErr w:type="spellEnd"/>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Provides centralised publication of Commonwealth Government business opportunities, annual procurement plans, multi-use lists and contracts awarded by government agencies.</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Authority members</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The Authority comprises eight part-time members (including the Chair) and the Chief Scientist (ex officio). Members are appointed by the Minister responsible for climate change under s. 18 of the</w:t>
            </w:r>
            <w:r w:rsidRPr="00D66275">
              <w:rPr>
                <w:rFonts w:ascii="Calibri" w:hAnsi="Calibri" w:cs="Calibri"/>
                <w:i/>
                <w:iCs/>
                <w:color w:val="000000"/>
                <w:sz w:val="18"/>
                <w:szCs w:val="18"/>
                <w:lang w:val="en-GB"/>
              </w:rPr>
              <w:t xml:space="preserve"> Climate Change Authority Act 2011</w:t>
            </w:r>
            <w:r w:rsidRPr="00D66275">
              <w:rPr>
                <w:rFonts w:ascii="Calibri" w:hAnsi="Calibri" w:cs="Calibri"/>
                <w:color w:val="000000"/>
                <w:sz w:val="18"/>
                <w:szCs w:val="18"/>
                <w:lang w:val="en-GB"/>
              </w:rPr>
              <w:t xml:space="preserve">. </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caps</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The year-by-year limit on emissions from sources covered by the carbon price mechanism (‘covered emissions’).</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Carbon Farming Initiative</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An Australian carbon offset scheme that credits emissions reductions from certain sources.</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Climate Change Authority</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Established on 1 July 2012 to provide independent advice to the Minister responsible for climate change and the parliament on climate change policies.</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Clean Energy Regulator</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An independent statutory authority that administers regulatory schemes relating to clean energy, including the Renewable Energy Target, the Carbon Pricing Mechanism (now repealed), the National Greenhouse and Energy Reporting scheme, the Carbon Farming Initiative and the Emissions Reduction Fund.</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Department of the Environment and Energy</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Designs and implements the Commonwealth Government’s policies and programmes to protect and conserve the environment, water and heritage, and promote climate action.</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Department of Climate Change and Energy Efficiency Enterprise Agreement 2011–2014</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The collective agreement of the former Department of Climate Change and Energy Efficiency; sets the terms and conditions of employment for all non-SES Authority staff.</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Department of Industry and Science</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Helps to drive economic growth, productivity and competitiveness by bringing together industry, energy, resources, science, skills and business.</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Emissions Reduction Fund</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 scheme resulting from the expansion of, streamlining and other changes to the CFI in December 2014. The ERF involves purchases of ACCUs by the Government.</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Emissions Reduction Target</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Australia’s goal for national emissions in a specific year.</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Emissions Trading Scheme</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 market-based approach to reducing emissions that places a limit on emissions allowed from all sectors covered by the scheme. Emissions trading allows entities to trade emissions units with other entities. In general, trading can occur at the domestic, international and intra-company levels.</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mitigation</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 reduction in the source of greenhouse gases or enhancement of the sequestration (removals) for greenhouse gases.</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national carbon budget</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Australia’s cumulative emissions allowance over a period of time.</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National Greenhouse and Energy Reporting Scheme</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Introduced in 2007, the scheme provides a single national framework for corporations to report on greenhouse gas emissions, energy use and energy production. Corporations that meet a National Greenhouse and Energy Reporting threshold must register and then report each year.</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Remuneration Tribunal</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An independent statutory authority established under the </w:t>
            </w:r>
            <w:r w:rsidRPr="00D66275">
              <w:rPr>
                <w:rFonts w:ascii="Calibri" w:hAnsi="Calibri" w:cs="Calibri"/>
                <w:i/>
                <w:iCs/>
                <w:color w:val="000000"/>
                <w:sz w:val="18"/>
                <w:szCs w:val="18"/>
                <w:lang w:val="en-GB"/>
              </w:rPr>
              <w:t>Remuneration Tribunal Act 1973</w:t>
            </w:r>
            <w:r w:rsidRPr="00D66275">
              <w:rPr>
                <w:rFonts w:ascii="Calibri" w:hAnsi="Calibri" w:cs="Calibri"/>
                <w:color w:val="000000"/>
                <w:sz w:val="18"/>
                <w:szCs w:val="18"/>
                <w:lang w:val="en-GB"/>
              </w:rPr>
              <w:t xml:space="preserve"> that sets the remuneration for key Commonwealth offices.</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Renewable Energy Target</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Operates in two parts—the Small-scale Renewable Energy Scheme and the Large-scale Renewable Energy Target.</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Renewable Energy Target review</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The Climate Change Authority’s review of the Renewable Energy Target. The review was defined in s. 162 of the </w:t>
            </w:r>
            <w:r w:rsidRPr="00D66275">
              <w:rPr>
                <w:rFonts w:ascii="Calibri" w:hAnsi="Calibri" w:cs="Calibri"/>
                <w:i/>
                <w:iCs/>
                <w:color w:val="000000"/>
                <w:sz w:val="18"/>
                <w:szCs w:val="18"/>
                <w:lang w:val="en-GB"/>
              </w:rPr>
              <w:t>Renewable Energy (Electricity) Act 2000</w:t>
            </w:r>
            <w:r w:rsidRPr="00D66275">
              <w:rPr>
                <w:rFonts w:ascii="Calibri" w:hAnsi="Calibri" w:cs="Calibri"/>
                <w:color w:val="000000"/>
                <w:sz w:val="18"/>
                <w:szCs w:val="18"/>
                <w:lang w:val="en-GB"/>
              </w:rPr>
              <w:t>. The requirement for the Authority to review the Renewable Energy Target has been repealed.</w:t>
            </w:r>
          </w:p>
        </w:tc>
      </w:tr>
      <w:tr w:rsidR="00D66275" w:rsidRPr="00D66275" w:rsidTr="00D66275">
        <w:trPr>
          <w:trHeight w:val="60"/>
        </w:trPr>
        <w:tc>
          <w:tcPr>
            <w:tcW w:w="194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Targets and Progress Review</w:t>
            </w:r>
          </w:p>
        </w:tc>
        <w:tc>
          <w:tcPr>
            <w:tcW w:w="7697"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Recommended emissions reduction targets for Australia and reported on progress towards these targets. The Authority presented the final report to the government on 27 February 2014. The Authority’s role in advising the minister on emissions reduction targets has been repealed.</w:t>
            </w:r>
          </w:p>
        </w:tc>
      </w:tr>
    </w:tbl>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34"/>
          <w:szCs w:val="34"/>
          <w:lang w:val="en-GB"/>
        </w:rPr>
      </w:pP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p>
    <w:p w:rsidR="00D66275" w:rsidRDefault="00D66275">
      <w:pPr>
        <w:rPr>
          <w:rFonts w:ascii="Calibri" w:hAnsi="Calibri" w:cs="Calibri"/>
          <w:b/>
          <w:bCs/>
          <w:caps/>
          <w:color w:val="00B6E8"/>
          <w:spacing w:val="17"/>
          <w:sz w:val="34"/>
          <w:szCs w:val="34"/>
          <w:lang w:val="en-GB"/>
        </w:rPr>
      </w:pPr>
      <w:r>
        <w:rPr>
          <w:rFonts w:ascii="Calibri" w:hAnsi="Calibri" w:cs="Calibri"/>
          <w:b/>
          <w:bCs/>
          <w:caps/>
          <w:color w:val="00B6E8"/>
          <w:spacing w:val="17"/>
          <w:sz w:val="34"/>
          <w:szCs w:val="34"/>
          <w:lang w:val="en-GB"/>
        </w:rPr>
        <w:br w:type="page"/>
      </w:r>
    </w:p>
    <w:p w:rsidR="00D66275" w:rsidRPr="00D66275" w:rsidRDefault="00D66275" w:rsidP="00DD269C">
      <w:pPr>
        <w:pStyle w:val="01Heading1"/>
      </w:pPr>
      <w:bookmarkStart w:id="45" w:name="_Toc527458467"/>
      <w:r w:rsidRPr="00D66275">
        <w:t>Abbreviations</w:t>
      </w:r>
      <w:bookmarkEnd w:id="45"/>
    </w:p>
    <w:tbl>
      <w:tblPr>
        <w:tblW w:w="0" w:type="auto"/>
        <w:tblInd w:w="-8" w:type="dxa"/>
        <w:tblLayout w:type="fixed"/>
        <w:tblCellMar>
          <w:left w:w="0" w:type="dxa"/>
          <w:right w:w="0" w:type="dxa"/>
        </w:tblCellMar>
        <w:tblLook w:val="0000" w:firstRow="0" w:lastRow="0" w:firstColumn="0" w:lastColumn="0" w:noHBand="0" w:noVBand="0"/>
      </w:tblPr>
      <w:tblGrid>
        <w:gridCol w:w="1982"/>
        <w:gridCol w:w="5445"/>
      </w:tblGrid>
      <w:tr w:rsidR="00D66275" w:rsidRPr="00D66275">
        <w:trPr>
          <w:trHeight w:val="269"/>
          <w:tblHeader/>
        </w:trPr>
        <w:tc>
          <w:tcPr>
            <w:tcW w:w="1982" w:type="dxa"/>
            <w:tcBorders>
              <w:top w:val="single" w:sz="6" w:space="0" w:color="000000"/>
              <w:left w:val="single" w:sz="6" w:space="0" w:color="000000"/>
              <w:bottom w:val="single" w:sz="6" w:space="0" w:color="000000"/>
              <w:right w:val="single" w:sz="6" w:space="0" w:color="000000"/>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8"/>
                <w:szCs w:val="18"/>
                <w:lang w:val="en-GB"/>
              </w:rPr>
              <w:t>AUTHORITY</w:t>
            </w:r>
          </w:p>
        </w:tc>
        <w:tc>
          <w:tcPr>
            <w:tcW w:w="5445" w:type="dxa"/>
            <w:tcBorders>
              <w:top w:val="single" w:sz="6" w:space="0" w:color="000000"/>
              <w:left w:val="single" w:sz="6" w:space="0" w:color="000000"/>
              <w:bottom w:val="single" w:sz="6" w:space="0" w:color="000000"/>
              <w:right w:val="single" w:sz="6" w:space="0" w:color="000000"/>
            </w:tcBorders>
            <w:shd w:val="solid" w:color="00B6E8" w:fill="auto"/>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160" w:lineRule="atLeast"/>
              <w:textAlignment w:val="center"/>
              <w:rPr>
                <w:rFonts w:ascii="Calibri" w:hAnsi="Calibri" w:cs="Calibri"/>
                <w:b/>
                <w:bCs/>
                <w:caps/>
                <w:color w:val="FFFFFF"/>
                <w:sz w:val="16"/>
                <w:szCs w:val="16"/>
                <w:lang w:val="en-GB"/>
              </w:rPr>
            </w:pPr>
            <w:r w:rsidRPr="00D66275">
              <w:rPr>
                <w:rFonts w:ascii="Calibri" w:hAnsi="Calibri" w:cs="Calibri"/>
                <w:b/>
                <w:bCs/>
                <w:caps/>
                <w:color w:val="FFFFFF"/>
                <w:sz w:val="18"/>
                <w:szCs w:val="18"/>
                <w:lang w:val="en-GB"/>
              </w:rPr>
              <w:t>CLIMATE CHANGE AUTHORITY</w:t>
            </w:r>
          </w:p>
        </w:tc>
      </w:tr>
      <w:tr w:rsidR="00D66275" w:rsidRPr="00D66275">
        <w:trPr>
          <w:trHeight w:val="269"/>
        </w:trPr>
        <w:tc>
          <w:tcPr>
            <w:tcW w:w="1982" w:type="dxa"/>
            <w:tcBorders>
              <w:top w:val="single" w:sz="6"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ACCUs</w:t>
            </w:r>
          </w:p>
        </w:tc>
        <w:tc>
          <w:tcPr>
            <w:tcW w:w="5445" w:type="dxa"/>
            <w:tcBorders>
              <w:top w:val="single" w:sz="6"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Australian Carbon Credit Units</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ANU</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Australian National University</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APS</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Australian Public Service</w:t>
            </w:r>
          </w:p>
        </w:tc>
      </w:tr>
      <w:tr w:rsidR="00D66275" w:rsidRPr="00D66275">
        <w:trPr>
          <w:trHeight w:val="266"/>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CEO</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Chief Executive Officer of the Climate Change Authority</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CER</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Clean Energy Regulator</w:t>
            </w:r>
          </w:p>
        </w:tc>
      </w:tr>
      <w:tr w:rsidR="00D66275" w:rsidRPr="00D66275">
        <w:trPr>
          <w:trHeight w:val="254"/>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CFI</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Carbon Farming Initiative</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CTH</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Commonwealth</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proofErr w:type="spellStart"/>
            <w:r w:rsidRPr="00D66275">
              <w:rPr>
                <w:rFonts w:ascii="Calibri" w:hAnsi="Calibri" w:cs="Calibri"/>
                <w:color w:val="000000"/>
                <w:sz w:val="18"/>
                <w:szCs w:val="18"/>
                <w:lang w:val="en-GB"/>
              </w:rPr>
              <w:t>DoEE</w:t>
            </w:r>
            <w:proofErr w:type="spellEnd"/>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Department of the Environment and Energy</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EEGO</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Commonwealth’s Energy Efficiency in Government Operations</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ERF</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Emissions Reduction Fund</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FOI Act</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i/>
                <w:iCs/>
                <w:color w:val="000000"/>
                <w:sz w:val="18"/>
                <w:szCs w:val="18"/>
                <w:lang w:val="en-GB"/>
              </w:rPr>
              <w:t xml:space="preserve">Freedom of Information Act 1982 </w:t>
            </w:r>
          </w:p>
        </w:tc>
      </w:tr>
      <w:tr w:rsidR="00D66275" w:rsidRPr="00D66275">
        <w:trPr>
          <w:trHeight w:val="254"/>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GST</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Goods and Services Tax</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IPS</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Information Publication Scheme </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LRET</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Large-scale Renewable Energy Act</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NGER</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National Greenhouse and Energy Reporting system</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RBA</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Reserve Bank of Australia</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REE Act</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i/>
                <w:iCs/>
                <w:color w:val="000000"/>
                <w:sz w:val="18"/>
                <w:szCs w:val="18"/>
                <w:lang w:val="en-GB"/>
              </w:rPr>
              <w:t xml:space="preserve">Renewable Energy (Electricity) Act 2000 </w:t>
            </w:r>
          </w:p>
        </w:tc>
      </w:tr>
      <w:tr w:rsidR="00D66275" w:rsidRPr="00D66275">
        <w:trPr>
          <w:trHeight w:val="254"/>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REE Regulations</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 xml:space="preserve">Renewable Energy (Electricity) Regulations 2000 </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RET</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Renewable Energy Target</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SES</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Senior Executive Service</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SRES</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Small-scale Renewable Energy Scheme</w:t>
            </w:r>
          </w:p>
        </w:tc>
      </w:tr>
      <w:tr w:rsidR="00D66275" w:rsidRPr="00D66275">
        <w:trPr>
          <w:trHeight w:val="269"/>
        </w:trPr>
        <w:tc>
          <w:tcPr>
            <w:tcW w:w="1982"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WHS</w:t>
            </w:r>
          </w:p>
        </w:tc>
        <w:tc>
          <w:tcPr>
            <w:tcW w:w="5445" w:type="dxa"/>
            <w:tcBorders>
              <w:top w:val="single" w:sz="4" w:space="0" w:color="000000"/>
              <w:left w:val="single" w:sz="6" w:space="0" w:color="auto"/>
              <w:bottom w:val="single" w:sz="4" w:space="0" w:color="000000"/>
              <w:right w:val="single" w:sz="6" w:space="0" w:color="auto"/>
            </w:tcBorders>
            <w:tcMar>
              <w:top w:w="113" w:type="dxa"/>
              <w:left w:w="113" w:type="dxa"/>
              <w:bottom w:w="113" w:type="dxa"/>
              <w:right w:w="113" w:type="dxa"/>
            </w:tcMar>
          </w:tcPr>
          <w:p w:rsidR="00D66275" w:rsidRPr="00D66275" w:rsidRDefault="00D66275" w:rsidP="00D66275">
            <w:pPr>
              <w:tabs>
                <w:tab w:val="left" w:pos="2268"/>
              </w:tabs>
              <w:suppressAutoHyphens/>
              <w:autoSpaceDE w:val="0"/>
              <w:autoSpaceDN w:val="0"/>
              <w:adjustRightInd w:val="0"/>
              <w:spacing w:after="57" w:line="200" w:lineRule="atLeast"/>
              <w:textAlignment w:val="center"/>
              <w:rPr>
                <w:rFonts w:ascii="Calibri" w:hAnsi="Calibri" w:cs="Calibri"/>
                <w:color w:val="000000"/>
                <w:sz w:val="16"/>
                <w:szCs w:val="16"/>
                <w:lang w:val="en-GB"/>
              </w:rPr>
            </w:pPr>
            <w:r w:rsidRPr="00D66275">
              <w:rPr>
                <w:rFonts w:ascii="Calibri" w:hAnsi="Calibri" w:cs="Calibri"/>
                <w:color w:val="000000"/>
                <w:sz w:val="18"/>
                <w:szCs w:val="18"/>
                <w:lang w:val="en-GB"/>
              </w:rPr>
              <w:t>Work Health Safety</w:t>
            </w:r>
          </w:p>
        </w:tc>
      </w:tr>
    </w:tbl>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34"/>
          <w:szCs w:val="34"/>
          <w:lang w:val="en-GB"/>
        </w:rPr>
      </w:pPr>
    </w:p>
    <w:p w:rsidR="00D66275" w:rsidRPr="00D66275" w:rsidRDefault="00D66275" w:rsidP="00D66275">
      <w:pPr>
        <w:tabs>
          <w:tab w:val="left" w:pos="2268"/>
        </w:tabs>
        <w:suppressAutoHyphens/>
        <w:autoSpaceDE w:val="0"/>
        <w:autoSpaceDN w:val="0"/>
        <w:adjustRightInd w:val="0"/>
        <w:spacing w:after="113" w:line="220" w:lineRule="atLeast"/>
        <w:textAlignment w:val="center"/>
        <w:rPr>
          <w:rFonts w:ascii="Calibri" w:hAnsi="Calibri" w:cs="Calibri"/>
          <w:color w:val="000000"/>
          <w:sz w:val="18"/>
          <w:szCs w:val="18"/>
          <w:lang w:val="en-GB"/>
        </w:rPr>
      </w:pPr>
    </w:p>
    <w:p w:rsidR="00D66275" w:rsidRDefault="00D66275">
      <w:pPr>
        <w:spacing w:line="240" w:lineRule="atLeast"/>
      </w:pPr>
    </w:p>
    <w:sectPr w:rsidR="00D66275" w:rsidSect="00AC3AF6">
      <w:pgSz w:w="12240" w:h="15840"/>
      <w:pgMar w:top="1701"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F7C" w:rsidRDefault="002B4F7C" w:rsidP="007261AC">
      <w:r>
        <w:separator/>
      </w:r>
    </w:p>
  </w:endnote>
  <w:endnote w:type="continuationSeparator" w:id="0">
    <w:p w:rsidR="002B4F7C" w:rsidRDefault="002B4F7C" w:rsidP="00726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hitney-Medium">
    <w:altName w:val="Calibri"/>
    <w:panose1 w:val="00000000000000000000"/>
    <w:charset w:val="4D"/>
    <w:family w:val="auto"/>
    <w:notTrueType/>
    <w:pitch w:val="default"/>
    <w:sig w:usb0="00000003" w:usb1="00000000" w:usb2="00000000" w:usb3="00000000" w:csb0="00000001" w:csb1="00000000"/>
  </w:font>
  <w:font w:name="MetaNormalLF-Italic">
    <w:altName w:val="Calibri"/>
    <w:charset w:val="4D"/>
    <w:family w:val="auto"/>
    <w:pitch w:val="default"/>
    <w:sig w:usb0="00000003" w:usb1="00000000" w:usb2="00000000" w:usb3="00000000" w:csb0="00000001" w:csb1="00000000"/>
  </w:font>
  <w:font w:name="MetaNormalLF-Roman">
    <w:altName w:val="Calibri"/>
    <w:charset w:val="4D"/>
    <w:family w:val="auto"/>
    <w:pitch w:val="default"/>
    <w:sig w:usb0="00000003" w:usb1="00000000" w:usb2="00000000" w:usb3="00000000" w:csb0="00000001" w:csb1="00000000"/>
  </w:font>
  <w:font w:name="MetaMediumLF-Roman">
    <w:altName w:val="Calibri"/>
    <w:charset w:val="4D"/>
    <w:family w:val="auto"/>
    <w:pitch w:val="default"/>
    <w:sig w:usb0="00000003" w:usb1="00000000" w:usb2="00000000" w:usb3="00000000" w:csb0="00000001" w:csb1="00000000"/>
  </w:font>
  <w:font w:name="MetaPlusBold-Roman">
    <w:altName w:val="Calibri"/>
    <w:panose1 w:val="00000000000000000000"/>
    <w:charset w:val="4D"/>
    <w:family w:val="auto"/>
    <w:notTrueType/>
    <w:pitch w:val="default"/>
    <w:sig w:usb0="00000003" w:usb1="00000000" w:usb2="00000000" w:usb3="00000000" w:csb0="00000001" w:csb1="00000000"/>
  </w:font>
  <w:font w:name="Gotham Book">
    <w:altName w:val="Times New Roman"/>
    <w:panose1 w:val="00000000000000000000"/>
    <w:charset w:val="00"/>
    <w:family w:val="auto"/>
    <w:notTrueType/>
    <w:pitch w:val="variable"/>
    <w:sig w:usb0="00000001" w:usb1="4000005B" w:usb2="00000000" w:usb3="00000000" w:csb0="0000009B" w:csb1="00000000"/>
  </w:font>
  <w:font w:name="Times New Roman (Body CS)">
    <w:altName w:val="Times New Roman"/>
    <w:charset w:val="00"/>
    <w:family w:val="roman"/>
    <w:pitch w:val="default"/>
  </w:font>
  <w:font w:name="Gotham Bold">
    <w:panose1 w:val="00000000000000000000"/>
    <w:charset w:val="00"/>
    <w:family w:val="auto"/>
    <w:notTrueType/>
    <w:pitch w:val="variable"/>
    <w:sig w:usb0="A100007F" w:usb1="4000005B" w:usb2="00000000" w:usb3="00000000" w:csb0="0000009B" w:csb1="00000000"/>
  </w:font>
  <w:font w:name="Gotham Black">
    <w:panose1 w:val="00000000000000000000"/>
    <w:charset w:val="00"/>
    <w:family w:val="auto"/>
    <w:notTrueType/>
    <w:pitch w:val="variable"/>
    <w:sig w:usb0="A100007F" w:usb1="4000005B" w:usb2="00000000" w:usb3="00000000" w:csb0="0000009B" w:csb1="00000000"/>
  </w:font>
  <w:font w:name="Gotham Medium">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25524623"/>
      <w:docPartObj>
        <w:docPartGallery w:val="Page Numbers (Bottom of Page)"/>
        <w:docPartUnique/>
      </w:docPartObj>
    </w:sdtPr>
    <w:sdtEndPr>
      <w:rPr>
        <w:rStyle w:val="PageNumber"/>
      </w:rPr>
    </w:sdtEndPr>
    <w:sdtContent>
      <w:p w:rsidR="007261AC" w:rsidRDefault="007261AC" w:rsidP="00FD79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261AC" w:rsidRDefault="007261AC" w:rsidP="007261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53504824"/>
      <w:docPartObj>
        <w:docPartGallery w:val="Page Numbers (Bottom of Page)"/>
        <w:docPartUnique/>
      </w:docPartObj>
    </w:sdtPr>
    <w:sdtEndPr>
      <w:rPr>
        <w:rStyle w:val="PageNumber"/>
        <w:sz w:val="16"/>
        <w:szCs w:val="16"/>
      </w:rPr>
    </w:sdtEndPr>
    <w:sdtContent>
      <w:p w:rsidR="007261AC" w:rsidRDefault="007261AC" w:rsidP="00FD794D">
        <w:pPr>
          <w:pStyle w:val="Footer"/>
          <w:framePr w:wrap="none" w:vAnchor="text" w:hAnchor="margin" w:xAlign="right" w:y="1"/>
          <w:rPr>
            <w:rStyle w:val="PageNumber"/>
          </w:rPr>
        </w:pPr>
        <w:r w:rsidRPr="007261AC">
          <w:rPr>
            <w:rStyle w:val="PageNumber"/>
            <w:sz w:val="16"/>
            <w:szCs w:val="16"/>
          </w:rPr>
          <w:fldChar w:fldCharType="begin"/>
        </w:r>
        <w:r w:rsidRPr="007261AC">
          <w:rPr>
            <w:rStyle w:val="PageNumber"/>
            <w:sz w:val="16"/>
            <w:szCs w:val="16"/>
          </w:rPr>
          <w:instrText xml:space="preserve"> PAGE </w:instrText>
        </w:r>
        <w:r w:rsidRPr="007261AC">
          <w:rPr>
            <w:rStyle w:val="PageNumber"/>
            <w:sz w:val="16"/>
            <w:szCs w:val="16"/>
          </w:rPr>
          <w:fldChar w:fldCharType="separate"/>
        </w:r>
        <w:r w:rsidR="00B51AC7">
          <w:rPr>
            <w:rStyle w:val="PageNumber"/>
            <w:noProof/>
            <w:sz w:val="16"/>
            <w:szCs w:val="16"/>
          </w:rPr>
          <w:t>48</w:t>
        </w:r>
        <w:r w:rsidRPr="007261AC">
          <w:rPr>
            <w:rStyle w:val="PageNumber"/>
            <w:sz w:val="16"/>
            <w:szCs w:val="16"/>
          </w:rPr>
          <w:fldChar w:fldCharType="end"/>
        </w:r>
      </w:p>
    </w:sdtContent>
  </w:sdt>
  <w:p w:rsidR="007261AC" w:rsidRPr="007261AC" w:rsidRDefault="007261AC" w:rsidP="007261AC">
    <w:pPr>
      <w:pStyle w:val="CCARunningHeader"/>
      <w:ind w:right="357"/>
      <w:rPr>
        <w:rFonts w:ascii="Gotham Medium" w:hAnsi="Gotham Medium" w:cs="Gotham Medium"/>
        <w:color w:val="000000" w:themeColor="text1"/>
        <w:sz w:val="16"/>
        <w:szCs w:val="16"/>
      </w:rPr>
    </w:pPr>
    <w:r w:rsidRPr="007261AC">
      <w:rPr>
        <w:rStyle w:val="CCARunningHeaderNAME"/>
        <w:color w:val="000000" w:themeColor="text1"/>
        <w:sz w:val="16"/>
        <w:szCs w:val="16"/>
      </w:rPr>
      <w:t xml:space="preserve">Climate Change Authority </w:t>
    </w:r>
    <w:r w:rsidRPr="007261AC">
      <w:rPr>
        <w:rFonts w:ascii="Gotham Medium" w:hAnsi="Gotham Medium" w:cs="Gotham Medium"/>
        <w:color w:val="000000" w:themeColor="text1"/>
        <w:sz w:val="16"/>
        <w:szCs w:val="16"/>
      </w:rPr>
      <w:t xml:space="preserve">Annual ReporT 2017–18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F7C" w:rsidRDefault="002B4F7C" w:rsidP="007261AC">
      <w:r>
        <w:separator/>
      </w:r>
    </w:p>
  </w:footnote>
  <w:footnote w:type="continuationSeparator" w:id="0">
    <w:p w:rsidR="002B4F7C" w:rsidRDefault="002B4F7C" w:rsidP="007261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275"/>
    <w:rsid w:val="001070FC"/>
    <w:rsid w:val="00287630"/>
    <w:rsid w:val="002B4F7C"/>
    <w:rsid w:val="003309CC"/>
    <w:rsid w:val="0037072B"/>
    <w:rsid w:val="00684F70"/>
    <w:rsid w:val="006D0B43"/>
    <w:rsid w:val="007261AC"/>
    <w:rsid w:val="007A07D3"/>
    <w:rsid w:val="008C4900"/>
    <w:rsid w:val="00951E2F"/>
    <w:rsid w:val="00961A9F"/>
    <w:rsid w:val="0096339E"/>
    <w:rsid w:val="009D3B35"/>
    <w:rsid w:val="00A64801"/>
    <w:rsid w:val="00AC3AF6"/>
    <w:rsid w:val="00B51AC7"/>
    <w:rsid w:val="00C53C19"/>
    <w:rsid w:val="00C61335"/>
    <w:rsid w:val="00CD4539"/>
    <w:rsid w:val="00D66275"/>
    <w:rsid w:val="00DB1738"/>
    <w:rsid w:val="00DD269C"/>
    <w:rsid w:val="00E51E93"/>
    <w:rsid w:val="00FB26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30073C-ECAB-BA4B-A21D-D2BB73C4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D45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1738"/>
    <w:pPr>
      <w:suppressAutoHyphens/>
      <w:autoSpaceDE w:val="0"/>
      <w:autoSpaceDN w:val="0"/>
      <w:adjustRightInd w:val="0"/>
      <w:spacing w:before="397" w:after="113" w:line="300" w:lineRule="atLeast"/>
      <w:textAlignment w:val="center"/>
      <w:outlineLvl w:val="1"/>
    </w:pPr>
    <w:rPr>
      <w:rFonts w:ascii="Calibri" w:hAnsi="Calibri" w:cs="Calibri"/>
      <w:color w:val="005695"/>
      <w:szCs w:val="32"/>
      <w:lang w:val="en-GB"/>
    </w:rPr>
  </w:style>
  <w:style w:type="paragraph" w:styleId="Heading3">
    <w:name w:val="heading 3"/>
    <w:basedOn w:val="Normal"/>
    <w:next w:val="Normal"/>
    <w:link w:val="Heading3Char"/>
    <w:uiPriority w:val="9"/>
    <w:semiHidden/>
    <w:unhideWhenUsed/>
    <w:qFormat/>
    <w:rsid w:val="00CD45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1738"/>
    <w:rPr>
      <w:rFonts w:ascii="Calibri" w:hAnsi="Calibri" w:cs="Calibri"/>
      <w:color w:val="005695"/>
      <w:szCs w:val="32"/>
      <w:lang w:val="en-GB"/>
    </w:rPr>
  </w:style>
  <w:style w:type="paragraph" w:customStyle="1" w:styleId="NoParagraphStyle">
    <w:name w:val="[No Paragraph Style]"/>
    <w:rsid w:val="00D66275"/>
    <w:pPr>
      <w:autoSpaceDE w:val="0"/>
      <w:autoSpaceDN w:val="0"/>
      <w:adjustRightInd w:val="0"/>
      <w:spacing w:line="288" w:lineRule="auto"/>
      <w:textAlignment w:val="center"/>
    </w:pPr>
    <w:rPr>
      <w:rFonts w:ascii="Calibri" w:hAnsi="Calibri" w:cs="Calibri"/>
      <w:color w:val="000000"/>
      <w:lang w:val="en-GB"/>
    </w:rPr>
  </w:style>
  <w:style w:type="paragraph" w:customStyle="1" w:styleId="04Heading4">
    <w:name w:val="04. Heading4"/>
    <w:basedOn w:val="NoParagraphStyle"/>
    <w:next w:val="NoParagraphStyle"/>
    <w:uiPriority w:val="99"/>
    <w:rsid w:val="00D66275"/>
    <w:pPr>
      <w:keepNext/>
      <w:suppressAutoHyphens/>
      <w:spacing w:line="220" w:lineRule="atLeast"/>
    </w:pPr>
    <w:rPr>
      <w:b/>
      <w:bCs/>
      <w:caps/>
      <w:color w:val="00B6E8"/>
      <w:sz w:val="16"/>
      <w:szCs w:val="16"/>
    </w:rPr>
  </w:style>
  <w:style w:type="paragraph" w:customStyle="1" w:styleId="06Bodytext">
    <w:name w:val="06. Body text"/>
    <w:basedOn w:val="NoParagraphStyle"/>
    <w:uiPriority w:val="99"/>
    <w:rsid w:val="00D66275"/>
    <w:pPr>
      <w:tabs>
        <w:tab w:val="left" w:pos="2268"/>
      </w:tabs>
      <w:suppressAutoHyphens/>
      <w:spacing w:after="113" w:line="220" w:lineRule="atLeast"/>
    </w:pPr>
    <w:rPr>
      <w:sz w:val="18"/>
      <w:szCs w:val="18"/>
    </w:rPr>
  </w:style>
  <w:style w:type="character" w:customStyle="1" w:styleId="CCABodyItalic">
    <w:name w:val="CCA_BodyItalic"/>
    <w:uiPriority w:val="99"/>
    <w:rsid w:val="00D66275"/>
    <w:rPr>
      <w:i/>
      <w:iCs/>
    </w:rPr>
  </w:style>
  <w:style w:type="character" w:customStyle="1" w:styleId="BOLD">
    <w:name w:val="BOLD"/>
    <w:uiPriority w:val="99"/>
    <w:rsid w:val="00D66275"/>
    <w:rPr>
      <w:rFonts w:ascii="Calibri" w:hAnsi="Calibri" w:cs="Calibri"/>
      <w:b/>
      <w:bCs/>
    </w:rPr>
  </w:style>
  <w:style w:type="paragraph" w:customStyle="1" w:styleId="01Heading1">
    <w:name w:val="01. Heading1"/>
    <w:basedOn w:val="Normal"/>
    <w:uiPriority w:val="99"/>
    <w:rsid w:val="00DD269C"/>
    <w:pPr>
      <w:tabs>
        <w:tab w:val="left" w:pos="2268"/>
      </w:tabs>
      <w:suppressAutoHyphens/>
      <w:autoSpaceDE w:val="0"/>
      <w:autoSpaceDN w:val="0"/>
      <w:adjustRightInd w:val="0"/>
      <w:spacing w:after="723" w:line="380" w:lineRule="atLeast"/>
      <w:textAlignment w:val="center"/>
    </w:pPr>
    <w:rPr>
      <w:rFonts w:ascii="Calibri" w:hAnsi="Calibri" w:cs="Calibri"/>
      <w:b/>
      <w:bCs/>
      <w:caps/>
      <w:color w:val="00B6E8"/>
      <w:spacing w:val="17"/>
      <w:sz w:val="34"/>
      <w:szCs w:val="34"/>
      <w:lang w:val="en-GB"/>
    </w:rPr>
  </w:style>
  <w:style w:type="paragraph" w:customStyle="1" w:styleId="02Heading2">
    <w:name w:val="02. Heading2"/>
    <w:basedOn w:val="Normal"/>
    <w:next w:val="NoParagraphStyle"/>
    <w:uiPriority w:val="99"/>
    <w:rsid w:val="00DD269C"/>
    <w:pPr>
      <w:tabs>
        <w:tab w:val="left" w:pos="850"/>
        <w:tab w:val="left" w:pos="1100"/>
      </w:tabs>
      <w:suppressAutoHyphens/>
      <w:autoSpaceDE w:val="0"/>
      <w:autoSpaceDN w:val="0"/>
      <w:adjustRightInd w:val="0"/>
      <w:spacing w:before="227" w:after="113" w:line="260" w:lineRule="atLeast"/>
      <w:ind w:left="510" w:hanging="510"/>
      <w:textAlignment w:val="center"/>
    </w:pPr>
    <w:rPr>
      <w:rFonts w:ascii="Calibri" w:hAnsi="Calibri" w:cs="Calibri"/>
      <w:b/>
      <w:bCs/>
      <w:caps/>
      <w:color w:val="00B6E8"/>
      <w:sz w:val="22"/>
      <w:szCs w:val="22"/>
      <w:lang w:val="en-GB"/>
    </w:rPr>
  </w:style>
  <w:style w:type="paragraph" w:customStyle="1" w:styleId="07DOTPOINTS">
    <w:name w:val="07. DOT POINTS"/>
    <w:basedOn w:val="06Bodytext"/>
    <w:uiPriority w:val="99"/>
    <w:rsid w:val="00D66275"/>
    <w:pPr>
      <w:tabs>
        <w:tab w:val="left" w:pos="283"/>
      </w:tabs>
      <w:ind w:left="283" w:hanging="283"/>
    </w:pPr>
  </w:style>
  <w:style w:type="paragraph" w:customStyle="1" w:styleId="CCACaption">
    <w:name w:val="CCA_Caption"/>
    <w:basedOn w:val="06Bodytext"/>
    <w:next w:val="06Bodytext"/>
    <w:uiPriority w:val="99"/>
    <w:rsid w:val="00D66275"/>
    <w:pPr>
      <w:keepNext/>
      <w:tabs>
        <w:tab w:val="clear" w:pos="2268"/>
        <w:tab w:val="left" w:pos="1418"/>
      </w:tabs>
      <w:spacing w:after="0"/>
    </w:pPr>
    <w:rPr>
      <w:rFonts w:ascii="Whitney-Medium" w:hAnsi="Whitney-Medium" w:cs="Whitney-Medium"/>
    </w:rPr>
  </w:style>
  <w:style w:type="paragraph" w:customStyle="1" w:styleId="CCAFigureTableHeading">
    <w:name w:val="CCA_FigureTableHeading"/>
    <w:basedOn w:val="CCACaption"/>
    <w:uiPriority w:val="99"/>
    <w:rsid w:val="00D66275"/>
    <w:pPr>
      <w:pBdr>
        <w:top w:val="single" w:sz="16" w:space="14" w:color="auto"/>
      </w:pBdr>
      <w:spacing w:before="283" w:after="170" w:line="200" w:lineRule="atLeast"/>
    </w:pPr>
    <w:rPr>
      <w:rFonts w:ascii="Calibri" w:hAnsi="Calibri" w:cs="Calibri"/>
      <w:b/>
      <w:bCs/>
      <w:caps/>
      <w:color w:val="00B6E8"/>
      <w:sz w:val="16"/>
      <w:szCs w:val="16"/>
    </w:rPr>
  </w:style>
  <w:style w:type="paragraph" w:customStyle="1" w:styleId="03Heading3">
    <w:name w:val="03. Heading 3"/>
    <w:basedOn w:val="Normal"/>
    <w:next w:val="NoParagraphStyle"/>
    <w:uiPriority w:val="99"/>
    <w:rsid w:val="00CD4539"/>
    <w:pPr>
      <w:tabs>
        <w:tab w:val="left" w:pos="850"/>
      </w:tabs>
      <w:suppressAutoHyphens/>
      <w:autoSpaceDE w:val="0"/>
      <w:autoSpaceDN w:val="0"/>
      <w:adjustRightInd w:val="0"/>
      <w:spacing w:before="110" w:after="113" w:line="260" w:lineRule="atLeast"/>
      <w:ind w:left="624" w:hanging="624"/>
      <w:textAlignment w:val="center"/>
    </w:pPr>
    <w:rPr>
      <w:rFonts w:ascii="Calibri" w:hAnsi="Calibri" w:cs="Calibri"/>
      <w:b/>
      <w:bCs/>
      <w:caps/>
      <w:color w:val="00B6E8"/>
      <w:sz w:val="20"/>
      <w:szCs w:val="20"/>
      <w:lang w:val="en-GB"/>
    </w:rPr>
  </w:style>
  <w:style w:type="paragraph" w:customStyle="1" w:styleId="09SOURCE">
    <w:name w:val="09. SOURCE"/>
    <w:basedOn w:val="06Bodytext"/>
    <w:uiPriority w:val="99"/>
    <w:rsid w:val="00D66275"/>
    <w:pPr>
      <w:spacing w:after="57" w:line="288" w:lineRule="auto"/>
      <w:ind w:left="113" w:hanging="113"/>
    </w:pPr>
    <w:rPr>
      <w:sz w:val="16"/>
      <w:szCs w:val="16"/>
    </w:rPr>
  </w:style>
  <w:style w:type="paragraph" w:customStyle="1" w:styleId="INDEXLETTERS">
    <w:name w:val="INDEX LETTERS"/>
    <w:basedOn w:val="02Heading2"/>
    <w:uiPriority w:val="99"/>
    <w:rsid w:val="00D66275"/>
    <w:pPr>
      <w:spacing w:before="57" w:after="0"/>
      <w:ind w:left="283" w:firstLine="0"/>
    </w:pPr>
    <w:rPr>
      <w:sz w:val="28"/>
      <w:szCs w:val="28"/>
    </w:rPr>
  </w:style>
  <w:style w:type="paragraph" w:customStyle="1" w:styleId="CCAIndex">
    <w:name w:val="CCA_Index"/>
    <w:basedOn w:val="06Bodytext"/>
    <w:uiPriority w:val="99"/>
    <w:rsid w:val="00D66275"/>
    <w:pPr>
      <w:tabs>
        <w:tab w:val="clear" w:pos="2268"/>
        <w:tab w:val="right" w:pos="7360"/>
      </w:tabs>
      <w:spacing w:after="0" w:line="288" w:lineRule="auto"/>
      <w:ind w:left="850" w:hanging="283"/>
    </w:pPr>
    <w:rPr>
      <w:sz w:val="17"/>
      <w:szCs w:val="17"/>
    </w:rPr>
  </w:style>
  <w:style w:type="paragraph" w:customStyle="1" w:styleId="CCABoxHeading">
    <w:name w:val="CCA_BoxHeading"/>
    <w:basedOn w:val="04Heading4"/>
    <w:uiPriority w:val="99"/>
    <w:rsid w:val="00D66275"/>
  </w:style>
  <w:style w:type="paragraph" w:customStyle="1" w:styleId="08TableText">
    <w:name w:val="08?. TableText"/>
    <w:basedOn w:val="06Bodytext"/>
    <w:uiPriority w:val="99"/>
    <w:rsid w:val="00D66275"/>
    <w:pPr>
      <w:spacing w:after="57" w:line="200" w:lineRule="atLeast"/>
    </w:pPr>
    <w:rPr>
      <w:sz w:val="16"/>
      <w:szCs w:val="16"/>
    </w:rPr>
  </w:style>
  <w:style w:type="paragraph" w:customStyle="1" w:styleId="08TABLEHEADERROW">
    <w:name w:val="08_TABLE HEADER ROW"/>
    <w:basedOn w:val="08TableText"/>
    <w:uiPriority w:val="99"/>
    <w:rsid w:val="00D66275"/>
    <w:pPr>
      <w:spacing w:line="160" w:lineRule="atLeast"/>
    </w:pPr>
    <w:rPr>
      <w:b/>
      <w:bCs/>
      <w:caps/>
      <w:color w:val="FFFFFF"/>
    </w:rPr>
  </w:style>
  <w:style w:type="paragraph" w:customStyle="1" w:styleId="CCATableFinancialsText">
    <w:name w:val="CCA_TableFinancials_Text"/>
    <w:basedOn w:val="06Bodytext"/>
    <w:uiPriority w:val="99"/>
    <w:rsid w:val="00D66275"/>
    <w:pPr>
      <w:spacing w:after="50"/>
    </w:pPr>
  </w:style>
  <w:style w:type="character" w:customStyle="1" w:styleId="ITALICS">
    <w:name w:val="ITALICS"/>
    <w:uiPriority w:val="99"/>
    <w:rsid w:val="00D66275"/>
    <w:rPr>
      <w:i/>
      <w:iCs/>
    </w:rPr>
  </w:style>
  <w:style w:type="character" w:customStyle="1" w:styleId="CCAFigureBoxNumberBold">
    <w:name w:val="CCA_Figure/BoxNumberBold"/>
    <w:uiPriority w:val="99"/>
    <w:rsid w:val="00D66275"/>
  </w:style>
  <w:style w:type="character" w:customStyle="1" w:styleId="WordImportedListStyle12StylesforWordRTFImportedLists">
    <w:name w:val="Word Imported List Style12 (Styles for Word/RTF Imported Lists)"/>
    <w:uiPriority w:val="99"/>
    <w:rsid w:val="00D66275"/>
    <w:rPr>
      <w:rFonts w:ascii="Times New Roman" w:hAnsi="Times New Roman" w:cs="Times New Roman"/>
      <w:w w:val="100"/>
      <w:lang w:val="en-US"/>
    </w:rPr>
  </w:style>
  <w:style w:type="character" w:customStyle="1" w:styleId="DOTPOINT">
    <w:name w:val="DOT POINT"/>
    <w:uiPriority w:val="99"/>
    <w:rsid w:val="00D66275"/>
    <w:rPr>
      <w:color w:val="00B6E8"/>
      <w:sz w:val="14"/>
      <w:szCs w:val="14"/>
    </w:rPr>
  </w:style>
  <w:style w:type="paragraph" w:customStyle="1" w:styleId="CCABodyInset">
    <w:name w:val="CCA_BodyInset"/>
    <w:basedOn w:val="06Bodytext"/>
    <w:uiPriority w:val="99"/>
    <w:rsid w:val="008C4900"/>
    <w:pPr>
      <w:ind w:left="283" w:right="283"/>
    </w:pPr>
    <w:rPr>
      <w:rFonts w:ascii="MetaNormalLF-Italic" w:hAnsi="MetaNormalLF-Italic" w:cs="MetaNormalLF-Italic"/>
      <w:i/>
      <w:iCs/>
    </w:rPr>
  </w:style>
  <w:style w:type="paragraph" w:customStyle="1" w:styleId="CCASource">
    <w:name w:val="CCA_Source"/>
    <w:basedOn w:val="NoParagraphStyle"/>
    <w:uiPriority w:val="99"/>
    <w:rsid w:val="008C4900"/>
    <w:pPr>
      <w:pBdr>
        <w:top w:val="single" w:sz="8" w:space="7" w:color="auto"/>
        <w:bottom w:val="single" w:sz="8" w:space="2" w:color="auto"/>
      </w:pBdr>
      <w:tabs>
        <w:tab w:val="left" w:pos="119"/>
        <w:tab w:val="left" w:pos="2268"/>
      </w:tabs>
      <w:suppressAutoHyphens/>
      <w:spacing w:after="220" w:line="160" w:lineRule="atLeast"/>
    </w:pPr>
    <w:rPr>
      <w:rFonts w:ascii="MetaNormalLF-Roman" w:hAnsi="MetaNormalLF-Roman" w:cs="MetaNormalLF-Roman"/>
      <w:sz w:val="12"/>
      <w:szCs w:val="12"/>
    </w:rPr>
  </w:style>
  <w:style w:type="paragraph" w:customStyle="1" w:styleId="CCATableBoldFinancialsTABLES">
    <w:name w:val="CCA_TableBold_Financials (TABLES)"/>
    <w:basedOn w:val="08TableText"/>
    <w:uiPriority w:val="99"/>
    <w:rsid w:val="008C4900"/>
    <w:pPr>
      <w:spacing w:line="220" w:lineRule="atLeast"/>
    </w:pPr>
    <w:rPr>
      <w:rFonts w:ascii="MetaMediumLF-Roman" w:hAnsi="MetaMediumLF-Roman" w:cs="MetaMediumLF-Roman"/>
      <w:sz w:val="18"/>
      <w:szCs w:val="18"/>
    </w:rPr>
  </w:style>
  <w:style w:type="paragraph" w:customStyle="1" w:styleId="CCATableSubheadingFinancialTABLES">
    <w:name w:val="CCA_TableSubheading_Financial (TABLES)"/>
    <w:basedOn w:val="08TableText"/>
    <w:uiPriority w:val="99"/>
    <w:rsid w:val="008C4900"/>
    <w:pPr>
      <w:spacing w:line="220" w:lineRule="atLeast"/>
    </w:pPr>
    <w:rPr>
      <w:rFonts w:ascii="MetaPlusBold-Roman" w:hAnsi="MetaPlusBold-Roman" w:cs="MetaPlusBold-Roman"/>
      <w:sz w:val="18"/>
      <w:szCs w:val="18"/>
    </w:rPr>
  </w:style>
  <w:style w:type="paragraph" w:customStyle="1" w:styleId="CCATableFinancialsNumbers">
    <w:name w:val="CCA_TableFinancials_Numbers"/>
    <w:basedOn w:val="06Bodytext"/>
    <w:uiPriority w:val="99"/>
    <w:rsid w:val="008C4900"/>
    <w:pPr>
      <w:spacing w:after="50"/>
      <w:jc w:val="right"/>
    </w:pPr>
    <w:rPr>
      <w:rFonts w:ascii="MetaNormalLF-Roman" w:hAnsi="MetaNormalLF-Roman" w:cs="MetaNormalLF-Roman"/>
    </w:rPr>
  </w:style>
  <w:style w:type="paragraph" w:customStyle="1" w:styleId="CCATableFinancialsNumbersBold">
    <w:name w:val="CCA_TableFinancials_Numbers_Bold"/>
    <w:basedOn w:val="CCATableFinancialsNumbers"/>
    <w:uiPriority w:val="99"/>
    <w:rsid w:val="008C4900"/>
    <w:rPr>
      <w:rFonts w:ascii="MetaMediumLF-Roman" w:hAnsi="MetaMediumLF-Roman" w:cs="MetaMediumLF-Roman"/>
    </w:rPr>
  </w:style>
  <w:style w:type="paragraph" w:styleId="Header">
    <w:name w:val="header"/>
    <w:basedOn w:val="Normal"/>
    <w:link w:val="HeaderChar"/>
    <w:uiPriority w:val="99"/>
    <w:unhideWhenUsed/>
    <w:rsid w:val="007261AC"/>
    <w:pPr>
      <w:tabs>
        <w:tab w:val="center" w:pos="4513"/>
        <w:tab w:val="right" w:pos="9026"/>
      </w:tabs>
    </w:pPr>
  </w:style>
  <w:style w:type="character" w:customStyle="1" w:styleId="HeaderChar">
    <w:name w:val="Header Char"/>
    <w:basedOn w:val="DefaultParagraphFont"/>
    <w:link w:val="Header"/>
    <w:uiPriority w:val="99"/>
    <w:rsid w:val="007261AC"/>
  </w:style>
  <w:style w:type="paragraph" w:styleId="Footer">
    <w:name w:val="footer"/>
    <w:basedOn w:val="Normal"/>
    <w:link w:val="FooterChar"/>
    <w:uiPriority w:val="99"/>
    <w:unhideWhenUsed/>
    <w:rsid w:val="007261AC"/>
    <w:pPr>
      <w:tabs>
        <w:tab w:val="center" w:pos="4513"/>
        <w:tab w:val="right" w:pos="9026"/>
      </w:tabs>
    </w:pPr>
  </w:style>
  <w:style w:type="character" w:customStyle="1" w:styleId="FooterChar">
    <w:name w:val="Footer Char"/>
    <w:basedOn w:val="DefaultParagraphFont"/>
    <w:link w:val="Footer"/>
    <w:uiPriority w:val="99"/>
    <w:rsid w:val="007261AC"/>
  </w:style>
  <w:style w:type="paragraph" w:customStyle="1" w:styleId="CCARunningHeader">
    <w:name w:val="CCA_RunningHeader"/>
    <w:basedOn w:val="NoParagraphStyle"/>
    <w:uiPriority w:val="99"/>
    <w:rsid w:val="007261AC"/>
    <w:pPr>
      <w:spacing w:line="180" w:lineRule="atLeast"/>
    </w:pPr>
    <w:rPr>
      <w:rFonts w:ascii="Gotham Book" w:hAnsi="Gotham Book" w:cs="Gotham Book"/>
      <w:caps/>
      <w:sz w:val="12"/>
      <w:szCs w:val="12"/>
    </w:rPr>
  </w:style>
  <w:style w:type="character" w:customStyle="1" w:styleId="CCARunningHeaderNAME">
    <w:name w:val="CCA_RunningHeader_NAME"/>
    <w:basedOn w:val="DefaultParagraphFont"/>
    <w:uiPriority w:val="99"/>
    <w:rsid w:val="007261AC"/>
    <w:rPr>
      <w:color w:val="28FFF4"/>
    </w:rPr>
  </w:style>
  <w:style w:type="character" w:styleId="PageNumber">
    <w:name w:val="page number"/>
    <w:basedOn w:val="DefaultParagraphFont"/>
    <w:uiPriority w:val="99"/>
    <w:semiHidden/>
    <w:unhideWhenUsed/>
    <w:rsid w:val="007261AC"/>
  </w:style>
  <w:style w:type="character" w:customStyle="1" w:styleId="Heading1Char">
    <w:name w:val="Heading 1 Char"/>
    <w:basedOn w:val="DefaultParagraphFont"/>
    <w:link w:val="Heading1"/>
    <w:uiPriority w:val="9"/>
    <w:rsid w:val="00CD453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D4539"/>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CD4539"/>
    <w:pPr>
      <w:tabs>
        <w:tab w:val="right" w:leader="dot" w:pos="9962"/>
      </w:tabs>
      <w:spacing w:before="120"/>
    </w:pPr>
    <w:rPr>
      <w:rFonts w:cs="Times New Roman (Body CS)"/>
      <w:b/>
      <w:bCs/>
      <w:iCs/>
      <w:caps/>
    </w:rPr>
  </w:style>
  <w:style w:type="paragraph" w:styleId="TOC2">
    <w:name w:val="toc 2"/>
    <w:basedOn w:val="Normal"/>
    <w:next w:val="Normal"/>
    <w:autoRedefine/>
    <w:uiPriority w:val="39"/>
    <w:unhideWhenUsed/>
    <w:rsid w:val="00CD4539"/>
    <w:pPr>
      <w:spacing w:before="120"/>
      <w:ind w:left="240"/>
    </w:pPr>
    <w:rPr>
      <w:b/>
      <w:bCs/>
      <w:sz w:val="22"/>
      <w:szCs w:val="22"/>
    </w:rPr>
  </w:style>
  <w:style w:type="paragraph" w:styleId="TOC3">
    <w:name w:val="toc 3"/>
    <w:basedOn w:val="Normal"/>
    <w:next w:val="Normal"/>
    <w:autoRedefine/>
    <w:uiPriority w:val="39"/>
    <w:unhideWhenUsed/>
    <w:rsid w:val="00CD4539"/>
    <w:pPr>
      <w:ind w:left="480"/>
    </w:pPr>
    <w:rPr>
      <w:sz w:val="20"/>
      <w:szCs w:val="20"/>
    </w:rPr>
  </w:style>
  <w:style w:type="paragraph" w:styleId="TOC4">
    <w:name w:val="toc 4"/>
    <w:basedOn w:val="Normal"/>
    <w:next w:val="Normal"/>
    <w:autoRedefine/>
    <w:uiPriority w:val="39"/>
    <w:semiHidden/>
    <w:unhideWhenUsed/>
    <w:rsid w:val="00CD4539"/>
    <w:pPr>
      <w:ind w:left="720"/>
    </w:pPr>
    <w:rPr>
      <w:sz w:val="20"/>
      <w:szCs w:val="20"/>
    </w:rPr>
  </w:style>
  <w:style w:type="paragraph" w:styleId="TOC5">
    <w:name w:val="toc 5"/>
    <w:basedOn w:val="Normal"/>
    <w:next w:val="Normal"/>
    <w:autoRedefine/>
    <w:uiPriority w:val="39"/>
    <w:semiHidden/>
    <w:unhideWhenUsed/>
    <w:rsid w:val="00CD4539"/>
    <w:pPr>
      <w:ind w:left="960"/>
    </w:pPr>
    <w:rPr>
      <w:sz w:val="20"/>
      <w:szCs w:val="20"/>
    </w:rPr>
  </w:style>
  <w:style w:type="paragraph" w:styleId="TOC6">
    <w:name w:val="toc 6"/>
    <w:basedOn w:val="Normal"/>
    <w:next w:val="Normal"/>
    <w:autoRedefine/>
    <w:uiPriority w:val="39"/>
    <w:semiHidden/>
    <w:unhideWhenUsed/>
    <w:rsid w:val="00CD4539"/>
    <w:pPr>
      <w:ind w:left="1200"/>
    </w:pPr>
    <w:rPr>
      <w:sz w:val="20"/>
      <w:szCs w:val="20"/>
    </w:rPr>
  </w:style>
  <w:style w:type="paragraph" w:styleId="TOC7">
    <w:name w:val="toc 7"/>
    <w:basedOn w:val="Normal"/>
    <w:next w:val="Normal"/>
    <w:autoRedefine/>
    <w:uiPriority w:val="39"/>
    <w:semiHidden/>
    <w:unhideWhenUsed/>
    <w:rsid w:val="00CD4539"/>
    <w:pPr>
      <w:ind w:left="1440"/>
    </w:pPr>
    <w:rPr>
      <w:sz w:val="20"/>
      <w:szCs w:val="20"/>
    </w:rPr>
  </w:style>
  <w:style w:type="paragraph" w:styleId="TOC8">
    <w:name w:val="toc 8"/>
    <w:basedOn w:val="Normal"/>
    <w:next w:val="Normal"/>
    <w:autoRedefine/>
    <w:uiPriority w:val="39"/>
    <w:semiHidden/>
    <w:unhideWhenUsed/>
    <w:rsid w:val="00CD4539"/>
    <w:pPr>
      <w:ind w:left="1680"/>
    </w:pPr>
    <w:rPr>
      <w:sz w:val="20"/>
      <w:szCs w:val="20"/>
    </w:rPr>
  </w:style>
  <w:style w:type="paragraph" w:styleId="TOC9">
    <w:name w:val="toc 9"/>
    <w:basedOn w:val="Normal"/>
    <w:next w:val="Normal"/>
    <w:autoRedefine/>
    <w:uiPriority w:val="39"/>
    <w:semiHidden/>
    <w:unhideWhenUsed/>
    <w:rsid w:val="00CD4539"/>
    <w:pPr>
      <w:ind w:left="1920"/>
    </w:pPr>
    <w:rPr>
      <w:sz w:val="20"/>
      <w:szCs w:val="20"/>
    </w:rPr>
  </w:style>
  <w:style w:type="character" w:customStyle="1" w:styleId="Heading3Char">
    <w:name w:val="Heading 3 Char"/>
    <w:basedOn w:val="DefaultParagraphFont"/>
    <w:link w:val="Heading3"/>
    <w:uiPriority w:val="9"/>
    <w:semiHidden/>
    <w:rsid w:val="00CD453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CD45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96096-A559-466F-96B2-90FF5AB4C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84067135.dotm</Template>
  <TotalTime>19</TotalTime>
  <Pages>48</Pages>
  <Words>14301</Words>
  <Characters>81522</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Worrall</dc:creator>
  <cp:keywords/>
  <dc:description/>
  <cp:lastModifiedBy>Steven Brine</cp:lastModifiedBy>
  <cp:revision>7</cp:revision>
  <dcterms:created xsi:type="dcterms:W3CDTF">2018-10-16T04:31:00Z</dcterms:created>
  <dcterms:modified xsi:type="dcterms:W3CDTF">2018-10-16T04:50:00Z</dcterms:modified>
</cp:coreProperties>
</file>