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rFonts w:asciiTheme="minorHAnsi" w:eastAsia="Calibri" w:hAnsiTheme="minorHAnsi" w:cstheme="minorHAnsi"/>
          <w:color w:val="auto"/>
          <w:szCs w:val="22"/>
          <w:lang w:val="en-AU" w:eastAsia="en-US"/>
        </w:rPr>
        <w:id w:val="-1014298259"/>
        <w:docPartObj>
          <w:docPartGallery w:val="Cover Pages"/>
          <w:docPartUnique/>
        </w:docPartObj>
      </w:sdtPr>
      <w:sdtEndPr>
        <w:rPr>
          <w:rFonts w:ascii="Arial" w:hAnsi="Arial" w:cs="Times New Roman"/>
        </w:rPr>
      </w:sdtEndPr>
      <w:sdtContent>
        <w:p w14:paraId="02B34475" w14:textId="79C6FC32" w:rsidR="00E633E3" w:rsidRPr="00021A9E" w:rsidRDefault="00E633E3" w:rsidP="00803475">
          <w:pPr>
            <w:pStyle w:val="ListRecommendations"/>
            <w:ind w:left="0" w:firstLine="0"/>
            <w:rPr>
              <w:rFonts w:asciiTheme="minorHAnsi" w:hAnsiTheme="minorHAnsi" w:cstheme="minorHAnsi"/>
              <w:color w:val="auto"/>
            </w:rPr>
          </w:pPr>
        </w:p>
        <w:p w14:paraId="3255FE98" w14:textId="77777777" w:rsidR="00E633E3" w:rsidRPr="00155241" w:rsidRDefault="00E633E3" w:rsidP="00803475">
          <w:pPr>
            <w:pStyle w:val="ListRecommendations"/>
            <w:ind w:left="0" w:firstLine="0"/>
            <w:rPr>
              <w:rFonts w:asciiTheme="minorHAnsi" w:hAnsiTheme="minorHAnsi" w:cstheme="minorHAnsi"/>
              <w:color w:val="auto"/>
            </w:rPr>
          </w:pPr>
          <w:r w:rsidRPr="00155241">
            <w:rPr>
              <w:rFonts w:asciiTheme="minorHAnsi" w:hAnsiTheme="minorHAnsi" w:cstheme="minorHAnsi"/>
              <w:color w:val="auto"/>
            </w:rPr>
            <w:softHyphen/>
          </w:r>
          <w:r w:rsidRPr="00155241">
            <w:rPr>
              <w:rFonts w:asciiTheme="minorHAnsi" w:hAnsiTheme="minorHAnsi" w:cstheme="minorHAnsi"/>
              <w:color w:val="auto"/>
            </w:rPr>
            <w:softHyphen/>
          </w:r>
        </w:p>
        <w:p w14:paraId="2814C8A4" w14:textId="77777777" w:rsidR="00E633E3" w:rsidRPr="00155241" w:rsidRDefault="00E633E3" w:rsidP="00803475">
          <w:pPr>
            <w:rPr>
              <w:rFonts w:cstheme="minorHAnsi"/>
            </w:rPr>
          </w:pPr>
        </w:p>
        <w:p w14:paraId="406207A1" w14:textId="219B3336" w:rsidR="00E633E3" w:rsidRPr="00155241" w:rsidRDefault="00E633E3" w:rsidP="00803475">
          <w:pPr>
            <w:rPr>
              <w:rFonts w:cstheme="minorHAnsi"/>
            </w:rPr>
          </w:pPr>
          <w:r w:rsidRPr="00155241">
            <w:rPr>
              <w:rFonts w:asciiTheme="minorHAnsi" w:hAnsiTheme="minorHAnsi" w:cstheme="minorHAnsi"/>
              <w:noProof/>
              <w:lang w:eastAsia="en-AU"/>
            </w:rPr>
            <mc:AlternateContent>
              <mc:Choice Requires="wps">
                <w:drawing>
                  <wp:anchor distT="0" distB="0" distL="114300" distR="114300" simplePos="0" relativeHeight="251658240" behindDoc="0" locked="0" layoutInCell="1" allowOverlap="1" wp14:anchorId="6335CCC6" wp14:editId="1B1A397C">
                    <wp:simplePos x="0" y="0"/>
                    <wp:positionH relativeFrom="margin">
                      <wp:posOffset>168275</wp:posOffset>
                    </wp:positionH>
                    <wp:positionV relativeFrom="page">
                      <wp:posOffset>1958975</wp:posOffset>
                    </wp:positionV>
                    <wp:extent cx="5886450" cy="1021080"/>
                    <wp:effectExtent l="0" t="0" r="0" b="7620"/>
                    <wp:wrapSquare wrapText="bothSides"/>
                    <wp:docPr id="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86450" cy="1021080"/>
                            </a:xfrm>
                            <a:prstGeom prst="rect">
                              <a:avLst/>
                            </a:prstGeom>
                            <a:noFill/>
                            <a:ln>
                              <a:noFill/>
                            </a:ln>
                            <a:extLst/>
                          </wps:spPr>
                          <wps:txbx>
                            <w:txbxContent>
                              <w:p w14:paraId="23D1D0AF" w14:textId="2B4C90E7" w:rsidR="009B072F" w:rsidRPr="00CC629E" w:rsidRDefault="009B072F" w:rsidP="00803475">
                                <w:pPr>
                                  <w:pStyle w:val="Title"/>
                                  <w:spacing w:line="440" w:lineRule="exact"/>
                                  <w:rPr>
                                    <w:lang w:val="en-US"/>
                                  </w:rPr>
                                </w:pPr>
                                <w:r w:rsidRPr="00CC629E">
                                  <w:rPr>
                                    <w:lang w:val="en-US"/>
                                  </w:rPr>
                                  <w:t xml:space="preserve">Review of the national greenhouse and energy </w:t>
                                </w:r>
                                <w:r>
                                  <w:rPr>
                                    <w:lang w:val="en-US"/>
                                  </w:rPr>
                                  <w:t xml:space="preserve">reporting </w:t>
                                </w:r>
                                <w:r w:rsidRPr="00CC629E">
                                  <w:rPr>
                                    <w:lang w:val="en-US"/>
                                  </w:rPr>
                                  <w:t>legislation</w:t>
                                </w:r>
                              </w:p>
                              <w:p w14:paraId="6DC8A044" w14:textId="7BC4776F" w:rsidR="009B072F" w:rsidRDefault="009B072F" w:rsidP="00803475">
                                <w:pPr>
                                  <w:pStyle w:val="Title"/>
                                  <w:spacing w:line="440" w:lineRule="exact"/>
                                  <w:rPr>
                                    <w:color w:val="000000" w:themeColor="text1"/>
                                    <w:lang w:val="en-US"/>
                                  </w:rPr>
                                </w:pPr>
                                <w:r>
                                  <w:rPr>
                                    <w:color w:val="000000" w:themeColor="text1"/>
                                    <w:lang w:val="en-US"/>
                                  </w:rPr>
                                  <w:t xml:space="preserve">A CONSULTATION PAPER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335CCC6" id="_x0000_t202" coordsize="21600,21600" o:spt="202" path="m,l,21600r21600,l21600,xe">
                    <v:stroke joinstyle="miter"/>
                    <v:path gradientshapeok="t" o:connecttype="rect"/>
                  </v:shapetype>
                  <v:shape id="Text Box 17" o:spid="_x0000_s1026" type="#_x0000_t202" style="position:absolute;margin-left:13.25pt;margin-top:154.25pt;width:463.5pt;height:80.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" filled="f" stroked="f">
                    <v:textbox>
                      <w:txbxContent>
                        <w:p w14:paraId="23D1D0AF" w14:textId="2B4C90E7" w:rsidR="009B072F" w:rsidRPr="00CC629E" w:rsidRDefault="009B072F" w:rsidP="00803475">
                          <w:pPr>
                            <w:pStyle w:val="Title"/>
                            <w:spacing w:line="440" w:lineRule="exact"/>
                            <w:rPr>
                              <w:lang w:val="en-US"/>
                            </w:rPr>
                          </w:pPr>
                          <w:r w:rsidRPr="00CC629E">
                            <w:rPr>
                              <w:lang w:val="en-US"/>
                            </w:rPr>
                            <w:t xml:space="preserve">Review of the national greenhouse and energy </w:t>
                          </w:r>
                          <w:r>
                            <w:rPr>
                              <w:lang w:val="en-US"/>
                            </w:rPr>
                            <w:t xml:space="preserve">reporting </w:t>
                          </w:r>
                          <w:r w:rsidRPr="00CC629E">
                            <w:rPr>
                              <w:lang w:val="en-US"/>
                            </w:rPr>
                            <w:t>legislation</w:t>
                          </w:r>
                        </w:p>
                        <w:p w14:paraId="6DC8A044" w14:textId="7BC4776F" w:rsidR="009B072F" w:rsidRDefault="009B072F" w:rsidP="00803475">
                          <w:pPr>
                            <w:pStyle w:val="Title"/>
                            <w:spacing w:line="440" w:lineRule="exact"/>
                            <w:rPr>
                              <w:color w:val="000000" w:themeColor="text1"/>
                              <w:lang w:val="en-US"/>
                            </w:rPr>
                          </w:pPr>
                          <w:r>
                            <w:rPr>
                              <w:color w:val="000000" w:themeColor="text1"/>
                              <w:lang w:val="en-US"/>
                            </w:rPr>
                            <w:t xml:space="preserve">A CONSULTATION PAPER </w:t>
                          </w:r>
                        </w:p>
                      </w:txbxContent>
                    </v:textbox>
                    <w10:wrap type="square" anchorx="margin" anchory="page"/>
                  </v:shape>
                </w:pict>
              </mc:Fallback>
            </mc:AlternateContent>
          </w:r>
        </w:p>
        <w:p w14:paraId="0BCB9358" w14:textId="205312A9" w:rsidR="00E633E3" w:rsidRPr="00155241" w:rsidRDefault="00E633E3" w:rsidP="00803475">
          <w:pPr>
            <w:rPr>
              <w:rFonts w:cstheme="minorHAnsi"/>
            </w:rPr>
          </w:pPr>
          <w:r>
            <w:rPr>
              <w:rFonts w:cstheme="minorHAnsi"/>
              <w:noProof/>
              <w:lang w:eastAsia="en-AU"/>
            </w:rPr>
            <mc:AlternateContent>
              <mc:Choice Requires="wps">
                <w:drawing>
                  <wp:anchor distT="0" distB="0" distL="114300" distR="114300" simplePos="0" relativeHeight="251658241" behindDoc="0" locked="0" layoutInCell="1" allowOverlap="1" wp14:anchorId="2DFF8F60" wp14:editId="32162540">
                    <wp:simplePos x="0" y="0"/>
                    <wp:positionH relativeFrom="column">
                      <wp:posOffset>4098834</wp:posOffset>
                    </wp:positionH>
                    <wp:positionV relativeFrom="paragraph">
                      <wp:posOffset>1327397</wp:posOffset>
                    </wp:positionV>
                    <wp:extent cx="914400" cy="308758"/>
                    <wp:effectExtent l="0" t="0" r="0" b="0"/>
                    <wp:wrapNone/>
                    <wp:docPr id="11" name="Text Box 11"/>
                    <wp:cNvGraphicFramePr/>
                    <a:graphic xmlns:a="http://schemas.openxmlformats.org/drawingml/2006/main">
                      <a:graphicData uri="http://schemas.microsoft.com/office/word/2010/wordprocessingShape">
                        <wps:wsp>
                          <wps:cNvSpPr txBox="1"/>
                          <wps:spPr>
                            <a:xfrm>
                              <a:off x="0" y="0"/>
                              <a:ext cx="914400" cy="30875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3003E6" w14:textId="4896ADC0" w:rsidR="009B072F" w:rsidRPr="00080EC6" w:rsidRDefault="009B072F">
                                <w:pPr>
                                  <w:rPr>
                                    <w:b/>
                                  </w:rPr>
                                </w:pPr>
                                <w:r>
                                  <w:rPr>
                                    <w:b/>
                                  </w:rPr>
                                  <w:t>31 JULY</w:t>
                                </w:r>
                                <w:r w:rsidRPr="00080EC6">
                                  <w:rPr>
                                    <w:b/>
                                  </w:rPr>
                                  <w:t xml:space="preserve"> 2018</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DFF8F60" id="Text Box 11" o:spid="_x0000_s1027" type="#_x0000_t202" style="position:absolute;margin-left:322.75pt;margin-top:104.5pt;width:1in;height:24.3pt;z-index:251658241;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" fillcolor="white [3201]" stroked="f" strokeweight=".5pt">
                    <v:textbox>
                      <w:txbxContent>
                        <w:p w14:paraId="7F3003E6" w14:textId="4896ADC0" w:rsidR="009B072F" w:rsidRPr="00080EC6" w:rsidRDefault="009B072F">
                          <w:pPr>
                            <w:rPr>
                              <w:b/>
                            </w:rPr>
                          </w:pPr>
                          <w:r>
                            <w:rPr>
                              <w:b/>
                            </w:rPr>
                            <w:t>31 JULY</w:t>
                          </w:r>
                          <w:r w:rsidRPr="00080EC6">
                            <w:rPr>
                              <w:b/>
                            </w:rPr>
                            <w:t xml:space="preserve"> 2018</w:t>
                          </w:r>
                        </w:p>
                      </w:txbxContent>
                    </v:textbox>
                  </v:shape>
                </w:pict>
              </mc:Fallback>
            </mc:AlternateContent>
          </w:r>
        </w:p>
        <w:p w14:paraId="1BE04102" w14:textId="77777777" w:rsidR="00E633E3" w:rsidRPr="00155241" w:rsidRDefault="00E633E3" w:rsidP="00803475">
          <w:pPr>
            <w:rPr>
              <w:rFonts w:cstheme="minorHAnsi"/>
            </w:rPr>
          </w:pPr>
        </w:p>
        <w:p w14:paraId="052A9963" w14:textId="5059D708" w:rsidR="00E633E3" w:rsidRPr="00155241" w:rsidRDefault="00E633E3" w:rsidP="00803475">
          <w:pPr>
            <w:pStyle w:val="BodyText0"/>
            <w:rPr>
              <w:rFonts w:asciiTheme="minorHAnsi" w:hAnsiTheme="minorHAnsi" w:cstheme="minorHAnsi"/>
            </w:rPr>
          </w:pPr>
        </w:p>
        <w:p w14:paraId="4E4B0C28" w14:textId="77777777" w:rsidR="00E633E3" w:rsidRPr="00155241" w:rsidRDefault="00E633E3" w:rsidP="00803475">
          <w:pPr>
            <w:rPr>
              <w:rFonts w:cstheme="minorHAnsi"/>
            </w:rPr>
          </w:pPr>
        </w:p>
        <w:p w14:paraId="301E4648" w14:textId="77777777" w:rsidR="00E633E3" w:rsidRPr="00155241" w:rsidRDefault="00E633E3" w:rsidP="00803475">
          <w:pPr>
            <w:rPr>
              <w:rFonts w:cstheme="minorHAnsi"/>
            </w:rPr>
          </w:pPr>
        </w:p>
        <w:p w14:paraId="63985A72" w14:textId="77777777" w:rsidR="00E633E3" w:rsidRPr="00155241" w:rsidRDefault="00E633E3" w:rsidP="00803475">
          <w:pPr>
            <w:rPr>
              <w:rFonts w:cstheme="minorHAnsi"/>
            </w:rPr>
          </w:pPr>
        </w:p>
        <w:p w14:paraId="66D2AB97" w14:textId="7442C7B1" w:rsidR="00E633E3" w:rsidRPr="00155241" w:rsidRDefault="001E1812" w:rsidP="00216EBF">
          <w:pPr>
            <w:tabs>
              <w:tab w:val="left" w:pos="6120"/>
            </w:tabs>
            <w:rPr>
              <w:rFonts w:cstheme="minorHAnsi"/>
            </w:rPr>
          </w:pPr>
          <w:r>
            <w:rPr>
              <w:rFonts w:cstheme="minorHAnsi"/>
            </w:rPr>
            <w:tab/>
          </w:r>
        </w:p>
        <w:p w14:paraId="3B0DBA70" w14:textId="77777777" w:rsidR="00E633E3" w:rsidRPr="00155241" w:rsidRDefault="00E633E3" w:rsidP="00803475">
          <w:pPr>
            <w:rPr>
              <w:rFonts w:cstheme="minorHAnsi"/>
            </w:rPr>
          </w:pPr>
        </w:p>
        <w:p w14:paraId="18B63AD3" w14:textId="77777777" w:rsidR="00E633E3" w:rsidRPr="00155241" w:rsidRDefault="00E633E3" w:rsidP="00803475">
          <w:pPr>
            <w:rPr>
              <w:rFonts w:cstheme="minorHAnsi"/>
            </w:rPr>
          </w:pPr>
        </w:p>
        <w:p w14:paraId="21FB65DB" w14:textId="77777777" w:rsidR="00E633E3" w:rsidRPr="00155241" w:rsidRDefault="00E633E3" w:rsidP="00803475">
          <w:pPr>
            <w:rPr>
              <w:rFonts w:cstheme="minorHAnsi"/>
            </w:rPr>
          </w:pPr>
        </w:p>
        <w:p w14:paraId="447F34B0" w14:textId="77777777" w:rsidR="00E633E3" w:rsidRPr="00155241" w:rsidRDefault="00E633E3" w:rsidP="00803475">
          <w:pPr>
            <w:rPr>
              <w:rFonts w:cstheme="minorHAnsi"/>
            </w:rPr>
          </w:pPr>
        </w:p>
        <w:p w14:paraId="5F150B45" w14:textId="77777777" w:rsidR="00E633E3" w:rsidRPr="00155241" w:rsidRDefault="00E633E3" w:rsidP="00803475">
          <w:pPr>
            <w:rPr>
              <w:rFonts w:cstheme="minorHAnsi"/>
            </w:rPr>
          </w:pPr>
        </w:p>
        <w:p w14:paraId="455E2CE9" w14:textId="77777777" w:rsidR="00E633E3" w:rsidRPr="00155241" w:rsidRDefault="00E633E3" w:rsidP="00803475">
          <w:pPr>
            <w:rPr>
              <w:rFonts w:cstheme="minorHAnsi"/>
            </w:rPr>
          </w:pPr>
        </w:p>
        <w:p w14:paraId="042D918F" w14:textId="43CF0111" w:rsidR="00E633E3" w:rsidRPr="00155241" w:rsidRDefault="00E633E3" w:rsidP="00080EC6">
          <w:pPr>
            <w:tabs>
              <w:tab w:val="left" w:pos="2570"/>
            </w:tabs>
            <w:rPr>
              <w:rFonts w:cstheme="minorHAnsi"/>
            </w:rPr>
          </w:pPr>
        </w:p>
        <w:p w14:paraId="34D0C5DD" w14:textId="508E2FA7" w:rsidR="00E633E3" w:rsidRDefault="00E633E3">
          <w:pPr>
            <w:spacing w:after="0" w:line="240" w:lineRule="auto"/>
            <w:rPr>
              <w:rFonts w:ascii="Arial Bold" w:hAnsi="Arial Bold" w:cs="Arial"/>
              <w:b/>
              <w:caps/>
              <w:color w:val="159DCE"/>
              <w:sz w:val="34"/>
            </w:rPr>
          </w:pPr>
          <w:r>
            <w:br w:type="page"/>
          </w:r>
        </w:p>
      </w:sdtContent>
    </w:sdt>
    <w:p w14:paraId="57B7EF50" w14:textId="7417B51F" w:rsidR="00A465ED" w:rsidRDefault="00A465ED"/>
    <w:p w14:paraId="4E7B87DB" w14:textId="77777777" w:rsidR="00803475" w:rsidRDefault="00803475" w:rsidP="003C44DE"/>
    <w:p w14:paraId="7F6B5E96" w14:textId="77777777" w:rsidR="00803475" w:rsidRDefault="00803475"/>
    <w:p w14:paraId="3AF0ADBA" w14:textId="77777777" w:rsidR="00803475" w:rsidRDefault="00803475"/>
    <w:p w14:paraId="46690577" w14:textId="77777777" w:rsidR="00803475" w:rsidRDefault="00803475"/>
    <w:p w14:paraId="0B29B573" w14:textId="77777777" w:rsidR="00803475" w:rsidRDefault="00803475"/>
    <w:p w14:paraId="1F27201E" w14:textId="77777777" w:rsidR="00803475" w:rsidRDefault="00803475"/>
    <w:p w14:paraId="1B20BB4A" w14:textId="77777777" w:rsidR="00803475" w:rsidRDefault="00803475"/>
    <w:p w14:paraId="2F259839" w14:textId="77777777" w:rsidR="00803475" w:rsidRDefault="00803475"/>
    <w:p w14:paraId="09C7A419" w14:textId="4FFCEEFD" w:rsidR="00803475" w:rsidRPr="00803475" w:rsidRDefault="00803475">
      <w:r w:rsidRPr="00803475">
        <w:t>Published by the Climate Change Authority</w:t>
      </w:r>
    </w:p>
    <w:p w14:paraId="4AEF1A0A" w14:textId="77777777" w:rsidR="00803475" w:rsidRPr="00803475" w:rsidRDefault="00803475">
      <w:r w:rsidRPr="00803475">
        <w:t>www.climatechangeauthority.gov.au</w:t>
      </w:r>
    </w:p>
    <w:p w14:paraId="51C6CBFF" w14:textId="35694CA2" w:rsidR="00803475" w:rsidRPr="00803475" w:rsidRDefault="00803475">
      <w:r w:rsidRPr="00803475">
        <w:t>© Commonwealth of Australia 201</w:t>
      </w:r>
      <w:r w:rsidR="00B83199">
        <w:t>8</w:t>
      </w:r>
    </w:p>
    <w:p w14:paraId="7F56891C" w14:textId="445A10C9" w:rsidR="00803475" w:rsidRPr="00803475" w:rsidRDefault="00803475">
      <w:r w:rsidRPr="00803475">
        <w:t>This work is licensed under the Creative Commons Attribution 3.0 Australia Licence. To view a</w:t>
      </w:r>
      <w:r>
        <w:t xml:space="preserve"> </w:t>
      </w:r>
      <w:r w:rsidRPr="00803475">
        <w:t>copy of this license, visit http://creativecommons.org/licenses/by/3.0/au</w:t>
      </w:r>
    </w:p>
    <w:p w14:paraId="39143838" w14:textId="57BD9BBA" w:rsidR="00803475" w:rsidRDefault="00803475">
      <w:r w:rsidRPr="00803475">
        <w:t>The Climate Change Authority asserts the right to be recognised as author of the original material</w:t>
      </w:r>
      <w:r>
        <w:t xml:space="preserve"> </w:t>
      </w:r>
      <w:r w:rsidRPr="00803475">
        <w:t>in the following manner:</w:t>
      </w:r>
    </w:p>
    <w:p w14:paraId="200C112E" w14:textId="202EF435" w:rsidR="00803475" w:rsidRPr="00803475" w:rsidRDefault="00803475">
      <w:r w:rsidRPr="003D188E">
        <w:rPr>
          <w:noProof/>
          <w:lang w:eastAsia="en-AU"/>
        </w:rPr>
        <w:drawing>
          <wp:inline distT="0" distB="0" distL="0" distR="0" wp14:anchorId="55C76E44" wp14:editId="5EDDFC92">
            <wp:extent cx="931653" cy="325963"/>
            <wp:effectExtent l="0" t="0" r="190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31653" cy="325963"/>
                    </a:xfrm>
                    <a:prstGeom prst="rect">
                      <a:avLst/>
                    </a:prstGeom>
                  </pic:spPr>
                </pic:pic>
              </a:graphicData>
            </a:graphic>
          </wp:inline>
        </w:drawing>
      </w:r>
      <w:r w:rsidRPr="003D188E">
        <w:rPr>
          <w:noProof/>
          <w:lang w:eastAsia="en-AU"/>
        </w:rPr>
        <w:drawing>
          <wp:inline distT="0" distB="0" distL="0" distR="0" wp14:anchorId="445B5D8F" wp14:editId="5CCE0976">
            <wp:extent cx="813818" cy="152400"/>
            <wp:effectExtent l="0" t="0" r="5715"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13818" cy="152400"/>
                    </a:xfrm>
                    <a:prstGeom prst="rect">
                      <a:avLst/>
                    </a:prstGeom>
                  </pic:spPr>
                </pic:pic>
              </a:graphicData>
            </a:graphic>
          </wp:inline>
        </w:drawing>
      </w:r>
    </w:p>
    <w:p w14:paraId="0FDFE43E" w14:textId="1B07A69A" w:rsidR="00803475" w:rsidRPr="00803475" w:rsidRDefault="00803475">
      <w:r w:rsidRPr="00803475">
        <w:t>© Commonwealth of Australia (Climate Change Authority) 201</w:t>
      </w:r>
      <w:r w:rsidR="00B83199">
        <w:t>8</w:t>
      </w:r>
      <w:r w:rsidRPr="00803475">
        <w:t>.</w:t>
      </w:r>
    </w:p>
    <w:p w14:paraId="1B43E209" w14:textId="77777777" w:rsidR="00803475" w:rsidRPr="00803475" w:rsidRDefault="00803475">
      <w:r w:rsidRPr="00803475">
        <w:t>IMPORTANT NOTICE – PLEASE READ</w:t>
      </w:r>
    </w:p>
    <w:p w14:paraId="506E6EB7" w14:textId="4E42D2E6" w:rsidR="00803475" w:rsidRDefault="00803475">
      <w:r w:rsidRPr="00803475">
        <w:t>This document is produced for general information only and does not represent a statement of the</w:t>
      </w:r>
      <w:r>
        <w:t xml:space="preserve"> </w:t>
      </w:r>
      <w:r w:rsidRPr="00803475">
        <w:t>policy of the Commonwealth of Australia. The Commonwealth of Australia and all persons acting</w:t>
      </w:r>
      <w:r>
        <w:t xml:space="preserve"> </w:t>
      </w:r>
      <w:r w:rsidRPr="00803475">
        <w:t>for the Commonwealth preparing this report accept no liability for the accuracy of or inferences</w:t>
      </w:r>
      <w:r>
        <w:t xml:space="preserve"> </w:t>
      </w:r>
      <w:r w:rsidRPr="00803475">
        <w:t>from the material contained in this publication, or for any action as a result of any person’s or</w:t>
      </w:r>
      <w:r>
        <w:t xml:space="preserve"> </w:t>
      </w:r>
      <w:r w:rsidRPr="00803475">
        <w:t>group’s interpretations, deductions, conclusions or actions in relying on this material.</w:t>
      </w:r>
    </w:p>
    <w:p w14:paraId="2D24701F" w14:textId="2D2190FF" w:rsidR="00BC370C" w:rsidRDefault="004C2324" w:rsidP="0039628C">
      <w:pPr>
        <w:pStyle w:val="Title"/>
        <w:keepNext/>
      </w:pPr>
      <w:bookmarkStart w:id="1" w:name="_Toc519166158"/>
      <w:bookmarkStart w:id="2" w:name="_Toc519240524"/>
      <w:bookmarkStart w:id="3" w:name="_Toc519240653"/>
      <w:r w:rsidRPr="003C44DE">
        <w:lastRenderedPageBreak/>
        <w:t>Information on ho</w:t>
      </w:r>
      <w:r w:rsidRPr="002B765B">
        <w:t>w to make a submission</w:t>
      </w:r>
      <w:bookmarkEnd w:id="1"/>
      <w:bookmarkEnd w:id="2"/>
      <w:bookmarkEnd w:id="3"/>
    </w:p>
    <w:p w14:paraId="02BB15B7" w14:textId="77777777" w:rsidR="008552E5" w:rsidRDefault="008552E5" w:rsidP="0039628C">
      <w:pPr>
        <w:pStyle w:val="Title"/>
        <w:keepNext/>
      </w:pPr>
      <w:bookmarkStart w:id="4" w:name="_Toc520467388"/>
      <w:bookmarkStart w:id="5" w:name="_Toc520469853"/>
      <w:bookmarkStart w:id="6" w:name="_Toc520705310"/>
    </w:p>
    <w:tbl>
      <w:tblPr>
        <w:tblStyle w:val="CCATablebox"/>
        <w:tblW w:w="5000" w:type="pct"/>
        <w:tblLayout w:type="fixed"/>
        <w:tblLook w:val="04A0" w:firstRow="1" w:lastRow="0" w:firstColumn="1" w:lastColumn="0" w:noHBand="0" w:noVBand="1"/>
      </w:tblPr>
      <w:tblGrid>
        <w:gridCol w:w="9212"/>
      </w:tblGrid>
      <w:tr w:rsidR="002B765B" w:rsidRPr="00B240C0" w14:paraId="47C431AA" w14:textId="77777777" w:rsidTr="00F73E8F">
        <w:trPr>
          <w:cnfStyle w:val="100000000000" w:firstRow="1" w:lastRow="0" w:firstColumn="0" w:lastColumn="0" w:oddVBand="0" w:evenVBand="0" w:oddHBand="0" w:evenHBand="0" w:firstRowFirstColumn="0" w:firstRowLastColumn="0" w:lastRowFirstColumn="0" w:lastRowLastColumn="0"/>
        </w:trPr>
        <w:tc>
          <w:tcPr>
            <w:tcW w:w="5000" w:type="pct"/>
          </w:tcPr>
          <w:p w14:paraId="4E8E3722" w14:textId="0DEF2B8D" w:rsidR="002B765B" w:rsidRPr="00C5358A" w:rsidRDefault="00BA7283" w:rsidP="00845DB5">
            <w:pPr>
              <w:rPr>
                <w:b/>
                <w:color w:val="159DCE"/>
              </w:rPr>
            </w:pPr>
            <w:r w:rsidRPr="004F51CA">
              <w:rPr>
                <w:b/>
                <w:color w:val="159DCE"/>
              </w:rPr>
              <w:lastRenderedPageBreak/>
              <w:t>CONSULTATION PAPER</w:t>
            </w:r>
            <w:bookmarkEnd w:id="4"/>
            <w:bookmarkEnd w:id="5"/>
            <w:bookmarkEnd w:id="6"/>
          </w:p>
          <w:p w14:paraId="40E5F848" w14:textId="373F9D34" w:rsidR="002B765B" w:rsidRPr="004E33C4" w:rsidRDefault="002B765B" w:rsidP="00F73E8F">
            <w:pPr>
              <w:rPr>
                <w:color w:val="auto"/>
              </w:rPr>
            </w:pPr>
            <w:r w:rsidRPr="00B240C0">
              <w:br/>
            </w:r>
            <w:r w:rsidRPr="004E33C4">
              <w:rPr>
                <w:color w:val="auto"/>
              </w:rPr>
              <w:t xml:space="preserve">The Climate Change Authority has released this consultation paper to assist individuals and organisations to prepare submissions to inform the Authority’s review of the </w:t>
            </w:r>
            <w:r w:rsidR="00AE78BE">
              <w:rPr>
                <w:color w:val="auto"/>
              </w:rPr>
              <w:t xml:space="preserve">National Greenhouse and Energy Reporting </w:t>
            </w:r>
            <w:r w:rsidR="00E50A4F">
              <w:rPr>
                <w:color w:val="auto"/>
              </w:rPr>
              <w:t>l</w:t>
            </w:r>
            <w:r w:rsidR="000431AC">
              <w:rPr>
                <w:color w:val="auto"/>
              </w:rPr>
              <w:t>egislation</w:t>
            </w:r>
            <w:r w:rsidR="00AE78BE">
              <w:rPr>
                <w:color w:val="auto"/>
              </w:rPr>
              <w:t>.</w:t>
            </w:r>
            <w:r w:rsidR="00E50A4F">
              <w:rPr>
                <w:color w:val="auto"/>
              </w:rPr>
              <w:t xml:space="preserve"> It outlines:</w:t>
            </w:r>
          </w:p>
          <w:p w14:paraId="5172AF55" w14:textId="48313A96" w:rsidR="002B765B" w:rsidRPr="004841B0" w:rsidRDefault="002B765B" w:rsidP="006B5CAF">
            <w:pPr>
              <w:pStyle w:val="ListNumber"/>
              <w:numPr>
                <w:ilvl w:val="0"/>
                <w:numId w:val="9"/>
              </w:numPr>
              <w:ind w:left="567"/>
              <w:rPr>
                <w:color w:val="auto"/>
              </w:rPr>
            </w:pPr>
            <w:r w:rsidRPr="004841B0">
              <w:rPr>
                <w:color w:val="auto"/>
              </w:rPr>
              <w:t xml:space="preserve">the scope of the work </w:t>
            </w:r>
          </w:p>
          <w:p w14:paraId="37BD2D2A" w14:textId="3872A793" w:rsidR="002B765B" w:rsidRPr="004841B0" w:rsidRDefault="002B765B" w:rsidP="006B5CAF">
            <w:pPr>
              <w:pStyle w:val="ListNumber"/>
              <w:numPr>
                <w:ilvl w:val="0"/>
                <w:numId w:val="9"/>
              </w:numPr>
              <w:ind w:left="567"/>
              <w:rPr>
                <w:color w:val="auto"/>
              </w:rPr>
            </w:pPr>
            <w:r w:rsidRPr="004841B0">
              <w:rPr>
                <w:color w:val="auto"/>
              </w:rPr>
              <w:t xml:space="preserve">matters on which the Authority is seeking comment and information </w:t>
            </w:r>
          </w:p>
          <w:p w14:paraId="6F7A8390" w14:textId="77777777" w:rsidR="002B765B" w:rsidRPr="004841B0" w:rsidRDefault="002B765B" w:rsidP="006B5CAF">
            <w:pPr>
              <w:pStyle w:val="ListNumber"/>
              <w:numPr>
                <w:ilvl w:val="0"/>
                <w:numId w:val="9"/>
              </w:numPr>
              <w:ind w:left="567"/>
              <w:rPr>
                <w:color w:val="auto"/>
              </w:rPr>
            </w:pPr>
            <w:r w:rsidRPr="004841B0">
              <w:rPr>
                <w:color w:val="auto"/>
              </w:rPr>
              <w:t xml:space="preserve">how to make a submission. </w:t>
            </w:r>
          </w:p>
          <w:p w14:paraId="4A162D50" w14:textId="51BA4D48" w:rsidR="002B765B" w:rsidRPr="004E33C4" w:rsidRDefault="002B765B" w:rsidP="00F73E8F">
            <w:pPr>
              <w:rPr>
                <w:color w:val="auto"/>
              </w:rPr>
            </w:pPr>
            <w:r w:rsidRPr="004E33C4">
              <w:rPr>
                <w:color w:val="auto"/>
              </w:rPr>
              <w:t>This consultation paper identifies matters the Authority considers most pertinent to this work</w:t>
            </w:r>
            <w:r w:rsidR="00A77DA7">
              <w:rPr>
                <w:color w:val="auto"/>
              </w:rPr>
              <w:t>. C</w:t>
            </w:r>
            <w:r w:rsidRPr="004E33C4">
              <w:rPr>
                <w:color w:val="auto"/>
              </w:rPr>
              <w:t>omments on any other</w:t>
            </w:r>
            <w:r w:rsidR="00D63A48">
              <w:rPr>
                <w:color w:val="auto"/>
              </w:rPr>
              <w:t xml:space="preserve"> relevant</w:t>
            </w:r>
            <w:r w:rsidRPr="004E33C4">
              <w:rPr>
                <w:color w:val="auto"/>
              </w:rPr>
              <w:t xml:space="preserve"> issues are also welcome. </w:t>
            </w:r>
          </w:p>
          <w:p w14:paraId="4FD53598" w14:textId="77777777" w:rsidR="002B765B" w:rsidRPr="004E33C4" w:rsidRDefault="002B765B" w:rsidP="008F0A3B">
            <w:pPr>
              <w:pStyle w:val="Heading4"/>
              <w:numPr>
                <w:ilvl w:val="0"/>
                <w:numId w:val="0"/>
              </w:numPr>
              <w:ind w:left="864" w:hanging="864"/>
              <w:outlineLvl w:val="3"/>
              <w:rPr>
                <w:b/>
                <w:color w:val="auto"/>
              </w:rPr>
            </w:pPr>
            <w:bookmarkStart w:id="7" w:name="_Ref520715707"/>
            <w:r w:rsidRPr="004E33C4">
              <w:rPr>
                <w:b/>
                <w:color w:val="auto"/>
              </w:rPr>
              <w:t>Key dates</w:t>
            </w:r>
            <w:bookmarkEnd w:id="7"/>
          </w:p>
          <w:tbl>
            <w:tblPr>
              <w:tblW w:w="8250" w:type="dxa"/>
              <w:tblLayout w:type="fixed"/>
              <w:tblCellMar>
                <w:left w:w="57" w:type="dxa"/>
                <w:right w:w="57" w:type="dxa"/>
              </w:tblCellMar>
              <w:tblLook w:val="04A0" w:firstRow="1" w:lastRow="0" w:firstColumn="1" w:lastColumn="0" w:noHBand="0" w:noVBand="1"/>
            </w:tblPr>
            <w:tblGrid>
              <w:gridCol w:w="2268"/>
              <w:gridCol w:w="638"/>
              <w:gridCol w:w="2268"/>
              <w:gridCol w:w="638"/>
              <w:gridCol w:w="2268"/>
              <w:gridCol w:w="170"/>
            </w:tblGrid>
            <w:tr w:rsidR="002B765B" w:rsidRPr="004E33C4" w14:paraId="1881C951" w14:textId="77777777" w:rsidTr="00F73E8F">
              <w:trPr>
                <w:trHeight w:val="1063"/>
              </w:trPr>
              <w:tc>
                <w:tcPr>
                  <w:tcW w:w="2268" w:type="dxa"/>
                  <w:vAlign w:val="center"/>
                </w:tcPr>
                <w:p w14:paraId="4175F8C3" w14:textId="77777777" w:rsidR="002B765B" w:rsidRPr="007B4348" w:rsidRDefault="002B765B" w:rsidP="00F73E8F">
                  <w:pPr>
                    <w:pStyle w:val="NormalWeb"/>
                    <w:spacing w:after="0"/>
                    <w:ind w:left="142" w:right="-57"/>
                    <w:rPr>
                      <w:rFonts w:ascii="Arial" w:hAnsi="Arial" w:cstheme="minorBidi"/>
                      <w:b/>
                      <w:sz w:val="18"/>
                      <w:szCs w:val="22"/>
                    </w:rPr>
                  </w:pPr>
                  <w:r w:rsidRPr="007B4348">
                    <w:rPr>
                      <w:rFonts w:ascii="Arial" w:hAnsi="Arial" w:cstheme="minorBidi"/>
                      <w:b/>
                      <w:sz w:val="18"/>
                      <w:szCs w:val="22"/>
                    </w:rPr>
                    <w:t>Issues paper released</w:t>
                  </w:r>
                </w:p>
                <w:p w14:paraId="65D523EF" w14:textId="474E09C8" w:rsidR="002B765B" w:rsidRPr="007B4348" w:rsidRDefault="00A77DA7">
                  <w:pPr>
                    <w:spacing w:after="0" w:line="240" w:lineRule="auto"/>
                    <w:ind w:left="142"/>
                    <w:rPr>
                      <w:b/>
                      <w:sz w:val="18"/>
                    </w:rPr>
                  </w:pPr>
                  <w:r>
                    <w:rPr>
                      <w:sz w:val="18"/>
                    </w:rPr>
                    <w:t>31 July 2018</w:t>
                  </w:r>
                </w:p>
              </w:tc>
              <w:tc>
                <w:tcPr>
                  <w:tcW w:w="638" w:type="dxa"/>
                  <w:vAlign w:val="center"/>
                </w:tcPr>
                <w:p w14:paraId="3CD07286" w14:textId="77777777" w:rsidR="002B765B" w:rsidRPr="007B4348" w:rsidRDefault="002B765B" w:rsidP="00F73E8F">
                  <w:pPr>
                    <w:pStyle w:val="NormalWeb"/>
                    <w:spacing w:after="0"/>
                    <w:jc w:val="center"/>
                    <w:rPr>
                      <w:sz w:val="12"/>
                    </w:rPr>
                  </w:pPr>
                  <w:r w:rsidRPr="007B4348">
                    <w:rPr>
                      <w:rFonts w:asciiTheme="minorHAnsi" w:hAnsi="Calibri" w:cstheme="minorBidi"/>
                      <w:kern w:val="24"/>
                      <w:sz w:val="72"/>
                      <w:szCs w:val="230"/>
                    </w:rPr>
                    <w:t>›</w:t>
                  </w:r>
                </w:p>
                <w:p w14:paraId="23C64B55" w14:textId="77777777" w:rsidR="002B765B" w:rsidRPr="007B4348" w:rsidRDefault="002B765B" w:rsidP="00F73E8F">
                  <w:pPr>
                    <w:spacing w:after="0" w:line="240" w:lineRule="auto"/>
                    <w:ind w:left="142"/>
                    <w:jc w:val="center"/>
                  </w:pPr>
                </w:p>
              </w:tc>
              <w:tc>
                <w:tcPr>
                  <w:tcW w:w="2268" w:type="dxa"/>
                  <w:vAlign w:val="center"/>
                </w:tcPr>
                <w:p w14:paraId="0944CEC1" w14:textId="77777777" w:rsidR="002B765B" w:rsidRPr="007B4348" w:rsidRDefault="002B765B" w:rsidP="00F73E8F">
                  <w:pPr>
                    <w:spacing w:after="0" w:line="240" w:lineRule="auto"/>
                    <w:ind w:left="142" w:right="-136"/>
                    <w:rPr>
                      <w:b/>
                      <w:sz w:val="18"/>
                    </w:rPr>
                  </w:pPr>
                  <w:r w:rsidRPr="007B4348">
                    <w:rPr>
                      <w:b/>
                      <w:sz w:val="18"/>
                    </w:rPr>
                    <w:t>Submissions close</w:t>
                  </w:r>
                </w:p>
                <w:p w14:paraId="2FBC718B" w14:textId="17DA17B9" w:rsidR="002B765B" w:rsidRPr="007B4348" w:rsidRDefault="00A77DA7">
                  <w:pPr>
                    <w:spacing w:after="0" w:line="240" w:lineRule="auto"/>
                    <w:ind w:left="142"/>
                  </w:pPr>
                  <w:r>
                    <w:rPr>
                      <w:sz w:val="18"/>
                    </w:rPr>
                    <w:t>11 September 2018</w:t>
                  </w:r>
                </w:p>
              </w:tc>
              <w:tc>
                <w:tcPr>
                  <w:tcW w:w="638" w:type="dxa"/>
                  <w:vAlign w:val="center"/>
                </w:tcPr>
                <w:p w14:paraId="6B5CBA82" w14:textId="77777777" w:rsidR="002B765B" w:rsidRPr="007B4348" w:rsidRDefault="002B765B" w:rsidP="00F73E8F">
                  <w:pPr>
                    <w:pStyle w:val="NormalWeb"/>
                    <w:spacing w:after="0"/>
                    <w:ind w:left="142"/>
                    <w:rPr>
                      <w:sz w:val="12"/>
                    </w:rPr>
                  </w:pPr>
                  <w:r w:rsidRPr="007B4348">
                    <w:rPr>
                      <w:rFonts w:asciiTheme="minorHAnsi" w:hAnsi="Calibri" w:cstheme="minorBidi"/>
                      <w:kern w:val="24"/>
                      <w:sz w:val="72"/>
                      <w:szCs w:val="230"/>
                    </w:rPr>
                    <w:t>›</w:t>
                  </w:r>
                </w:p>
                <w:p w14:paraId="5F6C0556" w14:textId="77777777" w:rsidR="002B765B" w:rsidRPr="007B4348" w:rsidRDefault="002B765B" w:rsidP="00F73E8F">
                  <w:pPr>
                    <w:spacing w:after="0" w:line="240" w:lineRule="auto"/>
                    <w:ind w:left="142"/>
                  </w:pPr>
                </w:p>
              </w:tc>
              <w:tc>
                <w:tcPr>
                  <w:tcW w:w="2268" w:type="dxa"/>
                  <w:vAlign w:val="center"/>
                </w:tcPr>
                <w:p w14:paraId="4E1594AD" w14:textId="77777777" w:rsidR="002B765B" w:rsidRPr="007B4348" w:rsidRDefault="002B765B" w:rsidP="00F73E8F">
                  <w:pPr>
                    <w:spacing w:after="0" w:line="240" w:lineRule="auto"/>
                    <w:ind w:left="142"/>
                    <w:rPr>
                      <w:b/>
                      <w:sz w:val="18"/>
                    </w:rPr>
                  </w:pPr>
                  <w:r w:rsidRPr="007B4348">
                    <w:rPr>
                      <w:b/>
                      <w:sz w:val="18"/>
                    </w:rPr>
                    <w:t>Final Report</w:t>
                  </w:r>
                </w:p>
                <w:p w14:paraId="2CF581EC" w14:textId="3ACAC3F8" w:rsidR="002B765B" w:rsidRPr="007B4348" w:rsidRDefault="002B765B">
                  <w:pPr>
                    <w:spacing w:after="0" w:line="240" w:lineRule="auto"/>
                    <w:ind w:left="142"/>
                    <w:rPr>
                      <w:sz w:val="18"/>
                    </w:rPr>
                  </w:pPr>
                  <w:r w:rsidRPr="007B4348">
                    <w:rPr>
                      <w:sz w:val="18"/>
                    </w:rPr>
                    <w:t>December 201</w:t>
                  </w:r>
                  <w:r w:rsidR="00D85E0C" w:rsidRPr="007B4348">
                    <w:rPr>
                      <w:sz w:val="18"/>
                    </w:rPr>
                    <w:t>8</w:t>
                  </w:r>
                </w:p>
              </w:tc>
              <w:tc>
                <w:tcPr>
                  <w:tcW w:w="170" w:type="dxa"/>
                  <w:vAlign w:val="center"/>
                </w:tcPr>
                <w:p w14:paraId="618602BD" w14:textId="77777777" w:rsidR="002B765B" w:rsidRPr="004E33C4" w:rsidRDefault="002B765B" w:rsidP="00F73E8F">
                  <w:pPr>
                    <w:pStyle w:val="NormalWeb"/>
                    <w:spacing w:after="0"/>
                    <w:ind w:left="142"/>
                    <w:rPr>
                      <w:sz w:val="12"/>
                    </w:rPr>
                  </w:pPr>
                </w:p>
                <w:p w14:paraId="6D23FBDA" w14:textId="77777777" w:rsidR="002B765B" w:rsidRPr="004E33C4" w:rsidRDefault="002B765B" w:rsidP="00F73E8F">
                  <w:pPr>
                    <w:spacing w:after="0" w:line="240" w:lineRule="auto"/>
                    <w:ind w:left="142"/>
                    <w:rPr>
                      <w:sz w:val="18"/>
                    </w:rPr>
                  </w:pPr>
                </w:p>
              </w:tc>
            </w:tr>
          </w:tbl>
          <w:p w14:paraId="4614EA4A" w14:textId="77777777" w:rsidR="002B765B" w:rsidRPr="004E33C4" w:rsidRDefault="002B765B" w:rsidP="008F0A3B">
            <w:pPr>
              <w:pStyle w:val="Heading4"/>
              <w:numPr>
                <w:ilvl w:val="0"/>
                <w:numId w:val="0"/>
              </w:numPr>
              <w:outlineLvl w:val="3"/>
              <w:rPr>
                <w:b/>
                <w:color w:val="auto"/>
              </w:rPr>
            </w:pPr>
            <w:r w:rsidRPr="004E33C4">
              <w:rPr>
                <w:b/>
                <w:color w:val="auto"/>
              </w:rPr>
              <w:t>Submissions can be lodged</w:t>
            </w:r>
          </w:p>
          <w:p w14:paraId="2B6CE5C3" w14:textId="1E864DAB" w:rsidR="002B765B" w:rsidRDefault="002B765B" w:rsidP="00F73E8F">
            <w:pPr>
              <w:rPr>
                <w:color w:val="auto"/>
              </w:rPr>
            </w:pPr>
            <w:r w:rsidRPr="004E33C4">
              <w:rPr>
                <w:color w:val="auto"/>
              </w:rPr>
              <w:t xml:space="preserve">via email to: </w:t>
            </w:r>
            <w:hyperlink r:id="rId15" w:history="1">
              <w:r w:rsidR="00AA7DD1" w:rsidRPr="00AA7DD1">
                <w:rPr>
                  <w:rStyle w:val="Hyperlink"/>
                </w:rPr>
                <w:t>submissions@climatechangeauthority.gov.au</w:t>
              </w:r>
            </w:hyperlink>
            <w:r w:rsidRPr="004E33C4">
              <w:rPr>
                <w:color w:val="auto"/>
              </w:rPr>
              <w:br/>
              <w:t>via post to: Submissions, Climate Change Authority, GPO Box 787, Canberra ACT 2600</w:t>
            </w:r>
          </w:p>
          <w:p w14:paraId="6B297AD2" w14:textId="64143535" w:rsidR="00E50A4F" w:rsidRDefault="00E50A4F" w:rsidP="00F73E8F">
            <w:pPr>
              <w:rPr>
                <w:color w:val="auto"/>
              </w:rPr>
            </w:pPr>
            <w:r>
              <w:rPr>
                <w:color w:val="auto"/>
              </w:rPr>
              <w:t xml:space="preserve">Please use the coversheet for submissions available on the Authority’s website at: </w:t>
            </w:r>
            <w:hyperlink r:id="rId16" w:history="1">
              <w:r w:rsidR="008552E5" w:rsidRPr="00FB074A">
                <w:rPr>
                  <w:rStyle w:val="Hyperlink"/>
                </w:rPr>
                <w:t>www.climatechangeauthority.gov.au/consultations</w:t>
              </w:r>
            </w:hyperlink>
            <w:r w:rsidR="000E012E">
              <w:rPr>
                <w:color w:val="auto"/>
              </w:rPr>
              <w:t>.</w:t>
            </w:r>
          </w:p>
          <w:p w14:paraId="0BB72B41" w14:textId="2710D532" w:rsidR="002B765B" w:rsidRPr="004E33C4" w:rsidRDefault="00E50A4F" w:rsidP="00F73E8F">
            <w:pPr>
              <w:rPr>
                <w:color w:val="auto"/>
              </w:rPr>
            </w:pPr>
            <w:r>
              <w:rPr>
                <w:color w:val="auto"/>
              </w:rPr>
              <w:t xml:space="preserve">Submissions made in confidence </w:t>
            </w:r>
            <w:r w:rsidR="002B765B" w:rsidRPr="00BB258E">
              <w:rPr>
                <w:color w:val="auto"/>
              </w:rPr>
              <w:t xml:space="preserve">will </w:t>
            </w:r>
            <w:r>
              <w:rPr>
                <w:color w:val="auto"/>
              </w:rPr>
              <w:t xml:space="preserve">not </w:t>
            </w:r>
            <w:r w:rsidR="002B765B" w:rsidRPr="00BB258E">
              <w:rPr>
                <w:color w:val="auto"/>
              </w:rPr>
              <w:t xml:space="preserve">be published on the Authority's website. </w:t>
            </w:r>
          </w:p>
          <w:p w14:paraId="0D03260C" w14:textId="77777777" w:rsidR="002B765B" w:rsidRPr="004E33C4" w:rsidRDefault="002B765B" w:rsidP="008F0A3B">
            <w:pPr>
              <w:pStyle w:val="Heading4"/>
              <w:numPr>
                <w:ilvl w:val="0"/>
                <w:numId w:val="0"/>
              </w:numPr>
              <w:ind w:left="864" w:hanging="864"/>
              <w:outlineLvl w:val="3"/>
              <w:rPr>
                <w:b/>
                <w:color w:val="auto"/>
              </w:rPr>
            </w:pPr>
            <w:r w:rsidRPr="004E33C4">
              <w:rPr>
                <w:b/>
                <w:color w:val="auto"/>
              </w:rPr>
              <w:t>Contacts</w:t>
            </w:r>
          </w:p>
          <w:p w14:paraId="4CD74E22" w14:textId="2741AE7B" w:rsidR="002B765B" w:rsidRPr="004E33C4" w:rsidRDefault="002B765B" w:rsidP="00F73E8F">
            <w:pPr>
              <w:rPr>
                <w:color w:val="auto"/>
              </w:rPr>
            </w:pPr>
            <w:r w:rsidRPr="004E33C4">
              <w:rPr>
                <w:color w:val="auto"/>
              </w:rPr>
              <w:lastRenderedPageBreak/>
              <w:t xml:space="preserve">For further information about this work or making a submission, contact the Climate Change Authority on 1800 475 869 or via email at </w:t>
            </w:r>
            <w:hyperlink r:id="rId17" w:history="1">
              <w:r w:rsidRPr="00AA7DD1">
                <w:rPr>
                  <w:rStyle w:val="Hyperlink"/>
                </w:rPr>
                <w:t>enquiries@climatechangeauthority.gov.au</w:t>
              </w:r>
            </w:hyperlink>
            <w:r w:rsidRPr="004E33C4">
              <w:rPr>
                <w:color w:val="auto"/>
              </w:rPr>
              <w:t xml:space="preserve">. </w:t>
            </w:r>
          </w:p>
          <w:p w14:paraId="7ADD5BE5" w14:textId="24CCD46C" w:rsidR="002B765B" w:rsidRPr="004E33C4" w:rsidRDefault="002B765B" w:rsidP="008F0A3B">
            <w:pPr>
              <w:pStyle w:val="Heading4"/>
              <w:numPr>
                <w:ilvl w:val="0"/>
                <w:numId w:val="0"/>
              </w:numPr>
              <w:ind w:left="864" w:hanging="864"/>
              <w:outlineLvl w:val="3"/>
              <w:rPr>
                <w:b/>
                <w:color w:val="auto"/>
              </w:rPr>
            </w:pPr>
            <w:r w:rsidRPr="004E33C4">
              <w:rPr>
                <w:b/>
                <w:color w:val="auto"/>
              </w:rPr>
              <w:t>Website</w:t>
            </w:r>
          </w:p>
          <w:p w14:paraId="191B4F76" w14:textId="4BCF97E2" w:rsidR="002B765B" w:rsidRPr="00FC58B2" w:rsidRDefault="00363A9B" w:rsidP="00F73E8F">
            <w:hyperlink r:id="rId18" w:history="1">
              <w:r w:rsidR="002B765B" w:rsidRPr="00E62641">
                <w:rPr>
                  <w:rStyle w:val="Hyperlink"/>
                  <w:sz w:val="21"/>
                </w:rPr>
                <w:t>www.climatechangeauthority.gov.au</w:t>
              </w:r>
            </w:hyperlink>
          </w:p>
        </w:tc>
      </w:tr>
    </w:tbl>
    <w:p w14:paraId="2B15E402" w14:textId="77777777" w:rsidR="00706281" w:rsidRDefault="00706281" w:rsidP="003C44DE">
      <w:pPr>
        <w:sectPr w:rsidR="00706281" w:rsidSect="004F51CA">
          <w:headerReference w:type="even" r:id="rId19"/>
          <w:headerReference w:type="default" r:id="rId20"/>
          <w:footerReference w:type="default" r:id="rId21"/>
          <w:pgSz w:w="11906" w:h="16838"/>
          <w:pgMar w:top="1418" w:right="1276" w:bottom="851" w:left="1418" w:header="425" w:footer="425" w:gutter="0"/>
          <w:pgNumType w:start="0"/>
          <w:cols w:space="708"/>
          <w:titlePg/>
          <w:docGrid w:linePitch="360"/>
        </w:sectPr>
      </w:pPr>
    </w:p>
    <w:bookmarkStart w:id="8" w:name="_Toc520736677" w:displacedByCustomXml="next"/>
    <w:bookmarkStart w:id="9" w:name="_Toc520736258" w:displacedByCustomXml="next"/>
    <w:bookmarkStart w:id="10" w:name="_Toc520735225" w:displacedByCustomXml="next"/>
    <w:bookmarkStart w:id="11" w:name="_Toc519166159" w:displacedByCustomXml="next"/>
    <w:bookmarkStart w:id="12" w:name="_Toc519240525" w:displacedByCustomXml="next"/>
    <w:bookmarkStart w:id="13" w:name="_Toc519240654" w:displacedByCustomXml="next"/>
    <w:sdt>
      <w:sdtPr>
        <w:rPr>
          <w:rFonts w:ascii="Arial" w:hAnsi="Arial" w:cs="Times New Roman"/>
          <w:b w:val="0"/>
          <w:caps w:val="0"/>
          <w:color w:val="auto"/>
          <w:sz w:val="22"/>
        </w:rPr>
        <w:id w:val="-377320793"/>
        <w:docPartObj>
          <w:docPartGallery w:val="Table of Contents"/>
          <w:docPartUnique/>
        </w:docPartObj>
      </w:sdtPr>
      <w:sdtEndPr>
        <w:rPr>
          <w:bCs/>
          <w:noProof/>
        </w:rPr>
      </w:sdtEndPr>
      <w:sdtContent>
        <w:p w14:paraId="2BA02A83" w14:textId="16439360" w:rsidR="00A465ED" w:rsidRDefault="00A465ED" w:rsidP="0018734A">
          <w:pPr>
            <w:pStyle w:val="Heading1NN"/>
          </w:pPr>
          <w:r>
            <w:t>Contents</w:t>
          </w:r>
          <w:bookmarkEnd w:id="13"/>
          <w:bookmarkEnd w:id="12"/>
          <w:bookmarkEnd w:id="11"/>
          <w:bookmarkEnd w:id="10"/>
          <w:bookmarkEnd w:id="9"/>
          <w:bookmarkEnd w:id="8"/>
        </w:p>
        <w:p w14:paraId="24190EFC" w14:textId="08219093" w:rsidR="003337A3" w:rsidRDefault="000536D0">
          <w:pPr>
            <w:pStyle w:val="TOC1"/>
            <w:rPr>
              <w:rFonts w:asciiTheme="minorHAnsi" w:eastAsiaTheme="minorEastAsia" w:hAnsiTheme="minorHAnsi" w:cstheme="minorBidi"/>
              <w:b w:val="0"/>
              <w:caps w:val="0"/>
              <w:noProof/>
              <w:color w:val="auto"/>
              <w:lang w:eastAsia="en-AU"/>
            </w:rPr>
          </w:pPr>
          <w:r>
            <w:fldChar w:fldCharType="begin"/>
          </w:r>
          <w:r>
            <w:instrText xml:space="preserve"> TOC \o "1-2" \h \z \u </w:instrText>
          </w:r>
          <w:r>
            <w:fldChar w:fldCharType="separate"/>
          </w:r>
          <w:hyperlink w:anchor="_Toc520736677" w:history="1">
            <w:r w:rsidR="003337A3" w:rsidRPr="00484E59">
              <w:rPr>
                <w:rStyle w:val="Hyperlink"/>
                <w:noProof/>
              </w:rPr>
              <w:t>Contents</w:t>
            </w:r>
            <w:r w:rsidR="003337A3">
              <w:rPr>
                <w:noProof/>
                <w:webHidden/>
              </w:rPr>
              <w:tab/>
            </w:r>
            <w:r w:rsidR="003337A3">
              <w:rPr>
                <w:noProof/>
                <w:webHidden/>
              </w:rPr>
              <w:fldChar w:fldCharType="begin"/>
            </w:r>
            <w:r w:rsidR="003337A3">
              <w:rPr>
                <w:noProof/>
                <w:webHidden/>
              </w:rPr>
              <w:instrText xml:space="preserve"> PAGEREF _Toc520736677 \h </w:instrText>
            </w:r>
            <w:r w:rsidR="003337A3">
              <w:rPr>
                <w:noProof/>
                <w:webHidden/>
              </w:rPr>
            </w:r>
            <w:r w:rsidR="003337A3">
              <w:rPr>
                <w:noProof/>
                <w:webHidden/>
              </w:rPr>
              <w:fldChar w:fldCharType="separate"/>
            </w:r>
            <w:r w:rsidR="00495697">
              <w:rPr>
                <w:noProof/>
                <w:webHidden/>
              </w:rPr>
              <w:t>3</w:t>
            </w:r>
            <w:r w:rsidR="003337A3">
              <w:rPr>
                <w:noProof/>
                <w:webHidden/>
              </w:rPr>
              <w:fldChar w:fldCharType="end"/>
            </w:r>
          </w:hyperlink>
        </w:p>
        <w:p w14:paraId="7060A72C" w14:textId="0AB401AA" w:rsidR="003337A3" w:rsidRDefault="00363A9B">
          <w:pPr>
            <w:pStyle w:val="TOC1"/>
            <w:rPr>
              <w:rFonts w:asciiTheme="minorHAnsi" w:eastAsiaTheme="minorEastAsia" w:hAnsiTheme="minorHAnsi" w:cstheme="minorBidi"/>
              <w:b w:val="0"/>
              <w:caps w:val="0"/>
              <w:noProof/>
              <w:color w:val="auto"/>
              <w:lang w:eastAsia="en-AU"/>
            </w:rPr>
          </w:pPr>
          <w:hyperlink w:anchor="_Toc520736678" w:history="1">
            <w:r w:rsidR="003337A3" w:rsidRPr="00484E59">
              <w:rPr>
                <w:rStyle w:val="Hyperlink"/>
                <w:noProof/>
              </w:rPr>
              <w:t>Chair’s foreword</w:t>
            </w:r>
            <w:r w:rsidR="003337A3">
              <w:rPr>
                <w:noProof/>
                <w:webHidden/>
              </w:rPr>
              <w:tab/>
            </w:r>
            <w:r w:rsidR="003337A3">
              <w:rPr>
                <w:noProof/>
                <w:webHidden/>
              </w:rPr>
              <w:fldChar w:fldCharType="begin"/>
            </w:r>
            <w:r w:rsidR="003337A3">
              <w:rPr>
                <w:noProof/>
                <w:webHidden/>
              </w:rPr>
              <w:instrText xml:space="preserve"> PAGEREF _Toc520736678 \h </w:instrText>
            </w:r>
            <w:r w:rsidR="003337A3">
              <w:rPr>
                <w:noProof/>
                <w:webHidden/>
              </w:rPr>
            </w:r>
            <w:r w:rsidR="003337A3">
              <w:rPr>
                <w:noProof/>
                <w:webHidden/>
              </w:rPr>
              <w:fldChar w:fldCharType="separate"/>
            </w:r>
            <w:r w:rsidR="00495697">
              <w:rPr>
                <w:noProof/>
                <w:webHidden/>
              </w:rPr>
              <w:t>5</w:t>
            </w:r>
            <w:r w:rsidR="003337A3">
              <w:rPr>
                <w:noProof/>
                <w:webHidden/>
              </w:rPr>
              <w:fldChar w:fldCharType="end"/>
            </w:r>
          </w:hyperlink>
        </w:p>
        <w:p w14:paraId="46FA23B7" w14:textId="36B09B51" w:rsidR="003337A3" w:rsidRDefault="00363A9B">
          <w:pPr>
            <w:pStyle w:val="TOC1"/>
            <w:tabs>
              <w:tab w:val="left" w:pos="1540"/>
            </w:tabs>
            <w:rPr>
              <w:rFonts w:asciiTheme="minorHAnsi" w:eastAsiaTheme="minorEastAsia" w:hAnsiTheme="minorHAnsi" w:cstheme="minorBidi"/>
              <w:b w:val="0"/>
              <w:caps w:val="0"/>
              <w:noProof/>
              <w:color w:val="auto"/>
              <w:lang w:eastAsia="en-AU"/>
            </w:rPr>
          </w:pPr>
          <w:hyperlink w:anchor="_Toc520736679" w:history="1">
            <w:r w:rsidR="003337A3" w:rsidRPr="00484E59">
              <w:rPr>
                <w:rStyle w:val="Hyperlink"/>
                <w:noProof/>
              </w:rPr>
              <w:t>Chapter 1.</w:t>
            </w:r>
            <w:r w:rsidR="003337A3">
              <w:rPr>
                <w:rFonts w:asciiTheme="minorHAnsi" w:eastAsiaTheme="minorEastAsia" w:hAnsiTheme="minorHAnsi" w:cstheme="minorBidi"/>
                <w:b w:val="0"/>
                <w:caps w:val="0"/>
                <w:noProof/>
                <w:color w:val="auto"/>
                <w:lang w:eastAsia="en-AU"/>
              </w:rPr>
              <w:tab/>
            </w:r>
            <w:r w:rsidR="003337A3" w:rsidRPr="00484E59">
              <w:rPr>
                <w:rStyle w:val="Hyperlink"/>
                <w:noProof/>
              </w:rPr>
              <w:t>Background and overview</w:t>
            </w:r>
            <w:r w:rsidR="003337A3">
              <w:rPr>
                <w:noProof/>
                <w:webHidden/>
              </w:rPr>
              <w:tab/>
            </w:r>
            <w:r w:rsidR="003337A3">
              <w:rPr>
                <w:noProof/>
                <w:webHidden/>
              </w:rPr>
              <w:fldChar w:fldCharType="begin"/>
            </w:r>
            <w:r w:rsidR="003337A3">
              <w:rPr>
                <w:noProof/>
                <w:webHidden/>
              </w:rPr>
              <w:instrText xml:space="preserve"> PAGEREF _Toc520736679 \h </w:instrText>
            </w:r>
            <w:r w:rsidR="003337A3">
              <w:rPr>
                <w:noProof/>
                <w:webHidden/>
              </w:rPr>
            </w:r>
            <w:r w:rsidR="003337A3">
              <w:rPr>
                <w:noProof/>
                <w:webHidden/>
              </w:rPr>
              <w:fldChar w:fldCharType="separate"/>
            </w:r>
            <w:r w:rsidR="00495697">
              <w:rPr>
                <w:noProof/>
                <w:webHidden/>
              </w:rPr>
              <w:t>6</w:t>
            </w:r>
            <w:r w:rsidR="003337A3">
              <w:rPr>
                <w:noProof/>
                <w:webHidden/>
              </w:rPr>
              <w:fldChar w:fldCharType="end"/>
            </w:r>
          </w:hyperlink>
        </w:p>
        <w:p w14:paraId="05391081" w14:textId="304353FC" w:rsidR="003337A3" w:rsidRDefault="00363A9B">
          <w:pPr>
            <w:pStyle w:val="TOC2"/>
            <w:rPr>
              <w:rFonts w:asciiTheme="minorHAnsi" w:eastAsiaTheme="minorEastAsia" w:hAnsiTheme="minorHAnsi" w:cstheme="minorBidi"/>
              <w:noProof/>
              <w:lang w:eastAsia="en-AU"/>
            </w:rPr>
          </w:pPr>
          <w:hyperlink w:anchor="_Toc520736680" w:history="1">
            <w:r w:rsidR="003337A3" w:rsidRPr="00484E59">
              <w:rPr>
                <w:rStyle w:val="Hyperlink"/>
                <w:noProof/>
              </w:rPr>
              <w:t>1.1</w:t>
            </w:r>
            <w:r w:rsidR="003337A3">
              <w:rPr>
                <w:rFonts w:asciiTheme="minorHAnsi" w:eastAsiaTheme="minorEastAsia" w:hAnsiTheme="minorHAnsi" w:cstheme="minorBidi"/>
                <w:noProof/>
                <w:lang w:eastAsia="en-AU"/>
              </w:rPr>
              <w:tab/>
            </w:r>
            <w:r w:rsidR="003337A3" w:rsidRPr="00484E59">
              <w:rPr>
                <w:rStyle w:val="Hyperlink"/>
                <w:noProof/>
              </w:rPr>
              <w:t>About the review</w:t>
            </w:r>
            <w:r w:rsidR="003337A3">
              <w:rPr>
                <w:noProof/>
                <w:webHidden/>
              </w:rPr>
              <w:tab/>
            </w:r>
            <w:r w:rsidR="003337A3">
              <w:rPr>
                <w:noProof/>
                <w:webHidden/>
              </w:rPr>
              <w:fldChar w:fldCharType="begin"/>
            </w:r>
            <w:r w:rsidR="003337A3">
              <w:rPr>
                <w:noProof/>
                <w:webHidden/>
              </w:rPr>
              <w:instrText xml:space="preserve"> PAGEREF _Toc520736680 \h </w:instrText>
            </w:r>
            <w:r w:rsidR="003337A3">
              <w:rPr>
                <w:noProof/>
                <w:webHidden/>
              </w:rPr>
            </w:r>
            <w:r w:rsidR="003337A3">
              <w:rPr>
                <w:noProof/>
                <w:webHidden/>
              </w:rPr>
              <w:fldChar w:fldCharType="separate"/>
            </w:r>
            <w:r w:rsidR="00495697">
              <w:rPr>
                <w:noProof/>
                <w:webHidden/>
              </w:rPr>
              <w:t>6</w:t>
            </w:r>
            <w:r w:rsidR="003337A3">
              <w:rPr>
                <w:noProof/>
                <w:webHidden/>
              </w:rPr>
              <w:fldChar w:fldCharType="end"/>
            </w:r>
          </w:hyperlink>
        </w:p>
        <w:p w14:paraId="793AE35A" w14:textId="21F9B10E" w:rsidR="003337A3" w:rsidRDefault="00363A9B">
          <w:pPr>
            <w:pStyle w:val="TOC2"/>
            <w:rPr>
              <w:rFonts w:asciiTheme="minorHAnsi" w:eastAsiaTheme="minorEastAsia" w:hAnsiTheme="minorHAnsi" w:cstheme="minorBidi"/>
              <w:noProof/>
              <w:lang w:eastAsia="en-AU"/>
            </w:rPr>
          </w:pPr>
          <w:hyperlink w:anchor="_Toc520736681" w:history="1">
            <w:r w:rsidR="003337A3" w:rsidRPr="00484E59">
              <w:rPr>
                <w:rStyle w:val="Hyperlink"/>
                <w:noProof/>
              </w:rPr>
              <w:t>1.2</w:t>
            </w:r>
            <w:r w:rsidR="003337A3">
              <w:rPr>
                <w:rFonts w:asciiTheme="minorHAnsi" w:eastAsiaTheme="minorEastAsia" w:hAnsiTheme="minorHAnsi" w:cstheme="minorBidi"/>
                <w:noProof/>
                <w:lang w:eastAsia="en-AU"/>
              </w:rPr>
              <w:tab/>
            </w:r>
            <w:r w:rsidR="003337A3" w:rsidRPr="00484E59">
              <w:rPr>
                <w:rStyle w:val="Hyperlink"/>
                <w:noProof/>
              </w:rPr>
              <w:t>Submissions on the review</w:t>
            </w:r>
            <w:r w:rsidR="003337A3">
              <w:rPr>
                <w:noProof/>
                <w:webHidden/>
              </w:rPr>
              <w:tab/>
            </w:r>
            <w:r w:rsidR="003337A3">
              <w:rPr>
                <w:noProof/>
                <w:webHidden/>
              </w:rPr>
              <w:fldChar w:fldCharType="begin"/>
            </w:r>
            <w:r w:rsidR="003337A3">
              <w:rPr>
                <w:noProof/>
                <w:webHidden/>
              </w:rPr>
              <w:instrText xml:space="preserve"> PAGEREF _Toc520736681 \h </w:instrText>
            </w:r>
            <w:r w:rsidR="003337A3">
              <w:rPr>
                <w:noProof/>
                <w:webHidden/>
              </w:rPr>
            </w:r>
            <w:r w:rsidR="003337A3">
              <w:rPr>
                <w:noProof/>
                <w:webHidden/>
              </w:rPr>
              <w:fldChar w:fldCharType="separate"/>
            </w:r>
            <w:r w:rsidR="00495697">
              <w:rPr>
                <w:noProof/>
                <w:webHidden/>
              </w:rPr>
              <w:t>6</w:t>
            </w:r>
            <w:r w:rsidR="003337A3">
              <w:rPr>
                <w:noProof/>
                <w:webHidden/>
              </w:rPr>
              <w:fldChar w:fldCharType="end"/>
            </w:r>
          </w:hyperlink>
        </w:p>
        <w:p w14:paraId="6330E044" w14:textId="030A3D02" w:rsidR="003337A3" w:rsidRDefault="00363A9B">
          <w:pPr>
            <w:pStyle w:val="TOC2"/>
            <w:rPr>
              <w:rFonts w:asciiTheme="minorHAnsi" w:eastAsiaTheme="minorEastAsia" w:hAnsiTheme="minorHAnsi" w:cstheme="minorBidi"/>
              <w:noProof/>
              <w:lang w:eastAsia="en-AU"/>
            </w:rPr>
          </w:pPr>
          <w:hyperlink w:anchor="_Toc520736682" w:history="1">
            <w:r w:rsidR="003337A3" w:rsidRPr="00484E59">
              <w:rPr>
                <w:rStyle w:val="Hyperlink"/>
                <w:noProof/>
              </w:rPr>
              <w:t>1.3</w:t>
            </w:r>
            <w:r w:rsidR="003337A3">
              <w:rPr>
                <w:rFonts w:asciiTheme="minorHAnsi" w:eastAsiaTheme="minorEastAsia" w:hAnsiTheme="minorHAnsi" w:cstheme="minorBidi"/>
                <w:noProof/>
                <w:lang w:eastAsia="en-AU"/>
              </w:rPr>
              <w:tab/>
            </w:r>
            <w:r w:rsidR="003337A3" w:rsidRPr="00484E59">
              <w:rPr>
                <w:rStyle w:val="Hyperlink"/>
                <w:noProof/>
              </w:rPr>
              <w:t>The reporting scheme</w:t>
            </w:r>
            <w:r w:rsidR="003337A3">
              <w:rPr>
                <w:noProof/>
                <w:webHidden/>
              </w:rPr>
              <w:tab/>
            </w:r>
            <w:r w:rsidR="003337A3">
              <w:rPr>
                <w:noProof/>
                <w:webHidden/>
              </w:rPr>
              <w:fldChar w:fldCharType="begin"/>
            </w:r>
            <w:r w:rsidR="003337A3">
              <w:rPr>
                <w:noProof/>
                <w:webHidden/>
              </w:rPr>
              <w:instrText xml:space="preserve"> PAGEREF _Toc520736682 \h </w:instrText>
            </w:r>
            <w:r w:rsidR="003337A3">
              <w:rPr>
                <w:noProof/>
                <w:webHidden/>
              </w:rPr>
            </w:r>
            <w:r w:rsidR="003337A3">
              <w:rPr>
                <w:noProof/>
                <w:webHidden/>
              </w:rPr>
              <w:fldChar w:fldCharType="separate"/>
            </w:r>
            <w:r w:rsidR="00495697">
              <w:rPr>
                <w:noProof/>
                <w:webHidden/>
              </w:rPr>
              <w:t>7</w:t>
            </w:r>
            <w:r w:rsidR="003337A3">
              <w:rPr>
                <w:noProof/>
                <w:webHidden/>
              </w:rPr>
              <w:fldChar w:fldCharType="end"/>
            </w:r>
          </w:hyperlink>
        </w:p>
        <w:p w14:paraId="6518722F" w14:textId="3AD31DD0" w:rsidR="003337A3" w:rsidRDefault="00363A9B">
          <w:pPr>
            <w:pStyle w:val="TOC2"/>
            <w:rPr>
              <w:rFonts w:asciiTheme="minorHAnsi" w:eastAsiaTheme="minorEastAsia" w:hAnsiTheme="minorHAnsi" w:cstheme="minorBidi"/>
              <w:noProof/>
              <w:lang w:eastAsia="en-AU"/>
            </w:rPr>
          </w:pPr>
          <w:hyperlink w:anchor="_Toc520736683" w:history="1">
            <w:r w:rsidR="003337A3" w:rsidRPr="00484E59">
              <w:rPr>
                <w:rStyle w:val="Hyperlink"/>
                <w:noProof/>
              </w:rPr>
              <w:t>1.4</w:t>
            </w:r>
            <w:r w:rsidR="003337A3">
              <w:rPr>
                <w:rFonts w:asciiTheme="minorHAnsi" w:eastAsiaTheme="minorEastAsia" w:hAnsiTheme="minorHAnsi" w:cstheme="minorBidi"/>
                <w:noProof/>
                <w:lang w:eastAsia="en-AU"/>
              </w:rPr>
              <w:tab/>
            </w:r>
            <w:r w:rsidR="003337A3" w:rsidRPr="00484E59">
              <w:rPr>
                <w:rStyle w:val="Hyperlink"/>
                <w:noProof/>
              </w:rPr>
              <w:t>The safeguard mechanism</w:t>
            </w:r>
            <w:r w:rsidR="003337A3">
              <w:rPr>
                <w:noProof/>
                <w:webHidden/>
              </w:rPr>
              <w:tab/>
            </w:r>
            <w:r w:rsidR="003337A3">
              <w:rPr>
                <w:noProof/>
                <w:webHidden/>
              </w:rPr>
              <w:fldChar w:fldCharType="begin"/>
            </w:r>
            <w:r w:rsidR="003337A3">
              <w:rPr>
                <w:noProof/>
                <w:webHidden/>
              </w:rPr>
              <w:instrText xml:space="preserve"> PAGEREF _Toc520736683 \h </w:instrText>
            </w:r>
            <w:r w:rsidR="003337A3">
              <w:rPr>
                <w:noProof/>
                <w:webHidden/>
              </w:rPr>
            </w:r>
            <w:r w:rsidR="003337A3">
              <w:rPr>
                <w:noProof/>
                <w:webHidden/>
              </w:rPr>
              <w:fldChar w:fldCharType="separate"/>
            </w:r>
            <w:r w:rsidR="00495697">
              <w:rPr>
                <w:noProof/>
                <w:webHidden/>
              </w:rPr>
              <w:t>7</w:t>
            </w:r>
            <w:r w:rsidR="003337A3">
              <w:rPr>
                <w:noProof/>
                <w:webHidden/>
              </w:rPr>
              <w:fldChar w:fldCharType="end"/>
            </w:r>
          </w:hyperlink>
        </w:p>
        <w:p w14:paraId="75E15AF9" w14:textId="502B9539" w:rsidR="003337A3" w:rsidRDefault="00363A9B">
          <w:pPr>
            <w:pStyle w:val="TOC2"/>
            <w:rPr>
              <w:rFonts w:asciiTheme="minorHAnsi" w:eastAsiaTheme="minorEastAsia" w:hAnsiTheme="minorHAnsi" w:cstheme="minorBidi"/>
              <w:noProof/>
              <w:lang w:eastAsia="en-AU"/>
            </w:rPr>
          </w:pPr>
          <w:hyperlink w:anchor="_Toc520736684" w:history="1">
            <w:r w:rsidR="003337A3" w:rsidRPr="00484E59">
              <w:rPr>
                <w:rStyle w:val="Hyperlink"/>
                <w:noProof/>
              </w:rPr>
              <w:t>1.5</w:t>
            </w:r>
            <w:r w:rsidR="003337A3">
              <w:rPr>
                <w:rFonts w:asciiTheme="minorHAnsi" w:eastAsiaTheme="minorEastAsia" w:hAnsiTheme="minorHAnsi" w:cstheme="minorBidi"/>
                <w:noProof/>
                <w:lang w:eastAsia="en-AU"/>
              </w:rPr>
              <w:tab/>
            </w:r>
            <w:r w:rsidR="003337A3" w:rsidRPr="00484E59">
              <w:rPr>
                <w:rStyle w:val="Hyperlink"/>
                <w:noProof/>
              </w:rPr>
              <w:t>Greenhouse and energy auditing</w:t>
            </w:r>
            <w:r w:rsidR="003337A3">
              <w:rPr>
                <w:noProof/>
                <w:webHidden/>
              </w:rPr>
              <w:tab/>
            </w:r>
            <w:r w:rsidR="003337A3">
              <w:rPr>
                <w:noProof/>
                <w:webHidden/>
              </w:rPr>
              <w:fldChar w:fldCharType="begin"/>
            </w:r>
            <w:r w:rsidR="003337A3">
              <w:rPr>
                <w:noProof/>
                <w:webHidden/>
              </w:rPr>
              <w:instrText xml:space="preserve"> PAGEREF _Toc520736684 \h </w:instrText>
            </w:r>
            <w:r w:rsidR="003337A3">
              <w:rPr>
                <w:noProof/>
                <w:webHidden/>
              </w:rPr>
            </w:r>
            <w:r w:rsidR="003337A3">
              <w:rPr>
                <w:noProof/>
                <w:webHidden/>
              </w:rPr>
              <w:fldChar w:fldCharType="separate"/>
            </w:r>
            <w:r w:rsidR="00495697">
              <w:rPr>
                <w:noProof/>
                <w:webHidden/>
              </w:rPr>
              <w:t>8</w:t>
            </w:r>
            <w:r w:rsidR="003337A3">
              <w:rPr>
                <w:noProof/>
                <w:webHidden/>
              </w:rPr>
              <w:fldChar w:fldCharType="end"/>
            </w:r>
          </w:hyperlink>
        </w:p>
        <w:p w14:paraId="616C03DB" w14:textId="33088253" w:rsidR="003337A3" w:rsidRDefault="00363A9B">
          <w:pPr>
            <w:pStyle w:val="TOC2"/>
            <w:rPr>
              <w:rFonts w:asciiTheme="minorHAnsi" w:eastAsiaTheme="minorEastAsia" w:hAnsiTheme="minorHAnsi" w:cstheme="minorBidi"/>
              <w:noProof/>
              <w:lang w:eastAsia="en-AU"/>
            </w:rPr>
          </w:pPr>
          <w:hyperlink w:anchor="_Toc520736685" w:history="1">
            <w:r w:rsidR="003337A3" w:rsidRPr="00484E59">
              <w:rPr>
                <w:rStyle w:val="Hyperlink"/>
                <w:noProof/>
              </w:rPr>
              <w:t>1.6</w:t>
            </w:r>
            <w:r w:rsidR="003337A3">
              <w:rPr>
                <w:rFonts w:asciiTheme="minorHAnsi" w:eastAsiaTheme="minorEastAsia" w:hAnsiTheme="minorHAnsi" w:cstheme="minorBidi"/>
                <w:noProof/>
                <w:lang w:eastAsia="en-AU"/>
              </w:rPr>
              <w:tab/>
            </w:r>
            <w:r w:rsidR="003337A3" w:rsidRPr="00484E59">
              <w:rPr>
                <w:rStyle w:val="Hyperlink"/>
                <w:noProof/>
              </w:rPr>
              <w:t>Policy and administration</w:t>
            </w:r>
            <w:r w:rsidR="003337A3">
              <w:rPr>
                <w:noProof/>
                <w:webHidden/>
              </w:rPr>
              <w:tab/>
            </w:r>
            <w:r w:rsidR="003337A3">
              <w:rPr>
                <w:noProof/>
                <w:webHidden/>
              </w:rPr>
              <w:fldChar w:fldCharType="begin"/>
            </w:r>
            <w:r w:rsidR="003337A3">
              <w:rPr>
                <w:noProof/>
                <w:webHidden/>
              </w:rPr>
              <w:instrText xml:space="preserve"> PAGEREF _Toc520736685 \h </w:instrText>
            </w:r>
            <w:r w:rsidR="003337A3">
              <w:rPr>
                <w:noProof/>
                <w:webHidden/>
              </w:rPr>
            </w:r>
            <w:r w:rsidR="003337A3">
              <w:rPr>
                <w:noProof/>
                <w:webHidden/>
              </w:rPr>
              <w:fldChar w:fldCharType="separate"/>
            </w:r>
            <w:r w:rsidR="00495697">
              <w:rPr>
                <w:noProof/>
                <w:webHidden/>
              </w:rPr>
              <w:t>8</w:t>
            </w:r>
            <w:r w:rsidR="003337A3">
              <w:rPr>
                <w:noProof/>
                <w:webHidden/>
              </w:rPr>
              <w:fldChar w:fldCharType="end"/>
            </w:r>
          </w:hyperlink>
        </w:p>
        <w:p w14:paraId="07DCDD13" w14:textId="687C8317" w:rsidR="003337A3" w:rsidRDefault="00363A9B">
          <w:pPr>
            <w:pStyle w:val="TOC1"/>
            <w:tabs>
              <w:tab w:val="left" w:pos="1540"/>
            </w:tabs>
            <w:rPr>
              <w:rFonts w:asciiTheme="minorHAnsi" w:eastAsiaTheme="minorEastAsia" w:hAnsiTheme="minorHAnsi" w:cstheme="minorBidi"/>
              <w:b w:val="0"/>
              <w:caps w:val="0"/>
              <w:noProof/>
              <w:color w:val="auto"/>
              <w:lang w:eastAsia="en-AU"/>
            </w:rPr>
          </w:pPr>
          <w:hyperlink w:anchor="_Toc520736686" w:history="1">
            <w:r w:rsidR="003337A3" w:rsidRPr="00484E59">
              <w:rPr>
                <w:rStyle w:val="Hyperlink"/>
                <w:noProof/>
              </w:rPr>
              <w:t>Chapter 2.</w:t>
            </w:r>
            <w:r w:rsidR="003337A3">
              <w:rPr>
                <w:rFonts w:asciiTheme="minorHAnsi" w:eastAsiaTheme="minorEastAsia" w:hAnsiTheme="minorHAnsi" w:cstheme="minorBidi"/>
                <w:b w:val="0"/>
                <w:caps w:val="0"/>
                <w:noProof/>
                <w:color w:val="auto"/>
                <w:lang w:eastAsia="en-AU"/>
              </w:rPr>
              <w:tab/>
            </w:r>
            <w:r w:rsidR="003337A3" w:rsidRPr="00484E59">
              <w:rPr>
                <w:rStyle w:val="Hyperlink"/>
                <w:noProof/>
              </w:rPr>
              <w:t>The National Greenhouse and Energy Reporting scheme</w:t>
            </w:r>
            <w:r w:rsidR="003337A3">
              <w:rPr>
                <w:noProof/>
                <w:webHidden/>
              </w:rPr>
              <w:tab/>
            </w:r>
            <w:r w:rsidR="003337A3">
              <w:rPr>
                <w:noProof/>
                <w:webHidden/>
              </w:rPr>
              <w:fldChar w:fldCharType="begin"/>
            </w:r>
            <w:r w:rsidR="003337A3">
              <w:rPr>
                <w:noProof/>
                <w:webHidden/>
              </w:rPr>
              <w:instrText xml:space="preserve"> PAGEREF _Toc520736686 \h </w:instrText>
            </w:r>
            <w:r w:rsidR="003337A3">
              <w:rPr>
                <w:noProof/>
                <w:webHidden/>
              </w:rPr>
            </w:r>
            <w:r w:rsidR="003337A3">
              <w:rPr>
                <w:noProof/>
                <w:webHidden/>
              </w:rPr>
              <w:fldChar w:fldCharType="separate"/>
            </w:r>
            <w:r w:rsidR="00495697">
              <w:rPr>
                <w:noProof/>
                <w:webHidden/>
              </w:rPr>
              <w:t>9</w:t>
            </w:r>
            <w:r w:rsidR="003337A3">
              <w:rPr>
                <w:noProof/>
                <w:webHidden/>
              </w:rPr>
              <w:fldChar w:fldCharType="end"/>
            </w:r>
          </w:hyperlink>
        </w:p>
        <w:p w14:paraId="3F19E6B0" w14:textId="0BBDFA80" w:rsidR="003337A3" w:rsidRDefault="00363A9B">
          <w:pPr>
            <w:pStyle w:val="TOC2"/>
            <w:rPr>
              <w:rFonts w:asciiTheme="minorHAnsi" w:eastAsiaTheme="minorEastAsia" w:hAnsiTheme="minorHAnsi" w:cstheme="minorBidi"/>
              <w:noProof/>
              <w:lang w:eastAsia="en-AU"/>
            </w:rPr>
          </w:pPr>
          <w:hyperlink w:anchor="_Toc520736687" w:history="1">
            <w:r w:rsidR="003337A3" w:rsidRPr="00484E59">
              <w:rPr>
                <w:rStyle w:val="Hyperlink"/>
                <w:noProof/>
              </w:rPr>
              <w:t>2.1</w:t>
            </w:r>
            <w:r w:rsidR="003337A3">
              <w:rPr>
                <w:rFonts w:asciiTheme="minorHAnsi" w:eastAsiaTheme="minorEastAsia" w:hAnsiTheme="minorHAnsi" w:cstheme="minorBidi"/>
                <w:noProof/>
                <w:lang w:eastAsia="en-AU"/>
              </w:rPr>
              <w:tab/>
            </w:r>
            <w:r w:rsidR="003337A3" w:rsidRPr="00484E59">
              <w:rPr>
                <w:rStyle w:val="Hyperlink"/>
                <w:noProof/>
              </w:rPr>
              <w:t>Who is required to report under the legislation?</w:t>
            </w:r>
            <w:r w:rsidR="003337A3">
              <w:rPr>
                <w:noProof/>
                <w:webHidden/>
              </w:rPr>
              <w:tab/>
            </w:r>
            <w:r w:rsidR="003337A3">
              <w:rPr>
                <w:noProof/>
                <w:webHidden/>
              </w:rPr>
              <w:fldChar w:fldCharType="begin"/>
            </w:r>
            <w:r w:rsidR="003337A3">
              <w:rPr>
                <w:noProof/>
                <w:webHidden/>
              </w:rPr>
              <w:instrText xml:space="preserve"> PAGEREF _Toc520736687 \h </w:instrText>
            </w:r>
            <w:r w:rsidR="003337A3">
              <w:rPr>
                <w:noProof/>
                <w:webHidden/>
              </w:rPr>
            </w:r>
            <w:r w:rsidR="003337A3">
              <w:rPr>
                <w:noProof/>
                <w:webHidden/>
              </w:rPr>
              <w:fldChar w:fldCharType="separate"/>
            </w:r>
            <w:r w:rsidR="00495697">
              <w:rPr>
                <w:noProof/>
                <w:webHidden/>
              </w:rPr>
              <w:t>9</w:t>
            </w:r>
            <w:r w:rsidR="003337A3">
              <w:rPr>
                <w:noProof/>
                <w:webHidden/>
              </w:rPr>
              <w:fldChar w:fldCharType="end"/>
            </w:r>
          </w:hyperlink>
        </w:p>
        <w:p w14:paraId="5FB3BE09" w14:textId="123FBE9E" w:rsidR="003337A3" w:rsidRDefault="00363A9B">
          <w:pPr>
            <w:pStyle w:val="TOC2"/>
            <w:rPr>
              <w:rFonts w:asciiTheme="minorHAnsi" w:eastAsiaTheme="minorEastAsia" w:hAnsiTheme="minorHAnsi" w:cstheme="minorBidi"/>
              <w:noProof/>
              <w:lang w:eastAsia="en-AU"/>
            </w:rPr>
          </w:pPr>
          <w:hyperlink w:anchor="_Toc520736688" w:history="1">
            <w:r w:rsidR="003337A3" w:rsidRPr="00484E59">
              <w:rPr>
                <w:rStyle w:val="Hyperlink"/>
                <w:noProof/>
              </w:rPr>
              <w:t>2.2</w:t>
            </w:r>
            <w:r w:rsidR="003337A3">
              <w:rPr>
                <w:rFonts w:asciiTheme="minorHAnsi" w:eastAsiaTheme="minorEastAsia" w:hAnsiTheme="minorHAnsi" w:cstheme="minorBidi"/>
                <w:noProof/>
                <w:lang w:eastAsia="en-AU"/>
              </w:rPr>
              <w:tab/>
            </w:r>
            <w:r w:rsidR="003337A3" w:rsidRPr="00484E59">
              <w:rPr>
                <w:rStyle w:val="Hyperlink"/>
                <w:noProof/>
              </w:rPr>
              <w:t>Greenhouse gas emissions</w:t>
            </w:r>
            <w:r w:rsidR="003337A3">
              <w:rPr>
                <w:noProof/>
                <w:webHidden/>
              </w:rPr>
              <w:tab/>
            </w:r>
            <w:r w:rsidR="003337A3">
              <w:rPr>
                <w:noProof/>
                <w:webHidden/>
              </w:rPr>
              <w:fldChar w:fldCharType="begin"/>
            </w:r>
            <w:r w:rsidR="003337A3">
              <w:rPr>
                <w:noProof/>
                <w:webHidden/>
              </w:rPr>
              <w:instrText xml:space="preserve"> PAGEREF _Toc520736688 \h </w:instrText>
            </w:r>
            <w:r w:rsidR="003337A3">
              <w:rPr>
                <w:noProof/>
                <w:webHidden/>
              </w:rPr>
            </w:r>
            <w:r w:rsidR="003337A3">
              <w:rPr>
                <w:noProof/>
                <w:webHidden/>
              </w:rPr>
              <w:fldChar w:fldCharType="separate"/>
            </w:r>
            <w:r w:rsidR="00495697">
              <w:rPr>
                <w:noProof/>
                <w:webHidden/>
              </w:rPr>
              <w:t>10</w:t>
            </w:r>
            <w:r w:rsidR="003337A3">
              <w:rPr>
                <w:noProof/>
                <w:webHidden/>
              </w:rPr>
              <w:fldChar w:fldCharType="end"/>
            </w:r>
          </w:hyperlink>
        </w:p>
        <w:p w14:paraId="0D8E3FC8" w14:textId="32807D21" w:rsidR="003337A3" w:rsidRDefault="00363A9B">
          <w:pPr>
            <w:pStyle w:val="TOC2"/>
            <w:rPr>
              <w:rFonts w:asciiTheme="minorHAnsi" w:eastAsiaTheme="minorEastAsia" w:hAnsiTheme="minorHAnsi" w:cstheme="minorBidi"/>
              <w:noProof/>
              <w:lang w:eastAsia="en-AU"/>
            </w:rPr>
          </w:pPr>
          <w:hyperlink w:anchor="_Toc520736689" w:history="1">
            <w:r w:rsidR="003337A3" w:rsidRPr="00484E59">
              <w:rPr>
                <w:rStyle w:val="Hyperlink"/>
                <w:noProof/>
              </w:rPr>
              <w:t>2.3</w:t>
            </w:r>
            <w:r w:rsidR="003337A3">
              <w:rPr>
                <w:rFonts w:asciiTheme="minorHAnsi" w:eastAsiaTheme="minorEastAsia" w:hAnsiTheme="minorHAnsi" w:cstheme="minorBidi"/>
                <w:noProof/>
                <w:lang w:eastAsia="en-AU"/>
              </w:rPr>
              <w:tab/>
            </w:r>
            <w:r w:rsidR="003337A3" w:rsidRPr="00484E59">
              <w:rPr>
                <w:rStyle w:val="Hyperlink"/>
                <w:noProof/>
              </w:rPr>
              <w:t>Energy production and use</w:t>
            </w:r>
            <w:r w:rsidR="003337A3">
              <w:rPr>
                <w:noProof/>
                <w:webHidden/>
              </w:rPr>
              <w:tab/>
            </w:r>
            <w:r w:rsidR="003337A3">
              <w:rPr>
                <w:noProof/>
                <w:webHidden/>
              </w:rPr>
              <w:fldChar w:fldCharType="begin"/>
            </w:r>
            <w:r w:rsidR="003337A3">
              <w:rPr>
                <w:noProof/>
                <w:webHidden/>
              </w:rPr>
              <w:instrText xml:space="preserve"> PAGEREF _Toc520736689 \h </w:instrText>
            </w:r>
            <w:r w:rsidR="003337A3">
              <w:rPr>
                <w:noProof/>
                <w:webHidden/>
              </w:rPr>
            </w:r>
            <w:r w:rsidR="003337A3">
              <w:rPr>
                <w:noProof/>
                <w:webHidden/>
              </w:rPr>
              <w:fldChar w:fldCharType="separate"/>
            </w:r>
            <w:r w:rsidR="00495697">
              <w:rPr>
                <w:noProof/>
                <w:webHidden/>
              </w:rPr>
              <w:t>11</w:t>
            </w:r>
            <w:r w:rsidR="003337A3">
              <w:rPr>
                <w:noProof/>
                <w:webHidden/>
              </w:rPr>
              <w:fldChar w:fldCharType="end"/>
            </w:r>
          </w:hyperlink>
        </w:p>
        <w:p w14:paraId="25318D56" w14:textId="064D2AA4" w:rsidR="003337A3" w:rsidRDefault="00363A9B">
          <w:pPr>
            <w:pStyle w:val="TOC2"/>
            <w:rPr>
              <w:rFonts w:asciiTheme="minorHAnsi" w:eastAsiaTheme="minorEastAsia" w:hAnsiTheme="minorHAnsi" w:cstheme="minorBidi"/>
              <w:noProof/>
              <w:lang w:eastAsia="en-AU"/>
            </w:rPr>
          </w:pPr>
          <w:hyperlink w:anchor="_Toc520736690" w:history="1">
            <w:r w:rsidR="003337A3" w:rsidRPr="00484E59">
              <w:rPr>
                <w:rStyle w:val="Hyperlink"/>
                <w:noProof/>
              </w:rPr>
              <w:t>2.4</w:t>
            </w:r>
            <w:r w:rsidR="003337A3">
              <w:rPr>
                <w:rFonts w:asciiTheme="minorHAnsi" w:eastAsiaTheme="minorEastAsia" w:hAnsiTheme="minorHAnsi" w:cstheme="minorBidi"/>
                <w:noProof/>
                <w:lang w:eastAsia="en-AU"/>
              </w:rPr>
              <w:tab/>
            </w:r>
            <w:r w:rsidR="003337A3" w:rsidRPr="00484E59">
              <w:rPr>
                <w:rStyle w:val="Hyperlink"/>
                <w:noProof/>
              </w:rPr>
              <w:t>Industry coverage</w:t>
            </w:r>
            <w:r w:rsidR="003337A3">
              <w:rPr>
                <w:noProof/>
                <w:webHidden/>
              </w:rPr>
              <w:tab/>
            </w:r>
            <w:r w:rsidR="003337A3">
              <w:rPr>
                <w:noProof/>
                <w:webHidden/>
              </w:rPr>
              <w:fldChar w:fldCharType="begin"/>
            </w:r>
            <w:r w:rsidR="003337A3">
              <w:rPr>
                <w:noProof/>
                <w:webHidden/>
              </w:rPr>
              <w:instrText xml:space="preserve"> PAGEREF _Toc520736690 \h </w:instrText>
            </w:r>
            <w:r w:rsidR="003337A3">
              <w:rPr>
                <w:noProof/>
                <w:webHidden/>
              </w:rPr>
            </w:r>
            <w:r w:rsidR="003337A3">
              <w:rPr>
                <w:noProof/>
                <w:webHidden/>
              </w:rPr>
              <w:fldChar w:fldCharType="separate"/>
            </w:r>
            <w:r w:rsidR="00495697">
              <w:rPr>
                <w:noProof/>
                <w:webHidden/>
              </w:rPr>
              <w:t>11</w:t>
            </w:r>
            <w:r w:rsidR="003337A3">
              <w:rPr>
                <w:noProof/>
                <w:webHidden/>
              </w:rPr>
              <w:fldChar w:fldCharType="end"/>
            </w:r>
          </w:hyperlink>
        </w:p>
        <w:p w14:paraId="7907E020" w14:textId="59698C46" w:rsidR="003337A3" w:rsidRDefault="00363A9B">
          <w:pPr>
            <w:pStyle w:val="TOC2"/>
            <w:rPr>
              <w:rFonts w:asciiTheme="minorHAnsi" w:eastAsiaTheme="minorEastAsia" w:hAnsiTheme="minorHAnsi" w:cstheme="minorBidi"/>
              <w:noProof/>
              <w:lang w:eastAsia="en-AU"/>
            </w:rPr>
          </w:pPr>
          <w:hyperlink w:anchor="_Toc520736691" w:history="1">
            <w:r w:rsidR="003337A3" w:rsidRPr="00484E59">
              <w:rPr>
                <w:rStyle w:val="Hyperlink"/>
                <w:noProof/>
              </w:rPr>
              <w:t>2.5</w:t>
            </w:r>
            <w:r w:rsidR="003337A3">
              <w:rPr>
                <w:rFonts w:asciiTheme="minorHAnsi" w:eastAsiaTheme="minorEastAsia" w:hAnsiTheme="minorHAnsi" w:cstheme="minorBidi"/>
                <w:noProof/>
                <w:lang w:eastAsia="en-AU"/>
              </w:rPr>
              <w:tab/>
            </w:r>
            <w:r w:rsidR="003337A3" w:rsidRPr="00484E59">
              <w:rPr>
                <w:rStyle w:val="Hyperlink"/>
                <w:noProof/>
              </w:rPr>
              <w:t>Measuring emissions and energy</w:t>
            </w:r>
            <w:r w:rsidR="003337A3">
              <w:rPr>
                <w:noProof/>
                <w:webHidden/>
              </w:rPr>
              <w:tab/>
            </w:r>
            <w:r w:rsidR="003337A3">
              <w:rPr>
                <w:noProof/>
                <w:webHidden/>
              </w:rPr>
              <w:fldChar w:fldCharType="begin"/>
            </w:r>
            <w:r w:rsidR="003337A3">
              <w:rPr>
                <w:noProof/>
                <w:webHidden/>
              </w:rPr>
              <w:instrText xml:space="preserve"> PAGEREF _Toc520736691 \h </w:instrText>
            </w:r>
            <w:r w:rsidR="003337A3">
              <w:rPr>
                <w:noProof/>
                <w:webHidden/>
              </w:rPr>
            </w:r>
            <w:r w:rsidR="003337A3">
              <w:rPr>
                <w:noProof/>
                <w:webHidden/>
              </w:rPr>
              <w:fldChar w:fldCharType="separate"/>
            </w:r>
            <w:r w:rsidR="00495697">
              <w:rPr>
                <w:noProof/>
                <w:webHidden/>
              </w:rPr>
              <w:t>12</w:t>
            </w:r>
            <w:r w:rsidR="003337A3">
              <w:rPr>
                <w:noProof/>
                <w:webHidden/>
              </w:rPr>
              <w:fldChar w:fldCharType="end"/>
            </w:r>
          </w:hyperlink>
        </w:p>
        <w:p w14:paraId="3E2E1B32" w14:textId="41374A32" w:rsidR="003337A3" w:rsidRDefault="00363A9B">
          <w:pPr>
            <w:pStyle w:val="TOC2"/>
            <w:rPr>
              <w:rFonts w:asciiTheme="minorHAnsi" w:eastAsiaTheme="minorEastAsia" w:hAnsiTheme="minorHAnsi" w:cstheme="minorBidi"/>
              <w:noProof/>
              <w:lang w:eastAsia="en-AU"/>
            </w:rPr>
          </w:pPr>
          <w:hyperlink w:anchor="_Toc520736692" w:history="1">
            <w:r w:rsidR="003337A3" w:rsidRPr="00484E59">
              <w:rPr>
                <w:rStyle w:val="Hyperlink"/>
                <w:noProof/>
              </w:rPr>
              <w:t>2.6</w:t>
            </w:r>
            <w:r w:rsidR="003337A3">
              <w:rPr>
                <w:rFonts w:asciiTheme="minorHAnsi" w:eastAsiaTheme="minorEastAsia" w:hAnsiTheme="minorHAnsi" w:cstheme="minorBidi"/>
                <w:noProof/>
                <w:lang w:eastAsia="en-AU"/>
              </w:rPr>
              <w:tab/>
            </w:r>
            <w:r w:rsidR="003337A3" w:rsidRPr="00484E59">
              <w:rPr>
                <w:rStyle w:val="Hyperlink"/>
                <w:noProof/>
              </w:rPr>
              <w:t>How and when companies report</w:t>
            </w:r>
            <w:r w:rsidR="003337A3">
              <w:rPr>
                <w:noProof/>
                <w:webHidden/>
              </w:rPr>
              <w:tab/>
            </w:r>
            <w:r w:rsidR="003337A3">
              <w:rPr>
                <w:noProof/>
                <w:webHidden/>
              </w:rPr>
              <w:fldChar w:fldCharType="begin"/>
            </w:r>
            <w:r w:rsidR="003337A3">
              <w:rPr>
                <w:noProof/>
                <w:webHidden/>
              </w:rPr>
              <w:instrText xml:space="preserve"> PAGEREF _Toc520736692 \h </w:instrText>
            </w:r>
            <w:r w:rsidR="003337A3">
              <w:rPr>
                <w:noProof/>
                <w:webHidden/>
              </w:rPr>
            </w:r>
            <w:r w:rsidR="003337A3">
              <w:rPr>
                <w:noProof/>
                <w:webHidden/>
              </w:rPr>
              <w:fldChar w:fldCharType="separate"/>
            </w:r>
            <w:r w:rsidR="00495697">
              <w:rPr>
                <w:noProof/>
                <w:webHidden/>
              </w:rPr>
              <w:t>13</w:t>
            </w:r>
            <w:r w:rsidR="003337A3">
              <w:rPr>
                <w:noProof/>
                <w:webHidden/>
              </w:rPr>
              <w:fldChar w:fldCharType="end"/>
            </w:r>
          </w:hyperlink>
        </w:p>
        <w:p w14:paraId="09D6127A" w14:textId="0126482B" w:rsidR="003337A3" w:rsidRDefault="00363A9B">
          <w:pPr>
            <w:pStyle w:val="TOC2"/>
            <w:rPr>
              <w:rFonts w:asciiTheme="minorHAnsi" w:eastAsiaTheme="minorEastAsia" w:hAnsiTheme="minorHAnsi" w:cstheme="minorBidi"/>
              <w:noProof/>
              <w:lang w:eastAsia="en-AU"/>
            </w:rPr>
          </w:pPr>
          <w:hyperlink w:anchor="_Toc520736693" w:history="1">
            <w:r w:rsidR="003337A3" w:rsidRPr="00484E59">
              <w:rPr>
                <w:rStyle w:val="Hyperlink"/>
                <w:noProof/>
              </w:rPr>
              <w:t>2.7</w:t>
            </w:r>
            <w:r w:rsidR="003337A3">
              <w:rPr>
                <w:rFonts w:asciiTheme="minorHAnsi" w:eastAsiaTheme="minorEastAsia" w:hAnsiTheme="minorHAnsi" w:cstheme="minorBidi"/>
                <w:noProof/>
                <w:lang w:eastAsia="en-AU"/>
              </w:rPr>
              <w:tab/>
            </w:r>
            <w:r w:rsidR="003337A3" w:rsidRPr="00484E59">
              <w:rPr>
                <w:rStyle w:val="Hyperlink"/>
                <w:noProof/>
              </w:rPr>
              <w:t>Streamlining emissions and energy reporting</w:t>
            </w:r>
            <w:r w:rsidR="003337A3">
              <w:rPr>
                <w:noProof/>
                <w:webHidden/>
              </w:rPr>
              <w:tab/>
            </w:r>
            <w:r w:rsidR="003337A3">
              <w:rPr>
                <w:noProof/>
                <w:webHidden/>
              </w:rPr>
              <w:fldChar w:fldCharType="begin"/>
            </w:r>
            <w:r w:rsidR="003337A3">
              <w:rPr>
                <w:noProof/>
                <w:webHidden/>
              </w:rPr>
              <w:instrText xml:space="preserve"> PAGEREF _Toc520736693 \h </w:instrText>
            </w:r>
            <w:r w:rsidR="003337A3">
              <w:rPr>
                <w:noProof/>
                <w:webHidden/>
              </w:rPr>
            </w:r>
            <w:r w:rsidR="003337A3">
              <w:rPr>
                <w:noProof/>
                <w:webHidden/>
              </w:rPr>
              <w:fldChar w:fldCharType="separate"/>
            </w:r>
            <w:r w:rsidR="00495697">
              <w:rPr>
                <w:noProof/>
                <w:webHidden/>
              </w:rPr>
              <w:t>14</w:t>
            </w:r>
            <w:r w:rsidR="003337A3">
              <w:rPr>
                <w:noProof/>
                <w:webHidden/>
              </w:rPr>
              <w:fldChar w:fldCharType="end"/>
            </w:r>
          </w:hyperlink>
        </w:p>
        <w:p w14:paraId="748F8678" w14:textId="34AB5198" w:rsidR="003337A3" w:rsidRDefault="00363A9B">
          <w:pPr>
            <w:pStyle w:val="TOC2"/>
            <w:rPr>
              <w:rFonts w:asciiTheme="minorHAnsi" w:eastAsiaTheme="minorEastAsia" w:hAnsiTheme="minorHAnsi" w:cstheme="minorBidi"/>
              <w:noProof/>
              <w:lang w:eastAsia="en-AU"/>
            </w:rPr>
          </w:pPr>
          <w:hyperlink w:anchor="_Toc520736694" w:history="1">
            <w:r w:rsidR="003337A3" w:rsidRPr="00484E59">
              <w:rPr>
                <w:rStyle w:val="Hyperlink"/>
                <w:noProof/>
              </w:rPr>
              <w:t>2.8</w:t>
            </w:r>
            <w:r w:rsidR="003337A3">
              <w:rPr>
                <w:rFonts w:asciiTheme="minorHAnsi" w:eastAsiaTheme="minorEastAsia" w:hAnsiTheme="minorHAnsi" w:cstheme="minorBidi"/>
                <w:noProof/>
                <w:lang w:eastAsia="en-AU"/>
              </w:rPr>
              <w:tab/>
            </w:r>
            <w:r w:rsidR="003337A3" w:rsidRPr="00484E59">
              <w:rPr>
                <w:rStyle w:val="Hyperlink"/>
                <w:noProof/>
              </w:rPr>
              <w:t>Does reporting help companies manage their emissions and energy?</w:t>
            </w:r>
            <w:r w:rsidR="003337A3">
              <w:rPr>
                <w:noProof/>
                <w:webHidden/>
              </w:rPr>
              <w:tab/>
            </w:r>
            <w:r w:rsidR="003337A3">
              <w:rPr>
                <w:noProof/>
                <w:webHidden/>
              </w:rPr>
              <w:fldChar w:fldCharType="begin"/>
            </w:r>
            <w:r w:rsidR="003337A3">
              <w:rPr>
                <w:noProof/>
                <w:webHidden/>
              </w:rPr>
              <w:instrText xml:space="preserve"> PAGEREF _Toc520736694 \h </w:instrText>
            </w:r>
            <w:r w:rsidR="003337A3">
              <w:rPr>
                <w:noProof/>
                <w:webHidden/>
              </w:rPr>
            </w:r>
            <w:r w:rsidR="003337A3">
              <w:rPr>
                <w:noProof/>
                <w:webHidden/>
              </w:rPr>
              <w:fldChar w:fldCharType="separate"/>
            </w:r>
            <w:r w:rsidR="00495697">
              <w:rPr>
                <w:noProof/>
                <w:webHidden/>
              </w:rPr>
              <w:t>15</w:t>
            </w:r>
            <w:r w:rsidR="003337A3">
              <w:rPr>
                <w:noProof/>
                <w:webHidden/>
              </w:rPr>
              <w:fldChar w:fldCharType="end"/>
            </w:r>
          </w:hyperlink>
        </w:p>
        <w:p w14:paraId="4126939E" w14:textId="2B6601FF" w:rsidR="003337A3" w:rsidRDefault="00363A9B">
          <w:pPr>
            <w:pStyle w:val="TOC2"/>
            <w:rPr>
              <w:rFonts w:asciiTheme="minorHAnsi" w:eastAsiaTheme="minorEastAsia" w:hAnsiTheme="minorHAnsi" w:cstheme="minorBidi"/>
              <w:noProof/>
              <w:lang w:eastAsia="en-AU"/>
            </w:rPr>
          </w:pPr>
          <w:hyperlink w:anchor="_Toc520736695" w:history="1">
            <w:r w:rsidR="003337A3" w:rsidRPr="00484E59">
              <w:rPr>
                <w:rStyle w:val="Hyperlink"/>
                <w:noProof/>
              </w:rPr>
              <w:t>2.9</w:t>
            </w:r>
            <w:r w:rsidR="003337A3">
              <w:rPr>
                <w:rFonts w:asciiTheme="minorHAnsi" w:eastAsiaTheme="minorEastAsia" w:hAnsiTheme="minorHAnsi" w:cstheme="minorBidi"/>
                <w:noProof/>
                <w:lang w:eastAsia="en-AU"/>
              </w:rPr>
              <w:tab/>
            </w:r>
            <w:r w:rsidR="003337A3" w:rsidRPr="00484E59">
              <w:rPr>
                <w:rStyle w:val="Hyperlink"/>
                <w:noProof/>
              </w:rPr>
              <w:t>International emissions and energy reporting schemes</w:t>
            </w:r>
            <w:r w:rsidR="003337A3">
              <w:rPr>
                <w:noProof/>
                <w:webHidden/>
              </w:rPr>
              <w:tab/>
            </w:r>
            <w:r w:rsidR="003337A3">
              <w:rPr>
                <w:noProof/>
                <w:webHidden/>
              </w:rPr>
              <w:fldChar w:fldCharType="begin"/>
            </w:r>
            <w:r w:rsidR="003337A3">
              <w:rPr>
                <w:noProof/>
                <w:webHidden/>
              </w:rPr>
              <w:instrText xml:space="preserve"> PAGEREF _Toc520736695 \h </w:instrText>
            </w:r>
            <w:r w:rsidR="003337A3">
              <w:rPr>
                <w:noProof/>
                <w:webHidden/>
              </w:rPr>
            </w:r>
            <w:r w:rsidR="003337A3">
              <w:rPr>
                <w:noProof/>
                <w:webHidden/>
              </w:rPr>
              <w:fldChar w:fldCharType="separate"/>
            </w:r>
            <w:r w:rsidR="00495697">
              <w:rPr>
                <w:noProof/>
                <w:webHidden/>
              </w:rPr>
              <w:t>15</w:t>
            </w:r>
            <w:r w:rsidR="003337A3">
              <w:rPr>
                <w:noProof/>
                <w:webHidden/>
              </w:rPr>
              <w:fldChar w:fldCharType="end"/>
            </w:r>
          </w:hyperlink>
        </w:p>
        <w:p w14:paraId="7FF9EF22" w14:textId="03676773" w:rsidR="003337A3" w:rsidRDefault="00363A9B">
          <w:pPr>
            <w:pStyle w:val="TOC1"/>
            <w:tabs>
              <w:tab w:val="left" w:pos="1540"/>
            </w:tabs>
            <w:rPr>
              <w:rFonts w:asciiTheme="minorHAnsi" w:eastAsiaTheme="minorEastAsia" w:hAnsiTheme="minorHAnsi" w:cstheme="minorBidi"/>
              <w:b w:val="0"/>
              <w:caps w:val="0"/>
              <w:noProof/>
              <w:color w:val="auto"/>
              <w:lang w:eastAsia="en-AU"/>
            </w:rPr>
          </w:pPr>
          <w:hyperlink w:anchor="_Toc520736696" w:history="1">
            <w:r w:rsidR="003337A3" w:rsidRPr="00484E59">
              <w:rPr>
                <w:rStyle w:val="Hyperlink"/>
                <w:noProof/>
              </w:rPr>
              <w:t>Chapter 3.</w:t>
            </w:r>
            <w:r w:rsidR="003337A3">
              <w:rPr>
                <w:rFonts w:asciiTheme="minorHAnsi" w:eastAsiaTheme="minorEastAsia" w:hAnsiTheme="minorHAnsi" w:cstheme="minorBidi"/>
                <w:b w:val="0"/>
                <w:caps w:val="0"/>
                <w:noProof/>
                <w:color w:val="auto"/>
                <w:lang w:eastAsia="en-AU"/>
              </w:rPr>
              <w:tab/>
            </w:r>
            <w:r w:rsidR="003337A3" w:rsidRPr="00484E59">
              <w:rPr>
                <w:rStyle w:val="Hyperlink"/>
                <w:noProof/>
              </w:rPr>
              <w:t>Safeguard mechanism</w:t>
            </w:r>
            <w:r w:rsidR="003337A3">
              <w:rPr>
                <w:noProof/>
                <w:webHidden/>
              </w:rPr>
              <w:tab/>
            </w:r>
            <w:r w:rsidR="003337A3">
              <w:rPr>
                <w:noProof/>
                <w:webHidden/>
              </w:rPr>
              <w:fldChar w:fldCharType="begin"/>
            </w:r>
            <w:r w:rsidR="003337A3">
              <w:rPr>
                <w:noProof/>
                <w:webHidden/>
              </w:rPr>
              <w:instrText xml:space="preserve"> PAGEREF _Toc520736696 \h </w:instrText>
            </w:r>
            <w:r w:rsidR="003337A3">
              <w:rPr>
                <w:noProof/>
                <w:webHidden/>
              </w:rPr>
            </w:r>
            <w:r w:rsidR="003337A3">
              <w:rPr>
                <w:noProof/>
                <w:webHidden/>
              </w:rPr>
              <w:fldChar w:fldCharType="separate"/>
            </w:r>
            <w:r w:rsidR="00495697">
              <w:rPr>
                <w:noProof/>
                <w:webHidden/>
              </w:rPr>
              <w:t>17</w:t>
            </w:r>
            <w:r w:rsidR="003337A3">
              <w:rPr>
                <w:noProof/>
                <w:webHidden/>
              </w:rPr>
              <w:fldChar w:fldCharType="end"/>
            </w:r>
          </w:hyperlink>
        </w:p>
        <w:p w14:paraId="3257EA48" w14:textId="30F84D67" w:rsidR="003337A3" w:rsidRDefault="00363A9B">
          <w:pPr>
            <w:pStyle w:val="TOC2"/>
            <w:rPr>
              <w:rFonts w:asciiTheme="minorHAnsi" w:eastAsiaTheme="minorEastAsia" w:hAnsiTheme="minorHAnsi" w:cstheme="minorBidi"/>
              <w:noProof/>
              <w:lang w:eastAsia="en-AU"/>
            </w:rPr>
          </w:pPr>
          <w:hyperlink w:anchor="_Toc520736697" w:history="1">
            <w:r w:rsidR="003337A3" w:rsidRPr="00484E59">
              <w:rPr>
                <w:rStyle w:val="Hyperlink"/>
                <w:noProof/>
              </w:rPr>
              <w:t>3.1</w:t>
            </w:r>
            <w:r w:rsidR="003337A3">
              <w:rPr>
                <w:rFonts w:asciiTheme="minorHAnsi" w:eastAsiaTheme="minorEastAsia" w:hAnsiTheme="minorHAnsi" w:cstheme="minorBidi"/>
                <w:noProof/>
                <w:lang w:eastAsia="en-AU"/>
              </w:rPr>
              <w:tab/>
            </w:r>
            <w:r w:rsidR="003337A3" w:rsidRPr="00484E59">
              <w:rPr>
                <w:rStyle w:val="Hyperlink"/>
                <w:noProof/>
              </w:rPr>
              <w:t>The safeguard emissions threshold</w:t>
            </w:r>
            <w:r w:rsidR="003337A3">
              <w:rPr>
                <w:noProof/>
                <w:webHidden/>
              </w:rPr>
              <w:tab/>
            </w:r>
            <w:r w:rsidR="003337A3">
              <w:rPr>
                <w:noProof/>
                <w:webHidden/>
              </w:rPr>
              <w:fldChar w:fldCharType="begin"/>
            </w:r>
            <w:r w:rsidR="003337A3">
              <w:rPr>
                <w:noProof/>
                <w:webHidden/>
              </w:rPr>
              <w:instrText xml:space="preserve"> PAGEREF _Toc520736697 \h </w:instrText>
            </w:r>
            <w:r w:rsidR="003337A3">
              <w:rPr>
                <w:noProof/>
                <w:webHidden/>
              </w:rPr>
            </w:r>
            <w:r w:rsidR="003337A3">
              <w:rPr>
                <w:noProof/>
                <w:webHidden/>
              </w:rPr>
              <w:fldChar w:fldCharType="separate"/>
            </w:r>
            <w:r w:rsidR="00495697">
              <w:rPr>
                <w:noProof/>
                <w:webHidden/>
              </w:rPr>
              <w:t>17</w:t>
            </w:r>
            <w:r w:rsidR="003337A3">
              <w:rPr>
                <w:noProof/>
                <w:webHidden/>
              </w:rPr>
              <w:fldChar w:fldCharType="end"/>
            </w:r>
          </w:hyperlink>
        </w:p>
        <w:p w14:paraId="71C39A9A" w14:textId="40BE4777" w:rsidR="003337A3" w:rsidRDefault="00363A9B">
          <w:pPr>
            <w:pStyle w:val="TOC2"/>
            <w:rPr>
              <w:rFonts w:asciiTheme="minorHAnsi" w:eastAsiaTheme="minorEastAsia" w:hAnsiTheme="minorHAnsi" w:cstheme="minorBidi"/>
              <w:noProof/>
              <w:lang w:eastAsia="en-AU"/>
            </w:rPr>
          </w:pPr>
          <w:hyperlink w:anchor="_Toc520736698" w:history="1">
            <w:r w:rsidR="003337A3" w:rsidRPr="00484E59">
              <w:rPr>
                <w:rStyle w:val="Hyperlink"/>
                <w:noProof/>
              </w:rPr>
              <w:t>3.2</w:t>
            </w:r>
            <w:r w:rsidR="003337A3">
              <w:rPr>
                <w:rFonts w:asciiTheme="minorHAnsi" w:eastAsiaTheme="minorEastAsia" w:hAnsiTheme="minorHAnsi" w:cstheme="minorBidi"/>
                <w:noProof/>
                <w:lang w:eastAsia="en-AU"/>
              </w:rPr>
              <w:tab/>
            </w:r>
            <w:r w:rsidR="003337A3" w:rsidRPr="00484E59">
              <w:rPr>
                <w:rStyle w:val="Hyperlink"/>
                <w:noProof/>
              </w:rPr>
              <w:t>Types of emissions covered</w:t>
            </w:r>
            <w:r w:rsidR="003337A3">
              <w:rPr>
                <w:noProof/>
                <w:webHidden/>
              </w:rPr>
              <w:tab/>
            </w:r>
            <w:r w:rsidR="003337A3">
              <w:rPr>
                <w:noProof/>
                <w:webHidden/>
              </w:rPr>
              <w:fldChar w:fldCharType="begin"/>
            </w:r>
            <w:r w:rsidR="003337A3">
              <w:rPr>
                <w:noProof/>
                <w:webHidden/>
              </w:rPr>
              <w:instrText xml:space="preserve"> PAGEREF _Toc520736698 \h </w:instrText>
            </w:r>
            <w:r w:rsidR="003337A3">
              <w:rPr>
                <w:noProof/>
                <w:webHidden/>
              </w:rPr>
            </w:r>
            <w:r w:rsidR="003337A3">
              <w:rPr>
                <w:noProof/>
                <w:webHidden/>
              </w:rPr>
              <w:fldChar w:fldCharType="separate"/>
            </w:r>
            <w:r w:rsidR="00495697">
              <w:rPr>
                <w:noProof/>
                <w:webHidden/>
              </w:rPr>
              <w:t>17</w:t>
            </w:r>
            <w:r w:rsidR="003337A3">
              <w:rPr>
                <w:noProof/>
                <w:webHidden/>
              </w:rPr>
              <w:fldChar w:fldCharType="end"/>
            </w:r>
          </w:hyperlink>
        </w:p>
        <w:p w14:paraId="780F0CF7" w14:textId="5EC876A9" w:rsidR="003337A3" w:rsidRDefault="00363A9B">
          <w:pPr>
            <w:pStyle w:val="TOC2"/>
            <w:rPr>
              <w:rFonts w:asciiTheme="minorHAnsi" w:eastAsiaTheme="minorEastAsia" w:hAnsiTheme="minorHAnsi" w:cstheme="minorBidi"/>
              <w:noProof/>
              <w:lang w:eastAsia="en-AU"/>
            </w:rPr>
          </w:pPr>
          <w:hyperlink w:anchor="_Toc520736699" w:history="1">
            <w:r w:rsidR="003337A3" w:rsidRPr="00484E59">
              <w:rPr>
                <w:rStyle w:val="Hyperlink"/>
                <w:noProof/>
              </w:rPr>
              <w:t>3.3</w:t>
            </w:r>
            <w:r w:rsidR="003337A3">
              <w:rPr>
                <w:rFonts w:asciiTheme="minorHAnsi" w:eastAsiaTheme="minorEastAsia" w:hAnsiTheme="minorHAnsi" w:cstheme="minorBidi"/>
                <w:noProof/>
                <w:lang w:eastAsia="en-AU"/>
              </w:rPr>
              <w:tab/>
            </w:r>
            <w:r w:rsidR="003337A3" w:rsidRPr="00484E59">
              <w:rPr>
                <w:rStyle w:val="Hyperlink"/>
                <w:noProof/>
              </w:rPr>
              <w:t>Safeguard baselines</w:t>
            </w:r>
            <w:r w:rsidR="003337A3">
              <w:rPr>
                <w:noProof/>
                <w:webHidden/>
              </w:rPr>
              <w:tab/>
            </w:r>
            <w:r w:rsidR="003337A3">
              <w:rPr>
                <w:noProof/>
                <w:webHidden/>
              </w:rPr>
              <w:fldChar w:fldCharType="begin"/>
            </w:r>
            <w:r w:rsidR="003337A3">
              <w:rPr>
                <w:noProof/>
                <w:webHidden/>
              </w:rPr>
              <w:instrText xml:space="preserve"> PAGEREF _Toc520736699 \h </w:instrText>
            </w:r>
            <w:r w:rsidR="003337A3">
              <w:rPr>
                <w:noProof/>
                <w:webHidden/>
              </w:rPr>
            </w:r>
            <w:r w:rsidR="003337A3">
              <w:rPr>
                <w:noProof/>
                <w:webHidden/>
              </w:rPr>
              <w:fldChar w:fldCharType="separate"/>
            </w:r>
            <w:r w:rsidR="00495697">
              <w:rPr>
                <w:noProof/>
                <w:webHidden/>
              </w:rPr>
              <w:t>18</w:t>
            </w:r>
            <w:r w:rsidR="003337A3">
              <w:rPr>
                <w:noProof/>
                <w:webHidden/>
              </w:rPr>
              <w:fldChar w:fldCharType="end"/>
            </w:r>
          </w:hyperlink>
        </w:p>
        <w:p w14:paraId="747145DB" w14:textId="4B7D0C0F" w:rsidR="003337A3" w:rsidRDefault="00363A9B">
          <w:pPr>
            <w:pStyle w:val="TOC2"/>
            <w:rPr>
              <w:rFonts w:asciiTheme="minorHAnsi" w:eastAsiaTheme="minorEastAsia" w:hAnsiTheme="minorHAnsi" w:cstheme="minorBidi"/>
              <w:noProof/>
              <w:lang w:eastAsia="en-AU"/>
            </w:rPr>
          </w:pPr>
          <w:hyperlink w:anchor="_Toc520736700" w:history="1">
            <w:r w:rsidR="003337A3" w:rsidRPr="00484E59">
              <w:rPr>
                <w:rStyle w:val="Hyperlink"/>
                <w:noProof/>
              </w:rPr>
              <w:t>3.4</w:t>
            </w:r>
            <w:r w:rsidR="003337A3">
              <w:rPr>
                <w:rFonts w:asciiTheme="minorHAnsi" w:eastAsiaTheme="minorEastAsia" w:hAnsiTheme="minorHAnsi" w:cstheme="minorBidi"/>
                <w:noProof/>
                <w:lang w:eastAsia="en-AU"/>
              </w:rPr>
              <w:tab/>
            </w:r>
            <w:r w:rsidR="003337A3" w:rsidRPr="00484E59">
              <w:rPr>
                <w:rStyle w:val="Hyperlink"/>
                <w:noProof/>
              </w:rPr>
              <w:t>Reporting under the safeguard mechanism</w:t>
            </w:r>
            <w:r w:rsidR="003337A3">
              <w:rPr>
                <w:noProof/>
                <w:webHidden/>
              </w:rPr>
              <w:tab/>
            </w:r>
            <w:r w:rsidR="003337A3">
              <w:rPr>
                <w:noProof/>
                <w:webHidden/>
              </w:rPr>
              <w:fldChar w:fldCharType="begin"/>
            </w:r>
            <w:r w:rsidR="003337A3">
              <w:rPr>
                <w:noProof/>
                <w:webHidden/>
              </w:rPr>
              <w:instrText xml:space="preserve"> PAGEREF _Toc520736700 \h </w:instrText>
            </w:r>
            <w:r w:rsidR="003337A3">
              <w:rPr>
                <w:noProof/>
                <w:webHidden/>
              </w:rPr>
            </w:r>
            <w:r w:rsidR="003337A3">
              <w:rPr>
                <w:noProof/>
                <w:webHidden/>
              </w:rPr>
              <w:fldChar w:fldCharType="separate"/>
            </w:r>
            <w:r w:rsidR="00495697">
              <w:rPr>
                <w:noProof/>
                <w:webHidden/>
              </w:rPr>
              <w:t>21</w:t>
            </w:r>
            <w:r w:rsidR="003337A3">
              <w:rPr>
                <w:noProof/>
                <w:webHidden/>
              </w:rPr>
              <w:fldChar w:fldCharType="end"/>
            </w:r>
          </w:hyperlink>
        </w:p>
        <w:p w14:paraId="3891D294" w14:textId="17446D0D" w:rsidR="003337A3" w:rsidRDefault="00363A9B">
          <w:pPr>
            <w:pStyle w:val="TOC2"/>
            <w:rPr>
              <w:rFonts w:asciiTheme="minorHAnsi" w:eastAsiaTheme="minorEastAsia" w:hAnsiTheme="minorHAnsi" w:cstheme="minorBidi"/>
              <w:noProof/>
              <w:lang w:eastAsia="en-AU"/>
            </w:rPr>
          </w:pPr>
          <w:hyperlink w:anchor="_Toc520736701" w:history="1">
            <w:r w:rsidR="003337A3" w:rsidRPr="00484E59">
              <w:rPr>
                <w:rStyle w:val="Hyperlink"/>
                <w:noProof/>
              </w:rPr>
              <w:t>3.5</w:t>
            </w:r>
            <w:r w:rsidR="003337A3">
              <w:rPr>
                <w:rFonts w:asciiTheme="minorHAnsi" w:eastAsiaTheme="minorEastAsia" w:hAnsiTheme="minorHAnsi" w:cstheme="minorBidi"/>
                <w:noProof/>
                <w:lang w:eastAsia="en-AU"/>
              </w:rPr>
              <w:tab/>
            </w:r>
            <w:r w:rsidR="003337A3" w:rsidRPr="00484E59">
              <w:rPr>
                <w:rStyle w:val="Hyperlink"/>
                <w:noProof/>
              </w:rPr>
              <w:t>Managing emissions: alternative compliance options</w:t>
            </w:r>
            <w:r w:rsidR="003337A3">
              <w:rPr>
                <w:noProof/>
                <w:webHidden/>
              </w:rPr>
              <w:tab/>
            </w:r>
            <w:r w:rsidR="003337A3">
              <w:rPr>
                <w:noProof/>
                <w:webHidden/>
              </w:rPr>
              <w:fldChar w:fldCharType="begin"/>
            </w:r>
            <w:r w:rsidR="003337A3">
              <w:rPr>
                <w:noProof/>
                <w:webHidden/>
              </w:rPr>
              <w:instrText xml:space="preserve"> PAGEREF _Toc520736701 \h </w:instrText>
            </w:r>
            <w:r w:rsidR="003337A3">
              <w:rPr>
                <w:noProof/>
                <w:webHidden/>
              </w:rPr>
            </w:r>
            <w:r w:rsidR="003337A3">
              <w:rPr>
                <w:noProof/>
                <w:webHidden/>
              </w:rPr>
              <w:fldChar w:fldCharType="separate"/>
            </w:r>
            <w:r w:rsidR="00495697">
              <w:rPr>
                <w:noProof/>
                <w:webHidden/>
              </w:rPr>
              <w:t>21</w:t>
            </w:r>
            <w:r w:rsidR="003337A3">
              <w:rPr>
                <w:noProof/>
                <w:webHidden/>
              </w:rPr>
              <w:fldChar w:fldCharType="end"/>
            </w:r>
          </w:hyperlink>
        </w:p>
        <w:p w14:paraId="4D484085" w14:textId="371837C8" w:rsidR="003337A3" w:rsidRDefault="00363A9B">
          <w:pPr>
            <w:pStyle w:val="TOC2"/>
            <w:rPr>
              <w:rFonts w:asciiTheme="minorHAnsi" w:eastAsiaTheme="minorEastAsia" w:hAnsiTheme="minorHAnsi" w:cstheme="minorBidi"/>
              <w:noProof/>
              <w:lang w:eastAsia="en-AU"/>
            </w:rPr>
          </w:pPr>
          <w:hyperlink w:anchor="_Toc520736702" w:history="1">
            <w:r w:rsidR="003337A3" w:rsidRPr="00484E59">
              <w:rPr>
                <w:rStyle w:val="Hyperlink"/>
                <w:noProof/>
              </w:rPr>
              <w:t>3.6</w:t>
            </w:r>
            <w:r w:rsidR="003337A3">
              <w:rPr>
                <w:rFonts w:asciiTheme="minorHAnsi" w:eastAsiaTheme="minorEastAsia" w:hAnsiTheme="minorHAnsi" w:cstheme="minorBidi"/>
                <w:noProof/>
                <w:lang w:eastAsia="en-AU"/>
              </w:rPr>
              <w:tab/>
            </w:r>
            <w:r w:rsidR="003337A3" w:rsidRPr="00484E59">
              <w:rPr>
                <w:rStyle w:val="Hyperlink"/>
                <w:noProof/>
              </w:rPr>
              <w:t>Future directions</w:t>
            </w:r>
            <w:r w:rsidR="003337A3">
              <w:rPr>
                <w:noProof/>
                <w:webHidden/>
              </w:rPr>
              <w:tab/>
            </w:r>
            <w:r w:rsidR="003337A3">
              <w:rPr>
                <w:noProof/>
                <w:webHidden/>
              </w:rPr>
              <w:fldChar w:fldCharType="begin"/>
            </w:r>
            <w:r w:rsidR="003337A3">
              <w:rPr>
                <w:noProof/>
                <w:webHidden/>
              </w:rPr>
              <w:instrText xml:space="preserve"> PAGEREF _Toc520736702 \h </w:instrText>
            </w:r>
            <w:r w:rsidR="003337A3">
              <w:rPr>
                <w:noProof/>
                <w:webHidden/>
              </w:rPr>
            </w:r>
            <w:r w:rsidR="003337A3">
              <w:rPr>
                <w:noProof/>
                <w:webHidden/>
              </w:rPr>
              <w:fldChar w:fldCharType="separate"/>
            </w:r>
            <w:r w:rsidR="00495697">
              <w:rPr>
                <w:noProof/>
                <w:webHidden/>
              </w:rPr>
              <w:t>22</w:t>
            </w:r>
            <w:r w:rsidR="003337A3">
              <w:rPr>
                <w:noProof/>
                <w:webHidden/>
              </w:rPr>
              <w:fldChar w:fldCharType="end"/>
            </w:r>
          </w:hyperlink>
        </w:p>
        <w:p w14:paraId="67E01677" w14:textId="3720C601" w:rsidR="003337A3" w:rsidRDefault="00363A9B">
          <w:pPr>
            <w:pStyle w:val="TOC1"/>
            <w:tabs>
              <w:tab w:val="left" w:pos="1540"/>
            </w:tabs>
            <w:rPr>
              <w:rFonts w:asciiTheme="minorHAnsi" w:eastAsiaTheme="minorEastAsia" w:hAnsiTheme="minorHAnsi" w:cstheme="minorBidi"/>
              <w:b w:val="0"/>
              <w:caps w:val="0"/>
              <w:noProof/>
              <w:color w:val="auto"/>
              <w:lang w:eastAsia="en-AU"/>
            </w:rPr>
          </w:pPr>
          <w:hyperlink w:anchor="_Toc520736703" w:history="1">
            <w:r w:rsidR="003337A3" w:rsidRPr="00484E59">
              <w:rPr>
                <w:rStyle w:val="Hyperlink"/>
                <w:noProof/>
              </w:rPr>
              <w:t>Chapter 4.</w:t>
            </w:r>
            <w:r w:rsidR="003337A3">
              <w:rPr>
                <w:rFonts w:asciiTheme="minorHAnsi" w:eastAsiaTheme="minorEastAsia" w:hAnsiTheme="minorHAnsi" w:cstheme="minorBidi"/>
                <w:b w:val="0"/>
                <w:caps w:val="0"/>
                <w:noProof/>
                <w:color w:val="auto"/>
                <w:lang w:eastAsia="en-AU"/>
              </w:rPr>
              <w:tab/>
            </w:r>
            <w:r w:rsidR="003337A3" w:rsidRPr="00484E59">
              <w:rPr>
                <w:rStyle w:val="Hyperlink"/>
                <w:noProof/>
              </w:rPr>
              <w:t>Data use and publication</w:t>
            </w:r>
            <w:r w:rsidR="003337A3">
              <w:rPr>
                <w:noProof/>
                <w:webHidden/>
              </w:rPr>
              <w:tab/>
            </w:r>
            <w:r w:rsidR="003337A3">
              <w:rPr>
                <w:noProof/>
                <w:webHidden/>
              </w:rPr>
              <w:fldChar w:fldCharType="begin"/>
            </w:r>
            <w:r w:rsidR="003337A3">
              <w:rPr>
                <w:noProof/>
                <w:webHidden/>
              </w:rPr>
              <w:instrText xml:space="preserve"> PAGEREF _Toc520736703 \h </w:instrText>
            </w:r>
            <w:r w:rsidR="003337A3">
              <w:rPr>
                <w:noProof/>
                <w:webHidden/>
              </w:rPr>
            </w:r>
            <w:r w:rsidR="003337A3">
              <w:rPr>
                <w:noProof/>
                <w:webHidden/>
              </w:rPr>
              <w:fldChar w:fldCharType="separate"/>
            </w:r>
            <w:r w:rsidR="00495697">
              <w:rPr>
                <w:noProof/>
                <w:webHidden/>
              </w:rPr>
              <w:t>25</w:t>
            </w:r>
            <w:r w:rsidR="003337A3">
              <w:rPr>
                <w:noProof/>
                <w:webHidden/>
              </w:rPr>
              <w:fldChar w:fldCharType="end"/>
            </w:r>
          </w:hyperlink>
        </w:p>
        <w:p w14:paraId="1ACABF81" w14:textId="7F58DFBD" w:rsidR="003337A3" w:rsidRDefault="00363A9B">
          <w:pPr>
            <w:pStyle w:val="TOC2"/>
            <w:rPr>
              <w:rFonts w:asciiTheme="minorHAnsi" w:eastAsiaTheme="minorEastAsia" w:hAnsiTheme="minorHAnsi" w:cstheme="minorBidi"/>
              <w:noProof/>
              <w:lang w:eastAsia="en-AU"/>
            </w:rPr>
          </w:pPr>
          <w:hyperlink w:anchor="_Toc520736704" w:history="1">
            <w:r w:rsidR="003337A3" w:rsidRPr="00484E59">
              <w:rPr>
                <w:rStyle w:val="Hyperlink"/>
                <w:noProof/>
              </w:rPr>
              <w:t>4.1</w:t>
            </w:r>
            <w:r w:rsidR="003337A3">
              <w:rPr>
                <w:rFonts w:asciiTheme="minorHAnsi" w:eastAsiaTheme="minorEastAsia" w:hAnsiTheme="minorHAnsi" w:cstheme="minorBidi"/>
                <w:noProof/>
                <w:lang w:eastAsia="en-AU"/>
              </w:rPr>
              <w:tab/>
            </w:r>
            <w:r w:rsidR="003337A3" w:rsidRPr="00484E59">
              <w:rPr>
                <w:rStyle w:val="Hyperlink"/>
                <w:noProof/>
              </w:rPr>
              <w:t>Rules for data publication</w:t>
            </w:r>
            <w:r w:rsidR="003337A3">
              <w:rPr>
                <w:noProof/>
                <w:webHidden/>
              </w:rPr>
              <w:tab/>
            </w:r>
            <w:r w:rsidR="003337A3">
              <w:rPr>
                <w:noProof/>
                <w:webHidden/>
              </w:rPr>
              <w:fldChar w:fldCharType="begin"/>
            </w:r>
            <w:r w:rsidR="003337A3">
              <w:rPr>
                <w:noProof/>
                <w:webHidden/>
              </w:rPr>
              <w:instrText xml:space="preserve"> PAGEREF _Toc520736704 \h </w:instrText>
            </w:r>
            <w:r w:rsidR="003337A3">
              <w:rPr>
                <w:noProof/>
                <w:webHidden/>
              </w:rPr>
            </w:r>
            <w:r w:rsidR="003337A3">
              <w:rPr>
                <w:noProof/>
                <w:webHidden/>
              </w:rPr>
              <w:fldChar w:fldCharType="separate"/>
            </w:r>
            <w:r w:rsidR="00495697">
              <w:rPr>
                <w:noProof/>
                <w:webHidden/>
              </w:rPr>
              <w:t>25</w:t>
            </w:r>
            <w:r w:rsidR="003337A3">
              <w:rPr>
                <w:noProof/>
                <w:webHidden/>
              </w:rPr>
              <w:fldChar w:fldCharType="end"/>
            </w:r>
          </w:hyperlink>
        </w:p>
        <w:p w14:paraId="6F217D65" w14:textId="0F8C4B87" w:rsidR="003337A3" w:rsidRDefault="00363A9B">
          <w:pPr>
            <w:pStyle w:val="TOC2"/>
            <w:rPr>
              <w:rFonts w:asciiTheme="minorHAnsi" w:eastAsiaTheme="minorEastAsia" w:hAnsiTheme="minorHAnsi" w:cstheme="minorBidi"/>
              <w:noProof/>
              <w:lang w:eastAsia="en-AU"/>
            </w:rPr>
          </w:pPr>
          <w:hyperlink w:anchor="_Toc520736705" w:history="1">
            <w:r w:rsidR="003337A3" w:rsidRPr="00484E59">
              <w:rPr>
                <w:rStyle w:val="Hyperlink"/>
                <w:noProof/>
              </w:rPr>
              <w:t>4.2</w:t>
            </w:r>
            <w:r w:rsidR="003337A3">
              <w:rPr>
                <w:rFonts w:asciiTheme="minorHAnsi" w:eastAsiaTheme="minorEastAsia" w:hAnsiTheme="minorHAnsi" w:cstheme="minorBidi"/>
                <w:noProof/>
                <w:lang w:eastAsia="en-AU"/>
              </w:rPr>
              <w:tab/>
            </w:r>
            <w:r w:rsidR="003337A3" w:rsidRPr="00484E59">
              <w:rPr>
                <w:rStyle w:val="Hyperlink"/>
                <w:noProof/>
              </w:rPr>
              <w:t>Rules for data sharing</w:t>
            </w:r>
            <w:r w:rsidR="003337A3">
              <w:rPr>
                <w:noProof/>
                <w:webHidden/>
              </w:rPr>
              <w:tab/>
            </w:r>
            <w:r w:rsidR="003337A3">
              <w:rPr>
                <w:noProof/>
                <w:webHidden/>
              </w:rPr>
              <w:fldChar w:fldCharType="begin"/>
            </w:r>
            <w:r w:rsidR="003337A3">
              <w:rPr>
                <w:noProof/>
                <w:webHidden/>
              </w:rPr>
              <w:instrText xml:space="preserve"> PAGEREF _Toc520736705 \h </w:instrText>
            </w:r>
            <w:r w:rsidR="003337A3">
              <w:rPr>
                <w:noProof/>
                <w:webHidden/>
              </w:rPr>
            </w:r>
            <w:r w:rsidR="003337A3">
              <w:rPr>
                <w:noProof/>
                <w:webHidden/>
              </w:rPr>
              <w:fldChar w:fldCharType="separate"/>
            </w:r>
            <w:r w:rsidR="00495697">
              <w:rPr>
                <w:noProof/>
                <w:webHidden/>
              </w:rPr>
              <w:t>26</w:t>
            </w:r>
            <w:r w:rsidR="003337A3">
              <w:rPr>
                <w:noProof/>
                <w:webHidden/>
              </w:rPr>
              <w:fldChar w:fldCharType="end"/>
            </w:r>
          </w:hyperlink>
        </w:p>
        <w:p w14:paraId="72D47B1B" w14:textId="143A22E2" w:rsidR="003337A3" w:rsidRDefault="00363A9B">
          <w:pPr>
            <w:pStyle w:val="TOC2"/>
            <w:rPr>
              <w:rFonts w:asciiTheme="minorHAnsi" w:eastAsiaTheme="minorEastAsia" w:hAnsiTheme="minorHAnsi" w:cstheme="minorBidi"/>
              <w:noProof/>
              <w:lang w:eastAsia="en-AU"/>
            </w:rPr>
          </w:pPr>
          <w:hyperlink w:anchor="_Toc520736706" w:history="1">
            <w:r w:rsidR="003337A3" w:rsidRPr="00484E59">
              <w:rPr>
                <w:rStyle w:val="Hyperlink"/>
                <w:noProof/>
              </w:rPr>
              <w:t>4.3</w:t>
            </w:r>
            <w:r w:rsidR="003337A3">
              <w:rPr>
                <w:rFonts w:asciiTheme="minorHAnsi" w:eastAsiaTheme="minorEastAsia" w:hAnsiTheme="minorHAnsi" w:cstheme="minorBidi"/>
                <w:noProof/>
                <w:lang w:eastAsia="en-AU"/>
              </w:rPr>
              <w:tab/>
            </w:r>
            <w:r w:rsidR="003337A3" w:rsidRPr="00484E59">
              <w:rPr>
                <w:rStyle w:val="Hyperlink"/>
                <w:noProof/>
              </w:rPr>
              <w:t>Client portal</w:t>
            </w:r>
            <w:r w:rsidR="003337A3">
              <w:rPr>
                <w:noProof/>
                <w:webHidden/>
              </w:rPr>
              <w:tab/>
            </w:r>
            <w:r w:rsidR="003337A3">
              <w:rPr>
                <w:noProof/>
                <w:webHidden/>
              </w:rPr>
              <w:fldChar w:fldCharType="begin"/>
            </w:r>
            <w:r w:rsidR="003337A3">
              <w:rPr>
                <w:noProof/>
                <w:webHidden/>
              </w:rPr>
              <w:instrText xml:space="preserve"> PAGEREF _Toc520736706 \h </w:instrText>
            </w:r>
            <w:r w:rsidR="003337A3">
              <w:rPr>
                <w:noProof/>
                <w:webHidden/>
              </w:rPr>
            </w:r>
            <w:r w:rsidR="003337A3">
              <w:rPr>
                <w:noProof/>
                <w:webHidden/>
              </w:rPr>
              <w:fldChar w:fldCharType="separate"/>
            </w:r>
            <w:r w:rsidR="00495697">
              <w:rPr>
                <w:noProof/>
                <w:webHidden/>
              </w:rPr>
              <w:t>26</w:t>
            </w:r>
            <w:r w:rsidR="003337A3">
              <w:rPr>
                <w:noProof/>
                <w:webHidden/>
              </w:rPr>
              <w:fldChar w:fldCharType="end"/>
            </w:r>
          </w:hyperlink>
        </w:p>
        <w:p w14:paraId="5C83BEE8" w14:textId="1558EB5B" w:rsidR="003337A3" w:rsidRDefault="00363A9B">
          <w:pPr>
            <w:pStyle w:val="TOC2"/>
            <w:rPr>
              <w:rFonts w:asciiTheme="minorHAnsi" w:eastAsiaTheme="minorEastAsia" w:hAnsiTheme="minorHAnsi" w:cstheme="minorBidi"/>
              <w:noProof/>
              <w:lang w:eastAsia="en-AU"/>
            </w:rPr>
          </w:pPr>
          <w:hyperlink w:anchor="_Toc520736707" w:history="1">
            <w:r w:rsidR="003337A3" w:rsidRPr="00484E59">
              <w:rPr>
                <w:rStyle w:val="Hyperlink"/>
                <w:noProof/>
              </w:rPr>
              <w:t>4.4</w:t>
            </w:r>
            <w:r w:rsidR="003337A3">
              <w:rPr>
                <w:rFonts w:asciiTheme="minorHAnsi" w:eastAsiaTheme="minorEastAsia" w:hAnsiTheme="minorHAnsi" w:cstheme="minorBidi"/>
                <w:noProof/>
                <w:lang w:eastAsia="en-AU"/>
              </w:rPr>
              <w:tab/>
            </w:r>
            <w:r w:rsidR="003337A3" w:rsidRPr="00484E59">
              <w:rPr>
                <w:rStyle w:val="Hyperlink"/>
                <w:noProof/>
              </w:rPr>
              <w:t>Data use</w:t>
            </w:r>
            <w:r w:rsidR="003337A3">
              <w:rPr>
                <w:noProof/>
                <w:webHidden/>
              </w:rPr>
              <w:tab/>
            </w:r>
            <w:r w:rsidR="003337A3">
              <w:rPr>
                <w:noProof/>
                <w:webHidden/>
              </w:rPr>
              <w:fldChar w:fldCharType="begin"/>
            </w:r>
            <w:r w:rsidR="003337A3">
              <w:rPr>
                <w:noProof/>
                <w:webHidden/>
              </w:rPr>
              <w:instrText xml:space="preserve"> PAGEREF _Toc520736707 \h </w:instrText>
            </w:r>
            <w:r w:rsidR="003337A3">
              <w:rPr>
                <w:noProof/>
                <w:webHidden/>
              </w:rPr>
            </w:r>
            <w:r w:rsidR="003337A3">
              <w:rPr>
                <w:noProof/>
                <w:webHidden/>
              </w:rPr>
              <w:fldChar w:fldCharType="separate"/>
            </w:r>
            <w:r w:rsidR="00495697">
              <w:rPr>
                <w:noProof/>
                <w:webHidden/>
              </w:rPr>
              <w:t>26</w:t>
            </w:r>
            <w:r w:rsidR="003337A3">
              <w:rPr>
                <w:noProof/>
                <w:webHidden/>
              </w:rPr>
              <w:fldChar w:fldCharType="end"/>
            </w:r>
          </w:hyperlink>
        </w:p>
        <w:p w14:paraId="453FAD1D" w14:textId="0F49BED4" w:rsidR="003337A3" w:rsidRDefault="00363A9B">
          <w:pPr>
            <w:pStyle w:val="TOC2"/>
            <w:rPr>
              <w:rFonts w:asciiTheme="minorHAnsi" w:eastAsiaTheme="minorEastAsia" w:hAnsiTheme="minorHAnsi" w:cstheme="minorBidi"/>
              <w:noProof/>
              <w:lang w:eastAsia="en-AU"/>
            </w:rPr>
          </w:pPr>
          <w:hyperlink w:anchor="_Toc520736708" w:history="1">
            <w:r w:rsidR="003337A3" w:rsidRPr="00484E59">
              <w:rPr>
                <w:rStyle w:val="Hyperlink"/>
                <w:noProof/>
              </w:rPr>
              <w:t>4.5</w:t>
            </w:r>
            <w:r w:rsidR="003337A3">
              <w:rPr>
                <w:rFonts w:asciiTheme="minorHAnsi" w:eastAsiaTheme="minorEastAsia" w:hAnsiTheme="minorHAnsi" w:cstheme="minorBidi"/>
                <w:noProof/>
                <w:lang w:eastAsia="en-AU"/>
              </w:rPr>
              <w:tab/>
            </w:r>
            <w:r w:rsidR="003337A3" w:rsidRPr="00484E59">
              <w:rPr>
                <w:rStyle w:val="Hyperlink"/>
                <w:noProof/>
              </w:rPr>
              <w:t>Future data needs</w:t>
            </w:r>
            <w:r w:rsidR="003337A3">
              <w:rPr>
                <w:noProof/>
                <w:webHidden/>
              </w:rPr>
              <w:tab/>
            </w:r>
            <w:r w:rsidR="003337A3">
              <w:rPr>
                <w:noProof/>
                <w:webHidden/>
              </w:rPr>
              <w:fldChar w:fldCharType="begin"/>
            </w:r>
            <w:r w:rsidR="003337A3">
              <w:rPr>
                <w:noProof/>
                <w:webHidden/>
              </w:rPr>
              <w:instrText xml:space="preserve"> PAGEREF _Toc520736708 \h </w:instrText>
            </w:r>
            <w:r w:rsidR="003337A3">
              <w:rPr>
                <w:noProof/>
                <w:webHidden/>
              </w:rPr>
            </w:r>
            <w:r w:rsidR="003337A3">
              <w:rPr>
                <w:noProof/>
                <w:webHidden/>
              </w:rPr>
              <w:fldChar w:fldCharType="separate"/>
            </w:r>
            <w:r w:rsidR="00495697">
              <w:rPr>
                <w:noProof/>
                <w:webHidden/>
              </w:rPr>
              <w:t>27</w:t>
            </w:r>
            <w:r w:rsidR="003337A3">
              <w:rPr>
                <w:noProof/>
                <w:webHidden/>
              </w:rPr>
              <w:fldChar w:fldCharType="end"/>
            </w:r>
          </w:hyperlink>
        </w:p>
        <w:p w14:paraId="36E0FB6A" w14:textId="1B2A8A68" w:rsidR="003337A3" w:rsidRDefault="00363A9B">
          <w:pPr>
            <w:pStyle w:val="TOC1"/>
            <w:tabs>
              <w:tab w:val="left" w:pos="1540"/>
            </w:tabs>
            <w:rPr>
              <w:rFonts w:asciiTheme="minorHAnsi" w:eastAsiaTheme="minorEastAsia" w:hAnsiTheme="minorHAnsi" w:cstheme="minorBidi"/>
              <w:b w:val="0"/>
              <w:caps w:val="0"/>
              <w:noProof/>
              <w:color w:val="auto"/>
              <w:lang w:eastAsia="en-AU"/>
            </w:rPr>
          </w:pPr>
          <w:hyperlink w:anchor="_Toc520736709" w:history="1">
            <w:r w:rsidR="003337A3" w:rsidRPr="00484E59">
              <w:rPr>
                <w:rStyle w:val="Hyperlink"/>
                <w:noProof/>
              </w:rPr>
              <w:t>Chapter 5.</w:t>
            </w:r>
            <w:r w:rsidR="003337A3">
              <w:rPr>
                <w:rFonts w:asciiTheme="minorHAnsi" w:eastAsiaTheme="minorEastAsia" w:hAnsiTheme="minorHAnsi" w:cstheme="minorBidi"/>
                <w:b w:val="0"/>
                <w:caps w:val="0"/>
                <w:noProof/>
                <w:color w:val="auto"/>
                <w:lang w:eastAsia="en-AU"/>
              </w:rPr>
              <w:tab/>
            </w:r>
            <w:r w:rsidR="003337A3" w:rsidRPr="00484E59">
              <w:rPr>
                <w:rStyle w:val="Hyperlink"/>
                <w:noProof/>
              </w:rPr>
              <w:t>Audits</w:t>
            </w:r>
            <w:r w:rsidR="003337A3">
              <w:rPr>
                <w:noProof/>
                <w:webHidden/>
              </w:rPr>
              <w:tab/>
            </w:r>
            <w:r w:rsidR="003337A3">
              <w:rPr>
                <w:noProof/>
                <w:webHidden/>
              </w:rPr>
              <w:fldChar w:fldCharType="begin"/>
            </w:r>
            <w:r w:rsidR="003337A3">
              <w:rPr>
                <w:noProof/>
                <w:webHidden/>
              </w:rPr>
              <w:instrText xml:space="preserve"> PAGEREF _Toc520736709 \h </w:instrText>
            </w:r>
            <w:r w:rsidR="003337A3">
              <w:rPr>
                <w:noProof/>
                <w:webHidden/>
              </w:rPr>
            </w:r>
            <w:r w:rsidR="003337A3">
              <w:rPr>
                <w:noProof/>
                <w:webHidden/>
              </w:rPr>
              <w:fldChar w:fldCharType="separate"/>
            </w:r>
            <w:r w:rsidR="00495697">
              <w:rPr>
                <w:noProof/>
                <w:webHidden/>
              </w:rPr>
              <w:t>28</w:t>
            </w:r>
            <w:r w:rsidR="003337A3">
              <w:rPr>
                <w:noProof/>
                <w:webHidden/>
              </w:rPr>
              <w:fldChar w:fldCharType="end"/>
            </w:r>
          </w:hyperlink>
        </w:p>
        <w:p w14:paraId="7019EF17" w14:textId="4A0C84E2" w:rsidR="003337A3" w:rsidRDefault="00363A9B">
          <w:pPr>
            <w:pStyle w:val="TOC2"/>
            <w:rPr>
              <w:rFonts w:asciiTheme="minorHAnsi" w:eastAsiaTheme="minorEastAsia" w:hAnsiTheme="minorHAnsi" w:cstheme="minorBidi"/>
              <w:noProof/>
              <w:lang w:eastAsia="en-AU"/>
            </w:rPr>
          </w:pPr>
          <w:hyperlink w:anchor="_Toc520736710" w:history="1">
            <w:r w:rsidR="003337A3" w:rsidRPr="00484E59">
              <w:rPr>
                <w:rStyle w:val="Hyperlink"/>
                <w:noProof/>
              </w:rPr>
              <w:t>5.1</w:t>
            </w:r>
            <w:r w:rsidR="003337A3">
              <w:rPr>
                <w:rFonts w:asciiTheme="minorHAnsi" w:eastAsiaTheme="minorEastAsia" w:hAnsiTheme="minorHAnsi" w:cstheme="minorBidi"/>
                <w:noProof/>
                <w:lang w:eastAsia="en-AU"/>
              </w:rPr>
              <w:tab/>
            </w:r>
            <w:r w:rsidR="003337A3" w:rsidRPr="00484E59">
              <w:rPr>
                <w:rStyle w:val="Hyperlink"/>
                <w:noProof/>
              </w:rPr>
              <w:t>Audits</w:t>
            </w:r>
            <w:r w:rsidR="003337A3">
              <w:rPr>
                <w:noProof/>
                <w:webHidden/>
              </w:rPr>
              <w:tab/>
            </w:r>
            <w:r w:rsidR="003337A3">
              <w:rPr>
                <w:noProof/>
                <w:webHidden/>
              </w:rPr>
              <w:fldChar w:fldCharType="begin"/>
            </w:r>
            <w:r w:rsidR="003337A3">
              <w:rPr>
                <w:noProof/>
                <w:webHidden/>
              </w:rPr>
              <w:instrText xml:space="preserve"> PAGEREF _Toc520736710 \h </w:instrText>
            </w:r>
            <w:r w:rsidR="003337A3">
              <w:rPr>
                <w:noProof/>
                <w:webHidden/>
              </w:rPr>
            </w:r>
            <w:r w:rsidR="003337A3">
              <w:rPr>
                <w:noProof/>
                <w:webHidden/>
              </w:rPr>
              <w:fldChar w:fldCharType="separate"/>
            </w:r>
            <w:r w:rsidR="00495697">
              <w:rPr>
                <w:noProof/>
                <w:webHidden/>
              </w:rPr>
              <w:t>28</w:t>
            </w:r>
            <w:r w:rsidR="003337A3">
              <w:rPr>
                <w:noProof/>
                <w:webHidden/>
              </w:rPr>
              <w:fldChar w:fldCharType="end"/>
            </w:r>
          </w:hyperlink>
        </w:p>
        <w:p w14:paraId="2DF6408A" w14:textId="5D52A86B" w:rsidR="003337A3" w:rsidRDefault="00363A9B">
          <w:pPr>
            <w:pStyle w:val="TOC2"/>
            <w:rPr>
              <w:rFonts w:asciiTheme="minorHAnsi" w:eastAsiaTheme="minorEastAsia" w:hAnsiTheme="minorHAnsi" w:cstheme="minorBidi"/>
              <w:noProof/>
              <w:lang w:eastAsia="en-AU"/>
            </w:rPr>
          </w:pPr>
          <w:hyperlink w:anchor="_Toc520736711" w:history="1">
            <w:r w:rsidR="003337A3" w:rsidRPr="00484E59">
              <w:rPr>
                <w:rStyle w:val="Hyperlink"/>
                <w:noProof/>
              </w:rPr>
              <w:t>5.2</w:t>
            </w:r>
            <w:r w:rsidR="003337A3">
              <w:rPr>
                <w:rFonts w:asciiTheme="minorHAnsi" w:eastAsiaTheme="minorEastAsia" w:hAnsiTheme="minorHAnsi" w:cstheme="minorBidi"/>
                <w:noProof/>
                <w:lang w:eastAsia="en-AU"/>
              </w:rPr>
              <w:tab/>
            </w:r>
            <w:r w:rsidR="003337A3" w:rsidRPr="00484E59">
              <w:rPr>
                <w:rStyle w:val="Hyperlink"/>
                <w:noProof/>
              </w:rPr>
              <w:t>Requirements for auditors</w:t>
            </w:r>
            <w:r w:rsidR="003337A3">
              <w:rPr>
                <w:noProof/>
                <w:webHidden/>
              </w:rPr>
              <w:tab/>
            </w:r>
            <w:r w:rsidR="003337A3">
              <w:rPr>
                <w:noProof/>
                <w:webHidden/>
              </w:rPr>
              <w:fldChar w:fldCharType="begin"/>
            </w:r>
            <w:r w:rsidR="003337A3">
              <w:rPr>
                <w:noProof/>
                <w:webHidden/>
              </w:rPr>
              <w:instrText xml:space="preserve"> PAGEREF _Toc520736711 \h </w:instrText>
            </w:r>
            <w:r w:rsidR="003337A3">
              <w:rPr>
                <w:noProof/>
                <w:webHidden/>
              </w:rPr>
            </w:r>
            <w:r w:rsidR="003337A3">
              <w:rPr>
                <w:noProof/>
                <w:webHidden/>
              </w:rPr>
              <w:fldChar w:fldCharType="separate"/>
            </w:r>
            <w:r w:rsidR="00495697">
              <w:rPr>
                <w:noProof/>
                <w:webHidden/>
              </w:rPr>
              <w:t>29</w:t>
            </w:r>
            <w:r w:rsidR="003337A3">
              <w:rPr>
                <w:noProof/>
                <w:webHidden/>
              </w:rPr>
              <w:fldChar w:fldCharType="end"/>
            </w:r>
          </w:hyperlink>
        </w:p>
        <w:p w14:paraId="5B16B949" w14:textId="4713F44D" w:rsidR="003337A3" w:rsidRDefault="00363A9B">
          <w:pPr>
            <w:pStyle w:val="TOC2"/>
            <w:rPr>
              <w:rFonts w:asciiTheme="minorHAnsi" w:eastAsiaTheme="minorEastAsia" w:hAnsiTheme="minorHAnsi" w:cstheme="minorBidi"/>
              <w:noProof/>
              <w:lang w:eastAsia="en-AU"/>
            </w:rPr>
          </w:pPr>
          <w:hyperlink w:anchor="_Toc520736712" w:history="1">
            <w:r w:rsidR="003337A3" w:rsidRPr="00484E59">
              <w:rPr>
                <w:rStyle w:val="Hyperlink"/>
                <w:noProof/>
              </w:rPr>
              <w:t>5.3</w:t>
            </w:r>
            <w:r w:rsidR="003337A3">
              <w:rPr>
                <w:rFonts w:asciiTheme="minorHAnsi" w:eastAsiaTheme="minorEastAsia" w:hAnsiTheme="minorHAnsi" w:cstheme="minorBidi"/>
                <w:noProof/>
                <w:lang w:eastAsia="en-AU"/>
              </w:rPr>
              <w:tab/>
            </w:r>
            <w:r w:rsidR="003337A3" w:rsidRPr="00484E59">
              <w:rPr>
                <w:rStyle w:val="Hyperlink"/>
                <w:noProof/>
              </w:rPr>
              <w:t>Non-compliance by greenhouse and energy auditors</w:t>
            </w:r>
            <w:r w:rsidR="003337A3">
              <w:rPr>
                <w:noProof/>
                <w:webHidden/>
              </w:rPr>
              <w:tab/>
            </w:r>
            <w:r w:rsidR="003337A3">
              <w:rPr>
                <w:noProof/>
                <w:webHidden/>
              </w:rPr>
              <w:fldChar w:fldCharType="begin"/>
            </w:r>
            <w:r w:rsidR="003337A3">
              <w:rPr>
                <w:noProof/>
                <w:webHidden/>
              </w:rPr>
              <w:instrText xml:space="preserve"> PAGEREF _Toc520736712 \h </w:instrText>
            </w:r>
            <w:r w:rsidR="003337A3">
              <w:rPr>
                <w:noProof/>
                <w:webHidden/>
              </w:rPr>
            </w:r>
            <w:r w:rsidR="003337A3">
              <w:rPr>
                <w:noProof/>
                <w:webHidden/>
              </w:rPr>
              <w:fldChar w:fldCharType="separate"/>
            </w:r>
            <w:r w:rsidR="00495697">
              <w:rPr>
                <w:noProof/>
                <w:webHidden/>
              </w:rPr>
              <w:t>29</w:t>
            </w:r>
            <w:r w:rsidR="003337A3">
              <w:rPr>
                <w:noProof/>
                <w:webHidden/>
              </w:rPr>
              <w:fldChar w:fldCharType="end"/>
            </w:r>
          </w:hyperlink>
        </w:p>
        <w:p w14:paraId="11CF067B" w14:textId="6390093C" w:rsidR="003337A3" w:rsidRDefault="00363A9B">
          <w:pPr>
            <w:pStyle w:val="TOC2"/>
            <w:rPr>
              <w:rFonts w:asciiTheme="minorHAnsi" w:eastAsiaTheme="minorEastAsia" w:hAnsiTheme="minorHAnsi" w:cstheme="minorBidi"/>
              <w:noProof/>
              <w:lang w:eastAsia="en-AU"/>
            </w:rPr>
          </w:pPr>
          <w:hyperlink w:anchor="_Toc520736713" w:history="1">
            <w:r w:rsidR="003337A3" w:rsidRPr="00484E59">
              <w:rPr>
                <w:rStyle w:val="Hyperlink"/>
                <w:noProof/>
              </w:rPr>
              <w:t>5.4</w:t>
            </w:r>
            <w:r w:rsidR="003337A3">
              <w:rPr>
                <w:rFonts w:asciiTheme="minorHAnsi" w:eastAsiaTheme="minorEastAsia" w:hAnsiTheme="minorHAnsi" w:cstheme="minorBidi"/>
                <w:noProof/>
                <w:lang w:eastAsia="en-AU"/>
              </w:rPr>
              <w:tab/>
            </w:r>
            <w:r w:rsidR="003337A3" w:rsidRPr="00484E59">
              <w:rPr>
                <w:rStyle w:val="Hyperlink"/>
                <w:noProof/>
              </w:rPr>
              <w:t>Other programs using the audit framework</w:t>
            </w:r>
            <w:r w:rsidR="003337A3">
              <w:rPr>
                <w:noProof/>
                <w:webHidden/>
              </w:rPr>
              <w:tab/>
            </w:r>
            <w:r w:rsidR="003337A3">
              <w:rPr>
                <w:noProof/>
                <w:webHidden/>
              </w:rPr>
              <w:fldChar w:fldCharType="begin"/>
            </w:r>
            <w:r w:rsidR="003337A3">
              <w:rPr>
                <w:noProof/>
                <w:webHidden/>
              </w:rPr>
              <w:instrText xml:space="preserve"> PAGEREF _Toc520736713 \h </w:instrText>
            </w:r>
            <w:r w:rsidR="003337A3">
              <w:rPr>
                <w:noProof/>
                <w:webHidden/>
              </w:rPr>
            </w:r>
            <w:r w:rsidR="003337A3">
              <w:rPr>
                <w:noProof/>
                <w:webHidden/>
              </w:rPr>
              <w:fldChar w:fldCharType="separate"/>
            </w:r>
            <w:r w:rsidR="00495697">
              <w:rPr>
                <w:noProof/>
                <w:webHidden/>
              </w:rPr>
              <w:t>30</w:t>
            </w:r>
            <w:r w:rsidR="003337A3">
              <w:rPr>
                <w:noProof/>
                <w:webHidden/>
              </w:rPr>
              <w:fldChar w:fldCharType="end"/>
            </w:r>
          </w:hyperlink>
        </w:p>
        <w:p w14:paraId="4E3851CF" w14:textId="27BF25C7" w:rsidR="003337A3" w:rsidRDefault="00363A9B">
          <w:pPr>
            <w:pStyle w:val="TOC1"/>
            <w:tabs>
              <w:tab w:val="left" w:pos="1540"/>
            </w:tabs>
            <w:rPr>
              <w:rFonts w:asciiTheme="minorHAnsi" w:eastAsiaTheme="minorEastAsia" w:hAnsiTheme="minorHAnsi" w:cstheme="minorBidi"/>
              <w:b w:val="0"/>
              <w:caps w:val="0"/>
              <w:noProof/>
              <w:color w:val="auto"/>
              <w:lang w:eastAsia="en-AU"/>
            </w:rPr>
          </w:pPr>
          <w:hyperlink w:anchor="_Toc520736714" w:history="1">
            <w:r w:rsidR="003337A3" w:rsidRPr="00484E59">
              <w:rPr>
                <w:rStyle w:val="Hyperlink"/>
                <w:noProof/>
              </w:rPr>
              <w:t>Chapter 6.</w:t>
            </w:r>
            <w:r w:rsidR="003337A3">
              <w:rPr>
                <w:rFonts w:asciiTheme="minorHAnsi" w:eastAsiaTheme="minorEastAsia" w:hAnsiTheme="minorHAnsi" w:cstheme="minorBidi"/>
                <w:b w:val="0"/>
                <w:caps w:val="0"/>
                <w:noProof/>
                <w:color w:val="auto"/>
                <w:lang w:eastAsia="en-AU"/>
              </w:rPr>
              <w:tab/>
            </w:r>
            <w:r w:rsidR="003337A3" w:rsidRPr="00484E59">
              <w:rPr>
                <w:rStyle w:val="Hyperlink"/>
                <w:noProof/>
              </w:rPr>
              <w:t>Governance and compliance</w:t>
            </w:r>
            <w:r w:rsidR="003337A3">
              <w:rPr>
                <w:noProof/>
                <w:webHidden/>
              </w:rPr>
              <w:tab/>
            </w:r>
            <w:r w:rsidR="003337A3">
              <w:rPr>
                <w:noProof/>
                <w:webHidden/>
              </w:rPr>
              <w:fldChar w:fldCharType="begin"/>
            </w:r>
            <w:r w:rsidR="003337A3">
              <w:rPr>
                <w:noProof/>
                <w:webHidden/>
              </w:rPr>
              <w:instrText xml:space="preserve"> PAGEREF _Toc520736714 \h </w:instrText>
            </w:r>
            <w:r w:rsidR="003337A3">
              <w:rPr>
                <w:noProof/>
                <w:webHidden/>
              </w:rPr>
            </w:r>
            <w:r w:rsidR="003337A3">
              <w:rPr>
                <w:noProof/>
                <w:webHidden/>
              </w:rPr>
              <w:fldChar w:fldCharType="separate"/>
            </w:r>
            <w:r w:rsidR="00495697">
              <w:rPr>
                <w:noProof/>
                <w:webHidden/>
              </w:rPr>
              <w:t>31</w:t>
            </w:r>
            <w:r w:rsidR="003337A3">
              <w:rPr>
                <w:noProof/>
                <w:webHidden/>
              </w:rPr>
              <w:fldChar w:fldCharType="end"/>
            </w:r>
          </w:hyperlink>
        </w:p>
        <w:p w14:paraId="61A743B8" w14:textId="6B191B1B" w:rsidR="003337A3" w:rsidRDefault="00363A9B">
          <w:pPr>
            <w:pStyle w:val="TOC2"/>
            <w:rPr>
              <w:rFonts w:asciiTheme="minorHAnsi" w:eastAsiaTheme="minorEastAsia" w:hAnsiTheme="minorHAnsi" w:cstheme="minorBidi"/>
              <w:noProof/>
              <w:lang w:eastAsia="en-AU"/>
            </w:rPr>
          </w:pPr>
          <w:hyperlink w:anchor="_Toc520736715" w:history="1">
            <w:r w:rsidR="003337A3" w:rsidRPr="00484E59">
              <w:rPr>
                <w:rStyle w:val="Hyperlink"/>
                <w:noProof/>
              </w:rPr>
              <w:t>6.1</w:t>
            </w:r>
            <w:r w:rsidR="003337A3">
              <w:rPr>
                <w:rFonts w:asciiTheme="minorHAnsi" w:eastAsiaTheme="minorEastAsia" w:hAnsiTheme="minorHAnsi" w:cstheme="minorBidi"/>
                <w:noProof/>
                <w:lang w:eastAsia="en-AU"/>
              </w:rPr>
              <w:tab/>
            </w:r>
            <w:r w:rsidR="003337A3" w:rsidRPr="00484E59">
              <w:rPr>
                <w:rStyle w:val="Hyperlink"/>
                <w:noProof/>
              </w:rPr>
              <w:t>Compliance and the Clean Energy Regulator</w:t>
            </w:r>
            <w:r w:rsidR="003337A3">
              <w:rPr>
                <w:noProof/>
                <w:webHidden/>
              </w:rPr>
              <w:tab/>
            </w:r>
            <w:r w:rsidR="003337A3">
              <w:rPr>
                <w:noProof/>
                <w:webHidden/>
              </w:rPr>
              <w:fldChar w:fldCharType="begin"/>
            </w:r>
            <w:r w:rsidR="003337A3">
              <w:rPr>
                <w:noProof/>
                <w:webHidden/>
              </w:rPr>
              <w:instrText xml:space="preserve"> PAGEREF _Toc520736715 \h </w:instrText>
            </w:r>
            <w:r w:rsidR="003337A3">
              <w:rPr>
                <w:noProof/>
                <w:webHidden/>
              </w:rPr>
            </w:r>
            <w:r w:rsidR="003337A3">
              <w:rPr>
                <w:noProof/>
                <w:webHidden/>
              </w:rPr>
              <w:fldChar w:fldCharType="separate"/>
            </w:r>
            <w:r w:rsidR="00495697">
              <w:rPr>
                <w:noProof/>
                <w:webHidden/>
              </w:rPr>
              <w:t>31</w:t>
            </w:r>
            <w:r w:rsidR="003337A3">
              <w:rPr>
                <w:noProof/>
                <w:webHidden/>
              </w:rPr>
              <w:fldChar w:fldCharType="end"/>
            </w:r>
          </w:hyperlink>
        </w:p>
        <w:p w14:paraId="68DDDBA8" w14:textId="3D31D684" w:rsidR="003337A3" w:rsidRDefault="00363A9B">
          <w:pPr>
            <w:pStyle w:val="TOC2"/>
            <w:rPr>
              <w:rFonts w:asciiTheme="minorHAnsi" w:eastAsiaTheme="minorEastAsia" w:hAnsiTheme="minorHAnsi" w:cstheme="minorBidi"/>
              <w:noProof/>
              <w:lang w:eastAsia="en-AU"/>
            </w:rPr>
          </w:pPr>
          <w:hyperlink w:anchor="_Toc520736716" w:history="1">
            <w:r w:rsidR="003337A3" w:rsidRPr="00484E59">
              <w:rPr>
                <w:rStyle w:val="Hyperlink"/>
                <w:noProof/>
              </w:rPr>
              <w:t>6.2</w:t>
            </w:r>
            <w:r w:rsidR="003337A3">
              <w:rPr>
                <w:rFonts w:asciiTheme="minorHAnsi" w:eastAsiaTheme="minorEastAsia" w:hAnsiTheme="minorHAnsi" w:cstheme="minorBidi"/>
                <w:noProof/>
                <w:lang w:eastAsia="en-AU"/>
              </w:rPr>
              <w:tab/>
            </w:r>
            <w:r w:rsidR="003337A3" w:rsidRPr="00484E59">
              <w:rPr>
                <w:rStyle w:val="Hyperlink"/>
                <w:noProof/>
              </w:rPr>
              <w:t>Enforcement by the Clean Energy Regulator</w:t>
            </w:r>
            <w:r w:rsidR="003337A3">
              <w:rPr>
                <w:noProof/>
                <w:webHidden/>
              </w:rPr>
              <w:tab/>
            </w:r>
            <w:r w:rsidR="003337A3">
              <w:rPr>
                <w:noProof/>
                <w:webHidden/>
              </w:rPr>
              <w:fldChar w:fldCharType="begin"/>
            </w:r>
            <w:r w:rsidR="003337A3">
              <w:rPr>
                <w:noProof/>
                <w:webHidden/>
              </w:rPr>
              <w:instrText xml:space="preserve"> PAGEREF _Toc520736716 \h </w:instrText>
            </w:r>
            <w:r w:rsidR="003337A3">
              <w:rPr>
                <w:noProof/>
                <w:webHidden/>
              </w:rPr>
            </w:r>
            <w:r w:rsidR="003337A3">
              <w:rPr>
                <w:noProof/>
                <w:webHidden/>
              </w:rPr>
              <w:fldChar w:fldCharType="separate"/>
            </w:r>
            <w:r w:rsidR="00495697">
              <w:rPr>
                <w:noProof/>
                <w:webHidden/>
              </w:rPr>
              <w:t>31</w:t>
            </w:r>
            <w:r w:rsidR="003337A3">
              <w:rPr>
                <w:noProof/>
                <w:webHidden/>
              </w:rPr>
              <w:fldChar w:fldCharType="end"/>
            </w:r>
          </w:hyperlink>
        </w:p>
        <w:p w14:paraId="2240B8DD" w14:textId="3BFF5B99" w:rsidR="003337A3" w:rsidRDefault="00363A9B">
          <w:pPr>
            <w:pStyle w:val="TOC2"/>
            <w:rPr>
              <w:rFonts w:asciiTheme="minorHAnsi" w:eastAsiaTheme="minorEastAsia" w:hAnsiTheme="minorHAnsi" w:cstheme="minorBidi"/>
              <w:noProof/>
              <w:lang w:eastAsia="en-AU"/>
            </w:rPr>
          </w:pPr>
          <w:hyperlink w:anchor="_Toc520736717" w:history="1">
            <w:r w:rsidR="003337A3" w:rsidRPr="00484E59">
              <w:rPr>
                <w:rStyle w:val="Hyperlink"/>
                <w:noProof/>
              </w:rPr>
              <w:t>6.3</w:t>
            </w:r>
            <w:r w:rsidR="003337A3">
              <w:rPr>
                <w:rFonts w:asciiTheme="minorHAnsi" w:eastAsiaTheme="minorEastAsia" w:hAnsiTheme="minorHAnsi" w:cstheme="minorBidi"/>
                <w:noProof/>
                <w:lang w:eastAsia="en-AU"/>
              </w:rPr>
              <w:tab/>
            </w:r>
            <w:r w:rsidR="003337A3" w:rsidRPr="00484E59">
              <w:rPr>
                <w:rStyle w:val="Hyperlink"/>
                <w:noProof/>
              </w:rPr>
              <w:t>Review of Clean Energy Regulator decisions</w:t>
            </w:r>
            <w:r w:rsidR="003337A3">
              <w:rPr>
                <w:noProof/>
                <w:webHidden/>
              </w:rPr>
              <w:tab/>
            </w:r>
            <w:r w:rsidR="003337A3">
              <w:rPr>
                <w:noProof/>
                <w:webHidden/>
              </w:rPr>
              <w:fldChar w:fldCharType="begin"/>
            </w:r>
            <w:r w:rsidR="003337A3">
              <w:rPr>
                <w:noProof/>
                <w:webHidden/>
              </w:rPr>
              <w:instrText xml:space="preserve"> PAGEREF _Toc520736717 \h </w:instrText>
            </w:r>
            <w:r w:rsidR="003337A3">
              <w:rPr>
                <w:noProof/>
                <w:webHidden/>
              </w:rPr>
            </w:r>
            <w:r w:rsidR="003337A3">
              <w:rPr>
                <w:noProof/>
                <w:webHidden/>
              </w:rPr>
              <w:fldChar w:fldCharType="separate"/>
            </w:r>
            <w:r w:rsidR="00495697">
              <w:rPr>
                <w:noProof/>
                <w:webHidden/>
              </w:rPr>
              <w:t>32</w:t>
            </w:r>
            <w:r w:rsidR="003337A3">
              <w:rPr>
                <w:noProof/>
                <w:webHidden/>
              </w:rPr>
              <w:fldChar w:fldCharType="end"/>
            </w:r>
          </w:hyperlink>
        </w:p>
        <w:p w14:paraId="2800C14A" w14:textId="4E69C7A9" w:rsidR="003337A3" w:rsidRDefault="00363A9B">
          <w:pPr>
            <w:pStyle w:val="TOC1"/>
            <w:tabs>
              <w:tab w:val="left" w:pos="1540"/>
            </w:tabs>
            <w:rPr>
              <w:rFonts w:asciiTheme="minorHAnsi" w:eastAsiaTheme="minorEastAsia" w:hAnsiTheme="minorHAnsi" w:cstheme="minorBidi"/>
              <w:b w:val="0"/>
              <w:caps w:val="0"/>
              <w:noProof/>
              <w:color w:val="auto"/>
              <w:lang w:eastAsia="en-AU"/>
            </w:rPr>
          </w:pPr>
          <w:hyperlink w:anchor="_Toc520736718" w:history="1">
            <w:r w:rsidR="003337A3" w:rsidRPr="00484E59">
              <w:rPr>
                <w:rStyle w:val="Hyperlink"/>
                <w:noProof/>
              </w:rPr>
              <w:t>Chapter 7.</w:t>
            </w:r>
            <w:r w:rsidR="003337A3">
              <w:rPr>
                <w:rFonts w:asciiTheme="minorHAnsi" w:eastAsiaTheme="minorEastAsia" w:hAnsiTheme="minorHAnsi" w:cstheme="minorBidi"/>
                <w:b w:val="0"/>
                <w:caps w:val="0"/>
                <w:noProof/>
                <w:color w:val="auto"/>
                <w:lang w:eastAsia="en-AU"/>
              </w:rPr>
              <w:tab/>
            </w:r>
            <w:r w:rsidR="003337A3" w:rsidRPr="00484E59">
              <w:rPr>
                <w:rStyle w:val="Hyperlink"/>
                <w:noProof/>
              </w:rPr>
              <w:t>Next steps</w:t>
            </w:r>
            <w:r w:rsidR="003337A3">
              <w:rPr>
                <w:noProof/>
                <w:webHidden/>
              </w:rPr>
              <w:tab/>
            </w:r>
            <w:r w:rsidR="003337A3">
              <w:rPr>
                <w:noProof/>
                <w:webHidden/>
              </w:rPr>
              <w:fldChar w:fldCharType="begin"/>
            </w:r>
            <w:r w:rsidR="003337A3">
              <w:rPr>
                <w:noProof/>
                <w:webHidden/>
              </w:rPr>
              <w:instrText xml:space="preserve"> PAGEREF _Toc520736718 \h </w:instrText>
            </w:r>
            <w:r w:rsidR="003337A3">
              <w:rPr>
                <w:noProof/>
                <w:webHidden/>
              </w:rPr>
            </w:r>
            <w:r w:rsidR="003337A3">
              <w:rPr>
                <w:noProof/>
                <w:webHidden/>
              </w:rPr>
              <w:fldChar w:fldCharType="separate"/>
            </w:r>
            <w:r w:rsidR="00495697">
              <w:rPr>
                <w:noProof/>
                <w:webHidden/>
              </w:rPr>
              <w:t>34</w:t>
            </w:r>
            <w:r w:rsidR="003337A3">
              <w:rPr>
                <w:noProof/>
                <w:webHidden/>
              </w:rPr>
              <w:fldChar w:fldCharType="end"/>
            </w:r>
          </w:hyperlink>
        </w:p>
        <w:p w14:paraId="400406E7" w14:textId="4B1D7862" w:rsidR="003337A3" w:rsidRDefault="00363A9B">
          <w:pPr>
            <w:pStyle w:val="TOC1"/>
            <w:rPr>
              <w:rFonts w:asciiTheme="minorHAnsi" w:eastAsiaTheme="minorEastAsia" w:hAnsiTheme="minorHAnsi" w:cstheme="minorBidi"/>
              <w:b w:val="0"/>
              <w:caps w:val="0"/>
              <w:noProof/>
              <w:color w:val="auto"/>
              <w:lang w:eastAsia="en-AU"/>
            </w:rPr>
          </w:pPr>
          <w:hyperlink w:anchor="_Toc520736719" w:history="1">
            <w:r w:rsidR="003337A3" w:rsidRPr="00484E59">
              <w:rPr>
                <w:rStyle w:val="Hyperlink"/>
                <w:noProof/>
              </w:rPr>
              <w:t>Appendix A: Guiding principles for this review</w:t>
            </w:r>
            <w:r w:rsidR="003337A3">
              <w:rPr>
                <w:noProof/>
                <w:webHidden/>
              </w:rPr>
              <w:tab/>
            </w:r>
            <w:r w:rsidR="003337A3">
              <w:rPr>
                <w:noProof/>
                <w:webHidden/>
              </w:rPr>
              <w:fldChar w:fldCharType="begin"/>
            </w:r>
            <w:r w:rsidR="003337A3">
              <w:rPr>
                <w:noProof/>
                <w:webHidden/>
              </w:rPr>
              <w:instrText xml:space="preserve"> PAGEREF _Toc520736719 \h </w:instrText>
            </w:r>
            <w:r w:rsidR="003337A3">
              <w:rPr>
                <w:noProof/>
                <w:webHidden/>
              </w:rPr>
            </w:r>
            <w:r w:rsidR="003337A3">
              <w:rPr>
                <w:noProof/>
                <w:webHidden/>
              </w:rPr>
              <w:fldChar w:fldCharType="separate"/>
            </w:r>
            <w:r w:rsidR="00495697">
              <w:rPr>
                <w:noProof/>
                <w:webHidden/>
              </w:rPr>
              <w:t>35</w:t>
            </w:r>
            <w:r w:rsidR="003337A3">
              <w:rPr>
                <w:noProof/>
                <w:webHidden/>
              </w:rPr>
              <w:fldChar w:fldCharType="end"/>
            </w:r>
          </w:hyperlink>
        </w:p>
        <w:p w14:paraId="7589AFA5" w14:textId="44A02736" w:rsidR="003337A3" w:rsidRDefault="00363A9B">
          <w:pPr>
            <w:pStyle w:val="TOC1"/>
            <w:rPr>
              <w:rFonts w:asciiTheme="minorHAnsi" w:eastAsiaTheme="minorEastAsia" w:hAnsiTheme="minorHAnsi" w:cstheme="minorBidi"/>
              <w:b w:val="0"/>
              <w:caps w:val="0"/>
              <w:noProof/>
              <w:color w:val="auto"/>
              <w:lang w:eastAsia="en-AU"/>
            </w:rPr>
          </w:pPr>
          <w:hyperlink w:anchor="_Toc520736720" w:history="1">
            <w:r w:rsidR="003337A3" w:rsidRPr="00484E59">
              <w:rPr>
                <w:rStyle w:val="Hyperlink"/>
                <w:noProof/>
              </w:rPr>
              <w:t>Appendix B: List of consultation questions</w:t>
            </w:r>
            <w:r w:rsidR="003337A3">
              <w:rPr>
                <w:noProof/>
                <w:webHidden/>
              </w:rPr>
              <w:tab/>
            </w:r>
            <w:r w:rsidR="003337A3">
              <w:rPr>
                <w:noProof/>
                <w:webHidden/>
              </w:rPr>
              <w:fldChar w:fldCharType="begin"/>
            </w:r>
            <w:r w:rsidR="003337A3">
              <w:rPr>
                <w:noProof/>
                <w:webHidden/>
              </w:rPr>
              <w:instrText xml:space="preserve"> PAGEREF _Toc520736720 \h </w:instrText>
            </w:r>
            <w:r w:rsidR="003337A3">
              <w:rPr>
                <w:noProof/>
                <w:webHidden/>
              </w:rPr>
            </w:r>
            <w:r w:rsidR="003337A3">
              <w:rPr>
                <w:noProof/>
                <w:webHidden/>
              </w:rPr>
              <w:fldChar w:fldCharType="separate"/>
            </w:r>
            <w:r w:rsidR="00495697">
              <w:rPr>
                <w:noProof/>
                <w:webHidden/>
              </w:rPr>
              <w:t>36</w:t>
            </w:r>
            <w:r w:rsidR="003337A3">
              <w:rPr>
                <w:noProof/>
                <w:webHidden/>
              </w:rPr>
              <w:fldChar w:fldCharType="end"/>
            </w:r>
          </w:hyperlink>
        </w:p>
        <w:p w14:paraId="3E244414" w14:textId="4F0D13C4" w:rsidR="003337A3" w:rsidRDefault="00363A9B">
          <w:pPr>
            <w:pStyle w:val="TOC1"/>
            <w:rPr>
              <w:rFonts w:asciiTheme="minorHAnsi" w:eastAsiaTheme="minorEastAsia" w:hAnsiTheme="minorHAnsi" w:cstheme="minorBidi"/>
              <w:b w:val="0"/>
              <w:caps w:val="0"/>
              <w:noProof/>
              <w:color w:val="auto"/>
              <w:lang w:eastAsia="en-AU"/>
            </w:rPr>
          </w:pPr>
          <w:hyperlink w:anchor="_Toc520736721" w:history="1">
            <w:r w:rsidR="003337A3" w:rsidRPr="00484E59">
              <w:rPr>
                <w:rStyle w:val="Hyperlink"/>
                <w:noProof/>
              </w:rPr>
              <w:t>Glossary of terms</w:t>
            </w:r>
            <w:r w:rsidR="003337A3">
              <w:rPr>
                <w:noProof/>
                <w:webHidden/>
              </w:rPr>
              <w:tab/>
            </w:r>
            <w:r w:rsidR="003337A3">
              <w:rPr>
                <w:noProof/>
                <w:webHidden/>
              </w:rPr>
              <w:fldChar w:fldCharType="begin"/>
            </w:r>
            <w:r w:rsidR="003337A3">
              <w:rPr>
                <w:noProof/>
                <w:webHidden/>
              </w:rPr>
              <w:instrText xml:space="preserve"> PAGEREF _Toc520736721 \h </w:instrText>
            </w:r>
            <w:r w:rsidR="003337A3">
              <w:rPr>
                <w:noProof/>
                <w:webHidden/>
              </w:rPr>
            </w:r>
            <w:r w:rsidR="003337A3">
              <w:rPr>
                <w:noProof/>
                <w:webHidden/>
              </w:rPr>
              <w:fldChar w:fldCharType="separate"/>
            </w:r>
            <w:r w:rsidR="00495697">
              <w:rPr>
                <w:noProof/>
                <w:webHidden/>
              </w:rPr>
              <w:t>38</w:t>
            </w:r>
            <w:r w:rsidR="003337A3">
              <w:rPr>
                <w:noProof/>
                <w:webHidden/>
              </w:rPr>
              <w:fldChar w:fldCharType="end"/>
            </w:r>
          </w:hyperlink>
        </w:p>
        <w:p w14:paraId="105485EA" w14:textId="43BC152D" w:rsidR="003337A3" w:rsidRDefault="00363A9B">
          <w:pPr>
            <w:pStyle w:val="TOC1"/>
            <w:rPr>
              <w:rFonts w:asciiTheme="minorHAnsi" w:eastAsiaTheme="minorEastAsia" w:hAnsiTheme="minorHAnsi" w:cstheme="minorBidi"/>
              <w:b w:val="0"/>
              <w:caps w:val="0"/>
              <w:noProof/>
              <w:color w:val="auto"/>
              <w:lang w:eastAsia="en-AU"/>
            </w:rPr>
          </w:pPr>
          <w:hyperlink w:anchor="_Toc520736722" w:history="1">
            <w:r w:rsidR="003337A3" w:rsidRPr="00484E59">
              <w:rPr>
                <w:rStyle w:val="Hyperlink"/>
                <w:noProof/>
              </w:rPr>
              <w:t>Abbreviations</w:t>
            </w:r>
            <w:r w:rsidR="003337A3">
              <w:rPr>
                <w:noProof/>
                <w:webHidden/>
              </w:rPr>
              <w:tab/>
            </w:r>
            <w:r w:rsidR="003337A3">
              <w:rPr>
                <w:noProof/>
                <w:webHidden/>
              </w:rPr>
              <w:fldChar w:fldCharType="begin"/>
            </w:r>
            <w:r w:rsidR="003337A3">
              <w:rPr>
                <w:noProof/>
                <w:webHidden/>
              </w:rPr>
              <w:instrText xml:space="preserve"> PAGEREF _Toc520736722 \h </w:instrText>
            </w:r>
            <w:r w:rsidR="003337A3">
              <w:rPr>
                <w:noProof/>
                <w:webHidden/>
              </w:rPr>
            </w:r>
            <w:r w:rsidR="003337A3">
              <w:rPr>
                <w:noProof/>
                <w:webHidden/>
              </w:rPr>
              <w:fldChar w:fldCharType="separate"/>
            </w:r>
            <w:r w:rsidR="00495697">
              <w:rPr>
                <w:noProof/>
                <w:webHidden/>
              </w:rPr>
              <w:t>40</w:t>
            </w:r>
            <w:r w:rsidR="003337A3">
              <w:rPr>
                <w:noProof/>
                <w:webHidden/>
              </w:rPr>
              <w:fldChar w:fldCharType="end"/>
            </w:r>
          </w:hyperlink>
        </w:p>
        <w:p w14:paraId="15A222E6" w14:textId="21854A6C" w:rsidR="003337A3" w:rsidRDefault="00363A9B">
          <w:pPr>
            <w:pStyle w:val="TOC1"/>
            <w:rPr>
              <w:rFonts w:asciiTheme="minorHAnsi" w:eastAsiaTheme="minorEastAsia" w:hAnsiTheme="minorHAnsi" w:cstheme="minorBidi"/>
              <w:b w:val="0"/>
              <w:caps w:val="0"/>
              <w:noProof/>
              <w:color w:val="auto"/>
              <w:lang w:eastAsia="en-AU"/>
            </w:rPr>
          </w:pPr>
          <w:hyperlink w:anchor="_Toc520736723" w:history="1">
            <w:r w:rsidR="003337A3" w:rsidRPr="00484E59">
              <w:rPr>
                <w:rStyle w:val="Hyperlink"/>
                <w:noProof/>
              </w:rPr>
              <w:t>References</w:t>
            </w:r>
            <w:r w:rsidR="003337A3">
              <w:rPr>
                <w:noProof/>
                <w:webHidden/>
              </w:rPr>
              <w:tab/>
            </w:r>
            <w:r w:rsidR="003337A3">
              <w:rPr>
                <w:noProof/>
                <w:webHidden/>
              </w:rPr>
              <w:fldChar w:fldCharType="begin"/>
            </w:r>
            <w:r w:rsidR="003337A3">
              <w:rPr>
                <w:noProof/>
                <w:webHidden/>
              </w:rPr>
              <w:instrText xml:space="preserve"> PAGEREF _Toc520736723 \h </w:instrText>
            </w:r>
            <w:r w:rsidR="003337A3">
              <w:rPr>
                <w:noProof/>
                <w:webHidden/>
              </w:rPr>
            </w:r>
            <w:r w:rsidR="003337A3">
              <w:rPr>
                <w:noProof/>
                <w:webHidden/>
              </w:rPr>
              <w:fldChar w:fldCharType="separate"/>
            </w:r>
            <w:r w:rsidR="00495697">
              <w:rPr>
                <w:noProof/>
                <w:webHidden/>
              </w:rPr>
              <w:t>41</w:t>
            </w:r>
            <w:r w:rsidR="003337A3">
              <w:rPr>
                <w:noProof/>
                <w:webHidden/>
              </w:rPr>
              <w:fldChar w:fldCharType="end"/>
            </w:r>
          </w:hyperlink>
        </w:p>
        <w:p w14:paraId="1F8911A8" w14:textId="77777777" w:rsidR="00A465ED" w:rsidRDefault="000536D0" w:rsidP="00A465ED">
          <w:r>
            <w:fldChar w:fldCharType="end"/>
          </w:r>
        </w:p>
      </w:sdtContent>
    </w:sdt>
    <w:p w14:paraId="15DAF919" w14:textId="560BD8CD" w:rsidR="00A465ED" w:rsidRPr="000536D0" w:rsidRDefault="000536D0" w:rsidP="00495697">
      <w:pPr>
        <w:spacing w:before="200" w:after="80"/>
        <w:rPr>
          <w:color w:val="159DCE"/>
        </w:rPr>
      </w:pPr>
      <w:r w:rsidRPr="000536D0">
        <w:rPr>
          <w:color w:val="159DCE"/>
        </w:rPr>
        <w:t>FIGURES</w:t>
      </w:r>
    </w:p>
    <w:p w14:paraId="7EC4CF93" w14:textId="4CE6EC53" w:rsidR="003337A3" w:rsidRDefault="00A465ED" w:rsidP="00495697">
      <w:pPr>
        <w:pStyle w:val="TableofFigures"/>
        <w:tabs>
          <w:tab w:val="right" w:leader="dot" w:pos="9202"/>
        </w:tabs>
        <w:spacing w:after="80"/>
        <w:rPr>
          <w:rFonts w:asciiTheme="minorHAnsi" w:eastAsiaTheme="minorEastAsia" w:hAnsiTheme="minorHAnsi" w:cstheme="minorBidi"/>
          <w:noProof/>
          <w:lang w:eastAsia="en-AU"/>
        </w:rPr>
      </w:pPr>
      <w:r>
        <w:fldChar w:fldCharType="begin"/>
      </w:r>
      <w:r>
        <w:instrText xml:space="preserve"> TOC \h \z \c "Figure" </w:instrText>
      </w:r>
      <w:r>
        <w:fldChar w:fldCharType="separate"/>
      </w:r>
      <w:hyperlink w:anchor="_Toc520736673" w:history="1">
        <w:r w:rsidR="003337A3" w:rsidRPr="00FA404B">
          <w:rPr>
            <w:rStyle w:val="Hyperlink"/>
            <w:noProof/>
          </w:rPr>
          <w:t>Figure 1: Proportion of Australia's total emissions subject to the reporting scheme and safeguard in 2016-17</w:t>
        </w:r>
        <w:r w:rsidR="003337A3">
          <w:rPr>
            <w:noProof/>
            <w:webHidden/>
          </w:rPr>
          <w:tab/>
        </w:r>
        <w:r w:rsidR="003337A3">
          <w:rPr>
            <w:noProof/>
            <w:webHidden/>
          </w:rPr>
          <w:fldChar w:fldCharType="begin"/>
        </w:r>
        <w:r w:rsidR="003337A3">
          <w:rPr>
            <w:noProof/>
            <w:webHidden/>
          </w:rPr>
          <w:instrText xml:space="preserve"> PAGEREF _Toc520736673 \h </w:instrText>
        </w:r>
        <w:r w:rsidR="003337A3">
          <w:rPr>
            <w:noProof/>
            <w:webHidden/>
          </w:rPr>
        </w:r>
        <w:r w:rsidR="003337A3">
          <w:rPr>
            <w:noProof/>
            <w:webHidden/>
          </w:rPr>
          <w:fldChar w:fldCharType="separate"/>
        </w:r>
        <w:r w:rsidR="003337A3">
          <w:rPr>
            <w:noProof/>
            <w:webHidden/>
          </w:rPr>
          <w:t>7</w:t>
        </w:r>
        <w:r w:rsidR="003337A3">
          <w:rPr>
            <w:noProof/>
            <w:webHidden/>
          </w:rPr>
          <w:fldChar w:fldCharType="end"/>
        </w:r>
      </w:hyperlink>
    </w:p>
    <w:p w14:paraId="5F5C2686" w14:textId="52051D4B" w:rsidR="003337A3" w:rsidRDefault="00363A9B" w:rsidP="00495697">
      <w:pPr>
        <w:pStyle w:val="TableofFigures"/>
        <w:tabs>
          <w:tab w:val="right" w:leader="dot" w:pos="9202"/>
        </w:tabs>
        <w:spacing w:after="80"/>
        <w:rPr>
          <w:rFonts w:asciiTheme="minorHAnsi" w:eastAsiaTheme="minorEastAsia" w:hAnsiTheme="minorHAnsi" w:cstheme="minorBidi"/>
          <w:noProof/>
          <w:lang w:eastAsia="en-AU"/>
        </w:rPr>
      </w:pPr>
      <w:hyperlink w:anchor="_Toc520736674" w:history="1">
        <w:r w:rsidR="003337A3" w:rsidRPr="00FA404B">
          <w:rPr>
            <w:rStyle w:val="Hyperlink"/>
            <w:noProof/>
          </w:rPr>
          <w:t>Figure 2: Scope 1 and 2 emissions</w:t>
        </w:r>
        <w:r w:rsidR="003337A3">
          <w:rPr>
            <w:noProof/>
            <w:webHidden/>
          </w:rPr>
          <w:tab/>
        </w:r>
        <w:r w:rsidR="003337A3">
          <w:rPr>
            <w:noProof/>
            <w:webHidden/>
          </w:rPr>
          <w:fldChar w:fldCharType="begin"/>
        </w:r>
        <w:r w:rsidR="003337A3">
          <w:rPr>
            <w:noProof/>
            <w:webHidden/>
          </w:rPr>
          <w:instrText xml:space="preserve"> PAGEREF _Toc520736674 \h </w:instrText>
        </w:r>
        <w:r w:rsidR="003337A3">
          <w:rPr>
            <w:noProof/>
            <w:webHidden/>
          </w:rPr>
        </w:r>
        <w:r w:rsidR="003337A3">
          <w:rPr>
            <w:noProof/>
            <w:webHidden/>
          </w:rPr>
          <w:fldChar w:fldCharType="separate"/>
        </w:r>
        <w:r w:rsidR="003337A3">
          <w:rPr>
            <w:noProof/>
            <w:webHidden/>
          </w:rPr>
          <w:t>10</w:t>
        </w:r>
        <w:r w:rsidR="003337A3">
          <w:rPr>
            <w:noProof/>
            <w:webHidden/>
          </w:rPr>
          <w:fldChar w:fldCharType="end"/>
        </w:r>
      </w:hyperlink>
    </w:p>
    <w:p w14:paraId="6D3EC0B6" w14:textId="2941AABA" w:rsidR="003337A3" w:rsidRDefault="00363A9B" w:rsidP="00495697">
      <w:pPr>
        <w:pStyle w:val="TableofFigures"/>
        <w:tabs>
          <w:tab w:val="right" w:leader="dot" w:pos="9202"/>
        </w:tabs>
        <w:spacing w:after="80"/>
        <w:rPr>
          <w:rFonts w:asciiTheme="minorHAnsi" w:eastAsiaTheme="minorEastAsia" w:hAnsiTheme="minorHAnsi" w:cstheme="minorBidi"/>
          <w:noProof/>
          <w:lang w:eastAsia="en-AU"/>
        </w:rPr>
      </w:pPr>
      <w:hyperlink w:anchor="_Toc520736675" w:history="1">
        <w:r w:rsidR="003337A3" w:rsidRPr="00FA404B">
          <w:rPr>
            <w:rStyle w:val="Hyperlink"/>
            <w:noProof/>
          </w:rPr>
          <w:t>Figure 3: Top ten industry sectors by scope 1 emissions for 2016-17</w:t>
        </w:r>
        <w:r w:rsidR="003337A3">
          <w:rPr>
            <w:noProof/>
            <w:webHidden/>
          </w:rPr>
          <w:tab/>
        </w:r>
        <w:r w:rsidR="003337A3">
          <w:rPr>
            <w:noProof/>
            <w:webHidden/>
          </w:rPr>
          <w:fldChar w:fldCharType="begin"/>
        </w:r>
        <w:r w:rsidR="003337A3">
          <w:rPr>
            <w:noProof/>
            <w:webHidden/>
          </w:rPr>
          <w:instrText xml:space="preserve"> PAGEREF _Toc520736675 \h </w:instrText>
        </w:r>
        <w:r w:rsidR="003337A3">
          <w:rPr>
            <w:noProof/>
            <w:webHidden/>
          </w:rPr>
        </w:r>
        <w:r w:rsidR="003337A3">
          <w:rPr>
            <w:noProof/>
            <w:webHidden/>
          </w:rPr>
          <w:fldChar w:fldCharType="separate"/>
        </w:r>
        <w:r w:rsidR="003337A3">
          <w:rPr>
            <w:noProof/>
            <w:webHidden/>
          </w:rPr>
          <w:t>12</w:t>
        </w:r>
        <w:r w:rsidR="003337A3">
          <w:rPr>
            <w:noProof/>
            <w:webHidden/>
          </w:rPr>
          <w:fldChar w:fldCharType="end"/>
        </w:r>
      </w:hyperlink>
    </w:p>
    <w:p w14:paraId="1B7404C0" w14:textId="573F6B4C" w:rsidR="003337A3" w:rsidRDefault="00363A9B" w:rsidP="00495697">
      <w:pPr>
        <w:pStyle w:val="TableofFigures"/>
        <w:tabs>
          <w:tab w:val="right" w:leader="dot" w:pos="9202"/>
        </w:tabs>
        <w:spacing w:after="80"/>
        <w:rPr>
          <w:rFonts w:asciiTheme="minorHAnsi" w:eastAsiaTheme="minorEastAsia" w:hAnsiTheme="minorHAnsi" w:cstheme="minorBidi"/>
          <w:noProof/>
          <w:lang w:eastAsia="en-AU"/>
        </w:rPr>
      </w:pPr>
      <w:hyperlink w:anchor="_Toc520736676" w:history="1">
        <w:r w:rsidR="003337A3" w:rsidRPr="00FA404B">
          <w:rPr>
            <w:rStyle w:val="Hyperlink"/>
            <w:noProof/>
          </w:rPr>
          <w:t>Figure 4: Setting a reported baseline</w:t>
        </w:r>
        <w:r w:rsidR="003337A3">
          <w:rPr>
            <w:noProof/>
            <w:webHidden/>
          </w:rPr>
          <w:tab/>
        </w:r>
        <w:r w:rsidR="003337A3">
          <w:rPr>
            <w:noProof/>
            <w:webHidden/>
          </w:rPr>
          <w:fldChar w:fldCharType="begin"/>
        </w:r>
        <w:r w:rsidR="003337A3">
          <w:rPr>
            <w:noProof/>
            <w:webHidden/>
          </w:rPr>
          <w:instrText xml:space="preserve"> PAGEREF _Toc520736676 \h </w:instrText>
        </w:r>
        <w:r w:rsidR="003337A3">
          <w:rPr>
            <w:noProof/>
            <w:webHidden/>
          </w:rPr>
        </w:r>
        <w:r w:rsidR="003337A3">
          <w:rPr>
            <w:noProof/>
            <w:webHidden/>
          </w:rPr>
          <w:fldChar w:fldCharType="separate"/>
        </w:r>
        <w:r w:rsidR="003337A3">
          <w:rPr>
            <w:noProof/>
            <w:webHidden/>
          </w:rPr>
          <w:t>18</w:t>
        </w:r>
        <w:r w:rsidR="003337A3">
          <w:rPr>
            <w:noProof/>
            <w:webHidden/>
          </w:rPr>
          <w:fldChar w:fldCharType="end"/>
        </w:r>
      </w:hyperlink>
    </w:p>
    <w:p w14:paraId="3A791D5B" w14:textId="0ED7970F" w:rsidR="00A465ED" w:rsidRPr="000536D0" w:rsidRDefault="00A465ED" w:rsidP="00495697">
      <w:pPr>
        <w:spacing w:before="400" w:after="80"/>
        <w:rPr>
          <w:color w:val="159DCE"/>
        </w:rPr>
      </w:pPr>
      <w:r>
        <w:fldChar w:fldCharType="end"/>
      </w:r>
      <w:r w:rsidR="000536D0" w:rsidRPr="000536D0">
        <w:rPr>
          <w:color w:val="159DCE"/>
        </w:rPr>
        <w:t>TABLES</w:t>
      </w:r>
    </w:p>
    <w:p w14:paraId="14FFB616" w14:textId="1FE6502F" w:rsidR="003337A3" w:rsidRDefault="00A465ED" w:rsidP="00495697">
      <w:pPr>
        <w:pStyle w:val="TableofFigures"/>
        <w:tabs>
          <w:tab w:val="right" w:leader="dot" w:pos="9202"/>
        </w:tabs>
        <w:spacing w:after="80"/>
        <w:rPr>
          <w:rFonts w:asciiTheme="minorHAnsi" w:eastAsiaTheme="minorEastAsia" w:hAnsiTheme="minorHAnsi" w:cstheme="minorBidi"/>
          <w:noProof/>
          <w:lang w:eastAsia="en-AU"/>
        </w:rPr>
      </w:pPr>
      <w:r>
        <w:fldChar w:fldCharType="begin"/>
      </w:r>
      <w:r>
        <w:instrText xml:space="preserve"> TOC \h \z \c "Table" </w:instrText>
      </w:r>
      <w:r>
        <w:fldChar w:fldCharType="separate"/>
      </w:r>
      <w:hyperlink w:anchor="_Toc520736670" w:history="1">
        <w:r w:rsidR="003337A3" w:rsidRPr="004D0480">
          <w:rPr>
            <w:rStyle w:val="Hyperlink"/>
            <w:noProof/>
          </w:rPr>
          <w:t>Table 1: Corporate group and facility thresholds</w:t>
        </w:r>
        <w:r w:rsidR="003337A3">
          <w:rPr>
            <w:noProof/>
            <w:webHidden/>
          </w:rPr>
          <w:tab/>
        </w:r>
        <w:r w:rsidR="003337A3">
          <w:rPr>
            <w:noProof/>
            <w:webHidden/>
          </w:rPr>
          <w:fldChar w:fldCharType="begin"/>
        </w:r>
        <w:r w:rsidR="003337A3">
          <w:rPr>
            <w:noProof/>
            <w:webHidden/>
          </w:rPr>
          <w:instrText xml:space="preserve"> PAGEREF _Toc520736670 \h </w:instrText>
        </w:r>
        <w:r w:rsidR="003337A3">
          <w:rPr>
            <w:noProof/>
            <w:webHidden/>
          </w:rPr>
        </w:r>
        <w:r w:rsidR="003337A3">
          <w:rPr>
            <w:noProof/>
            <w:webHidden/>
          </w:rPr>
          <w:fldChar w:fldCharType="separate"/>
        </w:r>
        <w:r w:rsidR="003337A3">
          <w:rPr>
            <w:noProof/>
            <w:webHidden/>
          </w:rPr>
          <w:t>9</w:t>
        </w:r>
        <w:r w:rsidR="003337A3">
          <w:rPr>
            <w:noProof/>
            <w:webHidden/>
          </w:rPr>
          <w:fldChar w:fldCharType="end"/>
        </w:r>
      </w:hyperlink>
    </w:p>
    <w:p w14:paraId="30F92F3A" w14:textId="619ECEFF" w:rsidR="003337A3" w:rsidRDefault="00363A9B" w:rsidP="00495697">
      <w:pPr>
        <w:pStyle w:val="TableofFigures"/>
        <w:tabs>
          <w:tab w:val="right" w:leader="dot" w:pos="9202"/>
        </w:tabs>
        <w:spacing w:after="80"/>
        <w:rPr>
          <w:rFonts w:asciiTheme="minorHAnsi" w:eastAsiaTheme="minorEastAsia" w:hAnsiTheme="minorHAnsi" w:cstheme="minorBidi"/>
          <w:noProof/>
          <w:lang w:eastAsia="en-AU"/>
        </w:rPr>
      </w:pPr>
      <w:hyperlink w:anchor="_Toc520736671" w:history="1">
        <w:r w:rsidR="003337A3" w:rsidRPr="004D0480">
          <w:rPr>
            <w:rStyle w:val="Hyperlink"/>
            <w:noProof/>
          </w:rPr>
          <w:t>Table 2: Safeguard baselines</w:t>
        </w:r>
        <w:r w:rsidR="003337A3">
          <w:rPr>
            <w:noProof/>
            <w:webHidden/>
          </w:rPr>
          <w:tab/>
        </w:r>
        <w:r w:rsidR="003337A3">
          <w:rPr>
            <w:noProof/>
            <w:webHidden/>
          </w:rPr>
          <w:fldChar w:fldCharType="begin"/>
        </w:r>
        <w:r w:rsidR="003337A3">
          <w:rPr>
            <w:noProof/>
            <w:webHidden/>
          </w:rPr>
          <w:instrText xml:space="preserve"> PAGEREF _Toc520736671 \h </w:instrText>
        </w:r>
        <w:r w:rsidR="003337A3">
          <w:rPr>
            <w:noProof/>
            <w:webHidden/>
          </w:rPr>
        </w:r>
        <w:r w:rsidR="003337A3">
          <w:rPr>
            <w:noProof/>
            <w:webHidden/>
          </w:rPr>
          <w:fldChar w:fldCharType="separate"/>
        </w:r>
        <w:r w:rsidR="003337A3">
          <w:rPr>
            <w:noProof/>
            <w:webHidden/>
          </w:rPr>
          <w:t>19</w:t>
        </w:r>
        <w:r w:rsidR="003337A3">
          <w:rPr>
            <w:noProof/>
            <w:webHidden/>
          </w:rPr>
          <w:fldChar w:fldCharType="end"/>
        </w:r>
      </w:hyperlink>
    </w:p>
    <w:p w14:paraId="6295979D" w14:textId="2478081F" w:rsidR="003337A3" w:rsidRDefault="00363A9B" w:rsidP="00495697">
      <w:pPr>
        <w:pStyle w:val="TableofFigures"/>
        <w:tabs>
          <w:tab w:val="right" w:leader="dot" w:pos="9202"/>
        </w:tabs>
        <w:spacing w:after="80"/>
        <w:rPr>
          <w:rFonts w:asciiTheme="minorHAnsi" w:eastAsiaTheme="minorEastAsia" w:hAnsiTheme="minorHAnsi" w:cstheme="minorBidi"/>
          <w:noProof/>
          <w:lang w:eastAsia="en-AU"/>
        </w:rPr>
      </w:pPr>
      <w:hyperlink w:anchor="_Toc520736672" w:history="1">
        <w:r w:rsidR="003337A3" w:rsidRPr="004D0480">
          <w:rPr>
            <w:rStyle w:val="Hyperlink"/>
            <w:noProof/>
          </w:rPr>
          <w:t>Table 3: Publication thresholds</w:t>
        </w:r>
        <w:r w:rsidR="003337A3">
          <w:rPr>
            <w:noProof/>
            <w:webHidden/>
          </w:rPr>
          <w:tab/>
        </w:r>
        <w:r w:rsidR="003337A3">
          <w:rPr>
            <w:noProof/>
            <w:webHidden/>
          </w:rPr>
          <w:fldChar w:fldCharType="begin"/>
        </w:r>
        <w:r w:rsidR="003337A3">
          <w:rPr>
            <w:noProof/>
            <w:webHidden/>
          </w:rPr>
          <w:instrText xml:space="preserve"> PAGEREF _Toc520736672 \h </w:instrText>
        </w:r>
        <w:r w:rsidR="003337A3">
          <w:rPr>
            <w:noProof/>
            <w:webHidden/>
          </w:rPr>
        </w:r>
        <w:r w:rsidR="003337A3">
          <w:rPr>
            <w:noProof/>
            <w:webHidden/>
          </w:rPr>
          <w:fldChar w:fldCharType="separate"/>
        </w:r>
        <w:r w:rsidR="003337A3">
          <w:rPr>
            <w:noProof/>
            <w:webHidden/>
          </w:rPr>
          <w:t>25</w:t>
        </w:r>
        <w:r w:rsidR="003337A3">
          <w:rPr>
            <w:noProof/>
            <w:webHidden/>
          </w:rPr>
          <w:fldChar w:fldCharType="end"/>
        </w:r>
      </w:hyperlink>
    </w:p>
    <w:p w14:paraId="4B58B80F" w14:textId="77777777" w:rsidR="00A465ED" w:rsidRDefault="00A465ED" w:rsidP="00C5358A">
      <w:pPr>
        <w:spacing w:before="40" w:after="80"/>
      </w:pPr>
      <w:r>
        <w:fldChar w:fldCharType="end"/>
      </w:r>
    </w:p>
    <w:p w14:paraId="2F0F71E9" w14:textId="50F1CCF0" w:rsidR="000509A1" w:rsidRDefault="000509A1" w:rsidP="00584E20">
      <w:pPr>
        <w:pStyle w:val="Heading1NN"/>
      </w:pPr>
      <w:bookmarkStart w:id="14" w:name="_Toc519166160"/>
      <w:bookmarkStart w:id="15" w:name="_Toc519240526"/>
      <w:bookmarkStart w:id="16" w:name="_Toc519240655"/>
      <w:bookmarkStart w:id="17" w:name="_Toc520448553"/>
      <w:bookmarkStart w:id="18" w:name="_Toc520455229"/>
      <w:bookmarkStart w:id="19" w:name="_Toc520459030"/>
      <w:bookmarkStart w:id="20" w:name="_Toc520459422"/>
      <w:bookmarkStart w:id="21" w:name="_Toc520458552"/>
      <w:bookmarkStart w:id="22" w:name="_Toc520459510"/>
      <w:bookmarkStart w:id="23" w:name="_Toc520461420"/>
      <w:bookmarkStart w:id="24" w:name="_Toc520461786"/>
      <w:bookmarkStart w:id="25" w:name="_Toc520466817"/>
      <w:bookmarkStart w:id="26" w:name="_Toc520469854"/>
      <w:bookmarkStart w:id="27" w:name="_Toc520705311"/>
      <w:bookmarkStart w:id="28" w:name="_Toc520707675"/>
      <w:bookmarkStart w:id="29" w:name="_Toc520716689"/>
      <w:bookmarkStart w:id="30" w:name="_Toc520720337"/>
      <w:bookmarkStart w:id="31" w:name="_Toc520721588"/>
      <w:bookmarkStart w:id="32" w:name="_Toc520724121"/>
      <w:bookmarkStart w:id="33" w:name="_Toc520735226"/>
      <w:bookmarkStart w:id="34" w:name="_Toc520736259"/>
      <w:bookmarkStart w:id="35" w:name="_Toc520736678"/>
      <w:r>
        <w:lastRenderedPageBreak/>
        <w:t>Chair’s foreword</w:t>
      </w:r>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F07776A" w14:textId="25C1678D" w:rsidR="000509A1" w:rsidRDefault="000509A1" w:rsidP="000509A1">
      <w:r>
        <w:t xml:space="preserve">The Climate Change Authority is pleased to release this paper as a basis for consultation on its review of the </w:t>
      </w:r>
      <w:r w:rsidR="0099062D">
        <w:t xml:space="preserve">operation of the </w:t>
      </w:r>
      <w:r>
        <w:t>National Greenhouse and Energy Reporting legislation.</w:t>
      </w:r>
    </w:p>
    <w:p w14:paraId="6C7CEBCE" w14:textId="25054127" w:rsidR="000509A1" w:rsidRDefault="000509A1" w:rsidP="000509A1">
      <w:r>
        <w:t xml:space="preserve">Under the </w:t>
      </w:r>
      <w:r w:rsidR="00A67CDA">
        <w:t>legislation</w:t>
      </w:r>
      <w:r>
        <w:t xml:space="preserve">, </w:t>
      </w:r>
      <w:r w:rsidR="00CD61E3">
        <w:t>companies</w:t>
      </w:r>
      <w:r>
        <w:t xml:space="preserve"> measure and report their greenhouse gas emissions and energy production and use. It is a far-reaching scheme covering </w:t>
      </w:r>
      <w:r w:rsidR="008A2E4D">
        <w:t xml:space="preserve">around 800 companies </w:t>
      </w:r>
      <w:r>
        <w:t>and 60 per cent of Australia’s emissions.</w:t>
      </w:r>
    </w:p>
    <w:p w14:paraId="0F6F36EC" w14:textId="37894FA8" w:rsidR="000509A1" w:rsidRDefault="000509A1" w:rsidP="000509A1">
      <w:r>
        <w:t>The legislation also underpins the safeguard</w:t>
      </w:r>
      <w:r w:rsidR="00E50A4F">
        <w:t xml:space="preserve"> mechanism</w:t>
      </w:r>
      <w:r>
        <w:t>, which places limits on emissions from</w:t>
      </w:r>
      <w:r w:rsidDel="00D63A48">
        <w:t xml:space="preserve"> </w:t>
      </w:r>
      <w:r>
        <w:t>facilities</w:t>
      </w:r>
      <w:r w:rsidR="000B09C2">
        <w:t xml:space="preserve"> and provides a framework for </w:t>
      </w:r>
      <w:r w:rsidR="00210E87">
        <w:t xml:space="preserve">companies </w:t>
      </w:r>
      <w:r w:rsidR="000B09C2">
        <w:t>to measure, report and manage their emissions</w:t>
      </w:r>
      <w:r>
        <w:t>. The safeguard aims to ensure emission reductions purchased through the Emission</w:t>
      </w:r>
      <w:r w:rsidR="00E50A4F">
        <w:t>s</w:t>
      </w:r>
      <w:r>
        <w:t xml:space="preserve"> Reduction Fund are not </w:t>
      </w:r>
      <w:r w:rsidR="00BD574A">
        <w:t xml:space="preserve">offset </w:t>
      </w:r>
      <w:r>
        <w:t xml:space="preserve">by significant increases in emissions elsewhere in the economy. </w:t>
      </w:r>
    </w:p>
    <w:p w14:paraId="389AC397" w14:textId="6CC2DD68" w:rsidR="000509A1" w:rsidRDefault="000509A1" w:rsidP="000509A1">
      <w:r>
        <w:t xml:space="preserve">As well as covering </w:t>
      </w:r>
      <w:r w:rsidR="00A77DA7">
        <w:t xml:space="preserve">emissions and </w:t>
      </w:r>
      <w:r>
        <w:t>energy reporting and the safeguard, the legislation establishes the greenhouse and energy auditing framework</w:t>
      </w:r>
      <w:r w:rsidR="00A77DA7">
        <w:t xml:space="preserve">. This is </w:t>
      </w:r>
      <w:r>
        <w:t>an important part of the compliance regime</w:t>
      </w:r>
      <w:r w:rsidR="00A77DA7">
        <w:t xml:space="preserve"> </w:t>
      </w:r>
      <w:r>
        <w:t>appl</w:t>
      </w:r>
      <w:r w:rsidR="00E43A55">
        <w:t>ying</w:t>
      </w:r>
      <w:r>
        <w:t xml:space="preserve"> to audits under </w:t>
      </w:r>
      <w:r w:rsidR="0099062D">
        <w:t xml:space="preserve">the </w:t>
      </w:r>
      <w:r>
        <w:t>reporting</w:t>
      </w:r>
      <w:r w:rsidR="0099062D">
        <w:t xml:space="preserve"> scheme</w:t>
      </w:r>
      <w:r>
        <w:t>, the safeguard</w:t>
      </w:r>
      <w:r w:rsidR="004F1961">
        <w:t xml:space="preserve">, </w:t>
      </w:r>
      <w:r w:rsidR="0099062D">
        <w:t xml:space="preserve">and other climate change policies such as </w:t>
      </w:r>
      <w:r>
        <w:t>the Emissions Reduction Fund</w:t>
      </w:r>
      <w:r w:rsidR="004F1961">
        <w:t xml:space="preserve"> and the Renewable Energy Target</w:t>
      </w:r>
      <w:r>
        <w:t>.</w:t>
      </w:r>
      <w:r w:rsidR="003A5206">
        <w:t xml:space="preserve"> </w:t>
      </w:r>
    </w:p>
    <w:p w14:paraId="244E591D" w14:textId="0E63DE41" w:rsidR="000509A1" w:rsidRDefault="00C85637" w:rsidP="000509A1">
      <w:r>
        <w:t xml:space="preserve">The review will </w:t>
      </w:r>
      <w:r w:rsidR="000509A1">
        <w:t>consider whether each of the</w:t>
      </w:r>
      <w:r w:rsidR="004028BF">
        <w:t>se</w:t>
      </w:r>
      <w:r w:rsidR="000509A1">
        <w:t xml:space="preserve"> aspects of the legislation </w:t>
      </w:r>
      <w:r>
        <w:t>is</w:t>
      </w:r>
      <w:r w:rsidR="000509A1">
        <w:t xml:space="preserve"> </w:t>
      </w:r>
      <w:r>
        <w:t xml:space="preserve">achieving its objectives, </w:t>
      </w:r>
      <w:r w:rsidR="000509A1">
        <w:t xml:space="preserve">is fit for purpose, and if any improvements are needed. </w:t>
      </w:r>
      <w:r>
        <w:t>It is timely to review th</w:t>
      </w:r>
      <w:r w:rsidR="004028BF">
        <w:t xml:space="preserve">e reporting scheme given it is </w:t>
      </w:r>
      <w:r w:rsidRPr="005112D5">
        <w:t>now a decade old</w:t>
      </w:r>
      <w:r w:rsidR="004028BF">
        <w:t>. By contrast</w:t>
      </w:r>
      <w:r w:rsidR="0049209E">
        <w:t>,</w:t>
      </w:r>
      <w:r w:rsidR="004028BF">
        <w:t xml:space="preserve"> the </w:t>
      </w:r>
      <w:r w:rsidR="0099062D">
        <w:t>safeguard has only been in place for a couple of years</w:t>
      </w:r>
      <w:r w:rsidR="004028BF">
        <w:t>.</w:t>
      </w:r>
      <w:r w:rsidRPr="00C85637">
        <w:t xml:space="preserve"> </w:t>
      </w:r>
    </w:p>
    <w:p w14:paraId="6CBD7E88" w14:textId="2640D52F" w:rsidR="000509A1" w:rsidRDefault="000509A1" w:rsidP="000509A1">
      <w:r>
        <w:t xml:space="preserve">The Authority is particularly interested in whether the old adage of </w:t>
      </w:r>
      <w:r w:rsidR="00D00F97">
        <w:t>‘</w:t>
      </w:r>
      <w:r>
        <w:t xml:space="preserve">you can’t manage what you </w:t>
      </w:r>
      <w:r w:rsidR="00F60492">
        <w:t>don</w:t>
      </w:r>
      <w:r w:rsidR="00E00411">
        <w:t>’</w:t>
      </w:r>
      <w:r w:rsidR="00F60492">
        <w:t>t</w:t>
      </w:r>
      <w:r>
        <w:t xml:space="preserve"> measure</w:t>
      </w:r>
      <w:r w:rsidR="00CD61E3">
        <w:t>’</w:t>
      </w:r>
      <w:r>
        <w:t xml:space="preserve"> has held true and if </w:t>
      </w:r>
      <w:r w:rsidR="004028BF">
        <w:t xml:space="preserve">the </w:t>
      </w:r>
      <w:r>
        <w:t xml:space="preserve">reporting </w:t>
      </w:r>
      <w:r w:rsidR="004028BF">
        <w:t xml:space="preserve">scheme </w:t>
      </w:r>
      <w:r>
        <w:t xml:space="preserve">has led to </w:t>
      </w:r>
      <w:r w:rsidR="004028BF">
        <w:t xml:space="preserve">improvements </w:t>
      </w:r>
      <w:r>
        <w:t xml:space="preserve">in the way emissions </w:t>
      </w:r>
      <w:r w:rsidR="00A77DA7">
        <w:t xml:space="preserve">and energy </w:t>
      </w:r>
      <w:r>
        <w:t>are being managed throughout the Australian economy.</w:t>
      </w:r>
    </w:p>
    <w:p w14:paraId="1696E88D" w14:textId="06A1B5BF" w:rsidR="000509A1" w:rsidRDefault="000509A1" w:rsidP="004028BF">
      <w:r>
        <w:t xml:space="preserve">The Authority encourages organisations and individuals with an interest in the legislation to make a submission on this review by </w:t>
      </w:r>
      <w:r w:rsidR="00A77DA7">
        <w:t>11</w:t>
      </w:r>
      <w:r w:rsidR="00826E1B">
        <w:t> </w:t>
      </w:r>
      <w:r w:rsidR="00A77DA7">
        <w:t>September</w:t>
      </w:r>
      <w:r w:rsidR="00826E1B">
        <w:t> </w:t>
      </w:r>
      <w:r>
        <w:t xml:space="preserve">2018. </w:t>
      </w:r>
      <w:r w:rsidR="004028BF">
        <w:t>Your contributions are</w:t>
      </w:r>
      <w:r>
        <w:t xml:space="preserve"> valued greatly by the Authority </w:t>
      </w:r>
      <w:r w:rsidR="0070154C">
        <w:t xml:space="preserve">and </w:t>
      </w:r>
      <w:r>
        <w:t>will inform the Authority’s final review report on the legislation, which is due by 31</w:t>
      </w:r>
      <w:r w:rsidR="00826E1B">
        <w:t> </w:t>
      </w:r>
      <w:r>
        <w:t>December</w:t>
      </w:r>
      <w:r w:rsidR="00826E1B">
        <w:t> </w:t>
      </w:r>
      <w:r>
        <w:t xml:space="preserve">2018. </w:t>
      </w:r>
    </w:p>
    <w:p w14:paraId="5EB1EA05" w14:textId="77777777" w:rsidR="003D338C" w:rsidRDefault="00934924" w:rsidP="003D338C">
      <w:pPr>
        <w:spacing w:after="0" w:line="240" w:lineRule="auto"/>
      </w:pPr>
      <w:r w:rsidRPr="001729AD">
        <w:rPr>
          <w:noProof/>
          <w:lang w:eastAsia="en-AU"/>
        </w:rPr>
        <w:drawing>
          <wp:anchor distT="0" distB="0" distL="114300" distR="114300" simplePos="0" relativeHeight="251658242" behindDoc="0" locked="0" layoutInCell="1" allowOverlap="1" wp14:anchorId="0682315E" wp14:editId="5ED8B507">
            <wp:simplePos x="0" y="0"/>
            <wp:positionH relativeFrom="column">
              <wp:posOffset>0</wp:posOffset>
            </wp:positionH>
            <wp:positionV relativeFrom="paragraph">
              <wp:posOffset>160020</wp:posOffset>
            </wp:positionV>
            <wp:extent cx="1119225" cy="539139"/>
            <wp:effectExtent l="0" t="0" r="5080" b="0"/>
            <wp:wrapNone/>
            <wp:docPr id="6" name="Picture 6"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002"/>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1119225" cy="5391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6740A84" w14:textId="5084EA33" w:rsidR="003D338C" w:rsidRDefault="003D338C" w:rsidP="003D338C">
      <w:pPr>
        <w:spacing w:after="0" w:line="240" w:lineRule="auto"/>
      </w:pPr>
    </w:p>
    <w:p w14:paraId="72DAA2E0" w14:textId="77777777" w:rsidR="003D338C" w:rsidRDefault="003D338C" w:rsidP="003D338C">
      <w:pPr>
        <w:spacing w:after="0" w:line="240" w:lineRule="auto"/>
      </w:pPr>
    </w:p>
    <w:p w14:paraId="05FD5997" w14:textId="77777777" w:rsidR="003D338C" w:rsidRDefault="003D338C" w:rsidP="003D338C">
      <w:pPr>
        <w:spacing w:after="0" w:line="240" w:lineRule="auto"/>
      </w:pPr>
    </w:p>
    <w:p w14:paraId="78110C22" w14:textId="77777777" w:rsidR="003D338C" w:rsidRDefault="003D338C" w:rsidP="003D338C">
      <w:pPr>
        <w:spacing w:after="0" w:line="240" w:lineRule="auto"/>
      </w:pPr>
    </w:p>
    <w:p w14:paraId="41810847" w14:textId="0FCEB28C" w:rsidR="00E50A4F" w:rsidRDefault="00707C83" w:rsidP="0056214D">
      <w:pPr>
        <w:spacing w:after="40" w:line="240" w:lineRule="auto"/>
      </w:pPr>
      <w:r>
        <w:t xml:space="preserve">Dr </w:t>
      </w:r>
      <w:r w:rsidR="000509A1">
        <w:t xml:space="preserve">Wendy Craik AM </w:t>
      </w:r>
    </w:p>
    <w:p w14:paraId="538F489B" w14:textId="382B5125" w:rsidR="00E77FA4" w:rsidRDefault="000509A1" w:rsidP="0056214D">
      <w:pPr>
        <w:spacing w:after="40" w:line="240" w:lineRule="auto"/>
      </w:pPr>
      <w:r>
        <w:t>Chair</w:t>
      </w:r>
      <w:r w:rsidR="002860E8">
        <w:t xml:space="preserve">, </w:t>
      </w:r>
      <w:r>
        <w:t>Climate Change Authority</w:t>
      </w:r>
    </w:p>
    <w:p w14:paraId="2C443808" w14:textId="0241A04C" w:rsidR="00D91B0B" w:rsidRDefault="00D91B0B" w:rsidP="0056214D">
      <w:pPr>
        <w:spacing w:after="40" w:line="240" w:lineRule="auto"/>
        <w:sectPr w:rsidR="00D91B0B" w:rsidSect="00706281">
          <w:headerReference w:type="even" r:id="rId24"/>
          <w:headerReference w:type="default" r:id="rId25"/>
          <w:headerReference w:type="first" r:id="rId26"/>
          <w:pgSz w:w="11906" w:h="16838"/>
          <w:pgMar w:top="1418" w:right="1276" w:bottom="851" w:left="1418" w:header="425" w:footer="425" w:gutter="0"/>
          <w:pgNumType w:start="3"/>
          <w:cols w:space="708"/>
          <w:titlePg/>
          <w:docGrid w:linePitch="360"/>
        </w:sectPr>
      </w:pPr>
      <w:r>
        <w:t>31 July 2018</w:t>
      </w:r>
    </w:p>
    <w:p w14:paraId="2EB9D9CB" w14:textId="1B958EAD" w:rsidR="000509A1" w:rsidRDefault="000509A1" w:rsidP="0056214D">
      <w:pPr>
        <w:spacing w:after="40" w:line="240" w:lineRule="auto"/>
      </w:pPr>
    </w:p>
    <w:p w14:paraId="0C85E79F" w14:textId="3B42B8B9" w:rsidR="006D51D1" w:rsidRDefault="000509A1" w:rsidP="00216EBF">
      <w:pPr>
        <w:pStyle w:val="Heading1"/>
        <w:numPr>
          <w:ilvl w:val="0"/>
          <w:numId w:val="14"/>
        </w:numPr>
      </w:pPr>
      <w:bookmarkStart w:id="36" w:name="_Toc519166161"/>
      <w:bookmarkStart w:id="37" w:name="_Toc519240527"/>
      <w:bookmarkStart w:id="38" w:name="_Toc519240656"/>
      <w:bookmarkStart w:id="39" w:name="_Toc520448554"/>
      <w:bookmarkStart w:id="40" w:name="_Toc520455230"/>
      <w:bookmarkStart w:id="41" w:name="_Toc520459031"/>
      <w:bookmarkStart w:id="42" w:name="_Toc520459423"/>
      <w:bookmarkStart w:id="43" w:name="_Toc520458553"/>
      <w:bookmarkStart w:id="44" w:name="_Toc520459511"/>
      <w:bookmarkStart w:id="45" w:name="_Toc520461421"/>
      <w:bookmarkStart w:id="46" w:name="_Toc520461787"/>
      <w:bookmarkStart w:id="47" w:name="_Toc520466818"/>
      <w:bookmarkStart w:id="48" w:name="_Toc520469855"/>
      <w:bookmarkStart w:id="49" w:name="_Toc520705312"/>
      <w:bookmarkStart w:id="50" w:name="_Toc520707676"/>
      <w:bookmarkStart w:id="51" w:name="_Toc520716690"/>
      <w:bookmarkStart w:id="52" w:name="_Toc520720338"/>
      <w:bookmarkStart w:id="53" w:name="_Toc520721589"/>
      <w:bookmarkStart w:id="54" w:name="_Toc520724122"/>
      <w:bookmarkStart w:id="55" w:name="_Toc520735227"/>
      <w:bookmarkStart w:id="56" w:name="_Toc520736260"/>
      <w:bookmarkStart w:id="57" w:name="_Toc520736679"/>
      <w:r>
        <w:lastRenderedPageBreak/>
        <w:t>Background and overview</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3AC278D9" w14:textId="29C1BB4C" w:rsidR="008E17DA" w:rsidRDefault="008E17DA" w:rsidP="00883094">
      <w:pPr>
        <w:pStyle w:val="Heading2"/>
      </w:pPr>
      <w:bookmarkStart w:id="58" w:name="_Toc519166162"/>
      <w:bookmarkStart w:id="59" w:name="_Toc519240528"/>
      <w:bookmarkStart w:id="60" w:name="_Toc519240657"/>
      <w:bookmarkStart w:id="61" w:name="_Toc520448555"/>
      <w:bookmarkStart w:id="62" w:name="_Toc520455231"/>
      <w:bookmarkStart w:id="63" w:name="_Toc520459032"/>
      <w:bookmarkStart w:id="64" w:name="_Toc520459424"/>
      <w:bookmarkStart w:id="65" w:name="_Toc520458554"/>
      <w:bookmarkStart w:id="66" w:name="_Toc520459512"/>
      <w:bookmarkStart w:id="67" w:name="_Toc520461422"/>
      <w:bookmarkStart w:id="68" w:name="_Toc520461788"/>
      <w:bookmarkStart w:id="69" w:name="_Toc520466819"/>
      <w:bookmarkStart w:id="70" w:name="_Toc520469856"/>
      <w:bookmarkStart w:id="71" w:name="_Toc520705313"/>
      <w:bookmarkStart w:id="72" w:name="_Toc520707677"/>
      <w:bookmarkStart w:id="73" w:name="_Toc520716691"/>
      <w:bookmarkStart w:id="74" w:name="_Toc520720339"/>
      <w:bookmarkStart w:id="75" w:name="_Toc520721590"/>
      <w:bookmarkStart w:id="76" w:name="_Toc520724123"/>
      <w:bookmarkStart w:id="77" w:name="_Toc520735228"/>
      <w:bookmarkStart w:id="78" w:name="_Toc520736261"/>
      <w:bookmarkStart w:id="79" w:name="_Toc520736680"/>
      <w:r>
        <w:t xml:space="preserve">About </w:t>
      </w:r>
      <w:r w:rsidR="0056214D">
        <w:t>the</w:t>
      </w:r>
      <w:r>
        <w:t xml:space="preserve"> review</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p>
    <w:p w14:paraId="6BCD8E72" w14:textId="07785E3E" w:rsidR="006D51D1" w:rsidRDefault="006D51D1" w:rsidP="006D51D1">
      <w:r>
        <w:t>The Climate Change Authority is an independent statutory agency, which provides expert advice to the Government on climate change policy. The Authority is required to review the</w:t>
      </w:r>
      <w:r w:rsidR="00193858">
        <w:t xml:space="preserve"> operation of the</w:t>
      </w:r>
      <w:r>
        <w:t xml:space="preserve"> National Greenhouse and Energy Reporting legislation by 31</w:t>
      </w:r>
      <w:r w:rsidR="00826E1B">
        <w:t> </w:t>
      </w:r>
      <w:r>
        <w:t>December</w:t>
      </w:r>
      <w:r w:rsidR="00826E1B">
        <w:t> </w:t>
      </w:r>
      <w:r>
        <w:t>2018</w:t>
      </w:r>
      <w:r w:rsidR="00E50A4F">
        <w:t xml:space="preserve"> and then complete further reviews every five years</w:t>
      </w:r>
      <w:r>
        <w:t>.</w:t>
      </w:r>
    </w:p>
    <w:p w14:paraId="05BBCAEB" w14:textId="4019E539" w:rsidR="00F7399D" w:rsidRDefault="006D51D1" w:rsidP="0039628C">
      <w:pPr>
        <w:pStyle w:val="ListBullet"/>
      </w:pPr>
      <w:r>
        <w:t xml:space="preserve">The legislation </w:t>
      </w:r>
      <w:r w:rsidR="00F7399D">
        <w:t>has three key elements. It:</w:t>
      </w:r>
    </w:p>
    <w:p w14:paraId="47DE8A20" w14:textId="33D7579B" w:rsidR="006D51D1" w:rsidRPr="004841B0" w:rsidRDefault="006D51D1"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requires companies over certain thresholds to measure and report their greenhouse gas emissions as well as their energy production and use to the Australian Government</w:t>
      </w:r>
    </w:p>
    <w:p w14:paraId="03FDA275" w14:textId="2E3B3C7D" w:rsidR="006A4CA1" w:rsidRPr="004841B0" w:rsidRDefault="006D51D1"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 xml:space="preserve">underpins the safeguard mechanism, which </w:t>
      </w:r>
      <w:r w:rsidR="00A77DA7" w:rsidRPr="004841B0">
        <w:rPr>
          <w:rFonts w:eastAsiaTheme="minorHAnsi" w:cstheme="minorBidi"/>
          <w:lang w:val="en-US"/>
        </w:rPr>
        <w:t xml:space="preserve">places emissions limits on </w:t>
      </w:r>
      <w:r w:rsidR="006A4CA1" w:rsidRPr="004841B0">
        <w:rPr>
          <w:rFonts w:eastAsiaTheme="minorHAnsi" w:cstheme="minorBidi"/>
          <w:lang w:val="en-US"/>
        </w:rPr>
        <w:t>large</w:t>
      </w:r>
      <w:r w:rsidR="002D36DA" w:rsidRPr="004841B0">
        <w:rPr>
          <w:rFonts w:eastAsiaTheme="minorHAnsi" w:cstheme="minorBidi"/>
          <w:lang w:val="en-US"/>
        </w:rPr>
        <w:t xml:space="preserve"> facilities </w:t>
      </w:r>
      <w:r w:rsidR="00A77DA7" w:rsidRPr="004841B0">
        <w:rPr>
          <w:rFonts w:eastAsiaTheme="minorHAnsi" w:cstheme="minorBidi"/>
          <w:lang w:val="en-US"/>
        </w:rPr>
        <w:t xml:space="preserve">and provides a framework for </w:t>
      </w:r>
      <w:r w:rsidR="002D36DA" w:rsidRPr="004841B0">
        <w:rPr>
          <w:rFonts w:eastAsiaTheme="minorHAnsi" w:cstheme="minorBidi"/>
          <w:lang w:val="en-US"/>
        </w:rPr>
        <w:t>them</w:t>
      </w:r>
      <w:r w:rsidR="00A77DA7" w:rsidRPr="004841B0">
        <w:rPr>
          <w:rFonts w:eastAsiaTheme="minorHAnsi" w:cstheme="minorBidi"/>
          <w:lang w:val="en-US"/>
        </w:rPr>
        <w:t xml:space="preserve"> </w:t>
      </w:r>
      <w:r w:rsidR="006A4CA1" w:rsidRPr="004841B0">
        <w:rPr>
          <w:rFonts w:eastAsiaTheme="minorHAnsi" w:cstheme="minorBidi"/>
          <w:lang w:val="en-US"/>
        </w:rPr>
        <w:t>to measure, report and manage their emissions</w:t>
      </w:r>
    </w:p>
    <w:p w14:paraId="4C93FB0D" w14:textId="7841A289" w:rsidR="006D51D1" w:rsidRPr="004841B0" w:rsidRDefault="006D51D1"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establishes the greenhouse and energy auditing framework appl</w:t>
      </w:r>
      <w:r w:rsidR="00E43A55">
        <w:rPr>
          <w:rFonts w:eastAsiaTheme="minorHAnsi" w:cstheme="minorBidi"/>
          <w:lang w:val="en-US"/>
        </w:rPr>
        <w:t>ying</w:t>
      </w:r>
      <w:r w:rsidRPr="004841B0">
        <w:rPr>
          <w:rFonts w:eastAsiaTheme="minorHAnsi" w:cstheme="minorBidi"/>
          <w:lang w:val="en-US"/>
        </w:rPr>
        <w:t xml:space="preserve"> to audits required under </w:t>
      </w:r>
      <w:r w:rsidR="00F7399D" w:rsidRPr="004841B0">
        <w:rPr>
          <w:rFonts w:eastAsiaTheme="minorHAnsi" w:cstheme="minorBidi"/>
          <w:lang w:val="en-US"/>
        </w:rPr>
        <w:t xml:space="preserve">the </w:t>
      </w:r>
      <w:r w:rsidRPr="004841B0">
        <w:rPr>
          <w:rFonts w:eastAsiaTheme="minorHAnsi" w:cstheme="minorBidi"/>
          <w:lang w:val="en-US"/>
        </w:rPr>
        <w:t>reporting</w:t>
      </w:r>
      <w:r w:rsidR="00F7399D" w:rsidRPr="004841B0">
        <w:rPr>
          <w:rFonts w:eastAsiaTheme="minorHAnsi" w:cstheme="minorBidi"/>
          <w:lang w:val="en-US"/>
        </w:rPr>
        <w:t xml:space="preserve"> scheme</w:t>
      </w:r>
      <w:r w:rsidRPr="004841B0">
        <w:rPr>
          <w:rFonts w:eastAsiaTheme="minorHAnsi" w:cstheme="minorBidi"/>
          <w:lang w:val="en-US"/>
        </w:rPr>
        <w:t>, the safeguard</w:t>
      </w:r>
      <w:r w:rsidR="00F7399D" w:rsidRPr="004841B0">
        <w:rPr>
          <w:rFonts w:eastAsiaTheme="minorHAnsi" w:cstheme="minorBidi"/>
          <w:lang w:val="en-US"/>
        </w:rPr>
        <w:t xml:space="preserve"> and other climate change policies </w:t>
      </w:r>
      <w:r w:rsidR="0005537B">
        <w:rPr>
          <w:rFonts w:eastAsiaTheme="minorHAnsi" w:cstheme="minorBidi"/>
          <w:lang w:val="en-US"/>
        </w:rPr>
        <w:t>such as</w:t>
      </w:r>
      <w:r w:rsidR="00E50A4F" w:rsidRPr="004841B0">
        <w:rPr>
          <w:rFonts w:eastAsiaTheme="minorHAnsi" w:cstheme="minorBidi"/>
          <w:lang w:val="en-US"/>
        </w:rPr>
        <w:t xml:space="preserve"> </w:t>
      </w:r>
      <w:r w:rsidRPr="004841B0">
        <w:rPr>
          <w:rFonts w:eastAsiaTheme="minorHAnsi" w:cstheme="minorBidi"/>
          <w:lang w:val="en-US"/>
        </w:rPr>
        <w:t>the E</w:t>
      </w:r>
      <w:r w:rsidR="00F7399D" w:rsidRPr="004841B0">
        <w:rPr>
          <w:rFonts w:eastAsiaTheme="minorHAnsi" w:cstheme="minorBidi"/>
          <w:lang w:val="en-US"/>
        </w:rPr>
        <w:t xml:space="preserve">missions </w:t>
      </w:r>
      <w:r w:rsidRPr="004841B0">
        <w:rPr>
          <w:rFonts w:eastAsiaTheme="minorHAnsi" w:cstheme="minorBidi"/>
          <w:lang w:val="en-US"/>
        </w:rPr>
        <w:t>R</w:t>
      </w:r>
      <w:r w:rsidR="00F7399D" w:rsidRPr="004841B0">
        <w:rPr>
          <w:rFonts w:eastAsiaTheme="minorHAnsi" w:cstheme="minorBidi"/>
          <w:lang w:val="en-US"/>
        </w:rPr>
        <w:t xml:space="preserve">eduction </w:t>
      </w:r>
      <w:r w:rsidRPr="004841B0">
        <w:rPr>
          <w:rFonts w:eastAsiaTheme="minorHAnsi" w:cstheme="minorBidi"/>
          <w:lang w:val="en-US"/>
        </w:rPr>
        <w:t>F</w:t>
      </w:r>
      <w:r w:rsidR="00F7399D" w:rsidRPr="004841B0">
        <w:rPr>
          <w:rFonts w:eastAsiaTheme="minorHAnsi" w:cstheme="minorBidi"/>
          <w:lang w:val="en-US"/>
        </w:rPr>
        <w:t xml:space="preserve">und </w:t>
      </w:r>
      <w:r w:rsidR="00E50A4F" w:rsidRPr="004841B0">
        <w:rPr>
          <w:rFonts w:eastAsiaTheme="minorHAnsi" w:cstheme="minorBidi"/>
          <w:lang w:val="en-US"/>
        </w:rPr>
        <w:t>and the Renewable Energy Target</w:t>
      </w:r>
      <w:r w:rsidRPr="004841B0">
        <w:rPr>
          <w:rFonts w:eastAsiaTheme="minorHAnsi" w:cstheme="minorBidi"/>
          <w:lang w:val="en-US"/>
        </w:rPr>
        <w:t>.</w:t>
      </w:r>
    </w:p>
    <w:p w14:paraId="48DAD046" w14:textId="6CF08088" w:rsidR="00D76CDF" w:rsidRDefault="00D76CDF" w:rsidP="00D76CDF">
      <w:r>
        <w:t xml:space="preserve">This review will focus on these aspects of the legislation with a view to determining whether each of the individual elements is achieving its objectives, </w:t>
      </w:r>
      <w:r w:rsidR="0049209E">
        <w:t xml:space="preserve">is </w:t>
      </w:r>
      <w:r>
        <w:t xml:space="preserve">fit for purpose and if any improvements are needed. </w:t>
      </w:r>
    </w:p>
    <w:p w14:paraId="171B6AEC" w14:textId="4EE0F77A" w:rsidR="00C60692" w:rsidRDefault="006B5CAF" w:rsidP="00D76CDF">
      <w:r>
        <w:t>T</w:t>
      </w:r>
      <w:r w:rsidR="00D76CDF">
        <w:t xml:space="preserve">he Authority will assess the </w:t>
      </w:r>
      <w:r w:rsidR="0049209E">
        <w:t xml:space="preserve">National Greenhouse and Energy Reporting </w:t>
      </w:r>
      <w:r>
        <w:t xml:space="preserve">legislation </w:t>
      </w:r>
      <w:r w:rsidR="00D76CDF">
        <w:t xml:space="preserve">with reference to the principles in its own legislation: </w:t>
      </w:r>
      <w:r w:rsidR="00C60692">
        <w:t xml:space="preserve">economic efficiency, </w:t>
      </w:r>
      <w:r w:rsidR="00D76CDF">
        <w:t>environmental effectiveness, equity, public interest</w:t>
      </w:r>
      <w:r w:rsidR="00C60692">
        <w:t xml:space="preserve">, </w:t>
      </w:r>
      <w:r w:rsidR="00D76CDF">
        <w:t>supporting the development of an effective global response to climate change</w:t>
      </w:r>
      <w:r w:rsidR="00C60692">
        <w:t>, consistency with Australia’s foreign policy and trade objectives, and taking into account the impact on households, businesses, workers and communities</w:t>
      </w:r>
      <w:r w:rsidR="00D76CDF">
        <w:t xml:space="preserve"> (</w:t>
      </w:r>
      <w:r w:rsidR="00156160">
        <w:fldChar w:fldCharType="begin"/>
      </w:r>
      <w:r w:rsidR="00156160">
        <w:instrText xml:space="preserve"> REF AppendixA \h </w:instrText>
      </w:r>
      <w:r w:rsidR="00156160">
        <w:fldChar w:fldCharType="separate"/>
      </w:r>
      <w:r w:rsidR="00AD7AD8">
        <w:t>Appendix A</w:t>
      </w:r>
      <w:r w:rsidR="00156160">
        <w:fldChar w:fldCharType="end"/>
      </w:r>
      <w:r w:rsidR="00D76CDF">
        <w:t xml:space="preserve">). </w:t>
      </w:r>
    </w:p>
    <w:p w14:paraId="2B8433E2" w14:textId="331A5819" w:rsidR="008E17DA" w:rsidRDefault="008E17DA" w:rsidP="00883094">
      <w:pPr>
        <w:pStyle w:val="Heading2"/>
      </w:pPr>
      <w:bookmarkStart w:id="80" w:name="_Toc520448417"/>
      <w:bookmarkStart w:id="81" w:name="_Toc520448500"/>
      <w:bookmarkStart w:id="82" w:name="_Toc520448556"/>
      <w:bookmarkStart w:id="83" w:name="_Toc520448779"/>
      <w:bookmarkStart w:id="84" w:name="_Toc520450046"/>
      <w:bookmarkStart w:id="85" w:name="_Toc520449240"/>
      <w:bookmarkStart w:id="86" w:name="_Toc520451163"/>
      <w:bookmarkStart w:id="87" w:name="_Toc520451248"/>
      <w:bookmarkStart w:id="88" w:name="_Toc520452208"/>
      <w:bookmarkStart w:id="89" w:name="_Toc520451739"/>
      <w:bookmarkStart w:id="90" w:name="_Toc520453775"/>
      <w:bookmarkStart w:id="91" w:name="_Toc520453985"/>
      <w:bookmarkStart w:id="92" w:name="_Toc520454118"/>
      <w:bookmarkStart w:id="93" w:name="_Toc520454174"/>
      <w:bookmarkStart w:id="94" w:name="_Toc520454340"/>
      <w:bookmarkStart w:id="95" w:name="_Toc520455232"/>
      <w:bookmarkStart w:id="96" w:name="_Toc520454531"/>
      <w:bookmarkStart w:id="97" w:name="_Toc520455520"/>
      <w:bookmarkStart w:id="98" w:name="_Toc520455576"/>
      <w:bookmarkStart w:id="99" w:name="_Toc520455545"/>
      <w:bookmarkStart w:id="100" w:name="_Toc520456021"/>
      <w:bookmarkStart w:id="101" w:name="_Toc520456142"/>
      <w:bookmarkStart w:id="102" w:name="_Toc520456397"/>
      <w:bookmarkStart w:id="103" w:name="_Toc520456668"/>
      <w:bookmarkStart w:id="104" w:name="_Toc520458165"/>
      <w:bookmarkStart w:id="105" w:name="_Toc520458329"/>
      <w:bookmarkStart w:id="106" w:name="_Toc520458555"/>
      <w:bookmarkStart w:id="107" w:name="_Toc520459425"/>
      <w:bookmarkStart w:id="108" w:name="_Toc520460127"/>
      <w:bookmarkStart w:id="109" w:name="_Toc520460477"/>
      <w:bookmarkStart w:id="110" w:name="_Toc520460573"/>
      <w:bookmarkStart w:id="111" w:name="_Toc520461266"/>
      <w:bookmarkStart w:id="112" w:name="_Toc520461423"/>
      <w:bookmarkStart w:id="113" w:name="_Toc520461514"/>
      <w:bookmarkStart w:id="114" w:name="_Toc520448418"/>
      <w:bookmarkStart w:id="115" w:name="_Toc520448501"/>
      <w:bookmarkStart w:id="116" w:name="_Toc520448557"/>
      <w:bookmarkStart w:id="117" w:name="_Toc520448780"/>
      <w:bookmarkStart w:id="118" w:name="_Toc520450047"/>
      <w:bookmarkStart w:id="119" w:name="_Toc520449241"/>
      <w:bookmarkStart w:id="120" w:name="_Toc520451164"/>
      <w:bookmarkStart w:id="121" w:name="_Toc520451249"/>
      <w:bookmarkStart w:id="122" w:name="_Toc520452209"/>
      <w:bookmarkStart w:id="123" w:name="_Toc520451740"/>
      <w:bookmarkStart w:id="124" w:name="_Toc520453776"/>
      <w:bookmarkStart w:id="125" w:name="_Toc520453986"/>
      <w:bookmarkStart w:id="126" w:name="_Toc520454119"/>
      <w:bookmarkStart w:id="127" w:name="_Toc520454175"/>
      <w:bookmarkStart w:id="128" w:name="_Toc520454341"/>
      <w:bookmarkStart w:id="129" w:name="_Toc520455233"/>
      <w:bookmarkStart w:id="130" w:name="_Toc520454532"/>
      <w:bookmarkStart w:id="131" w:name="_Toc520455521"/>
      <w:bookmarkStart w:id="132" w:name="_Toc520455577"/>
      <w:bookmarkStart w:id="133" w:name="_Toc520455546"/>
      <w:bookmarkStart w:id="134" w:name="_Toc520456022"/>
      <w:bookmarkStart w:id="135" w:name="_Toc520456143"/>
      <w:bookmarkStart w:id="136" w:name="_Toc520456398"/>
      <w:bookmarkStart w:id="137" w:name="_Toc520456669"/>
      <w:bookmarkStart w:id="138" w:name="_Toc520458166"/>
      <w:bookmarkStart w:id="139" w:name="_Toc520458556"/>
      <w:bookmarkStart w:id="140" w:name="_Toc520459426"/>
      <w:bookmarkStart w:id="141" w:name="_Toc520460128"/>
      <w:bookmarkStart w:id="142" w:name="_Toc520460478"/>
      <w:bookmarkStart w:id="143" w:name="_Toc520460574"/>
      <w:bookmarkStart w:id="144" w:name="_Toc520461267"/>
      <w:bookmarkStart w:id="145" w:name="_Toc520461424"/>
      <w:bookmarkStart w:id="146" w:name="_Toc520461515"/>
      <w:bookmarkStart w:id="147" w:name="_Toc519166163"/>
      <w:bookmarkStart w:id="148" w:name="_Toc519240529"/>
      <w:bookmarkStart w:id="149" w:name="_Toc519240658"/>
      <w:bookmarkStart w:id="150" w:name="_Toc520448558"/>
      <w:bookmarkStart w:id="151" w:name="_Toc520455234"/>
      <w:bookmarkStart w:id="152" w:name="_Toc520459034"/>
      <w:bookmarkStart w:id="153" w:name="_Toc520459427"/>
      <w:bookmarkStart w:id="154" w:name="_Toc520459513"/>
      <w:bookmarkStart w:id="155" w:name="_Toc520461425"/>
      <w:bookmarkStart w:id="156" w:name="_Toc520461789"/>
      <w:bookmarkStart w:id="157" w:name="_Toc520466820"/>
      <w:bookmarkStart w:id="158" w:name="_Toc520469857"/>
      <w:bookmarkStart w:id="159" w:name="_Toc520705314"/>
      <w:bookmarkStart w:id="160" w:name="_Toc520707678"/>
      <w:bookmarkStart w:id="161" w:name="_Toc520716692"/>
      <w:bookmarkStart w:id="162" w:name="_Toc520720340"/>
      <w:bookmarkStart w:id="163" w:name="_Toc520721591"/>
      <w:bookmarkStart w:id="164" w:name="_Toc520724124"/>
      <w:bookmarkStart w:id="165" w:name="_Toc520735229"/>
      <w:bookmarkStart w:id="166" w:name="_Toc520736262"/>
      <w:bookmarkStart w:id="167" w:name="_Toc520736681"/>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t xml:space="preserve">Submissions </w:t>
      </w:r>
      <w:r w:rsidR="002D1980">
        <w:t>on</w:t>
      </w:r>
      <w:r>
        <w:t xml:space="preserve"> the review</w:t>
      </w:r>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p>
    <w:p w14:paraId="463299C9" w14:textId="77777777" w:rsidR="0070154C" w:rsidRDefault="006D51D1" w:rsidP="006D51D1">
      <w:r>
        <w:t xml:space="preserve">The Authority invites submissions from organisations and individuals on all issues relevant to the scope of this review. Those interested in making a submission should not feel constrained by the issues or questions in this paper. </w:t>
      </w:r>
    </w:p>
    <w:p w14:paraId="10D74235" w14:textId="385E1233" w:rsidR="006B5CAF" w:rsidRDefault="006D51D1" w:rsidP="006D51D1">
      <w:r>
        <w:t xml:space="preserve">Submissions can be emailed to </w:t>
      </w:r>
      <w:hyperlink r:id="rId27" w:history="1">
        <w:r w:rsidR="00AA7DD1" w:rsidRPr="00AA7DD1">
          <w:rPr>
            <w:rStyle w:val="Hyperlink"/>
          </w:rPr>
          <w:t>submissions@climatechangeauthority.gov.au</w:t>
        </w:r>
      </w:hyperlink>
      <w:r>
        <w:t xml:space="preserve"> </w:t>
      </w:r>
      <w:r w:rsidR="005977C7">
        <w:t xml:space="preserve">until </w:t>
      </w:r>
      <w:r w:rsidR="009D669D">
        <w:t>11</w:t>
      </w:r>
      <w:r w:rsidR="0070154C">
        <w:t> </w:t>
      </w:r>
      <w:r w:rsidR="009D669D">
        <w:t>September</w:t>
      </w:r>
      <w:r>
        <w:t xml:space="preserve"> 2018.</w:t>
      </w:r>
      <w:r w:rsidR="00E50A4F">
        <w:t xml:space="preserve"> A coversheet for submissions can be found on the Authority’s website at: </w:t>
      </w:r>
      <w:hyperlink r:id="rId28" w:history="1">
        <w:r w:rsidR="00BE2FA6" w:rsidRPr="004236F7">
          <w:rPr>
            <w:rStyle w:val="Hyperlink"/>
          </w:rPr>
          <w:t>www.climatechangeauthority.gov.au/consultations</w:t>
        </w:r>
      </w:hyperlink>
      <w:r w:rsidR="00E50A4F">
        <w:t>.</w:t>
      </w:r>
      <w:r w:rsidR="00BE2FA6">
        <w:t xml:space="preserve"> </w:t>
      </w:r>
    </w:p>
    <w:p w14:paraId="43DCA5A2" w14:textId="2D13A6C0" w:rsidR="006D51D1" w:rsidRDefault="00BE2FA6" w:rsidP="006D51D1">
      <w:r>
        <w:lastRenderedPageBreak/>
        <w:t xml:space="preserve">The Authority will also </w:t>
      </w:r>
      <w:r w:rsidR="00CA2D88">
        <w:t>talk to stakeholders to complement</w:t>
      </w:r>
      <w:r>
        <w:t xml:space="preserve"> the written submissions. </w:t>
      </w:r>
    </w:p>
    <w:p w14:paraId="02CB12BE" w14:textId="537F5B3C" w:rsidR="0070154C" w:rsidRDefault="006D51D1" w:rsidP="006D51D1">
      <w:r>
        <w:t xml:space="preserve">The Authority notes some issues relevant to this review were canvassed in submissions </w:t>
      </w:r>
      <w:r w:rsidR="002D1980">
        <w:t>on</w:t>
      </w:r>
      <w:r w:rsidR="00B01D55">
        <w:t xml:space="preserve"> other processes, including</w:t>
      </w:r>
      <w:r>
        <w:t xml:space="preserve"> the Government’s </w:t>
      </w:r>
      <w:r w:rsidR="0096201D">
        <w:t xml:space="preserve">consultation </w:t>
      </w:r>
      <w:r>
        <w:t>o</w:t>
      </w:r>
      <w:r w:rsidR="009D669D">
        <w:t>n</w:t>
      </w:r>
      <w:r>
        <w:t xml:space="preserve"> the safeguard baseline</w:t>
      </w:r>
      <w:r w:rsidR="00B01D55">
        <w:t xml:space="preserve"> setting</w:t>
      </w:r>
      <w:r>
        <w:t xml:space="preserve">s in 2018 and the Government’s review of climate change policies in 2017. The Authority will consider </w:t>
      </w:r>
      <w:r w:rsidR="009D669D">
        <w:t xml:space="preserve">public </w:t>
      </w:r>
      <w:r>
        <w:t xml:space="preserve">submissions </w:t>
      </w:r>
      <w:r w:rsidR="009D669D">
        <w:t xml:space="preserve">made to those processes </w:t>
      </w:r>
      <w:r>
        <w:t>for the purposes of this review.</w:t>
      </w:r>
    </w:p>
    <w:p w14:paraId="2E50F501" w14:textId="77777777" w:rsidR="0070154C" w:rsidRDefault="0070154C">
      <w:pPr>
        <w:spacing w:after="0" w:line="240" w:lineRule="auto"/>
      </w:pPr>
      <w:r>
        <w:br w:type="page"/>
      </w:r>
    </w:p>
    <w:p w14:paraId="59023F77" w14:textId="57DBF16D" w:rsidR="00177E4C" w:rsidRDefault="002D1980" w:rsidP="00883094">
      <w:pPr>
        <w:pStyle w:val="Heading2"/>
      </w:pPr>
      <w:bookmarkStart w:id="168" w:name="_Toc520448420"/>
      <w:bookmarkStart w:id="169" w:name="_Toc520448503"/>
      <w:bookmarkStart w:id="170" w:name="_Toc520448559"/>
      <w:bookmarkStart w:id="171" w:name="_Toc520448782"/>
      <w:bookmarkStart w:id="172" w:name="_Toc520450049"/>
      <w:bookmarkStart w:id="173" w:name="_Toc520449243"/>
      <w:bookmarkStart w:id="174" w:name="_Toc520451166"/>
      <w:bookmarkStart w:id="175" w:name="_Toc520451251"/>
      <w:bookmarkStart w:id="176" w:name="_Toc520452211"/>
      <w:bookmarkStart w:id="177" w:name="_Toc520451742"/>
      <w:bookmarkStart w:id="178" w:name="_Toc520453778"/>
      <w:bookmarkStart w:id="179" w:name="_Toc520453988"/>
      <w:bookmarkStart w:id="180" w:name="_Toc520454121"/>
      <w:bookmarkStart w:id="181" w:name="_Toc520454177"/>
      <w:bookmarkStart w:id="182" w:name="_Toc520454343"/>
      <w:bookmarkStart w:id="183" w:name="_Toc520455235"/>
      <w:bookmarkStart w:id="184" w:name="_Toc520454534"/>
      <w:bookmarkStart w:id="185" w:name="_Toc520455523"/>
      <w:bookmarkStart w:id="186" w:name="_Toc520455579"/>
      <w:bookmarkStart w:id="187" w:name="_Toc520455548"/>
      <w:bookmarkStart w:id="188" w:name="_Toc520456024"/>
      <w:bookmarkStart w:id="189" w:name="_Toc520456145"/>
      <w:bookmarkStart w:id="190" w:name="_Toc520456400"/>
      <w:bookmarkStart w:id="191" w:name="_Toc520456671"/>
      <w:bookmarkStart w:id="192" w:name="_Toc520458168"/>
      <w:bookmarkStart w:id="193" w:name="_Toc520458558"/>
      <w:bookmarkStart w:id="194" w:name="_Toc520459428"/>
      <w:bookmarkStart w:id="195" w:name="_Toc520460130"/>
      <w:bookmarkStart w:id="196" w:name="_Toc520460480"/>
      <w:bookmarkStart w:id="197" w:name="_Toc520460576"/>
      <w:bookmarkStart w:id="198" w:name="_Toc520461269"/>
      <w:bookmarkStart w:id="199" w:name="_Toc520461426"/>
      <w:bookmarkStart w:id="200" w:name="_Toc520461517"/>
      <w:bookmarkStart w:id="201" w:name="_Toc519166164"/>
      <w:bookmarkStart w:id="202" w:name="_Toc519240530"/>
      <w:bookmarkStart w:id="203" w:name="_Toc519240659"/>
      <w:bookmarkStart w:id="204" w:name="_Toc520448560"/>
      <w:bookmarkStart w:id="205" w:name="_Toc520455236"/>
      <w:bookmarkStart w:id="206" w:name="_Toc520459035"/>
      <w:bookmarkStart w:id="207" w:name="_Toc520459429"/>
      <w:bookmarkStart w:id="208" w:name="_Toc520458557"/>
      <w:bookmarkStart w:id="209" w:name="_Toc520459514"/>
      <w:bookmarkStart w:id="210" w:name="_Toc520461427"/>
      <w:bookmarkStart w:id="211" w:name="_Toc520461790"/>
      <w:bookmarkStart w:id="212" w:name="_Toc520466821"/>
      <w:bookmarkStart w:id="213" w:name="_Toc520469858"/>
      <w:bookmarkStart w:id="214" w:name="_Toc520705315"/>
      <w:bookmarkStart w:id="215" w:name="_Toc520707679"/>
      <w:bookmarkStart w:id="216" w:name="_Toc520716693"/>
      <w:bookmarkStart w:id="217" w:name="_Toc520720341"/>
      <w:bookmarkStart w:id="218" w:name="_Toc520721592"/>
      <w:bookmarkStart w:id="219" w:name="_Toc520724125"/>
      <w:bookmarkStart w:id="220" w:name="_Toc520735230"/>
      <w:bookmarkStart w:id="221" w:name="_Toc520736263"/>
      <w:bookmarkStart w:id="222" w:name="_Toc520736682"/>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r>
        <w:lastRenderedPageBreak/>
        <w:t>T</w:t>
      </w:r>
      <w:r w:rsidR="00177E4C">
        <w:t xml:space="preserve">he </w:t>
      </w:r>
      <w:r w:rsidR="00CC6672">
        <w:t>r</w:t>
      </w:r>
      <w:r w:rsidR="00177E4C">
        <w:t>eporting scheme</w:t>
      </w:r>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3AC8FA3" w14:textId="77777777" w:rsidR="00BC25D7" w:rsidRDefault="00BC25D7" w:rsidP="00BC25D7">
      <w:r>
        <w:t xml:space="preserve">The objects of the reporting scheme are to establish a single national reporting framework for emissions and energy information to inform policy making and the Australian public, meet Australia’s international reporting obligations, assist government programs and activities and avoid the duplication of similar reporting to the states and territories. </w:t>
      </w:r>
    </w:p>
    <w:p w14:paraId="20E1F630" w14:textId="3672D688" w:rsidR="005427F7" w:rsidRDefault="005427F7" w:rsidP="005427F7">
      <w:r>
        <w:t>The legislation establishes rules for:</w:t>
      </w:r>
    </w:p>
    <w:p w14:paraId="0ECB0E8F" w14:textId="29819A97" w:rsidR="005427F7" w:rsidRPr="004841B0" w:rsidRDefault="005427F7"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 xml:space="preserve">who is required to register and report their greenhouse gas emissions and energy </w:t>
      </w:r>
      <w:r w:rsidR="00747FC2">
        <w:rPr>
          <w:rFonts w:eastAsiaTheme="minorHAnsi" w:cstheme="minorBidi"/>
          <w:lang w:val="en-US"/>
        </w:rPr>
        <w:t>production</w:t>
      </w:r>
      <w:r w:rsidRPr="004841B0">
        <w:rPr>
          <w:rFonts w:eastAsiaTheme="minorHAnsi" w:cstheme="minorBidi"/>
          <w:lang w:val="en-US"/>
        </w:rPr>
        <w:t xml:space="preserve"> </w:t>
      </w:r>
      <w:r w:rsidR="0049209E">
        <w:rPr>
          <w:rFonts w:eastAsiaTheme="minorHAnsi" w:cstheme="minorBidi"/>
          <w:lang w:val="en-US"/>
        </w:rPr>
        <w:t>and use</w:t>
      </w:r>
    </w:p>
    <w:p w14:paraId="16EA795F" w14:textId="63E8D95F" w:rsidR="005427F7" w:rsidRPr="004841B0" w:rsidRDefault="005427F7"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 xml:space="preserve">what </w:t>
      </w:r>
      <w:r w:rsidR="006D51D1" w:rsidRPr="004841B0">
        <w:rPr>
          <w:rFonts w:eastAsiaTheme="minorHAnsi" w:cstheme="minorBidi"/>
          <w:lang w:val="en-US"/>
        </w:rPr>
        <w:t xml:space="preserve">they must report and how to </w:t>
      </w:r>
      <w:r w:rsidRPr="004841B0">
        <w:rPr>
          <w:rFonts w:eastAsiaTheme="minorHAnsi" w:cstheme="minorBidi"/>
          <w:lang w:val="en-US"/>
        </w:rPr>
        <w:t>measure the</w:t>
      </w:r>
      <w:r w:rsidR="0049209E">
        <w:rPr>
          <w:rFonts w:eastAsiaTheme="minorHAnsi" w:cstheme="minorBidi"/>
          <w:lang w:val="en-US"/>
        </w:rPr>
        <w:t>m</w:t>
      </w:r>
    </w:p>
    <w:p w14:paraId="233DE852" w14:textId="6C0AB0CF" w:rsidR="006D51D1" w:rsidRPr="004841B0" w:rsidRDefault="00567DAB"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 xml:space="preserve">publishing </w:t>
      </w:r>
      <w:r w:rsidR="005427F7" w:rsidRPr="004841B0">
        <w:rPr>
          <w:rFonts w:eastAsiaTheme="minorHAnsi" w:cstheme="minorBidi"/>
          <w:lang w:val="en-US"/>
        </w:rPr>
        <w:t>the</w:t>
      </w:r>
      <w:r w:rsidR="006D51D1" w:rsidRPr="004841B0">
        <w:rPr>
          <w:rFonts w:eastAsiaTheme="minorHAnsi" w:cstheme="minorBidi"/>
          <w:lang w:val="en-US"/>
        </w:rPr>
        <w:t xml:space="preserve"> data.</w:t>
      </w:r>
    </w:p>
    <w:p w14:paraId="231A36AB" w14:textId="5B4C9775" w:rsidR="006D51D1" w:rsidRDefault="006D51D1" w:rsidP="006D51D1">
      <w:r>
        <w:t xml:space="preserve">The </w:t>
      </w:r>
      <w:r w:rsidR="002C017A">
        <w:t xml:space="preserve">reporting </w:t>
      </w:r>
      <w:r>
        <w:t>scheme was introduced in 2007 (with reporting from 1 July 2008) to replace a range of industry surveys and government programs with greenhouse gas emissions or energy reporting requirements. It now supports the reporting required by the safeguard</w:t>
      </w:r>
      <w:r w:rsidR="00E94B99">
        <w:t xml:space="preserve"> mechanism</w:t>
      </w:r>
      <w:r>
        <w:t xml:space="preserve">. </w:t>
      </w:r>
    </w:p>
    <w:p w14:paraId="4FD5BCD3" w14:textId="2968749B" w:rsidR="00177E4C" w:rsidRDefault="00177E4C" w:rsidP="00883094">
      <w:pPr>
        <w:pStyle w:val="Heading2"/>
      </w:pPr>
      <w:bookmarkStart w:id="223" w:name="_Toc520448561"/>
      <w:bookmarkStart w:id="224" w:name="_Toc520455237"/>
      <w:bookmarkStart w:id="225" w:name="_Toc520459430"/>
      <w:bookmarkStart w:id="226" w:name="_Toc520461428"/>
      <w:bookmarkStart w:id="227" w:name="_Toc520466822"/>
      <w:bookmarkStart w:id="228" w:name="_Toc520469859"/>
      <w:bookmarkStart w:id="229" w:name="_Toc519166165"/>
      <w:bookmarkStart w:id="230" w:name="_Toc519240531"/>
      <w:bookmarkStart w:id="231" w:name="_Toc519240660"/>
      <w:bookmarkStart w:id="232" w:name="_Toc520459036"/>
      <w:bookmarkStart w:id="233" w:name="_Toc520459515"/>
      <w:bookmarkStart w:id="234" w:name="_Toc520461791"/>
      <w:bookmarkStart w:id="235" w:name="_Toc520705316"/>
      <w:bookmarkStart w:id="236" w:name="_Toc520707680"/>
      <w:bookmarkStart w:id="237" w:name="_Toc520716694"/>
      <w:bookmarkStart w:id="238" w:name="_Toc520720342"/>
      <w:bookmarkStart w:id="239" w:name="_Toc520721593"/>
      <w:bookmarkStart w:id="240" w:name="_Toc520724126"/>
      <w:bookmarkStart w:id="241" w:name="_Toc520735231"/>
      <w:bookmarkStart w:id="242" w:name="_Toc520736264"/>
      <w:bookmarkStart w:id="243" w:name="_Toc520736683"/>
      <w:r>
        <w:t>The safeguard</w:t>
      </w:r>
      <w:bookmarkEnd w:id="223"/>
      <w:bookmarkEnd w:id="224"/>
      <w:bookmarkEnd w:id="225"/>
      <w:bookmarkEnd w:id="226"/>
      <w:bookmarkEnd w:id="227"/>
      <w:bookmarkEnd w:id="228"/>
      <w:r>
        <w:t xml:space="preserve"> </w:t>
      </w:r>
      <w:bookmarkEnd w:id="229"/>
      <w:bookmarkEnd w:id="230"/>
      <w:bookmarkEnd w:id="231"/>
      <w:bookmarkEnd w:id="232"/>
      <w:bookmarkEnd w:id="233"/>
      <w:bookmarkEnd w:id="234"/>
      <w:bookmarkEnd w:id="235"/>
      <w:r w:rsidR="0056214D">
        <w:t>mechanism</w:t>
      </w:r>
      <w:bookmarkEnd w:id="236"/>
      <w:bookmarkEnd w:id="237"/>
      <w:bookmarkEnd w:id="238"/>
      <w:bookmarkEnd w:id="239"/>
      <w:bookmarkEnd w:id="240"/>
      <w:bookmarkEnd w:id="241"/>
      <w:bookmarkEnd w:id="242"/>
      <w:bookmarkEnd w:id="243"/>
    </w:p>
    <w:p w14:paraId="43EE0A30" w14:textId="3E343E41" w:rsidR="006D51D1" w:rsidRDefault="006D51D1" w:rsidP="006D51D1">
      <w:r>
        <w:t>The safeguard</w:t>
      </w:r>
      <w:r w:rsidR="00081C2D">
        <w:t xml:space="preserve"> mechanism</w:t>
      </w:r>
      <w:r>
        <w:t xml:space="preserve"> commenced on 1 July 2016. </w:t>
      </w:r>
      <w:r w:rsidR="006B5CAF">
        <w:t>It</w:t>
      </w:r>
      <w:r>
        <w:t xml:space="preserve"> places limits (</w:t>
      </w:r>
      <w:r w:rsidR="00DD0ADE">
        <w:t>called</w:t>
      </w:r>
      <w:r>
        <w:t xml:space="preserve"> baselines) on </w:t>
      </w:r>
      <w:r w:rsidR="00B01D55">
        <w:t>facilities</w:t>
      </w:r>
      <w:r w:rsidR="00DD0ADE">
        <w:t xml:space="preserve"> that emit more than 100,000 tonnes of carbon dioxide equivalent (t</w:t>
      </w:r>
      <w:r w:rsidR="0021720E">
        <w:t> </w:t>
      </w:r>
      <w:r w:rsidR="00DD0ADE">
        <w:t>CO</w:t>
      </w:r>
      <w:r w:rsidR="00DD0ADE" w:rsidRPr="005112D5">
        <w:rPr>
          <w:vertAlign w:val="subscript"/>
        </w:rPr>
        <w:t>2</w:t>
      </w:r>
      <w:r w:rsidR="00DD0ADE">
        <w:t>-e) a year.</w:t>
      </w:r>
      <w:r>
        <w:t xml:space="preserve"> </w:t>
      </w:r>
      <w:r w:rsidR="00CD67C3">
        <w:t xml:space="preserve">Companies with safeguard obligations are known as responsible emitters. </w:t>
      </w:r>
    </w:p>
    <w:p w14:paraId="1E09AE2E" w14:textId="1BF50AE7" w:rsidR="00BB7966" w:rsidRDefault="006D51D1" w:rsidP="00BB7966">
      <w:r>
        <w:t xml:space="preserve">In 2016-17, the safeguard covered </w:t>
      </w:r>
      <w:r w:rsidR="000454F2">
        <w:t xml:space="preserve">203 </w:t>
      </w:r>
      <w:r w:rsidR="00BE2431" w:rsidRPr="005112D5">
        <w:t>facilities</w:t>
      </w:r>
      <w:r>
        <w:t xml:space="preserve"> in the</w:t>
      </w:r>
      <w:r w:rsidDel="00DD0ADE">
        <w:t xml:space="preserve"> </w:t>
      </w:r>
      <w:r w:rsidR="00D56EDA">
        <w:t>industrial sectors of</w:t>
      </w:r>
      <w:r>
        <w:t xml:space="preserve"> mining, oil and gas</w:t>
      </w:r>
      <w:r w:rsidR="006B5CAF">
        <w:t>,</w:t>
      </w:r>
      <w:r w:rsidR="00836038">
        <w:t xml:space="preserve"> </w:t>
      </w:r>
      <w:r>
        <w:t>manufacturing</w:t>
      </w:r>
      <w:r w:rsidR="006B5CAF">
        <w:t xml:space="preserve">, </w:t>
      </w:r>
      <w:r>
        <w:t xml:space="preserve">transport </w:t>
      </w:r>
      <w:r w:rsidR="00DD0ADE">
        <w:t>and off-grid electricity</w:t>
      </w:r>
      <w:r w:rsidR="001157EE">
        <w:t xml:space="preserve">. </w:t>
      </w:r>
      <w:r w:rsidR="00DD0ADE">
        <w:t xml:space="preserve">A sectoral limit applied to </w:t>
      </w:r>
      <w:r w:rsidR="000454F2">
        <w:t>288 grid-connected electricity generators</w:t>
      </w:r>
      <w:r w:rsidR="00A323D5">
        <w:t xml:space="preserve"> (</w:t>
      </w:r>
      <w:r w:rsidR="00C845BB">
        <w:t xml:space="preserve">Section </w:t>
      </w:r>
      <w:r w:rsidR="00C845BB">
        <w:fldChar w:fldCharType="begin"/>
      </w:r>
      <w:r w:rsidR="00C845BB">
        <w:instrText xml:space="preserve"> REF _Ref520715320 \r \h </w:instrText>
      </w:r>
      <w:r w:rsidR="00C845BB">
        <w:fldChar w:fldCharType="separate"/>
      </w:r>
      <w:r w:rsidR="00AD7AD8">
        <w:t>3.3.2</w:t>
      </w:r>
      <w:r w:rsidR="00C845BB">
        <w:fldChar w:fldCharType="end"/>
      </w:r>
      <w:r w:rsidR="00A323D5">
        <w:t>)</w:t>
      </w:r>
      <w:r w:rsidR="000454F2">
        <w:t>.</w:t>
      </w:r>
      <w:r>
        <w:t xml:space="preserve"> </w:t>
      </w:r>
      <w:r w:rsidR="001157EE">
        <w:t>T</w:t>
      </w:r>
      <w:r>
        <w:t>ogether</w:t>
      </w:r>
      <w:r w:rsidR="001157EE">
        <w:t xml:space="preserve">, these facilities </w:t>
      </w:r>
      <w:r>
        <w:t>accounted for 56</w:t>
      </w:r>
      <w:r w:rsidR="0036169A">
        <w:t> </w:t>
      </w:r>
      <w:r>
        <w:t>per</w:t>
      </w:r>
      <w:r w:rsidR="0036169A">
        <w:t> </w:t>
      </w:r>
      <w:r>
        <w:t xml:space="preserve">cent of Australia’s emissions. Figure </w:t>
      </w:r>
      <w:r w:rsidRPr="005112D5">
        <w:t>1</w:t>
      </w:r>
      <w:r>
        <w:t xml:space="preserve"> illustrates the </w:t>
      </w:r>
      <w:r w:rsidR="001157EE">
        <w:t xml:space="preserve">proportion of Australia’s emissions subject to the </w:t>
      </w:r>
      <w:r>
        <w:t>reporting scheme and</w:t>
      </w:r>
      <w:r w:rsidR="001157EE">
        <w:t xml:space="preserve"> the safeguard</w:t>
      </w:r>
      <w:r>
        <w:t xml:space="preserve">. </w:t>
      </w:r>
    </w:p>
    <w:p w14:paraId="4E2F7A64" w14:textId="5EE2E071" w:rsidR="00BB7966" w:rsidRDefault="00BB7966" w:rsidP="00BB7966">
      <w:pPr>
        <w:pStyle w:val="Caption"/>
      </w:pPr>
      <w:bookmarkStart w:id="244" w:name="_Toc520707671"/>
      <w:bookmarkStart w:id="245" w:name="_Toc520716685"/>
      <w:bookmarkStart w:id="246" w:name="_Toc520720333"/>
      <w:bookmarkStart w:id="247" w:name="_Toc520721584"/>
      <w:bookmarkStart w:id="248" w:name="_Toc520724117"/>
      <w:bookmarkStart w:id="249" w:name="_Toc520735221"/>
      <w:bookmarkStart w:id="250" w:name="_Toc520736254"/>
      <w:bookmarkStart w:id="251" w:name="_Toc520736673"/>
      <w:r>
        <w:lastRenderedPageBreak/>
        <w:t xml:space="preserve">Figure </w:t>
      </w:r>
      <w:r w:rsidR="00363A9B">
        <w:fldChar w:fldCharType="begin"/>
      </w:r>
      <w:r w:rsidR="00363A9B">
        <w:instrText xml:space="preserve"> SEQ Figure \* ARABIC </w:instrText>
      </w:r>
      <w:r w:rsidR="00363A9B">
        <w:fldChar w:fldCharType="separate"/>
      </w:r>
      <w:r w:rsidR="00AD7AD8">
        <w:rPr>
          <w:noProof/>
        </w:rPr>
        <w:t>1</w:t>
      </w:r>
      <w:r w:rsidR="00363A9B">
        <w:rPr>
          <w:noProof/>
        </w:rPr>
        <w:fldChar w:fldCharType="end"/>
      </w:r>
      <w:r>
        <w:t>:</w:t>
      </w:r>
      <w:bookmarkEnd w:id="244"/>
      <w:r>
        <w:t xml:space="preserve"> Proportion of Australia's total emissions subject to the reporting scheme and safeguard in 2016-17</w:t>
      </w:r>
      <w:bookmarkEnd w:id="245"/>
      <w:bookmarkEnd w:id="246"/>
      <w:bookmarkEnd w:id="247"/>
      <w:bookmarkEnd w:id="248"/>
      <w:bookmarkEnd w:id="249"/>
      <w:bookmarkEnd w:id="250"/>
      <w:bookmarkEnd w:id="251"/>
    </w:p>
    <w:p w14:paraId="42D5A9D9" w14:textId="30B6FD38" w:rsidR="00545D46" w:rsidRPr="00545D46" w:rsidRDefault="00545D46" w:rsidP="00545D46">
      <w:pPr>
        <w:jc w:val="center"/>
      </w:pPr>
      <w:r>
        <w:rPr>
          <w:noProof/>
          <w:lang w:eastAsia="en-AU"/>
        </w:rPr>
        <w:drawing>
          <wp:inline distT="0" distB="0" distL="0" distR="0" wp14:anchorId="27C872AB" wp14:editId="492D20AC">
            <wp:extent cx="5796229" cy="247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9">
                      <a:extLst>
                        <a:ext uri="{28A0092B-C50C-407E-A947-70E740481C1C}">
                          <a14:useLocalDpi xmlns:a14="http://schemas.microsoft.com/office/drawing/2010/main" val="0"/>
                        </a:ext>
                      </a:extLst>
                    </a:blip>
                    <a:srcRect t="3796"/>
                    <a:stretch/>
                  </pic:blipFill>
                  <pic:spPr bwMode="auto">
                    <a:xfrm>
                      <a:off x="0" y="0"/>
                      <a:ext cx="5796229" cy="2476800"/>
                    </a:xfrm>
                    <a:prstGeom prst="rect">
                      <a:avLst/>
                    </a:prstGeom>
                    <a:noFill/>
                    <a:ln>
                      <a:noFill/>
                    </a:ln>
                    <a:extLst>
                      <a:ext uri="{53640926-AAD7-44D8-BBD7-CCE9431645EC}">
                        <a14:shadowObscured xmlns:a14="http://schemas.microsoft.com/office/drawing/2010/main"/>
                      </a:ext>
                    </a:extLst>
                  </pic:spPr>
                </pic:pic>
              </a:graphicData>
            </a:graphic>
          </wp:inline>
        </w:drawing>
      </w:r>
    </w:p>
    <w:p w14:paraId="622C99F7" w14:textId="5E6610DD" w:rsidR="00D82747" w:rsidRDefault="006D51D1" w:rsidP="00FB280E">
      <w:pPr>
        <w:pStyle w:val="FootnoteText"/>
        <w:spacing w:before="40" w:after="40"/>
        <w:rPr>
          <w:b/>
        </w:rPr>
      </w:pPr>
      <w:r w:rsidRPr="00687672">
        <w:rPr>
          <w:b/>
        </w:rPr>
        <w:t>Note</w:t>
      </w:r>
      <w:r w:rsidRPr="0003286F">
        <w:t xml:space="preserve">: </w:t>
      </w:r>
      <w:r w:rsidR="00455964" w:rsidRPr="0003286F">
        <w:t xml:space="preserve">Although data is reported for over 25,000 facilities under the </w:t>
      </w:r>
      <w:r w:rsidR="007239AE">
        <w:t>reporting</w:t>
      </w:r>
      <w:r w:rsidR="007239AE" w:rsidRPr="0003286F">
        <w:t xml:space="preserve"> </w:t>
      </w:r>
      <w:r w:rsidR="00455964" w:rsidRPr="0003286F">
        <w:t>scheme</w:t>
      </w:r>
      <w:r w:rsidR="004B3B41" w:rsidRPr="0003286F">
        <w:t>,</w:t>
      </w:r>
      <w:r w:rsidR="00455964" w:rsidRPr="0003286F">
        <w:t xml:space="preserve"> the majority of these are subject to simplified reporting. </w:t>
      </w:r>
      <w:r w:rsidR="00D4499E" w:rsidRPr="000E2EA8">
        <w:t>For example, a</w:t>
      </w:r>
      <w:r w:rsidR="00455964" w:rsidRPr="00FF618D">
        <w:t xml:space="preserve"> company </w:t>
      </w:r>
      <w:r w:rsidR="00D4499E" w:rsidRPr="00C91243">
        <w:t>can report all the emissions and energy data for small facilities within a state or territory (e.g. a number of supermarkets) as a facility aggregate</w:t>
      </w:r>
      <w:r w:rsidR="00A323D5">
        <w:t>.</w:t>
      </w:r>
    </w:p>
    <w:p w14:paraId="48849D9A" w14:textId="79E09CF1" w:rsidR="0061471D" w:rsidRPr="0003286F" w:rsidRDefault="00FB280E" w:rsidP="00845DB5">
      <w:pPr>
        <w:pStyle w:val="FootnoteText"/>
        <w:spacing w:before="40"/>
      </w:pPr>
      <w:r>
        <w:rPr>
          <w:b/>
        </w:rPr>
        <w:t>Source</w:t>
      </w:r>
      <w:r w:rsidR="006D51D1">
        <w:t xml:space="preserve">: </w:t>
      </w:r>
      <w:r w:rsidR="00414D14">
        <w:t>DoEE 2017</w:t>
      </w:r>
      <w:r w:rsidR="001E6BDE">
        <w:t>c</w:t>
      </w:r>
      <w:r w:rsidR="00414D14">
        <w:t xml:space="preserve">; </w:t>
      </w:r>
      <w:r w:rsidR="00370AAA">
        <w:t>CER 2017a</w:t>
      </w:r>
      <w:r w:rsidR="00370AAA" w:rsidRPr="00370AAA">
        <w:t>;</w:t>
      </w:r>
      <w:r w:rsidR="00370AAA">
        <w:rPr>
          <w:rStyle w:val="RefChar"/>
        </w:rPr>
        <w:t xml:space="preserve"> </w:t>
      </w:r>
      <w:r w:rsidR="00414D14">
        <w:t>CER 2018b</w:t>
      </w:r>
      <w:r w:rsidR="00370AAA" w:rsidRPr="00370AAA">
        <w:t>;</w:t>
      </w:r>
      <w:r w:rsidR="00370AAA">
        <w:t xml:space="preserve"> CER 2018g;</w:t>
      </w:r>
      <w:r w:rsidR="00414D14">
        <w:t xml:space="preserve"> CER </w:t>
      </w:r>
      <w:r w:rsidR="00C13993">
        <w:t>2018j</w:t>
      </w:r>
      <w:r w:rsidR="00370AAA" w:rsidRPr="00370AAA">
        <w:t>.</w:t>
      </w:r>
    </w:p>
    <w:p w14:paraId="67E51080" w14:textId="0AABCB08" w:rsidR="006D51D1" w:rsidRDefault="006D51D1" w:rsidP="006D51D1">
      <w:r>
        <w:t xml:space="preserve">Facilities covered by the safeguard must keep their emissions at or below a </w:t>
      </w:r>
      <w:r w:rsidR="00686D1D">
        <w:t xml:space="preserve">limit </w:t>
      </w:r>
      <w:r>
        <w:t xml:space="preserve">set by the </w:t>
      </w:r>
      <w:r w:rsidR="00686D1D">
        <w:t>Clean Energy Regulator, which administers the scheme</w:t>
      </w:r>
      <w:r>
        <w:t>. Facilities wh</w:t>
      </w:r>
      <w:r w:rsidR="00F60492">
        <w:t>ich</w:t>
      </w:r>
      <w:r>
        <w:t xml:space="preserve"> exceed their baseline can meet their safeguard obligations through a range of mechanisms </w:t>
      </w:r>
      <w:r w:rsidR="0003286F">
        <w:t xml:space="preserve">such as </w:t>
      </w:r>
      <w:r>
        <w:t xml:space="preserve">using Australian Carbon Credit Units as offsets or applying for a multi-year monitoring period (which in effect allows them to average their emissions over several years). </w:t>
      </w:r>
    </w:p>
    <w:p w14:paraId="19468714" w14:textId="41B8CB27" w:rsidR="00167052" w:rsidRDefault="00167052" w:rsidP="00883094">
      <w:pPr>
        <w:pStyle w:val="Heading2"/>
      </w:pPr>
      <w:bookmarkStart w:id="252" w:name="_Toc519166166"/>
      <w:bookmarkStart w:id="253" w:name="_Toc519240532"/>
      <w:bookmarkStart w:id="254" w:name="_Toc519240661"/>
      <w:bookmarkStart w:id="255" w:name="_Toc520448562"/>
      <w:bookmarkStart w:id="256" w:name="_Toc520455238"/>
      <w:bookmarkStart w:id="257" w:name="_Toc520459037"/>
      <w:bookmarkStart w:id="258" w:name="_Toc520459431"/>
      <w:bookmarkStart w:id="259" w:name="_Toc520458559"/>
      <w:bookmarkStart w:id="260" w:name="_Toc520459516"/>
      <w:bookmarkStart w:id="261" w:name="_Toc520461429"/>
      <w:bookmarkStart w:id="262" w:name="_Toc520461792"/>
      <w:bookmarkStart w:id="263" w:name="_Toc520466823"/>
      <w:bookmarkStart w:id="264" w:name="_Toc520469860"/>
      <w:bookmarkStart w:id="265" w:name="_Toc520705317"/>
      <w:bookmarkStart w:id="266" w:name="_Toc520707681"/>
      <w:bookmarkStart w:id="267" w:name="_Toc520716695"/>
      <w:bookmarkStart w:id="268" w:name="_Toc520720343"/>
      <w:bookmarkStart w:id="269" w:name="_Toc520721594"/>
      <w:bookmarkStart w:id="270" w:name="_Toc520724127"/>
      <w:bookmarkStart w:id="271" w:name="_Toc520735232"/>
      <w:bookmarkStart w:id="272" w:name="_Toc520736265"/>
      <w:bookmarkStart w:id="273" w:name="_Toc520736684"/>
      <w:r>
        <w:t>Greenhouse and energy auditing</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B113FAD" w14:textId="56340259" w:rsidR="006D51D1" w:rsidRDefault="006D51D1" w:rsidP="006D51D1">
      <w:r>
        <w:t xml:space="preserve">The legislation underpins the administrative arrangements and requirements for greenhouse </w:t>
      </w:r>
      <w:r w:rsidR="0003286F">
        <w:t xml:space="preserve">gas emissions </w:t>
      </w:r>
      <w:r>
        <w:t xml:space="preserve">and energy audits and auditors. </w:t>
      </w:r>
      <w:r w:rsidR="00A838F8">
        <w:t xml:space="preserve">Entities required to report their greenhouse gas emissions and energy production and use </w:t>
      </w:r>
      <w:r>
        <w:t xml:space="preserve">are encouraged to engage a registered auditor to confirm they comply with </w:t>
      </w:r>
      <w:r w:rsidR="00A838F8">
        <w:t xml:space="preserve">the </w:t>
      </w:r>
      <w:r>
        <w:t>scheme. Safeguard facilities also use auditors in some circumstances.</w:t>
      </w:r>
      <w:r w:rsidR="002C017A">
        <w:t xml:space="preserve"> </w:t>
      </w:r>
      <w:r>
        <w:t xml:space="preserve">The </w:t>
      </w:r>
      <w:r w:rsidR="006D3F81">
        <w:t xml:space="preserve">Regulator </w:t>
      </w:r>
      <w:r w:rsidR="007A0A65">
        <w:t xml:space="preserve">uses greenhouse and energy audits as part of their compliance regime under the </w:t>
      </w:r>
      <w:r w:rsidR="002C017A">
        <w:t xml:space="preserve">reporting </w:t>
      </w:r>
      <w:r w:rsidR="007A0A65">
        <w:t>scheme,</w:t>
      </w:r>
      <w:r>
        <w:t xml:space="preserve"> safeguard</w:t>
      </w:r>
      <w:r w:rsidR="00686D1D">
        <w:t xml:space="preserve"> and other climate change policies such as the </w:t>
      </w:r>
      <w:r w:rsidR="0074524A" w:rsidRPr="004841B0">
        <w:rPr>
          <w:rFonts w:eastAsiaTheme="minorHAnsi" w:cstheme="minorBidi"/>
          <w:lang w:val="en-US"/>
        </w:rPr>
        <w:t>Emissions Reduction Fund</w:t>
      </w:r>
      <w:r w:rsidR="007A0A65">
        <w:t xml:space="preserve"> and </w:t>
      </w:r>
      <w:r w:rsidR="0074524A">
        <w:t>the Renewable Energy Target</w:t>
      </w:r>
      <w:r>
        <w:t xml:space="preserve">. </w:t>
      </w:r>
    </w:p>
    <w:p w14:paraId="69567C8B" w14:textId="3C404B73" w:rsidR="00167052" w:rsidRDefault="00167052" w:rsidP="00883094">
      <w:pPr>
        <w:pStyle w:val="Heading2"/>
      </w:pPr>
      <w:bookmarkStart w:id="274" w:name="_Toc519166167"/>
      <w:bookmarkStart w:id="275" w:name="_Toc519240533"/>
      <w:bookmarkStart w:id="276" w:name="_Toc519240662"/>
      <w:bookmarkStart w:id="277" w:name="_Toc520448563"/>
      <w:bookmarkStart w:id="278" w:name="_Toc520455239"/>
      <w:bookmarkStart w:id="279" w:name="_Toc520459038"/>
      <w:bookmarkStart w:id="280" w:name="_Toc520459432"/>
      <w:bookmarkStart w:id="281" w:name="_Toc520458560"/>
      <w:bookmarkStart w:id="282" w:name="_Toc520459517"/>
      <w:bookmarkStart w:id="283" w:name="_Toc520461430"/>
      <w:bookmarkStart w:id="284" w:name="_Toc520461793"/>
      <w:bookmarkStart w:id="285" w:name="_Toc520466824"/>
      <w:bookmarkStart w:id="286" w:name="_Toc520469861"/>
      <w:bookmarkStart w:id="287" w:name="_Toc520705318"/>
      <w:bookmarkStart w:id="288" w:name="_Toc520707682"/>
      <w:bookmarkStart w:id="289" w:name="_Toc520716696"/>
      <w:bookmarkStart w:id="290" w:name="_Toc520720344"/>
      <w:bookmarkStart w:id="291" w:name="_Toc520721595"/>
      <w:bookmarkStart w:id="292" w:name="_Toc520724128"/>
      <w:bookmarkStart w:id="293" w:name="_Toc520735233"/>
      <w:bookmarkStart w:id="294" w:name="_Toc520736266"/>
      <w:bookmarkStart w:id="295" w:name="_Toc520736685"/>
      <w:r>
        <w:lastRenderedPageBreak/>
        <w:t>Policy and administration</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p>
    <w:p w14:paraId="77696E33" w14:textId="2DC39AA7" w:rsidR="006D51D1" w:rsidRDefault="006D51D1" w:rsidP="006D51D1">
      <w:r>
        <w:t xml:space="preserve">The Department of the Environment and Energy is responsible for policy development for the </w:t>
      </w:r>
      <w:r w:rsidR="007239AE">
        <w:t>reporting</w:t>
      </w:r>
      <w:r w:rsidR="007239AE" w:rsidDel="007239AE">
        <w:t xml:space="preserve"> </w:t>
      </w:r>
      <w:r>
        <w:t xml:space="preserve">scheme, the safeguard and greenhouse and energy auditing. This includes updating and improving </w:t>
      </w:r>
      <w:r w:rsidR="00453780">
        <w:t>measurement</w:t>
      </w:r>
      <w:r>
        <w:t xml:space="preserve"> methods used for </w:t>
      </w:r>
      <w:r w:rsidR="006B5CAF">
        <w:t xml:space="preserve">greenhouse gas emissions, energy </w:t>
      </w:r>
      <w:r>
        <w:t>and safeguard reporting.</w:t>
      </w:r>
    </w:p>
    <w:p w14:paraId="22B59AF5" w14:textId="4C7C0CD4" w:rsidR="006D51D1" w:rsidRDefault="006D51D1" w:rsidP="006D51D1">
      <w:r>
        <w:t xml:space="preserve">The </w:t>
      </w:r>
      <w:r w:rsidR="006D3F81">
        <w:t>Regulator</w:t>
      </w:r>
      <w:r w:rsidR="006D3F81" w:rsidDel="006D3F81">
        <w:t xml:space="preserve"> </w:t>
      </w:r>
      <w:r>
        <w:t xml:space="preserve">administers the </w:t>
      </w:r>
      <w:r w:rsidR="007239AE">
        <w:t>reporting</w:t>
      </w:r>
      <w:r w:rsidR="007239AE" w:rsidDel="007239AE">
        <w:t xml:space="preserve"> </w:t>
      </w:r>
      <w:r>
        <w:t xml:space="preserve">scheme, the safeguard and the auditing framework. This includes registering reporters in the National Greenhouse and Energy Register; receiving reports and publishing data; registering responsible emitters under the safeguard; setting safeguard baselines; and registering auditors. The </w:t>
      </w:r>
      <w:r w:rsidR="006D3F81">
        <w:t>Regulator</w:t>
      </w:r>
      <w:r w:rsidR="006D3F81" w:rsidDel="006D3F81">
        <w:t xml:space="preserve"> </w:t>
      </w:r>
      <w:r>
        <w:t>is also responsible for monitoring and enforcing compliance with the legislation and pursuing breaches if they occur.</w:t>
      </w:r>
    </w:p>
    <w:p w14:paraId="3A8D48AE" w14:textId="448DFB95" w:rsidR="00E148EB" w:rsidRPr="00E148EB" w:rsidRDefault="00E148EB" w:rsidP="009F2E22">
      <w:pPr>
        <w:pStyle w:val="Heading1"/>
        <w:numPr>
          <w:ilvl w:val="0"/>
          <w:numId w:val="14"/>
        </w:numPr>
      </w:pPr>
      <w:bookmarkStart w:id="296" w:name="_Toc519166170"/>
      <w:bookmarkStart w:id="297" w:name="_Toc519240536"/>
      <w:bookmarkStart w:id="298" w:name="_Toc519240665"/>
      <w:bookmarkStart w:id="299" w:name="_Toc520448564"/>
      <w:bookmarkStart w:id="300" w:name="_Toc520455240"/>
      <w:bookmarkStart w:id="301" w:name="_Toc520459039"/>
      <w:bookmarkStart w:id="302" w:name="_Toc520459433"/>
      <w:bookmarkStart w:id="303" w:name="_Toc520458561"/>
      <w:bookmarkStart w:id="304" w:name="_Toc520459518"/>
      <w:bookmarkStart w:id="305" w:name="_Toc520461431"/>
      <w:bookmarkStart w:id="306" w:name="_Toc520461794"/>
      <w:bookmarkStart w:id="307" w:name="_Toc520466825"/>
      <w:bookmarkStart w:id="308" w:name="_Ref520469118"/>
      <w:bookmarkStart w:id="309" w:name="_Toc520469862"/>
      <w:bookmarkStart w:id="310" w:name="_Toc520705319"/>
      <w:bookmarkStart w:id="311" w:name="_Toc520707683"/>
      <w:bookmarkStart w:id="312" w:name="_Ref520715830"/>
      <w:bookmarkStart w:id="313" w:name="_Toc520716697"/>
      <w:bookmarkStart w:id="314" w:name="_Toc520720345"/>
      <w:bookmarkStart w:id="315" w:name="_Toc520721596"/>
      <w:bookmarkStart w:id="316" w:name="_Toc520724129"/>
      <w:bookmarkStart w:id="317" w:name="_Toc520735234"/>
      <w:bookmarkStart w:id="318" w:name="_Toc520736267"/>
      <w:bookmarkStart w:id="319" w:name="_Toc520736686"/>
      <w:r>
        <w:lastRenderedPageBreak/>
        <w:t>The National Greenhouse and Energy Reporting scheme</w:t>
      </w:r>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4BCD5816" w14:textId="1E6C848A" w:rsidR="006D73D4" w:rsidRDefault="006D73D4" w:rsidP="006D73D4">
      <w:r>
        <w:t>The legislation establishes rules for:</w:t>
      </w:r>
    </w:p>
    <w:p w14:paraId="1FB922B4" w14:textId="4E04FD07" w:rsidR="006D73D4" w:rsidRPr="004841B0" w:rsidRDefault="006D73D4"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 xml:space="preserve">who is required to register and report their greenhouse gas emissions and energy </w:t>
      </w:r>
      <w:r w:rsidR="00082592">
        <w:rPr>
          <w:rFonts w:eastAsiaTheme="minorHAnsi" w:cstheme="minorBidi"/>
          <w:lang w:val="en-US"/>
        </w:rPr>
        <w:t>production</w:t>
      </w:r>
      <w:r w:rsidRPr="004841B0">
        <w:rPr>
          <w:rFonts w:eastAsiaTheme="minorHAnsi" w:cstheme="minorBidi"/>
          <w:lang w:val="en-US"/>
        </w:rPr>
        <w:t xml:space="preserve"> and use (reporters) </w:t>
      </w:r>
    </w:p>
    <w:p w14:paraId="1C751DA6" w14:textId="4410B1D7" w:rsidR="006D73D4" w:rsidRPr="004841B0" w:rsidRDefault="006D73D4"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what they must report and how to measure the</w:t>
      </w:r>
      <w:r w:rsidR="00453780">
        <w:rPr>
          <w:rFonts w:eastAsiaTheme="minorHAnsi" w:cstheme="minorBidi"/>
          <w:lang w:val="en-US"/>
        </w:rPr>
        <w:t>m</w:t>
      </w:r>
    </w:p>
    <w:p w14:paraId="53FF1D01" w14:textId="4F834F49" w:rsidR="006D73D4" w:rsidRPr="004841B0" w:rsidRDefault="006D73D4"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publishing the data (</w:t>
      </w:r>
      <w:r w:rsidR="00156160">
        <w:rPr>
          <w:rFonts w:eastAsiaTheme="minorHAnsi" w:cstheme="minorBidi"/>
          <w:lang w:val="en-US"/>
        </w:rPr>
        <w:fldChar w:fldCharType="begin"/>
      </w:r>
      <w:r w:rsidR="00156160">
        <w:rPr>
          <w:rFonts w:eastAsiaTheme="minorHAnsi" w:cstheme="minorBidi"/>
          <w:lang w:val="en-US"/>
        </w:rPr>
        <w:instrText xml:space="preserve"> REF _Ref520715379 \r \h </w:instrText>
      </w:r>
      <w:r w:rsidR="00156160">
        <w:rPr>
          <w:rFonts w:eastAsiaTheme="minorHAnsi" w:cstheme="minorBidi"/>
          <w:lang w:val="en-US"/>
        </w:rPr>
      </w:r>
      <w:r w:rsidR="00156160">
        <w:rPr>
          <w:rFonts w:eastAsiaTheme="minorHAnsi" w:cstheme="minorBidi"/>
          <w:lang w:val="en-US"/>
        </w:rPr>
        <w:fldChar w:fldCharType="separate"/>
      </w:r>
      <w:r w:rsidR="00AD7AD8">
        <w:rPr>
          <w:rFonts w:eastAsiaTheme="minorHAnsi" w:cstheme="minorBidi"/>
          <w:lang w:val="en-US"/>
        </w:rPr>
        <w:t>Chapter 4</w:t>
      </w:r>
      <w:r w:rsidR="00156160">
        <w:rPr>
          <w:rFonts w:eastAsiaTheme="minorHAnsi" w:cstheme="minorBidi"/>
          <w:lang w:val="en-US"/>
        </w:rPr>
        <w:fldChar w:fldCharType="end"/>
      </w:r>
      <w:r w:rsidRPr="004841B0">
        <w:rPr>
          <w:rFonts w:eastAsiaTheme="minorHAnsi" w:cstheme="minorBidi"/>
          <w:lang w:val="en-US"/>
        </w:rPr>
        <w:t>).</w:t>
      </w:r>
    </w:p>
    <w:p w14:paraId="1D8E1B38" w14:textId="3B092485" w:rsidR="00F02176" w:rsidRDefault="00CC6672" w:rsidP="00883094">
      <w:pPr>
        <w:pStyle w:val="Heading2"/>
      </w:pPr>
      <w:bookmarkStart w:id="320" w:name="_Toc520448565"/>
      <w:bookmarkStart w:id="321" w:name="_Toc520455241"/>
      <w:bookmarkStart w:id="322" w:name="_Toc520459040"/>
      <w:bookmarkStart w:id="323" w:name="_Toc520459434"/>
      <w:bookmarkStart w:id="324" w:name="_Toc520458562"/>
      <w:bookmarkStart w:id="325" w:name="_Toc520459519"/>
      <w:bookmarkStart w:id="326" w:name="_Toc520461432"/>
      <w:bookmarkStart w:id="327" w:name="_Toc520461795"/>
      <w:bookmarkStart w:id="328" w:name="_Toc520466826"/>
      <w:bookmarkStart w:id="329" w:name="_Toc520469863"/>
      <w:bookmarkStart w:id="330" w:name="_Toc520705320"/>
      <w:bookmarkStart w:id="331" w:name="_Toc520707684"/>
      <w:bookmarkStart w:id="332" w:name="_Toc520716698"/>
      <w:bookmarkStart w:id="333" w:name="_Toc520720346"/>
      <w:bookmarkStart w:id="334" w:name="_Toc520721597"/>
      <w:bookmarkStart w:id="335" w:name="_Toc520724130"/>
      <w:bookmarkStart w:id="336" w:name="_Toc520735235"/>
      <w:bookmarkStart w:id="337" w:name="_Toc520736268"/>
      <w:bookmarkStart w:id="338" w:name="_Toc520736687"/>
      <w:r>
        <w:t>W</w:t>
      </w:r>
      <w:r w:rsidR="00F02176">
        <w:t xml:space="preserve">ho is required to report under the </w:t>
      </w:r>
      <w:r>
        <w:t>legislation</w:t>
      </w:r>
      <w:bookmarkEnd w:id="320"/>
      <w:bookmarkEnd w:id="321"/>
      <w:bookmarkEnd w:id="322"/>
      <w:bookmarkEnd w:id="323"/>
      <w:bookmarkEnd w:id="324"/>
      <w:bookmarkEnd w:id="325"/>
      <w:bookmarkEnd w:id="326"/>
      <w:bookmarkEnd w:id="327"/>
      <w:bookmarkEnd w:id="328"/>
      <w:bookmarkEnd w:id="329"/>
      <w:bookmarkEnd w:id="330"/>
      <w:bookmarkEnd w:id="331"/>
      <w:r w:rsidR="00CB269D">
        <w:t>?</w:t>
      </w:r>
      <w:bookmarkEnd w:id="332"/>
      <w:bookmarkEnd w:id="333"/>
      <w:bookmarkEnd w:id="334"/>
      <w:bookmarkEnd w:id="335"/>
      <w:bookmarkEnd w:id="336"/>
      <w:bookmarkEnd w:id="337"/>
      <w:bookmarkEnd w:id="338"/>
    </w:p>
    <w:p w14:paraId="6FB6F162" w14:textId="5EBAA2A7" w:rsidR="00F02176" w:rsidRDefault="00F02176" w:rsidP="00F02176">
      <w:r>
        <w:t>Companies have to report emissions and energy data if they, or facilities they control, meet certain thresholds. There are separate thresholds for individual facilities and corporate groups (</w:t>
      </w:r>
      <w:r w:rsidR="003E2B85">
        <w:fldChar w:fldCharType="begin"/>
      </w:r>
      <w:r w:rsidR="003E2B85">
        <w:instrText xml:space="preserve"> REF _Ref520450396 \h </w:instrText>
      </w:r>
      <w:r w:rsidR="003E2B85">
        <w:fldChar w:fldCharType="separate"/>
      </w:r>
      <w:r w:rsidR="00AD7AD8">
        <w:t xml:space="preserve">Table </w:t>
      </w:r>
      <w:r w:rsidR="00AD7AD8">
        <w:rPr>
          <w:noProof/>
        </w:rPr>
        <w:t>1</w:t>
      </w:r>
      <w:r w:rsidR="003E2B85">
        <w:fldChar w:fldCharType="end"/>
      </w:r>
      <w:r>
        <w:t xml:space="preserve">). </w:t>
      </w:r>
    </w:p>
    <w:p w14:paraId="585725BA" w14:textId="26674FC2" w:rsidR="00F02176" w:rsidRDefault="00F02176" w:rsidP="00F02176">
      <w:pPr>
        <w:pStyle w:val="Caption"/>
      </w:pPr>
      <w:bookmarkStart w:id="339" w:name="_Ref520450396"/>
      <w:bookmarkStart w:id="340" w:name="_Toc520461413"/>
      <w:bookmarkStart w:id="341" w:name="_Toc520461779"/>
      <w:bookmarkStart w:id="342" w:name="_Toc520707668"/>
      <w:bookmarkStart w:id="343" w:name="_Toc520716682"/>
      <w:bookmarkStart w:id="344" w:name="_Toc520720330"/>
      <w:bookmarkStart w:id="345" w:name="_Toc520721581"/>
      <w:bookmarkStart w:id="346" w:name="_Toc520724114"/>
      <w:bookmarkStart w:id="347" w:name="_Toc520735218"/>
      <w:bookmarkStart w:id="348" w:name="_Toc520736251"/>
      <w:bookmarkStart w:id="349" w:name="_Toc520736670"/>
      <w:r>
        <w:t xml:space="preserve">Table </w:t>
      </w:r>
      <w:r w:rsidR="00363A9B">
        <w:fldChar w:fldCharType="begin"/>
      </w:r>
      <w:r w:rsidR="00363A9B">
        <w:instrText xml:space="preserve"> SEQ Table \* ARABIC </w:instrText>
      </w:r>
      <w:r w:rsidR="00363A9B">
        <w:fldChar w:fldCharType="separate"/>
      </w:r>
      <w:r w:rsidR="00AD7AD8">
        <w:rPr>
          <w:noProof/>
        </w:rPr>
        <w:t>1</w:t>
      </w:r>
      <w:r w:rsidR="00363A9B">
        <w:rPr>
          <w:noProof/>
        </w:rPr>
        <w:fldChar w:fldCharType="end"/>
      </w:r>
      <w:bookmarkEnd w:id="339"/>
      <w:r>
        <w:t xml:space="preserve">: </w:t>
      </w:r>
      <w:r w:rsidR="00E0339B">
        <w:t>C</w:t>
      </w:r>
      <w:r w:rsidR="00D21C23">
        <w:t xml:space="preserve">orporate group and </w:t>
      </w:r>
      <w:r w:rsidR="00E0339B">
        <w:t>f</w:t>
      </w:r>
      <w:r>
        <w:t>acility thresholds</w:t>
      </w:r>
      <w:bookmarkEnd w:id="340"/>
      <w:bookmarkEnd w:id="341"/>
      <w:bookmarkEnd w:id="342"/>
      <w:bookmarkEnd w:id="343"/>
      <w:bookmarkEnd w:id="344"/>
      <w:bookmarkEnd w:id="345"/>
      <w:bookmarkEnd w:id="346"/>
      <w:bookmarkEnd w:id="347"/>
      <w:bookmarkEnd w:id="348"/>
      <w:bookmarkEnd w:id="349"/>
    </w:p>
    <w:tbl>
      <w:tblPr>
        <w:tblStyle w:val="MediumShading1-Accent121"/>
        <w:tblW w:w="5005" w:type="pct"/>
        <w:tblInd w:w="-10"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2413"/>
        <w:gridCol w:w="2716"/>
        <w:gridCol w:w="543"/>
        <w:gridCol w:w="2125"/>
        <w:gridCol w:w="1404"/>
      </w:tblGrid>
      <w:tr w:rsidR="002C67D8" w:rsidRPr="00903F38" w:rsidDel="00A40142" w14:paraId="338D076E" w14:textId="32174751" w:rsidTr="00216EB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11" w:type="pct"/>
          </w:tcPr>
          <w:p w14:paraId="224F246B" w14:textId="77777777" w:rsidR="00F02176" w:rsidRPr="00271F8C" w:rsidDel="00A40142" w:rsidRDefault="00F02176" w:rsidP="00903F38">
            <w:pPr>
              <w:pStyle w:val="TableHeading"/>
              <w:rPr>
                <w:rFonts w:ascii="Arial" w:hAnsi="Arial" w:cs="Arial"/>
                <w:sz w:val="16"/>
                <w:szCs w:val="16"/>
              </w:rPr>
            </w:pPr>
          </w:p>
        </w:tc>
        <w:tc>
          <w:tcPr>
            <w:tcW w:w="1771" w:type="pct"/>
            <w:gridSpan w:val="2"/>
          </w:tcPr>
          <w:p w14:paraId="5134DA29" w14:textId="4737E17D" w:rsidR="00F02176" w:rsidRPr="00271F8C" w:rsidDel="00A40142" w:rsidRDefault="00453780">
            <w:pPr>
              <w:pStyle w:val="TableHeading"/>
              <w:jc w:val="right"/>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sidRPr="00271F8C">
              <w:rPr>
                <w:rFonts w:ascii="Arial" w:hAnsi="Arial" w:cs="Arial"/>
                <w:b/>
                <w:sz w:val="16"/>
                <w:szCs w:val="16"/>
              </w:rPr>
              <w:t>Scope 1 and 2 emissions combined (Kt CO</w:t>
            </w:r>
            <w:r w:rsidRPr="00837436">
              <w:rPr>
                <w:rFonts w:ascii="Arial" w:hAnsi="Arial" w:cs="Arial"/>
                <w:sz w:val="16"/>
                <w:szCs w:val="16"/>
                <w:vertAlign w:val="subscript"/>
              </w:rPr>
              <w:t>2</w:t>
            </w:r>
            <w:r w:rsidRPr="00271F8C">
              <w:rPr>
                <w:rFonts w:ascii="Arial" w:hAnsi="Arial" w:cs="Arial"/>
                <w:b/>
                <w:sz w:val="16"/>
                <w:szCs w:val="16"/>
              </w:rPr>
              <w:t>-e a year)</w:t>
            </w:r>
          </w:p>
        </w:tc>
        <w:tc>
          <w:tcPr>
            <w:tcW w:w="1155" w:type="pct"/>
          </w:tcPr>
          <w:p w14:paraId="73A2470F" w14:textId="6A01584D" w:rsidR="00F02176" w:rsidRPr="00271F8C" w:rsidDel="00A40142" w:rsidRDefault="00453780" w:rsidP="00903F38">
            <w:pPr>
              <w:pStyle w:val="TableHeading"/>
              <w:jc w:val="right"/>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sidRPr="00271F8C">
              <w:rPr>
                <w:rFonts w:ascii="Arial" w:hAnsi="Arial" w:cs="Arial"/>
                <w:b/>
                <w:sz w:val="16"/>
                <w:szCs w:val="16"/>
              </w:rPr>
              <w:t xml:space="preserve">Energy production </w:t>
            </w:r>
            <w:r w:rsidR="005C02C8">
              <w:rPr>
                <w:rFonts w:ascii="Arial" w:hAnsi="Arial" w:cs="Arial"/>
                <w:b/>
                <w:sz w:val="16"/>
                <w:szCs w:val="16"/>
              </w:rPr>
              <w:t xml:space="preserve">  </w:t>
            </w:r>
            <w:r w:rsidRPr="00271F8C">
              <w:rPr>
                <w:rFonts w:ascii="Arial" w:hAnsi="Arial" w:cs="Arial"/>
                <w:b/>
                <w:sz w:val="16"/>
                <w:szCs w:val="16"/>
              </w:rPr>
              <w:t>(TJ a year)</w:t>
            </w:r>
          </w:p>
        </w:tc>
        <w:tc>
          <w:tcPr>
            <w:tcW w:w="763" w:type="pct"/>
          </w:tcPr>
          <w:p w14:paraId="2B426400" w14:textId="680D2090" w:rsidR="00523D91" w:rsidRPr="00271F8C" w:rsidDel="00A40142" w:rsidRDefault="00453780" w:rsidP="00903F38">
            <w:pPr>
              <w:pStyle w:val="TableHeading"/>
              <w:jc w:val="right"/>
              <w:cnfStyle w:val="100000000000" w:firstRow="1" w:lastRow="0" w:firstColumn="0" w:lastColumn="0" w:oddVBand="0" w:evenVBand="0" w:oddHBand="0" w:evenHBand="0" w:firstRowFirstColumn="0" w:firstRowLastColumn="0" w:lastRowFirstColumn="0" w:lastRowLastColumn="0"/>
              <w:rPr>
                <w:rFonts w:ascii="Arial" w:hAnsi="Arial" w:cs="Arial"/>
                <w:b/>
                <w:sz w:val="16"/>
                <w:szCs w:val="16"/>
              </w:rPr>
            </w:pPr>
            <w:r w:rsidRPr="00271F8C">
              <w:rPr>
                <w:rFonts w:ascii="Arial" w:hAnsi="Arial" w:cs="Arial"/>
                <w:b/>
                <w:sz w:val="16"/>
                <w:szCs w:val="16"/>
              </w:rPr>
              <w:t>Energy use (TJ a year)</w:t>
            </w:r>
          </w:p>
        </w:tc>
      </w:tr>
      <w:tr w:rsidR="00F02176" w:rsidRPr="00155241" w:rsidDel="00A40142" w14:paraId="291F052C" w14:textId="1D593F46" w:rsidTr="00216EB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pct"/>
            <w:gridSpan w:val="2"/>
            <w:tcBorders>
              <w:bottom w:val="dotted" w:sz="4" w:space="0" w:color="9BBB59" w:themeColor="accent3"/>
            </w:tcBorders>
            <w:shd w:val="clear" w:color="auto" w:fill="auto"/>
            <w:vAlign w:val="center"/>
          </w:tcPr>
          <w:p w14:paraId="4462DFE7" w14:textId="31B6AAF1" w:rsidR="00F02176" w:rsidRPr="00271F8C" w:rsidDel="00A40142" w:rsidRDefault="00523D91" w:rsidP="00903F38">
            <w:pPr>
              <w:pStyle w:val="Tabletext"/>
              <w:spacing w:before="60" w:after="60"/>
              <w:rPr>
                <w:rFonts w:cs="Arial"/>
                <w:sz w:val="16"/>
                <w:szCs w:val="16"/>
              </w:rPr>
            </w:pPr>
            <w:r w:rsidRPr="00271F8C">
              <w:rPr>
                <w:rFonts w:cs="Arial"/>
                <w:sz w:val="16"/>
                <w:szCs w:val="16"/>
              </w:rPr>
              <w:t>C</w:t>
            </w:r>
            <w:r w:rsidR="00453780" w:rsidRPr="00271F8C">
              <w:rPr>
                <w:rFonts w:cs="Arial"/>
                <w:sz w:val="16"/>
                <w:szCs w:val="16"/>
              </w:rPr>
              <w:t>orporate group threshold</w:t>
            </w:r>
          </w:p>
        </w:tc>
        <w:tc>
          <w:tcPr>
            <w:tcW w:w="295" w:type="pct"/>
            <w:tcBorders>
              <w:bottom w:val="dotted" w:sz="4" w:space="0" w:color="9BBB59" w:themeColor="accent3"/>
            </w:tcBorders>
            <w:shd w:val="clear" w:color="auto" w:fill="auto"/>
            <w:vAlign w:val="center"/>
          </w:tcPr>
          <w:p w14:paraId="20346BB3" w14:textId="77777777" w:rsidR="00F02176" w:rsidRPr="00271F8C" w:rsidDel="00A40142" w:rsidRDefault="00F02176" w:rsidP="00903F38">
            <w:pPr>
              <w:pStyle w:val="Tabletext"/>
              <w:spacing w:before="60" w:after="60"/>
              <w:ind w:right="33"/>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71F8C" w:rsidDel="00A40142">
              <w:rPr>
                <w:rFonts w:cs="Arial"/>
                <w:sz w:val="16"/>
                <w:szCs w:val="16"/>
              </w:rPr>
              <w:t>50</w:t>
            </w:r>
          </w:p>
        </w:tc>
        <w:tc>
          <w:tcPr>
            <w:tcW w:w="1155" w:type="pct"/>
            <w:tcBorders>
              <w:bottom w:val="dotted" w:sz="4" w:space="0" w:color="9BBB59" w:themeColor="accent3"/>
            </w:tcBorders>
            <w:shd w:val="clear" w:color="auto" w:fill="auto"/>
            <w:vAlign w:val="center"/>
          </w:tcPr>
          <w:p w14:paraId="16147025" w14:textId="6E7EF809" w:rsidR="00F02176" w:rsidRPr="00271F8C" w:rsidDel="00A40142" w:rsidRDefault="00523D91" w:rsidP="00903F38">
            <w:pPr>
              <w:pStyle w:val="Tabletext"/>
              <w:spacing w:before="60" w:after="60"/>
              <w:ind w:right="33"/>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71F8C">
              <w:rPr>
                <w:rFonts w:cs="Arial"/>
                <w:sz w:val="16"/>
                <w:szCs w:val="16"/>
              </w:rPr>
              <w:t>200</w:t>
            </w:r>
          </w:p>
        </w:tc>
        <w:tc>
          <w:tcPr>
            <w:tcW w:w="763" w:type="pct"/>
            <w:tcBorders>
              <w:bottom w:val="dotted" w:sz="4" w:space="0" w:color="auto"/>
            </w:tcBorders>
            <w:shd w:val="clear" w:color="auto" w:fill="auto"/>
          </w:tcPr>
          <w:p w14:paraId="174661C3" w14:textId="30F3B926" w:rsidR="00523D91" w:rsidRPr="00271F8C" w:rsidRDefault="00523D91" w:rsidP="00903F38">
            <w:pPr>
              <w:pStyle w:val="Tabletext"/>
              <w:spacing w:before="60" w:after="60"/>
              <w:ind w:right="33"/>
              <w:jc w:val="right"/>
              <w:cnfStyle w:val="000000100000" w:firstRow="0" w:lastRow="0" w:firstColumn="0" w:lastColumn="0" w:oddVBand="0" w:evenVBand="0" w:oddHBand="1" w:evenHBand="0" w:firstRowFirstColumn="0" w:firstRowLastColumn="0" w:lastRowFirstColumn="0" w:lastRowLastColumn="0"/>
              <w:rPr>
                <w:rFonts w:cs="Arial"/>
                <w:sz w:val="16"/>
                <w:szCs w:val="16"/>
              </w:rPr>
            </w:pPr>
            <w:r w:rsidRPr="00271F8C">
              <w:rPr>
                <w:rFonts w:cs="Arial"/>
                <w:sz w:val="16"/>
                <w:szCs w:val="16"/>
              </w:rPr>
              <w:t>200</w:t>
            </w:r>
          </w:p>
        </w:tc>
      </w:tr>
      <w:tr w:rsidR="00F02176" w:rsidRPr="00155241" w:rsidDel="00A40142" w14:paraId="302FC625" w14:textId="4B9F7512" w:rsidTr="00216EB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87" w:type="pct"/>
            <w:gridSpan w:val="2"/>
            <w:tcBorders>
              <w:bottom w:val="dotted" w:sz="4" w:space="0" w:color="9BBB59" w:themeColor="accent3"/>
            </w:tcBorders>
            <w:shd w:val="clear" w:color="auto" w:fill="auto"/>
            <w:vAlign w:val="center"/>
          </w:tcPr>
          <w:p w14:paraId="261638A3" w14:textId="47C8BB30" w:rsidR="00F02176" w:rsidRPr="00271F8C" w:rsidDel="00A40142" w:rsidRDefault="00453780" w:rsidP="00903F38">
            <w:pPr>
              <w:pStyle w:val="Tabletext"/>
              <w:spacing w:before="60" w:after="60"/>
              <w:rPr>
                <w:rFonts w:cs="Arial"/>
                <w:sz w:val="16"/>
                <w:szCs w:val="16"/>
              </w:rPr>
            </w:pPr>
            <w:r w:rsidRPr="00271F8C">
              <w:rPr>
                <w:rFonts w:cs="Arial"/>
                <w:sz w:val="16"/>
                <w:szCs w:val="16"/>
              </w:rPr>
              <w:t>Facility threshold</w:t>
            </w:r>
          </w:p>
        </w:tc>
        <w:tc>
          <w:tcPr>
            <w:tcW w:w="295" w:type="pct"/>
            <w:tcBorders>
              <w:bottom w:val="dotted" w:sz="4" w:space="0" w:color="9BBB59" w:themeColor="accent3"/>
            </w:tcBorders>
            <w:vAlign w:val="center"/>
          </w:tcPr>
          <w:p w14:paraId="3D877BEA" w14:textId="13D3290E" w:rsidR="00F02176" w:rsidRPr="00271F8C" w:rsidDel="00A40142" w:rsidRDefault="00523D91" w:rsidP="00903F38">
            <w:pPr>
              <w:pStyle w:val="Tabletext"/>
              <w:spacing w:before="60" w:after="60"/>
              <w:ind w:right="33"/>
              <w:jc w:val="right"/>
              <w:cnfStyle w:val="000000010000" w:firstRow="0" w:lastRow="0" w:firstColumn="0" w:lastColumn="0" w:oddVBand="0" w:evenVBand="0" w:oddHBand="0" w:evenHBand="1" w:firstRowFirstColumn="0" w:firstRowLastColumn="0" w:lastRowFirstColumn="0" w:lastRowLastColumn="0"/>
              <w:rPr>
                <w:rFonts w:cs="Arial"/>
                <w:sz w:val="16"/>
                <w:szCs w:val="16"/>
              </w:rPr>
            </w:pPr>
            <w:r w:rsidRPr="00271F8C">
              <w:rPr>
                <w:rFonts w:cs="Arial"/>
                <w:sz w:val="16"/>
                <w:szCs w:val="16"/>
              </w:rPr>
              <w:t>25</w:t>
            </w:r>
          </w:p>
        </w:tc>
        <w:tc>
          <w:tcPr>
            <w:tcW w:w="1155" w:type="pct"/>
            <w:tcBorders>
              <w:bottom w:val="dotted" w:sz="4" w:space="0" w:color="9BBB59" w:themeColor="accent3"/>
            </w:tcBorders>
            <w:shd w:val="clear" w:color="auto" w:fill="auto"/>
            <w:vAlign w:val="center"/>
          </w:tcPr>
          <w:p w14:paraId="11A98A6A" w14:textId="77777777" w:rsidR="00F02176" w:rsidRPr="00271F8C" w:rsidDel="00A40142" w:rsidRDefault="00F02176" w:rsidP="00903F38">
            <w:pPr>
              <w:pStyle w:val="Tabletext"/>
              <w:spacing w:before="60" w:after="60"/>
              <w:ind w:right="33"/>
              <w:jc w:val="right"/>
              <w:cnfStyle w:val="000000010000" w:firstRow="0" w:lastRow="0" w:firstColumn="0" w:lastColumn="0" w:oddVBand="0" w:evenVBand="0" w:oddHBand="0" w:evenHBand="1" w:firstRowFirstColumn="0" w:firstRowLastColumn="0" w:lastRowFirstColumn="0" w:lastRowLastColumn="0"/>
              <w:rPr>
                <w:rFonts w:cs="Arial"/>
                <w:sz w:val="16"/>
                <w:szCs w:val="16"/>
              </w:rPr>
            </w:pPr>
            <w:r w:rsidRPr="00271F8C" w:rsidDel="00A40142">
              <w:rPr>
                <w:rFonts w:cs="Arial"/>
                <w:sz w:val="16"/>
                <w:szCs w:val="16"/>
              </w:rPr>
              <w:t>100</w:t>
            </w:r>
          </w:p>
        </w:tc>
        <w:tc>
          <w:tcPr>
            <w:tcW w:w="763" w:type="pct"/>
            <w:tcBorders>
              <w:top w:val="dotted" w:sz="4" w:space="0" w:color="auto"/>
              <w:bottom w:val="dotted" w:sz="4" w:space="0" w:color="auto"/>
            </w:tcBorders>
          </w:tcPr>
          <w:p w14:paraId="7A7E362D" w14:textId="1112C13F" w:rsidR="00523D91" w:rsidRPr="00271F8C" w:rsidRDefault="00523D91" w:rsidP="00903F38">
            <w:pPr>
              <w:pStyle w:val="Tabletext"/>
              <w:spacing w:before="60" w:after="60"/>
              <w:ind w:right="33"/>
              <w:jc w:val="right"/>
              <w:cnfStyle w:val="000000010000" w:firstRow="0" w:lastRow="0" w:firstColumn="0" w:lastColumn="0" w:oddVBand="0" w:evenVBand="0" w:oddHBand="0" w:evenHBand="1" w:firstRowFirstColumn="0" w:firstRowLastColumn="0" w:lastRowFirstColumn="0" w:lastRowLastColumn="0"/>
              <w:rPr>
                <w:rFonts w:cs="Arial"/>
                <w:sz w:val="16"/>
                <w:szCs w:val="16"/>
              </w:rPr>
            </w:pPr>
            <w:r w:rsidRPr="00271F8C">
              <w:rPr>
                <w:rFonts w:cs="Arial"/>
                <w:sz w:val="16"/>
                <w:szCs w:val="16"/>
              </w:rPr>
              <w:t>100</w:t>
            </w:r>
          </w:p>
        </w:tc>
      </w:tr>
    </w:tbl>
    <w:p w14:paraId="016DCA29" w14:textId="07E9AB65" w:rsidR="00F02176" w:rsidRDefault="00F02176" w:rsidP="00FB280E">
      <w:pPr>
        <w:pStyle w:val="FootnoteText"/>
        <w:spacing w:before="120" w:after="40"/>
      </w:pPr>
      <w:r w:rsidRPr="00364C9F">
        <w:rPr>
          <w:b/>
        </w:rPr>
        <w:t>Note</w:t>
      </w:r>
      <w:r>
        <w:t xml:space="preserve">: To provide companies time to transition into the </w:t>
      </w:r>
      <w:r w:rsidR="007239AE">
        <w:t>reporting</w:t>
      </w:r>
      <w:r>
        <w:t xml:space="preserve"> scheme</w:t>
      </w:r>
      <w:r w:rsidR="00453780">
        <w:t>,</w:t>
      </w:r>
      <w:r>
        <w:t xml:space="preserve"> the corporate group thresholds were gradually reduced from 125 kt CO</w:t>
      </w:r>
      <w:r>
        <w:rPr>
          <w:rFonts w:ascii="Cambria Math" w:hAnsi="Cambria Math" w:cs="Cambria Math"/>
        </w:rPr>
        <w:t>₂</w:t>
      </w:r>
      <w:r>
        <w:t>-e and 500 TJ in 2008-09 to current threshold levels in 2010-11.</w:t>
      </w:r>
    </w:p>
    <w:p w14:paraId="29F00FE9" w14:textId="4FE7BA7A" w:rsidR="00D82747" w:rsidRPr="0083303B" w:rsidRDefault="00D82747" w:rsidP="00BD1E27">
      <w:pPr>
        <w:pStyle w:val="FootnoteText"/>
        <w:spacing w:before="40"/>
        <w:rPr>
          <w:b/>
        </w:rPr>
      </w:pPr>
      <w:r>
        <w:rPr>
          <w:b/>
        </w:rPr>
        <w:t>Source</w:t>
      </w:r>
      <w:r w:rsidRPr="0013110B">
        <w:t>: CER 2018</w:t>
      </w:r>
      <w:r>
        <w:t>o.</w:t>
      </w:r>
    </w:p>
    <w:p w14:paraId="6BF14921" w14:textId="48F7A6B5" w:rsidR="00F02176" w:rsidRDefault="00F02176" w:rsidP="00F02176">
      <w:r>
        <w:t xml:space="preserve">As a reference point, a corporate group with around 25 large supermarkets would likely meet the energy </w:t>
      </w:r>
      <w:r w:rsidR="00082592">
        <w:t>consumption</w:t>
      </w:r>
      <w:r>
        <w:t xml:space="preserve"> threshold. A wind farm consisting of </w:t>
      </w:r>
      <w:r w:rsidR="00CD6F96">
        <w:t>five</w:t>
      </w:r>
      <w:r>
        <w:t xml:space="preserve"> large wind turbines would likely meet the energy production threshold for a facility.</w:t>
      </w:r>
    </w:p>
    <w:p w14:paraId="228F66B6" w14:textId="300175E0" w:rsidR="00F02176" w:rsidRDefault="00F02176" w:rsidP="00F02176">
      <w:r>
        <w:t>The reporting obligation applies at the facility level</w:t>
      </w:r>
      <w:r w:rsidR="00D21C23">
        <w:t>. F</w:t>
      </w:r>
      <w:r>
        <w:t xml:space="preserve">acilities are defined as an activity or series of activities that generate greenhouse gas emissions or produce or </w:t>
      </w:r>
      <w:r w:rsidR="00E57CBC">
        <w:t xml:space="preserve">use </w:t>
      </w:r>
      <w:r>
        <w:t>energy and form a single enterprise. Examples of facilities include factories, electricity generators, manufacturing plants, landfill and construction sites</w:t>
      </w:r>
      <w:r w:rsidR="00D21C23">
        <w:t>,</w:t>
      </w:r>
      <w:r>
        <w:t xml:space="preserve"> and retail outlets. Activities that constitute a single facility may not be on the same physical site, for example</w:t>
      </w:r>
      <w:r w:rsidR="00D21C23">
        <w:t>,</w:t>
      </w:r>
      <w:r>
        <w:t xml:space="preserve"> if they make up a single supply chain. </w:t>
      </w:r>
    </w:p>
    <w:p w14:paraId="44B22DFF" w14:textId="7AC1FFE5" w:rsidR="00453780" w:rsidRDefault="00453780" w:rsidP="00453780">
      <w:r>
        <w:lastRenderedPageBreak/>
        <w:t xml:space="preserve">Reporters are generally the companies (at the head of the corporate group) that have operational control over one or more facilities that meet the threshold. Operational control refers to the ability to introduce and implement operating, health and safety or environmental policies at a facility. </w:t>
      </w:r>
    </w:p>
    <w:p w14:paraId="72640C89" w14:textId="44FF8BDB" w:rsidR="00F02176" w:rsidRDefault="00F02176" w:rsidP="00F02176">
      <w:r>
        <w:t xml:space="preserve">If the corporate group threshold is met, data on all facilities (even if they individually do not meet the </w:t>
      </w:r>
      <w:r w:rsidR="00D40546">
        <w:t>facility</w:t>
      </w:r>
      <w:r>
        <w:t xml:space="preserve"> threshold) must be reported. </w:t>
      </w:r>
    </w:p>
    <w:p w14:paraId="0341DB5C" w14:textId="2B800370" w:rsidR="00F02176" w:rsidRDefault="00F02176" w:rsidP="00F02176">
      <w:r>
        <w:t xml:space="preserve">If the </w:t>
      </w:r>
      <w:r w:rsidR="00D40546">
        <w:t>facility</w:t>
      </w:r>
      <w:r>
        <w:t xml:space="preserve"> threshold is met but the corporate group threshold is not, only facilities that meet the threshold need to be reported. </w:t>
      </w:r>
    </w:p>
    <w:p w14:paraId="2EB6153A" w14:textId="4313D1B1" w:rsidR="00D21C23" w:rsidRDefault="00F02176" w:rsidP="00F02176">
      <w:r>
        <w:t xml:space="preserve">Companies must register with the </w:t>
      </w:r>
      <w:r w:rsidR="006D3F81">
        <w:t>Regulator</w:t>
      </w:r>
      <w:r>
        <w:t xml:space="preserve"> by 31 August following the financial year in which they first meet a</w:t>
      </w:r>
      <w:r w:rsidR="00C04673">
        <w:t xml:space="preserve"> reporting </w:t>
      </w:r>
      <w:r>
        <w:t>threshold. For example, if a company exceeded a threshold for the first time in 2017-18, they must register by 31 August 2018 (</w:t>
      </w:r>
      <w:r w:rsidRPr="00364C9F">
        <w:t>CER 2016a</w:t>
      </w:r>
      <w:r>
        <w:t xml:space="preserve">). </w:t>
      </w:r>
    </w:p>
    <w:p w14:paraId="10890801" w14:textId="3949C18F" w:rsidR="00F02176" w:rsidRDefault="00F02176" w:rsidP="00F02176">
      <w:r>
        <w:t>A company can apply to be de-registered if they expect to be below the thre</w:t>
      </w:r>
      <w:r w:rsidR="00BE7672">
        <w:t>shold for three years in a row</w:t>
      </w:r>
      <w:r>
        <w:t xml:space="preserve">. In certain circumstances, a company can transfer responsibility for reporting to another </w:t>
      </w:r>
      <w:r w:rsidR="00BE7672">
        <w:t>person, who must also register</w:t>
      </w:r>
      <w:r>
        <w:t xml:space="preserve">. </w:t>
      </w:r>
    </w:p>
    <w:p w14:paraId="24ABD8F1" w14:textId="38D6CF74" w:rsidR="00120A2B" w:rsidRDefault="00F02176" w:rsidP="00903F38">
      <w:r>
        <w:t>The Authority is interested in</w:t>
      </w:r>
      <w:r w:rsidR="00FA6830">
        <w:t xml:space="preserve"> </w:t>
      </w:r>
      <w:r>
        <w:t xml:space="preserve">whether the </w:t>
      </w:r>
      <w:r w:rsidR="00FA6830">
        <w:t xml:space="preserve">types and size of entities required to report </w:t>
      </w:r>
      <w:r>
        <w:t xml:space="preserve">effectively balance </w:t>
      </w:r>
      <w:r w:rsidR="00FA6830">
        <w:t xml:space="preserve">the Government and public interest in capturing Australia’s emissions and energy data with </w:t>
      </w:r>
      <w:r w:rsidR="00DB371F">
        <w:t xml:space="preserve">the </w:t>
      </w:r>
      <w:r w:rsidR="00FA6830">
        <w:t xml:space="preserve">cost and </w:t>
      </w:r>
      <w:r w:rsidR="00DB371F">
        <w:t xml:space="preserve">any </w:t>
      </w:r>
      <w:r w:rsidR="00FA6830">
        <w:t xml:space="preserve">other impacts on </w:t>
      </w:r>
      <w:r>
        <w:t>companies</w:t>
      </w:r>
      <w:r w:rsidR="00FA6830">
        <w:t xml:space="preserve">. </w:t>
      </w:r>
    </w:p>
    <w:p w14:paraId="371861B7" w14:textId="3D697875" w:rsidR="00546894" w:rsidRPr="003C5D16" w:rsidRDefault="00546894" w:rsidP="00883094">
      <w:pPr>
        <w:pStyle w:val="Heading2"/>
      </w:pPr>
      <w:bookmarkStart w:id="350" w:name="_Toc519166171"/>
      <w:bookmarkStart w:id="351" w:name="_Toc519240537"/>
      <w:bookmarkStart w:id="352" w:name="_Toc519240666"/>
      <w:bookmarkStart w:id="353" w:name="_Toc520448566"/>
      <w:bookmarkStart w:id="354" w:name="_Toc520455242"/>
      <w:bookmarkStart w:id="355" w:name="_Toc520459041"/>
      <w:bookmarkStart w:id="356" w:name="_Toc520459435"/>
      <w:bookmarkStart w:id="357" w:name="_Toc520458563"/>
      <w:bookmarkStart w:id="358" w:name="_Toc520459520"/>
      <w:bookmarkStart w:id="359" w:name="_Toc520461433"/>
      <w:bookmarkStart w:id="360" w:name="_Toc520461796"/>
      <w:bookmarkStart w:id="361" w:name="_Toc520466827"/>
      <w:bookmarkStart w:id="362" w:name="_Toc520469864"/>
      <w:bookmarkStart w:id="363" w:name="_Toc520705321"/>
      <w:bookmarkStart w:id="364" w:name="_Toc520707685"/>
      <w:bookmarkStart w:id="365" w:name="_Toc520716699"/>
      <w:bookmarkStart w:id="366" w:name="_Toc520720347"/>
      <w:bookmarkStart w:id="367" w:name="_Toc520721598"/>
      <w:bookmarkStart w:id="368" w:name="_Toc520724131"/>
      <w:bookmarkStart w:id="369" w:name="_Toc520735236"/>
      <w:bookmarkStart w:id="370" w:name="_Toc520736269"/>
      <w:bookmarkStart w:id="371" w:name="_Toc520736688"/>
      <w:r w:rsidRPr="003C5D16">
        <w:t>Greenhouse gas emissions</w:t>
      </w:r>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 w14:paraId="123EE537" w14:textId="783C4AA5" w:rsidR="00546894" w:rsidRPr="003C5D16" w:rsidRDefault="00546894" w:rsidP="00883094">
      <w:pPr>
        <w:pStyle w:val="Heading3"/>
      </w:pPr>
      <w:r w:rsidRPr="003C5D16">
        <w:t>Types of emissions</w:t>
      </w:r>
    </w:p>
    <w:p w14:paraId="5951400C" w14:textId="237BD339" w:rsidR="006D51D1" w:rsidRDefault="00D21C23" w:rsidP="006D51D1">
      <w:r>
        <w:t>Companies</w:t>
      </w:r>
      <w:r w:rsidR="006D51D1">
        <w:t xml:space="preserve"> are required to report their emissions of carbon dioxide, methane, nitrous oxide, sulphur hexafluoride, and certain hydrofluorocarbons and perfluorocarbons. This broadly aligns with the gases currently covered </w:t>
      </w:r>
      <w:r w:rsidR="00986484">
        <w:t xml:space="preserve">under </w:t>
      </w:r>
      <w:r w:rsidR="006D51D1">
        <w:t xml:space="preserve">the </w:t>
      </w:r>
      <w:r w:rsidR="005C5A5A">
        <w:t>Kyoto Protocol of the</w:t>
      </w:r>
      <w:r w:rsidR="006D51D1">
        <w:t xml:space="preserve"> United Nations Framework Convention on Climate Change (UNFCCC) and those reported in Australia’s greenhouse gas inventory. </w:t>
      </w:r>
    </w:p>
    <w:p w14:paraId="1D12F45D" w14:textId="0D3B69E1" w:rsidR="006D51D1" w:rsidRDefault="007E6EC1" w:rsidP="006D51D1">
      <w:r>
        <w:t>Companies</w:t>
      </w:r>
      <w:r w:rsidR="006D51D1">
        <w:t xml:space="preserve"> must report their direct </w:t>
      </w:r>
      <w:r w:rsidR="00002111">
        <w:t>(or s</w:t>
      </w:r>
      <w:r w:rsidR="006D51D1">
        <w:t>cope 1</w:t>
      </w:r>
      <w:r w:rsidR="00002111">
        <w:t>)</w:t>
      </w:r>
      <w:r w:rsidR="006D51D1">
        <w:t xml:space="preserve"> emissions released as a </w:t>
      </w:r>
      <w:r w:rsidR="00002111">
        <w:t xml:space="preserve">direct </w:t>
      </w:r>
      <w:r w:rsidR="006D51D1">
        <w:t xml:space="preserve">result of an activity </w:t>
      </w:r>
      <w:r w:rsidR="00002111">
        <w:t xml:space="preserve">at their facility. For example, </w:t>
      </w:r>
      <w:r w:rsidR="004131C0">
        <w:t xml:space="preserve">releasing emissions by burning </w:t>
      </w:r>
      <w:r w:rsidR="005F1B38">
        <w:t xml:space="preserve">fossil fuels </w:t>
      </w:r>
      <w:r w:rsidR="004131C0">
        <w:t xml:space="preserve">to produce energy, </w:t>
      </w:r>
      <w:r w:rsidR="005F1B38">
        <w:t>or releasing emissions in industrial processes</w:t>
      </w:r>
      <w:r w:rsidR="00002111">
        <w:t xml:space="preserve">. They must also report indirect </w:t>
      </w:r>
      <w:r w:rsidR="00283430">
        <w:t>(</w:t>
      </w:r>
      <w:r w:rsidR="00002111">
        <w:t>or</w:t>
      </w:r>
      <w:r w:rsidR="006D51D1">
        <w:t xml:space="preserve"> scope 2</w:t>
      </w:r>
      <w:r w:rsidR="00283430">
        <w:t>)</w:t>
      </w:r>
      <w:r w:rsidR="006D51D1">
        <w:t xml:space="preserve"> emissions </w:t>
      </w:r>
      <w:r w:rsidR="00002111">
        <w:t xml:space="preserve">from the use of </w:t>
      </w:r>
      <w:r w:rsidR="006D51D1">
        <w:t xml:space="preserve">electricity </w:t>
      </w:r>
      <w:r w:rsidR="00002111">
        <w:t xml:space="preserve">generated offsite. For example, a large retailer </w:t>
      </w:r>
      <w:r w:rsidR="00E43A55">
        <w:t>using</w:t>
      </w:r>
      <w:r w:rsidR="00002111">
        <w:t xml:space="preserve"> electri</w:t>
      </w:r>
      <w:r w:rsidR="00A534E5">
        <w:t>city</w:t>
      </w:r>
      <w:r w:rsidR="00002111">
        <w:t xml:space="preserve"> </w:t>
      </w:r>
      <w:r>
        <w:t xml:space="preserve">from the grid </w:t>
      </w:r>
      <w:r w:rsidR="00002111">
        <w:t xml:space="preserve">for lighting, heating or cooling must report the associated emissions </w:t>
      </w:r>
      <w:r w:rsidR="006D51D1">
        <w:t>(</w:t>
      </w:r>
      <w:r w:rsidR="0092108A">
        <w:fldChar w:fldCharType="begin"/>
      </w:r>
      <w:r w:rsidR="0092108A">
        <w:instrText xml:space="preserve"> REF _Ref519162160 \h </w:instrText>
      </w:r>
      <w:r w:rsidR="0092108A">
        <w:fldChar w:fldCharType="separate"/>
      </w:r>
      <w:r w:rsidR="00AD7AD8">
        <w:t xml:space="preserve">Figure </w:t>
      </w:r>
      <w:r w:rsidR="00AD7AD8">
        <w:rPr>
          <w:noProof/>
        </w:rPr>
        <w:t>2</w:t>
      </w:r>
      <w:r w:rsidR="0092108A">
        <w:fldChar w:fldCharType="end"/>
      </w:r>
      <w:r w:rsidR="006D51D1">
        <w:t xml:space="preserve">).  </w:t>
      </w:r>
    </w:p>
    <w:p w14:paraId="39FA49BA" w14:textId="7B0DFBED" w:rsidR="00167052" w:rsidRDefault="00167052" w:rsidP="00167052">
      <w:pPr>
        <w:pStyle w:val="Caption"/>
      </w:pPr>
      <w:bookmarkStart w:id="372" w:name="_Ref519162160"/>
      <w:bookmarkStart w:id="373" w:name="_Toc519166207"/>
      <w:bookmarkStart w:id="374" w:name="_Toc519240574"/>
      <w:bookmarkStart w:id="375" w:name="_Toc519240649"/>
      <w:bookmarkStart w:id="376" w:name="_Toc520448550"/>
      <w:bookmarkStart w:id="377" w:name="_Toc520455226"/>
      <w:bookmarkStart w:id="378" w:name="_Toc520459419"/>
      <w:bookmarkStart w:id="379" w:name="_Toc520461417"/>
      <w:bookmarkStart w:id="380" w:name="_Toc520461783"/>
      <w:bookmarkStart w:id="381" w:name="_Toc520707672"/>
      <w:bookmarkStart w:id="382" w:name="_Toc520716686"/>
      <w:bookmarkStart w:id="383" w:name="_Toc520720334"/>
      <w:bookmarkStart w:id="384" w:name="_Toc520721585"/>
      <w:bookmarkStart w:id="385" w:name="_Toc520724118"/>
      <w:bookmarkStart w:id="386" w:name="_Toc520735222"/>
      <w:bookmarkStart w:id="387" w:name="_Toc520736255"/>
      <w:bookmarkStart w:id="388" w:name="_Toc520736674"/>
      <w:r>
        <w:lastRenderedPageBreak/>
        <w:t xml:space="preserve">Figure </w:t>
      </w:r>
      <w:r w:rsidR="00363A9B">
        <w:fldChar w:fldCharType="begin"/>
      </w:r>
      <w:r w:rsidR="00363A9B">
        <w:instrText xml:space="preserve"> SEQ Figure \* ARABIC </w:instrText>
      </w:r>
      <w:r w:rsidR="00363A9B">
        <w:fldChar w:fldCharType="separate"/>
      </w:r>
      <w:r w:rsidR="00AD7AD8">
        <w:rPr>
          <w:noProof/>
        </w:rPr>
        <w:t>2</w:t>
      </w:r>
      <w:r w:rsidR="00363A9B">
        <w:rPr>
          <w:noProof/>
        </w:rPr>
        <w:fldChar w:fldCharType="end"/>
      </w:r>
      <w:bookmarkEnd w:id="372"/>
      <w:r>
        <w:t>: Scope 1 and 2 emissions</w:t>
      </w:r>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p>
    <w:p w14:paraId="3AC3C912" w14:textId="77777777" w:rsidR="006D51D1" w:rsidRDefault="006D51D1" w:rsidP="0092108A">
      <w:pPr>
        <w:jc w:val="center"/>
      </w:pPr>
      <w:r>
        <w:rPr>
          <w:noProof/>
          <w:lang w:eastAsia="en-AU"/>
        </w:rPr>
        <w:drawing>
          <wp:inline distT="0" distB="0" distL="0" distR="0" wp14:anchorId="09443ED7" wp14:editId="71A7EC48">
            <wp:extent cx="5000625" cy="2155854"/>
            <wp:effectExtent l="0" t="0" r="0" b="0"/>
            <wp:docPr id="2" name="Picture 2" descr="Figure 2 is a schematic that describes scope 1 and scope 2 emissions and provides examples. Scope 1 emissions are emissions released as a direct result of an activity. Examples are emissions from: the production of electricity by burning coal; burning natural gas to heat up a hardware store; manufacturing processes, such as cement; the burning of diesel fuel in trucks; coal mining; and smelting aluminium. Scope 2 emissions are indirect emissions associated with the use of electricity at a facility. Examples are emissions from electricity generated offsite and used by: a large retailer for lighting, heating or cooling; an aluminium smelter; and a cement producer to grind raw materials." title="FIGURE 2: SCOPE 1 AND 2 EMIS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069236" cy="2185433"/>
                    </a:xfrm>
                    <a:prstGeom prst="rect">
                      <a:avLst/>
                    </a:prstGeom>
                    <a:noFill/>
                  </pic:spPr>
                </pic:pic>
              </a:graphicData>
            </a:graphic>
          </wp:inline>
        </w:drawing>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8"/>
      </w:tblGrid>
      <w:tr w:rsidR="006D51D1" w14:paraId="4DDB25CB" w14:textId="77777777" w:rsidTr="0092108A">
        <w:trPr>
          <w:cnfStyle w:val="100000000000" w:firstRow="1" w:lastRow="0" w:firstColumn="0" w:lastColumn="0" w:oddVBand="0" w:evenVBand="0" w:oddHBand="0" w:evenHBand="0" w:firstRowFirstColumn="0" w:firstRowLastColumn="0" w:lastRowFirstColumn="0" w:lastRowLastColumn="0"/>
        </w:trPr>
        <w:tc>
          <w:tcPr>
            <w:tcW w:w="4678" w:type="dxa"/>
            <w:tcMar>
              <w:left w:w="170" w:type="dxa"/>
              <w:right w:w="170" w:type="dxa"/>
            </w:tcMar>
          </w:tcPr>
          <w:p w14:paraId="629EBF51" w14:textId="77777777" w:rsidR="006D51D1" w:rsidRPr="00A11222" w:rsidRDefault="006D51D1" w:rsidP="00562C5D">
            <w:pPr>
              <w:pStyle w:val="Bodytext"/>
              <w:spacing w:after="0"/>
              <w:jc w:val="center"/>
              <w:rPr>
                <w:rFonts w:ascii="Calibri" w:hAnsi="Calibri"/>
                <w:b/>
                <w:color w:val="3E3E3E"/>
              </w:rPr>
            </w:pPr>
            <w:r w:rsidRPr="00A11222">
              <w:rPr>
                <w:rFonts w:ascii="Calibri" w:hAnsi="Calibri"/>
                <w:b/>
                <w:color w:val="3E3E3E"/>
              </w:rPr>
              <w:t>EXAMPLES OF SCOPE 1 EMISSIONS</w:t>
            </w:r>
          </w:p>
        </w:tc>
        <w:tc>
          <w:tcPr>
            <w:tcW w:w="4678" w:type="dxa"/>
            <w:tcMar>
              <w:left w:w="170" w:type="dxa"/>
              <w:right w:w="170" w:type="dxa"/>
            </w:tcMar>
          </w:tcPr>
          <w:p w14:paraId="7F1E70D2" w14:textId="77777777" w:rsidR="006D51D1" w:rsidRPr="00A11222" w:rsidRDefault="006D51D1" w:rsidP="00562C5D">
            <w:pPr>
              <w:pStyle w:val="Bodytext"/>
              <w:spacing w:after="0"/>
              <w:jc w:val="center"/>
              <w:rPr>
                <w:rFonts w:ascii="Calibri" w:hAnsi="Calibri"/>
                <w:b/>
                <w:color w:val="3E3E3E"/>
              </w:rPr>
            </w:pPr>
            <w:r w:rsidRPr="00A11222">
              <w:rPr>
                <w:rFonts w:ascii="Calibri" w:hAnsi="Calibri"/>
                <w:b/>
                <w:color w:val="3E3E3E"/>
              </w:rPr>
              <w:t>EXAMPLES OF SCOPE 2 EMISSIONS</w:t>
            </w:r>
          </w:p>
        </w:tc>
      </w:tr>
      <w:tr w:rsidR="006D51D1" w14:paraId="697669CD" w14:textId="77777777" w:rsidTr="0092108A">
        <w:trPr>
          <w:cnfStyle w:val="000000100000" w:firstRow="0" w:lastRow="0" w:firstColumn="0" w:lastColumn="0" w:oddVBand="0" w:evenVBand="0" w:oddHBand="1" w:evenHBand="0" w:firstRowFirstColumn="0" w:firstRowLastColumn="0" w:lastRowFirstColumn="0" w:lastRowLastColumn="0"/>
        </w:trPr>
        <w:tc>
          <w:tcPr>
            <w:tcW w:w="4678" w:type="dxa"/>
            <w:tcMar>
              <w:left w:w="170" w:type="dxa"/>
              <w:right w:w="170" w:type="dxa"/>
            </w:tcMar>
          </w:tcPr>
          <w:p w14:paraId="6B45C02C" w14:textId="77777777" w:rsidR="006D51D1" w:rsidRPr="005D04AC" w:rsidRDefault="006D51D1" w:rsidP="00D637EF">
            <w:pPr>
              <w:pStyle w:val="ListBullet"/>
              <w:spacing w:after="80" w:line="240" w:lineRule="auto"/>
              <w:ind w:left="0" w:firstLine="0"/>
              <w:rPr>
                <w:rFonts w:ascii="Calibri" w:hAnsi="Calibri"/>
                <w:color w:val="000000" w:themeColor="text1"/>
                <w:sz w:val="21"/>
                <w:szCs w:val="21"/>
              </w:rPr>
            </w:pPr>
            <w:r w:rsidRPr="005D04AC">
              <w:rPr>
                <w:rFonts w:ascii="Calibri" w:hAnsi="Calibri"/>
                <w:color w:val="000000" w:themeColor="text1"/>
                <w:sz w:val="21"/>
                <w:szCs w:val="21"/>
              </w:rPr>
              <w:t>Emissions from:</w:t>
            </w:r>
          </w:p>
          <w:p w14:paraId="6DEA599C" w14:textId="35DB4BBE" w:rsidR="006D51D1" w:rsidRPr="005D04AC" w:rsidRDefault="006D51D1" w:rsidP="00903F38">
            <w:pPr>
              <w:pStyle w:val="ListBullet"/>
              <w:numPr>
                <w:ilvl w:val="0"/>
                <w:numId w:val="6"/>
              </w:numPr>
              <w:spacing w:after="80" w:line="240" w:lineRule="auto"/>
              <w:ind w:left="170" w:hanging="170"/>
              <w:rPr>
                <w:rFonts w:ascii="Calibri" w:hAnsi="Calibri"/>
                <w:color w:val="000000" w:themeColor="text1"/>
                <w:sz w:val="21"/>
                <w:szCs w:val="21"/>
              </w:rPr>
            </w:pPr>
            <w:r w:rsidRPr="005D04AC">
              <w:rPr>
                <w:rFonts w:ascii="Calibri" w:hAnsi="Calibri"/>
                <w:color w:val="000000" w:themeColor="text1"/>
                <w:sz w:val="21"/>
                <w:szCs w:val="21"/>
              </w:rPr>
              <w:t>the production of electricity by burning coal</w:t>
            </w:r>
          </w:p>
          <w:p w14:paraId="527C98CD" w14:textId="3B599323" w:rsidR="006D51D1" w:rsidRPr="005D04AC" w:rsidRDefault="006D51D1" w:rsidP="00903F38">
            <w:pPr>
              <w:pStyle w:val="ListBullet"/>
              <w:numPr>
                <w:ilvl w:val="0"/>
                <w:numId w:val="6"/>
              </w:numPr>
              <w:spacing w:after="80" w:line="240" w:lineRule="auto"/>
              <w:ind w:left="170" w:hanging="170"/>
              <w:rPr>
                <w:rFonts w:ascii="Calibri" w:hAnsi="Calibri"/>
                <w:color w:val="000000" w:themeColor="text1"/>
                <w:sz w:val="21"/>
                <w:szCs w:val="21"/>
              </w:rPr>
            </w:pPr>
            <w:r w:rsidRPr="005D04AC">
              <w:rPr>
                <w:rFonts w:ascii="Calibri" w:hAnsi="Calibri"/>
                <w:color w:val="000000" w:themeColor="text1"/>
                <w:sz w:val="21"/>
                <w:szCs w:val="21"/>
              </w:rPr>
              <w:t xml:space="preserve">burning natural gas to heat up </w:t>
            </w:r>
            <w:r w:rsidRPr="005D04AC" w:rsidDel="004131C0">
              <w:rPr>
                <w:rFonts w:ascii="Calibri" w:hAnsi="Calibri"/>
                <w:color w:val="000000" w:themeColor="text1"/>
                <w:sz w:val="21"/>
                <w:szCs w:val="21"/>
              </w:rPr>
              <w:t xml:space="preserve">a </w:t>
            </w:r>
            <w:r w:rsidRPr="005D04AC">
              <w:rPr>
                <w:rFonts w:ascii="Calibri" w:hAnsi="Calibri"/>
                <w:color w:val="000000" w:themeColor="text1"/>
                <w:sz w:val="21"/>
                <w:szCs w:val="21"/>
              </w:rPr>
              <w:t>hardware store</w:t>
            </w:r>
          </w:p>
          <w:p w14:paraId="10FED64E" w14:textId="65633391" w:rsidR="006D51D1" w:rsidRPr="005D04AC" w:rsidRDefault="006D51D1" w:rsidP="00903F38">
            <w:pPr>
              <w:pStyle w:val="ListBullet"/>
              <w:numPr>
                <w:ilvl w:val="0"/>
                <w:numId w:val="6"/>
              </w:numPr>
              <w:spacing w:after="80" w:line="240" w:lineRule="auto"/>
              <w:ind w:left="170" w:hanging="170"/>
              <w:rPr>
                <w:rFonts w:ascii="Calibri" w:hAnsi="Calibri"/>
                <w:color w:val="000000" w:themeColor="text1"/>
                <w:sz w:val="21"/>
                <w:szCs w:val="21"/>
              </w:rPr>
            </w:pPr>
            <w:r w:rsidRPr="005D04AC">
              <w:rPr>
                <w:rFonts w:ascii="Calibri" w:hAnsi="Calibri"/>
                <w:color w:val="000000" w:themeColor="text1"/>
                <w:sz w:val="21"/>
                <w:szCs w:val="21"/>
              </w:rPr>
              <w:t xml:space="preserve">manufacturing processes such as cement </w:t>
            </w:r>
          </w:p>
          <w:p w14:paraId="1B701C0B" w14:textId="5C799EF9" w:rsidR="006D51D1" w:rsidRPr="005D04AC" w:rsidRDefault="006D51D1" w:rsidP="00903F38">
            <w:pPr>
              <w:pStyle w:val="ListBullet"/>
              <w:numPr>
                <w:ilvl w:val="0"/>
                <w:numId w:val="6"/>
              </w:numPr>
              <w:spacing w:after="80" w:line="240" w:lineRule="auto"/>
              <w:ind w:left="170" w:hanging="170"/>
              <w:rPr>
                <w:rFonts w:ascii="Calibri" w:hAnsi="Calibri"/>
                <w:color w:val="000000" w:themeColor="text1"/>
                <w:sz w:val="21"/>
                <w:szCs w:val="21"/>
              </w:rPr>
            </w:pPr>
            <w:r w:rsidRPr="005D04AC">
              <w:rPr>
                <w:rFonts w:ascii="Calibri" w:hAnsi="Calibri"/>
                <w:color w:val="000000" w:themeColor="text1"/>
                <w:sz w:val="21"/>
                <w:szCs w:val="21"/>
              </w:rPr>
              <w:t xml:space="preserve">the burning of diesel fuel in trucks </w:t>
            </w:r>
          </w:p>
          <w:p w14:paraId="36F0A431" w14:textId="40D4904C" w:rsidR="006D51D1" w:rsidRPr="005D04AC" w:rsidRDefault="006D51D1" w:rsidP="00903F38">
            <w:pPr>
              <w:pStyle w:val="ListBullet"/>
              <w:numPr>
                <w:ilvl w:val="0"/>
                <w:numId w:val="6"/>
              </w:numPr>
              <w:spacing w:after="80" w:line="240" w:lineRule="auto"/>
              <w:ind w:left="170" w:hanging="170"/>
              <w:rPr>
                <w:rFonts w:ascii="Calibri" w:hAnsi="Calibri"/>
                <w:color w:val="000000" w:themeColor="text1"/>
                <w:sz w:val="21"/>
                <w:szCs w:val="21"/>
              </w:rPr>
            </w:pPr>
            <w:r w:rsidRPr="005D04AC">
              <w:rPr>
                <w:rFonts w:ascii="Calibri" w:hAnsi="Calibri"/>
                <w:color w:val="000000" w:themeColor="text1"/>
                <w:sz w:val="21"/>
                <w:szCs w:val="21"/>
              </w:rPr>
              <w:t xml:space="preserve">coal mining </w:t>
            </w:r>
          </w:p>
          <w:p w14:paraId="48D7CF9B" w14:textId="636CB0BE" w:rsidR="006D51D1" w:rsidRPr="005D04AC" w:rsidRDefault="006D51D1" w:rsidP="00903F38">
            <w:pPr>
              <w:pStyle w:val="ListBullet"/>
              <w:numPr>
                <w:ilvl w:val="0"/>
                <w:numId w:val="6"/>
              </w:numPr>
              <w:spacing w:after="80" w:line="240" w:lineRule="auto"/>
              <w:ind w:left="170" w:hanging="170"/>
              <w:rPr>
                <w:rFonts w:ascii="Calibri" w:hAnsi="Calibri"/>
                <w:color w:val="000000" w:themeColor="text1"/>
                <w:sz w:val="21"/>
                <w:szCs w:val="21"/>
              </w:rPr>
            </w:pPr>
            <w:r w:rsidRPr="005D04AC">
              <w:rPr>
                <w:rFonts w:ascii="Calibri" w:hAnsi="Calibri"/>
                <w:color w:val="000000" w:themeColor="text1"/>
                <w:sz w:val="21"/>
                <w:szCs w:val="21"/>
              </w:rPr>
              <w:t>smelting aluminium</w:t>
            </w:r>
            <w:r w:rsidR="005F1B38">
              <w:rPr>
                <w:rFonts w:ascii="Calibri" w:hAnsi="Calibri"/>
                <w:color w:val="000000" w:themeColor="text1"/>
                <w:sz w:val="21"/>
                <w:szCs w:val="21"/>
              </w:rPr>
              <w:t>.</w:t>
            </w:r>
            <w:r w:rsidRPr="005D04AC">
              <w:rPr>
                <w:rFonts w:ascii="Calibri" w:hAnsi="Calibri"/>
                <w:color w:val="000000" w:themeColor="text1"/>
                <w:sz w:val="21"/>
                <w:szCs w:val="21"/>
              </w:rPr>
              <w:t xml:space="preserve"> </w:t>
            </w:r>
          </w:p>
        </w:tc>
        <w:tc>
          <w:tcPr>
            <w:tcW w:w="4678" w:type="dxa"/>
            <w:tcMar>
              <w:left w:w="170" w:type="dxa"/>
              <w:right w:w="170" w:type="dxa"/>
            </w:tcMar>
          </w:tcPr>
          <w:p w14:paraId="72018BEA" w14:textId="020464BF" w:rsidR="005F1B38" w:rsidRDefault="005F1B38" w:rsidP="00D637EF">
            <w:pPr>
              <w:pStyle w:val="ListBullet"/>
              <w:spacing w:after="80" w:line="240" w:lineRule="auto"/>
              <w:ind w:left="0" w:firstLine="0"/>
              <w:rPr>
                <w:rFonts w:ascii="Calibri" w:hAnsi="Calibri"/>
                <w:color w:val="000000" w:themeColor="text1"/>
                <w:sz w:val="21"/>
                <w:szCs w:val="21"/>
              </w:rPr>
            </w:pPr>
            <w:r>
              <w:rPr>
                <w:rFonts w:ascii="Calibri" w:hAnsi="Calibri"/>
                <w:color w:val="000000" w:themeColor="text1"/>
                <w:sz w:val="21"/>
                <w:szCs w:val="21"/>
              </w:rPr>
              <w:t xml:space="preserve">Emissions from electricity generated offsite and used by: </w:t>
            </w:r>
          </w:p>
          <w:p w14:paraId="1A44450D" w14:textId="15E777A5" w:rsidR="006D51D1" w:rsidRPr="005D04AC" w:rsidRDefault="005F1B38" w:rsidP="00364C9F">
            <w:pPr>
              <w:pStyle w:val="ListBullet"/>
              <w:numPr>
                <w:ilvl w:val="0"/>
                <w:numId w:val="6"/>
              </w:numPr>
              <w:spacing w:after="80" w:line="240" w:lineRule="auto"/>
              <w:ind w:left="170" w:hanging="170"/>
              <w:rPr>
                <w:rFonts w:ascii="Calibri" w:hAnsi="Calibri"/>
                <w:color w:val="000000" w:themeColor="text1"/>
                <w:sz w:val="21"/>
                <w:szCs w:val="21"/>
              </w:rPr>
            </w:pPr>
            <w:r>
              <w:rPr>
                <w:rFonts w:ascii="Calibri" w:hAnsi="Calibri"/>
                <w:color w:val="000000" w:themeColor="text1"/>
                <w:sz w:val="21"/>
                <w:szCs w:val="21"/>
              </w:rPr>
              <w:t>a l</w:t>
            </w:r>
            <w:r w:rsidR="006D51D1" w:rsidRPr="005D04AC">
              <w:rPr>
                <w:rFonts w:ascii="Calibri" w:hAnsi="Calibri"/>
                <w:color w:val="000000" w:themeColor="text1"/>
                <w:sz w:val="21"/>
                <w:szCs w:val="21"/>
              </w:rPr>
              <w:t>arge retailer for lighting, heating or cooling</w:t>
            </w:r>
          </w:p>
          <w:p w14:paraId="4819D219" w14:textId="39EA9E29" w:rsidR="006D51D1" w:rsidRPr="005D04AC" w:rsidRDefault="005F1B38" w:rsidP="00364C9F">
            <w:pPr>
              <w:pStyle w:val="ListBullet"/>
              <w:numPr>
                <w:ilvl w:val="0"/>
                <w:numId w:val="6"/>
              </w:numPr>
              <w:spacing w:after="80" w:line="240" w:lineRule="auto"/>
              <w:ind w:left="170" w:hanging="170"/>
              <w:rPr>
                <w:rFonts w:ascii="Calibri" w:hAnsi="Calibri"/>
                <w:color w:val="000000" w:themeColor="text1"/>
                <w:sz w:val="21"/>
                <w:szCs w:val="21"/>
              </w:rPr>
            </w:pPr>
            <w:r>
              <w:rPr>
                <w:rFonts w:ascii="Calibri" w:hAnsi="Calibri"/>
                <w:color w:val="000000" w:themeColor="text1"/>
                <w:sz w:val="21"/>
                <w:szCs w:val="21"/>
              </w:rPr>
              <w:t>an a</w:t>
            </w:r>
            <w:r w:rsidRPr="005D04AC">
              <w:rPr>
                <w:rFonts w:ascii="Calibri" w:hAnsi="Calibri"/>
                <w:color w:val="000000" w:themeColor="text1"/>
                <w:sz w:val="21"/>
                <w:szCs w:val="21"/>
              </w:rPr>
              <w:t xml:space="preserve">luminium </w:t>
            </w:r>
            <w:r w:rsidR="006D51D1" w:rsidRPr="005D04AC">
              <w:rPr>
                <w:rFonts w:ascii="Calibri" w:hAnsi="Calibri"/>
                <w:color w:val="000000" w:themeColor="text1"/>
                <w:sz w:val="21"/>
                <w:szCs w:val="21"/>
              </w:rPr>
              <w:t xml:space="preserve">smelter </w:t>
            </w:r>
          </w:p>
          <w:p w14:paraId="219DE2C6" w14:textId="3C9B71C9" w:rsidR="006D51D1" w:rsidRPr="005D04AC" w:rsidRDefault="005F1B38" w:rsidP="00364C9F">
            <w:pPr>
              <w:pStyle w:val="ListBullet"/>
              <w:numPr>
                <w:ilvl w:val="0"/>
                <w:numId w:val="6"/>
              </w:numPr>
              <w:spacing w:after="80" w:line="240" w:lineRule="auto"/>
              <w:ind w:left="170" w:hanging="170"/>
              <w:rPr>
                <w:rFonts w:ascii="Calibri" w:hAnsi="Calibri"/>
                <w:color w:val="000000" w:themeColor="text1"/>
                <w:sz w:val="21"/>
                <w:szCs w:val="21"/>
              </w:rPr>
            </w:pPr>
            <w:r>
              <w:rPr>
                <w:rFonts w:ascii="Calibri" w:hAnsi="Calibri"/>
                <w:color w:val="000000" w:themeColor="text1"/>
                <w:sz w:val="21"/>
                <w:szCs w:val="21"/>
              </w:rPr>
              <w:t xml:space="preserve"> a c</w:t>
            </w:r>
            <w:r w:rsidR="006D51D1" w:rsidRPr="005D04AC">
              <w:rPr>
                <w:rFonts w:ascii="Calibri" w:hAnsi="Calibri"/>
                <w:color w:val="000000" w:themeColor="text1"/>
                <w:sz w:val="21"/>
                <w:szCs w:val="21"/>
              </w:rPr>
              <w:t>ement producer</w:t>
            </w:r>
            <w:r>
              <w:rPr>
                <w:rFonts w:ascii="Calibri" w:hAnsi="Calibri"/>
                <w:color w:val="000000" w:themeColor="text1"/>
                <w:sz w:val="21"/>
                <w:szCs w:val="21"/>
              </w:rPr>
              <w:t xml:space="preserve"> </w:t>
            </w:r>
            <w:r w:rsidR="006D51D1" w:rsidRPr="005D04AC">
              <w:rPr>
                <w:rFonts w:ascii="Calibri" w:hAnsi="Calibri"/>
                <w:color w:val="000000" w:themeColor="text1"/>
                <w:sz w:val="21"/>
                <w:szCs w:val="21"/>
              </w:rPr>
              <w:t xml:space="preserve">to grind raw materials. </w:t>
            </w:r>
          </w:p>
          <w:p w14:paraId="411189AA" w14:textId="77777777" w:rsidR="006D51D1" w:rsidRPr="005D04AC" w:rsidRDefault="006D51D1" w:rsidP="00D637EF">
            <w:pPr>
              <w:pStyle w:val="ListBullet"/>
              <w:spacing w:after="80" w:line="240" w:lineRule="auto"/>
              <w:ind w:left="170" w:firstLine="0"/>
              <w:rPr>
                <w:rFonts w:ascii="Calibri" w:hAnsi="Calibri"/>
                <w:color w:val="000000" w:themeColor="text1"/>
                <w:sz w:val="21"/>
                <w:szCs w:val="21"/>
              </w:rPr>
            </w:pPr>
          </w:p>
          <w:p w14:paraId="58DB2063" w14:textId="77777777" w:rsidR="006D51D1" w:rsidRPr="005D04AC" w:rsidRDefault="006D51D1" w:rsidP="00D637EF">
            <w:pPr>
              <w:pStyle w:val="ListBullet"/>
              <w:spacing w:after="80" w:line="240" w:lineRule="auto"/>
              <w:ind w:left="530" w:hanging="360"/>
              <w:rPr>
                <w:rFonts w:ascii="Calibri" w:hAnsi="Calibri"/>
                <w:color w:val="000000" w:themeColor="text1"/>
                <w:sz w:val="21"/>
                <w:szCs w:val="21"/>
              </w:rPr>
            </w:pPr>
          </w:p>
        </w:tc>
      </w:tr>
    </w:tbl>
    <w:p w14:paraId="6EBFA332" w14:textId="77777777" w:rsidR="00D8009B" w:rsidRDefault="00D8009B" w:rsidP="00216EBF">
      <w:pPr>
        <w:spacing w:after="0"/>
      </w:pPr>
    </w:p>
    <w:p w14:paraId="1D510B3D" w14:textId="079877FB" w:rsidR="00002111" w:rsidRPr="0045106F" w:rsidRDefault="000A35AF" w:rsidP="00364C9F">
      <w:r w:rsidRPr="00364C9F">
        <w:t xml:space="preserve">Reporting scope 2 emissions introduces some duplication </w:t>
      </w:r>
      <w:r w:rsidR="00002111">
        <w:t xml:space="preserve">where emissions from electricity production are already covered by </w:t>
      </w:r>
      <w:r>
        <w:t xml:space="preserve">scope 1 </w:t>
      </w:r>
      <w:r w:rsidR="00002111">
        <w:t xml:space="preserve">reporting obligations on electricity generators. However, it is important for decision makers to know who the large energy users are and what amount of emissions from energy they are responsible for. For example, aluminium production accounts for </w:t>
      </w:r>
      <w:r w:rsidR="00002111" w:rsidRPr="005112D5">
        <w:t>about 20 per cent</w:t>
      </w:r>
      <w:r w:rsidR="00002111">
        <w:t xml:space="preserve"> of all scope 2 emissions reported under </w:t>
      </w:r>
      <w:r w:rsidR="00C04673">
        <w:t xml:space="preserve">the scheme </w:t>
      </w:r>
      <w:r w:rsidR="00002111">
        <w:t>but only about five per cent of</w:t>
      </w:r>
      <w:r w:rsidR="00002111" w:rsidRPr="00C53F05">
        <w:t xml:space="preserve"> </w:t>
      </w:r>
      <w:r w:rsidR="00002111">
        <w:t>scope 1 emissions (CER 2017</w:t>
      </w:r>
      <w:r w:rsidR="00C13993">
        <w:t>a</w:t>
      </w:r>
      <w:r w:rsidR="00002111">
        <w:t xml:space="preserve">). Just relying on scope 1 emissions for aluminium could be seen as unrepresentative of the sector’s contribution to Australia’s emissions profile. </w:t>
      </w:r>
    </w:p>
    <w:p w14:paraId="1B5DA085" w14:textId="358774D5" w:rsidR="00733774" w:rsidRDefault="00733774" w:rsidP="00883094">
      <w:pPr>
        <w:pStyle w:val="Heading3"/>
      </w:pPr>
      <w:r>
        <w:t>Emissions sources</w:t>
      </w:r>
    </w:p>
    <w:p w14:paraId="0501426F" w14:textId="7F3F831D" w:rsidR="006D51D1" w:rsidRDefault="00496E61" w:rsidP="006D51D1">
      <w:r>
        <w:t xml:space="preserve">The </w:t>
      </w:r>
      <w:r w:rsidR="007239AE">
        <w:t>reporting</w:t>
      </w:r>
      <w:r w:rsidR="007239AE" w:rsidDel="007239AE">
        <w:t xml:space="preserve"> </w:t>
      </w:r>
      <w:r>
        <w:t>scheme</w:t>
      </w:r>
      <w:r w:rsidR="006D51D1">
        <w:t xml:space="preserve"> covers emissions from </w:t>
      </w:r>
      <w:r w:rsidR="008758E3">
        <w:t>electricity generation</w:t>
      </w:r>
      <w:r w:rsidR="00B33FFD">
        <w:t xml:space="preserve"> and use</w:t>
      </w:r>
      <w:r w:rsidR="008758E3">
        <w:t xml:space="preserve">; </w:t>
      </w:r>
      <w:r w:rsidR="006D51D1">
        <w:t>fuel combustion</w:t>
      </w:r>
      <w:r w:rsidR="008758E3">
        <w:t>;</w:t>
      </w:r>
      <w:r w:rsidR="006D51D1">
        <w:t xml:space="preserve"> industrial processes</w:t>
      </w:r>
      <w:r w:rsidR="008758E3">
        <w:t>;</w:t>
      </w:r>
      <w:r w:rsidR="006D51D1">
        <w:t xml:space="preserve"> </w:t>
      </w:r>
      <w:r w:rsidR="004E7EFB">
        <w:t xml:space="preserve">waste </w:t>
      </w:r>
      <w:r w:rsidR="00FC3F4F">
        <w:t>disposal</w:t>
      </w:r>
      <w:r w:rsidR="008758E3">
        <w:t>;</w:t>
      </w:r>
      <w:r w:rsidR="00FC3F4F">
        <w:t xml:space="preserve"> </w:t>
      </w:r>
      <w:r w:rsidR="006D51D1">
        <w:t>and fugitive emissions result</w:t>
      </w:r>
      <w:r w:rsidR="004A6FCC">
        <w:t>ing</w:t>
      </w:r>
      <w:r w:rsidR="006D51D1">
        <w:t xml:space="preserve"> from mining, and oil and gas production and distribution. </w:t>
      </w:r>
    </w:p>
    <w:p w14:paraId="1C5E5918" w14:textId="3FAC296F" w:rsidR="006D51D1" w:rsidRDefault="007E6EC1" w:rsidP="006D51D1">
      <w:r>
        <w:lastRenderedPageBreak/>
        <w:t>Companies</w:t>
      </w:r>
      <w:r w:rsidR="006D51D1">
        <w:t xml:space="preserve"> are not required to report on emissions from the Agriculture or Land</w:t>
      </w:r>
      <w:r w:rsidR="00DD317B">
        <w:t xml:space="preserve"> </w:t>
      </w:r>
      <w:r w:rsidR="00283430">
        <w:t>U</w:t>
      </w:r>
      <w:r w:rsidR="006D51D1">
        <w:t xml:space="preserve">se, </w:t>
      </w:r>
      <w:r w:rsidR="00283430">
        <w:t>L</w:t>
      </w:r>
      <w:r w:rsidR="006D51D1">
        <w:t>and</w:t>
      </w:r>
      <w:r w:rsidR="00DD317B">
        <w:noBreakHyphen/>
      </w:r>
      <w:r w:rsidR="00283430">
        <w:t>U</w:t>
      </w:r>
      <w:r w:rsidR="006D51D1">
        <w:t xml:space="preserve">se </w:t>
      </w:r>
      <w:r w:rsidR="00283430">
        <w:t>C</w:t>
      </w:r>
      <w:r w:rsidR="006D51D1">
        <w:t xml:space="preserve">hange and </w:t>
      </w:r>
      <w:r w:rsidR="00283430">
        <w:t>F</w:t>
      </w:r>
      <w:r w:rsidR="006D51D1">
        <w:t xml:space="preserve">orestry (LULUCF) inventory sectors (e.g. methane from livestock or carbon emissions and sequestration from land management). However, land and agriculture businesses may be required to report their </w:t>
      </w:r>
      <w:r w:rsidR="00B33FFD">
        <w:t xml:space="preserve">scope 1 and scope 2 </w:t>
      </w:r>
      <w:r w:rsidR="006D51D1">
        <w:t>emissions and energy use if they meet the reporting thresholds.</w:t>
      </w:r>
    </w:p>
    <w:p w14:paraId="6A8CAD1B" w14:textId="3CF9AA69" w:rsidR="006D51D1" w:rsidRDefault="00B33FFD" w:rsidP="006D51D1">
      <w:r>
        <w:t>The Authority is interested in stakeholder</w:t>
      </w:r>
      <w:r w:rsidR="009157CD">
        <w:t>s’</w:t>
      </w:r>
      <w:r>
        <w:t xml:space="preserve"> views on whether agricultural emissions should be reported under the scheme, noting </w:t>
      </w:r>
      <w:r w:rsidR="008116DA">
        <w:t xml:space="preserve">most farms would be below </w:t>
      </w:r>
      <w:r w:rsidR="00D40546">
        <w:t xml:space="preserve">the </w:t>
      </w:r>
      <w:r w:rsidR="008116DA">
        <w:t>reporting threshold</w:t>
      </w:r>
      <w:r w:rsidR="00600495">
        <w:t>.</w:t>
      </w:r>
    </w:p>
    <w:p w14:paraId="31D9D846" w14:textId="11CBB45A" w:rsidR="006D51D1" w:rsidRDefault="006D51D1" w:rsidP="006D51D1">
      <w:r>
        <w:t xml:space="preserve">Emissions from soil or vegetation resulting from land management are not included in </w:t>
      </w:r>
      <w:r w:rsidR="00BE5EE1">
        <w:t>the</w:t>
      </w:r>
      <w:r w:rsidR="00BE5EE1" w:rsidDel="00496E61">
        <w:t xml:space="preserve"> </w:t>
      </w:r>
      <w:r>
        <w:t xml:space="preserve">reporting </w:t>
      </w:r>
      <w:r w:rsidR="00BE5EE1">
        <w:t xml:space="preserve">scheme </w:t>
      </w:r>
      <w:r>
        <w:t xml:space="preserve">because Australia already has in place a </w:t>
      </w:r>
      <w:r w:rsidR="00B84330">
        <w:t>n</w:t>
      </w:r>
      <w:r>
        <w:t xml:space="preserve">ational </w:t>
      </w:r>
      <w:r w:rsidR="00B84330">
        <w:t>s</w:t>
      </w:r>
      <w:r>
        <w:t>ystem provid</w:t>
      </w:r>
      <w:r w:rsidR="00E43A55">
        <w:t>ing</w:t>
      </w:r>
      <w:r>
        <w:t xml:space="preserve"> detailed data on LULUCF emissions (Explanatory Memorandum</w:t>
      </w:r>
      <w:r w:rsidR="006422DA">
        <w:t>, National Greenhouse and Energy Reporting Act 2007 (Cth)</w:t>
      </w:r>
      <w:r>
        <w:t>). The Authority is interested in stakeholder</w:t>
      </w:r>
      <w:r w:rsidR="009157CD">
        <w:t>s’</w:t>
      </w:r>
      <w:r>
        <w:t xml:space="preserve"> views on whether LULUCF emissions </w:t>
      </w:r>
      <w:r w:rsidR="002A4E35">
        <w:t xml:space="preserve">and </w:t>
      </w:r>
      <w:r w:rsidR="009F74F3">
        <w:t>carbon stored</w:t>
      </w:r>
      <w:r w:rsidR="002A4E35">
        <w:t xml:space="preserve"> </w:t>
      </w:r>
      <w:r>
        <w:t xml:space="preserve">should be reported. </w:t>
      </w:r>
    </w:p>
    <w:p w14:paraId="0D4ACBC0" w14:textId="760C0BAF" w:rsidR="006D51D1" w:rsidRDefault="006D51D1" w:rsidP="00883094">
      <w:pPr>
        <w:pStyle w:val="Heading2"/>
      </w:pPr>
      <w:bookmarkStart w:id="389" w:name="_Toc520448567"/>
      <w:bookmarkStart w:id="390" w:name="_Toc520455243"/>
      <w:bookmarkStart w:id="391" w:name="_Toc520459042"/>
      <w:bookmarkStart w:id="392" w:name="_Toc520459436"/>
      <w:bookmarkStart w:id="393" w:name="_Toc520458564"/>
      <w:bookmarkStart w:id="394" w:name="_Toc520459521"/>
      <w:bookmarkStart w:id="395" w:name="_Toc520461434"/>
      <w:bookmarkStart w:id="396" w:name="_Toc520461797"/>
      <w:bookmarkStart w:id="397" w:name="_Toc520466828"/>
      <w:bookmarkStart w:id="398" w:name="_Toc520469865"/>
      <w:bookmarkStart w:id="399" w:name="_Toc520705322"/>
      <w:bookmarkStart w:id="400" w:name="_Toc520707686"/>
      <w:bookmarkStart w:id="401" w:name="_Toc520716700"/>
      <w:bookmarkStart w:id="402" w:name="_Toc520720348"/>
      <w:bookmarkStart w:id="403" w:name="_Toc520721599"/>
      <w:bookmarkStart w:id="404" w:name="_Toc520724132"/>
      <w:bookmarkStart w:id="405" w:name="_Toc520735237"/>
      <w:bookmarkStart w:id="406" w:name="_Toc520736270"/>
      <w:bookmarkStart w:id="407" w:name="_Toc520736689"/>
      <w:r>
        <w:t xml:space="preserve">Energy production and </w:t>
      </w:r>
      <w:r w:rsidR="006C36D3">
        <w:t>use</w:t>
      </w:r>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p>
    <w:p w14:paraId="097741D2" w14:textId="0B8D8F26" w:rsidR="006D51D1" w:rsidRDefault="006D51D1" w:rsidP="006D51D1">
      <w:r>
        <w:t xml:space="preserve">Energy production and </w:t>
      </w:r>
      <w:r w:rsidR="006C36D3">
        <w:t>use</w:t>
      </w:r>
      <w:r>
        <w:t xml:space="preserve"> covered under the </w:t>
      </w:r>
      <w:r w:rsidR="007239AE">
        <w:t>reporting</w:t>
      </w:r>
      <w:r w:rsidR="007239AE" w:rsidDel="007239AE">
        <w:t xml:space="preserve"> </w:t>
      </w:r>
      <w:r>
        <w:t xml:space="preserve">scheme includes the production and use of various fuels and energy commodities including coal, petroleum, gas and biofuel. It also includes sources of energy for electricity generation such as wind and solar. For example, if a coal-fired power plant uses coal to produce electricity, it must report the coal used as energy </w:t>
      </w:r>
      <w:r w:rsidR="00082592">
        <w:t xml:space="preserve">use </w:t>
      </w:r>
      <w:r>
        <w:t xml:space="preserve">and the electricity generated as energy production. </w:t>
      </w:r>
    </w:p>
    <w:p w14:paraId="2C0BC334" w14:textId="495D9B23" w:rsidR="00425C29" w:rsidRDefault="00CC6672" w:rsidP="00883094">
      <w:pPr>
        <w:pStyle w:val="Heading2"/>
      </w:pPr>
      <w:bookmarkStart w:id="408" w:name="_Toc520448568"/>
      <w:bookmarkStart w:id="409" w:name="_Toc520455244"/>
      <w:bookmarkStart w:id="410" w:name="_Toc520459043"/>
      <w:bookmarkStart w:id="411" w:name="_Toc520459437"/>
      <w:bookmarkStart w:id="412" w:name="_Toc520458565"/>
      <w:bookmarkStart w:id="413" w:name="_Toc520459522"/>
      <w:bookmarkStart w:id="414" w:name="_Toc520461435"/>
      <w:bookmarkStart w:id="415" w:name="_Toc520461798"/>
      <w:bookmarkStart w:id="416" w:name="_Toc520466829"/>
      <w:bookmarkStart w:id="417" w:name="_Toc520469866"/>
      <w:bookmarkStart w:id="418" w:name="_Toc520705323"/>
      <w:bookmarkStart w:id="419" w:name="_Toc520707687"/>
      <w:bookmarkStart w:id="420" w:name="_Toc520716701"/>
      <w:bookmarkStart w:id="421" w:name="_Toc520720349"/>
      <w:bookmarkStart w:id="422" w:name="_Toc520721600"/>
      <w:bookmarkStart w:id="423" w:name="_Toc520724133"/>
      <w:bookmarkStart w:id="424" w:name="_Toc520735238"/>
      <w:bookmarkStart w:id="425" w:name="_Toc520736271"/>
      <w:bookmarkStart w:id="426" w:name="_Toc520736690"/>
      <w:bookmarkStart w:id="427" w:name="_Toc519166172"/>
      <w:bookmarkStart w:id="428" w:name="_Toc519240538"/>
      <w:bookmarkStart w:id="429" w:name="_Toc519240667"/>
      <w:r>
        <w:t>I</w:t>
      </w:r>
      <w:r w:rsidR="00425C29">
        <w:t>ndustry coverage</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5A4C64A7" w14:textId="26106A25" w:rsidR="00425C29" w:rsidRDefault="00425C29" w:rsidP="00425C29">
      <w:r>
        <w:t xml:space="preserve">Around 800 companies representing more than </w:t>
      </w:r>
      <w:r w:rsidRPr="00A11222">
        <w:t>25</w:t>
      </w:r>
      <w:r w:rsidRPr="009410C1">
        <w:t>,000</w:t>
      </w:r>
      <w:r>
        <w:t xml:space="preserve"> facilities reported under the scheme in 2016-17 (CER 2017</w:t>
      </w:r>
      <w:r w:rsidR="00414D14">
        <w:t>a</w:t>
      </w:r>
      <w:r w:rsidR="00414D14" w:rsidRPr="00C5358A">
        <w:t>;</w:t>
      </w:r>
      <w:r w:rsidR="00414D14" w:rsidRPr="00364C9F">
        <w:rPr>
          <w:rStyle w:val="BodytextChar"/>
        </w:rPr>
        <w:t xml:space="preserve"> CER </w:t>
      </w:r>
      <w:r w:rsidR="00C13993" w:rsidRPr="00364C9F">
        <w:rPr>
          <w:rStyle w:val="BodytextChar"/>
        </w:rPr>
        <w:t>2018</w:t>
      </w:r>
      <w:r w:rsidR="00C13993">
        <w:rPr>
          <w:rStyle w:val="BodytextChar"/>
        </w:rPr>
        <w:t>j</w:t>
      </w:r>
      <w:r>
        <w:t xml:space="preserve">). The number of facilities reporting from each sector varies significantly, </w:t>
      </w:r>
      <w:r w:rsidR="00FD20B3">
        <w:t xml:space="preserve">including because of </w:t>
      </w:r>
      <w:r>
        <w:t xml:space="preserve">differences in activities, emissions, production facilities and business models across sectors. </w:t>
      </w:r>
      <w:r w:rsidRPr="005112D5">
        <w:t xml:space="preserve">Sectors such as road transport, property operators and real estate and food product manufacturing have large numbers of facilities covered by the </w:t>
      </w:r>
      <w:r w:rsidR="007239AE">
        <w:t>reporting</w:t>
      </w:r>
      <w:r w:rsidRPr="005112D5">
        <w:t xml:space="preserve"> scheme. Other sectors, such as coal mining, have fewer individual facilities.</w:t>
      </w:r>
      <w:r w:rsidDel="00206F7B">
        <w:t xml:space="preserve"> </w:t>
      </w:r>
      <w:r>
        <w:t xml:space="preserve"> </w:t>
      </w:r>
    </w:p>
    <w:p w14:paraId="7E085B5F" w14:textId="0845774D" w:rsidR="00425C29" w:rsidRPr="00903F38" w:rsidRDefault="00425C29" w:rsidP="00903F38">
      <w:r w:rsidRPr="004017AE">
        <w:t xml:space="preserve">Over 60 per cent </w:t>
      </w:r>
      <w:r w:rsidR="001F5032">
        <w:t>(or 336</w:t>
      </w:r>
      <w:r w:rsidR="0021720E">
        <w:t> </w:t>
      </w:r>
      <w:r w:rsidR="00D40546">
        <w:t xml:space="preserve">million tonnes </w:t>
      </w:r>
      <w:r w:rsidR="00B75498">
        <w:t>of</w:t>
      </w:r>
      <w:r w:rsidR="00D40546">
        <w:t xml:space="preserve"> carbon dioxide equivalent (</w:t>
      </w:r>
      <w:r w:rsidR="001F5032">
        <w:t>Mt</w:t>
      </w:r>
      <w:r w:rsidR="0021720E">
        <w:t> </w:t>
      </w:r>
      <w:r w:rsidR="001F5032">
        <w:t>CO</w:t>
      </w:r>
      <w:r w:rsidR="001F5032" w:rsidRPr="00364C9F">
        <w:rPr>
          <w:vertAlign w:val="subscript"/>
        </w:rPr>
        <w:t>2</w:t>
      </w:r>
      <w:r w:rsidR="001F5032">
        <w:t>-e</w:t>
      </w:r>
      <w:r w:rsidR="00D40546">
        <w:t>)</w:t>
      </w:r>
      <w:r w:rsidR="001F5032">
        <w:t xml:space="preserve">) </w:t>
      </w:r>
      <w:r w:rsidRPr="004017AE">
        <w:t>of Australia’s emissions were reported under the scheme in 2016-17.</w:t>
      </w:r>
      <w:r>
        <w:t xml:space="preserve"> Almost 80 per cent </w:t>
      </w:r>
      <w:r w:rsidR="001F5032">
        <w:t>(or 268</w:t>
      </w:r>
      <w:r w:rsidR="0021720E">
        <w:t> </w:t>
      </w:r>
      <w:r w:rsidR="001F5032">
        <w:t>Mt</w:t>
      </w:r>
      <w:r w:rsidR="0021720E">
        <w:t> </w:t>
      </w:r>
      <w:r w:rsidR="001F5032">
        <w:t>CO</w:t>
      </w:r>
      <w:r w:rsidR="001F5032" w:rsidRPr="00364C9F">
        <w:rPr>
          <w:vertAlign w:val="subscript"/>
        </w:rPr>
        <w:t>2</w:t>
      </w:r>
      <w:r w:rsidR="001F5032">
        <w:t xml:space="preserve">-e) </w:t>
      </w:r>
      <w:r>
        <w:t>of the emissions reported come from the 100 highest emitting facilities</w:t>
      </w:r>
      <w:r w:rsidR="00414D14">
        <w:t xml:space="preserve"> (CER 2017a</w:t>
      </w:r>
      <w:r w:rsidR="00414D14" w:rsidRPr="00364C9F">
        <w:rPr>
          <w:rStyle w:val="BodytextChar"/>
        </w:rPr>
        <w:t>)</w:t>
      </w:r>
      <w:r>
        <w:t>. The electricity supply sector makes up the majority of emissions reported representing over half of all emissions reported (</w:t>
      </w:r>
      <w:r w:rsidR="00B61A38">
        <w:fldChar w:fldCharType="begin"/>
      </w:r>
      <w:r w:rsidR="00B61A38">
        <w:instrText xml:space="preserve"> REF _Ref520452671 \h </w:instrText>
      </w:r>
      <w:r w:rsidR="00B61A38">
        <w:fldChar w:fldCharType="separate"/>
      </w:r>
      <w:r w:rsidR="00AD7AD8">
        <w:t xml:space="preserve">Figure </w:t>
      </w:r>
      <w:r w:rsidR="00AD7AD8">
        <w:rPr>
          <w:noProof/>
        </w:rPr>
        <w:t>3</w:t>
      </w:r>
      <w:r w:rsidR="00B61A38">
        <w:fldChar w:fldCharType="end"/>
      </w:r>
      <w:r>
        <w:t>) (CER 2017</w:t>
      </w:r>
      <w:r w:rsidR="00B61A38">
        <w:t>a</w:t>
      </w:r>
      <w:r>
        <w:t xml:space="preserve">). </w:t>
      </w:r>
    </w:p>
    <w:p w14:paraId="6C84064A" w14:textId="496065E8" w:rsidR="00CC6672" w:rsidRDefault="00D37644" w:rsidP="00CC6672">
      <w:pPr>
        <w:pStyle w:val="Caption"/>
      </w:pPr>
      <w:bookmarkStart w:id="430" w:name="_Ref520452671"/>
      <w:bookmarkStart w:id="431" w:name="_Toc520448551"/>
      <w:bookmarkStart w:id="432" w:name="_Toc520455227"/>
      <w:bookmarkStart w:id="433" w:name="_Toc520459420"/>
      <w:bookmarkStart w:id="434" w:name="_Toc520461418"/>
      <w:bookmarkStart w:id="435" w:name="_Toc520461784"/>
      <w:bookmarkStart w:id="436" w:name="_Toc520707673"/>
      <w:bookmarkStart w:id="437" w:name="_Toc520716687"/>
      <w:bookmarkStart w:id="438" w:name="_Toc520720335"/>
      <w:bookmarkStart w:id="439" w:name="_Toc520721586"/>
      <w:bookmarkStart w:id="440" w:name="_Toc520724119"/>
      <w:bookmarkStart w:id="441" w:name="_Toc520735223"/>
      <w:bookmarkStart w:id="442" w:name="_Toc520736256"/>
      <w:bookmarkStart w:id="443" w:name="_Toc520736675"/>
      <w:r>
        <w:lastRenderedPageBreak/>
        <w:t xml:space="preserve">Figure </w:t>
      </w:r>
      <w:r w:rsidR="00363A9B">
        <w:fldChar w:fldCharType="begin"/>
      </w:r>
      <w:r w:rsidR="00363A9B">
        <w:instrText xml:space="preserve"> SEQ Figure \* ARABIC </w:instrText>
      </w:r>
      <w:r w:rsidR="00363A9B">
        <w:fldChar w:fldCharType="separate"/>
      </w:r>
      <w:r w:rsidR="00AD7AD8">
        <w:rPr>
          <w:noProof/>
        </w:rPr>
        <w:t>3</w:t>
      </w:r>
      <w:r w:rsidR="00363A9B">
        <w:rPr>
          <w:noProof/>
        </w:rPr>
        <w:fldChar w:fldCharType="end"/>
      </w:r>
      <w:bookmarkEnd w:id="430"/>
      <w:r w:rsidR="00CC6672">
        <w:t>: Top ten industry sectors by scope 1 emissions for 2016-17</w:t>
      </w:r>
      <w:bookmarkEnd w:id="431"/>
      <w:bookmarkEnd w:id="432"/>
      <w:bookmarkEnd w:id="433"/>
      <w:bookmarkEnd w:id="434"/>
      <w:bookmarkEnd w:id="435"/>
      <w:bookmarkEnd w:id="436"/>
      <w:bookmarkEnd w:id="437"/>
      <w:bookmarkEnd w:id="438"/>
      <w:bookmarkEnd w:id="439"/>
      <w:bookmarkEnd w:id="440"/>
      <w:bookmarkEnd w:id="441"/>
      <w:bookmarkEnd w:id="442"/>
      <w:bookmarkEnd w:id="443"/>
    </w:p>
    <w:p w14:paraId="01EA71B8" w14:textId="0839F08C" w:rsidR="00425C29" w:rsidRDefault="00963A6C" w:rsidP="00425C29">
      <w:pPr>
        <w:pStyle w:val="FootnoteText"/>
        <w:jc w:val="center"/>
      </w:pPr>
      <w:r>
        <w:rPr>
          <w:noProof/>
          <w:lang w:eastAsia="en-AU"/>
        </w:rPr>
        <w:drawing>
          <wp:inline distT="0" distB="0" distL="0" distR="0" wp14:anchorId="2ACFD658" wp14:editId="3909E4EE">
            <wp:extent cx="5852795" cy="3694430"/>
            <wp:effectExtent l="0" t="0" r="0" b="1270"/>
            <wp:docPr id="9" name="Picture 9" descr="Figure 3 is a column graph that shows the top ten industry sectors by scope 1 emissions reported for 2016-17. The vertical axis is emissions in millions of tonnes of carbon dioxide equivalent. The horizontal axis is the sectors. The top ten sectors in order from highest to lowest emissions are: electricity supply (176 Mt CO2-e), coal mining (34 Mt CO2-e), oil and gas extraction (31 Mt CO2-e), primary metal and metal products (27 Mt CO2-e), metal ore mining (12 Mt CO2-e), basic chemical and chemical products (10 Mt CO2-e), non-metallic mineral products (8 Mt CO2-e), air and space transport (8 Mt CO2-e), petroleum and coal products (5 Mt CO2-e), and road transport (4 Mt CO2-e). " title="Figure 3: Top ten industry sectors by scope 1 emissions for 201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852795" cy="3694430"/>
                    </a:xfrm>
                    <a:prstGeom prst="rect">
                      <a:avLst/>
                    </a:prstGeom>
                    <a:noFill/>
                  </pic:spPr>
                </pic:pic>
              </a:graphicData>
            </a:graphic>
          </wp:inline>
        </w:drawing>
      </w:r>
    </w:p>
    <w:p w14:paraId="5EC14168" w14:textId="39FA692A" w:rsidR="00425C29" w:rsidRDefault="00425C29" w:rsidP="00BD1E27">
      <w:pPr>
        <w:pStyle w:val="FootnoteText"/>
        <w:spacing w:before="0"/>
      </w:pPr>
      <w:r w:rsidRPr="00364C9F">
        <w:rPr>
          <w:b/>
        </w:rPr>
        <w:t>Source</w:t>
      </w:r>
      <w:r>
        <w:t>: CER 2017</w:t>
      </w:r>
      <w:r w:rsidR="00B61A38">
        <w:t>a</w:t>
      </w:r>
      <w:r w:rsidR="00B75498">
        <w:t>.</w:t>
      </w:r>
    </w:p>
    <w:p w14:paraId="06944389" w14:textId="00EFA0DC" w:rsidR="00264DEB" w:rsidRDefault="00264DEB" w:rsidP="00883094">
      <w:pPr>
        <w:pStyle w:val="Heading2"/>
      </w:pPr>
      <w:bookmarkStart w:id="444" w:name="_Toc519166173"/>
      <w:bookmarkStart w:id="445" w:name="_Toc519240539"/>
      <w:bookmarkStart w:id="446" w:name="_Toc519240668"/>
      <w:bookmarkStart w:id="447" w:name="_Toc520448569"/>
      <w:bookmarkStart w:id="448" w:name="_Toc520455245"/>
      <w:bookmarkStart w:id="449" w:name="_Toc520459044"/>
      <w:bookmarkStart w:id="450" w:name="_Toc520459438"/>
      <w:bookmarkStart w:id="451" w:name="_Toc520458566"/>
      <w:bookmarkStart w:id="452" w:name="_Toc520459523"/>
      <w:bookmarkStart w:id="453" w:name="_Toc520461436"/>
      <w:bookmarkStart w:id="454" w:name="_Toc520461799"/>
      <w:bookmarkStart w:id="455" w:name="_Toc520466830"/>
      <w:bookmarkStart w:id="456" w:name="_Ref520469108"/>
      <w:bookmarkStart w:id="457" w:name="_Toc520469867"/>
      <w:bookmarkStart w:id="458" w:name="_Toc520705324"/>
      <w:bookmarkStart w:id="459" w:name="_Toc520707688"/>
      <w:bookmarkStart w:id="460" w:name="_Ref520715616"/>
      <w:bookmarkStart w:id="461" w:name="_Toc520716702"/>
      <w:bookmarkStart w:id="462" w:name="_Toc520720350"/>
      <w:bookmarkStart w:id="463" w:name="_Toc520721601"/>
      <w:bookmarkStart w:id="464" w:name="_Toc520724134"/>
      <w:bookmarkStart w:id="465" w:name="_Toc520735239"/>
      <w:bookmarkStart w:id="466" w:name="_Toc520736272"/>
      <w:bookmarkStart w:id="467" w:name="_Toc520736691"/>
      <w:bookmarkEnd w:id="427"/>
      <w:bookmarkEnd w:id="428"/>
      <w:bookmarkEnd w:id="429"/>
      <w:r>
        <w:t>Measuring emissions and energy</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14:paraId="3A0C04C9" w14:textId="18A9F4C7" w:rsidR="006D51D1" w:rsidRDefault="006D51D1" w:rsidP="006D51D1">
      <w:r>
        <w:t>The N</w:t>
      </w:r>
      <w:r w:rsidR="007E6EC1">
        <w:t xml:space="preserve">ational Greenhouse and </w:t>
      </w:r>
      <w:r>
        <w:t>E</w:t>
      </w:r>
      <w:r w:rsidR="007E6EC1">
        <w:t xml:space="preserve">nergy </w:t>
      </w:r>
      <w:r>
        <w:t>R</w:t>
      </w:r>
      <w:r w:rsidR="007E6EC1">
        <w:t>eporting</w:t>
      </w:r>
      <w:r>
        <w:t xml:space="preserve"> measurement determination details how companies must </w:t>
      </w:r>
      <w:r w:rsidR="006C36D3">
        <w:t xml:space="preserve">measure </w:t>
      </w:r>
      <w:r>
        <w:t xml:space="preserve">their emissions and energy data. The </w:t>
      </w:r>
      <w:r w:rsidR="00BD1243">
        <w:t xml:space="preserve">emissions </w:t>
      </w:r>
      <w:r w:rsidR="004131C0">
        <w:t>measurement</w:t>
      </w:r>
      <w:r>
        <w:t xml:space="preserve"> methods used in the determination are based on those used for the national inventory. The</w:t>
      </w:r>
      <w:r w:rsidDel="00AA5716">
        <w:t xml:space="preserve"> </w:t>
      </w:r>
      <w:r>
        <w:t xml:space="preserve">determination is </w:t>
      </w:r>
      <w:r w:rsidR="00A37E95">
        <w:t>aligned</w:t>
      </w:r>
      <w:r>
        <w:t xml:space="preserve"> with international rules for </w:t>
      </w:r>
      <w:r w:rsidR="00645FFE">
        <w:t xml:space="preserve">measuring </w:t>
      </w:r>
      <w:r>
        <w:t xml:space="preserve">and reporting emissions and energy so that </w:t>
      </w:r>
      <w:r w:rsidR="007E6EC1">
        <w:t xml:space="preserve">the </w:t>
      </w:r>
      <w:r>
        <w:t xml:space="preserve">data </w:t>
      </w:r>
      <w:r w:rsidR="006C36D3">
        <w:t>helps</w:t>
      </w:r>
      <w:r>
        <w:t xml:space="preserve"> Australia</w:t>
      </w:r>
      <w:r w:rsidR="006C36D3">
        <w:t xml:space="preserve"> meet its </w:t>
      </w:r>
      <w:r>
        <w:t>international reporting</w:t>
      </w:r>
      <w:r w:rsidR="006C36D3">
        <w:t xml:space="preserve"> obligations</w:t>
      </w:r>
      <w:r>
        <w:t xml:space="preserve">, for example </w:t>
      </w:r>
      <w:r w:rsidR="006C36D3">
        <w:t xml:space="preserve">to </w:t>
      </w:r>
      <w:r>
        <w:t xml:space="preserve">the UNFCCC. </w:t>
      </w:r>
    </w:p>
    <w:p w14:paraId="7A207732" w14:textId="15444BE6" w:rsidR="006D51D1" w:rsidRDefault="006D51D1" w:rsidP="006D51D1">
      <w:r>
        <w:t xml:space="preserve">The Department of the Environment and Energy seeks to update the </w:t>
      </w:r>
      <w:r w:rsidR="00AB530E">
        <w:t xml:space="preserve">measurement </w:t>
      </w:r>
      <w:r>
        <w:t xml:space="preserve">determination each year to keep it in line with the national emissions inventory. The Department consults with </w:t>
      </w:r>
      <w:r w:rsidR="006C36D3">
        <w:t xml:space="preserve">companies and others </w:t>
      </w:r>
      <w:r>
        <w:t>before updating the determination. The Department also releases technical guidelines each year to assist companies to understand and apply the determination</w:t>
      </w:r>
      <w:r w:rsidR="00CA33B9">
        <w:t xml:space="preserve"> </w:t>
      </w:r>
      <w:r w:rsidR="00AB530E">
        <w:t>(</w:t>
      </w:r>
      <w:r w:rsidR="005F1998">
        <w:t>CER n.d.a</w:t>
      </w:r>
      <w:r w:rsidR="00AB530E" w:rsidRPr="00845DB5">
        <w:t>)</w:t>
      </w:r>
      <w:r>
        <w:t xml:space="preserve">.  </w:t>
      </w:r>
    </w:p>
    <w:p w14:paraId="20A4F672" w14:textId="5DE41AAB" w:rsidR="006C36D3" w:rsidRDefault="006D51D1" w:rsidP="006D51D1">
      <w:r>
        <w:lastRenderedPageBreak/>
        <w:t xml:space="preserve">Reporting entities must use the most recent version of the measurement determination to </w:t>
      </w:r>
      <w:r w:rsidR="004A6FCC">
        <w:t xml:space="preserve">measure </w:t>
      </w:r>
      <w:r>
        <w:t xml:space="preserve">and report their emissions and energy information. </w:t>
      </w:r>
    </w:p>
    <w:p w14:paraId="4A89B3BF" w14:textId="7C500EAB" w:rsidR="006D51D1" w:rsidRDefault="006D51D1" w:rsidP="006D51D1">
      <w:r>
        <w:t xml:space="preserve">The Authority welcomes stakeholders’ views on the annual process for updating the </w:t>
      </w:r>
      <w:r w:rsidR="00AB530E">
        <w:t xml:space="preserve">measurement </w:t>
      </w:r>
      <w:r>
        <w:t>determination.</w:t>
      </w:r>
    </w:p>
    <w:p w14:paraId="1FC18686" w14:textId="03FAD358" w:rsidR="006D51D1" w:rsidRDefault="006D51D1" w:rsidP="00883094">
      <w:pPr>
        <w:pStyle w:val="Heading3"/>
      </w:pPr>
      <w:r>
        <w:t xml:space="preserve">Energy </w:t>
      </w:r>
    </w:p>
    <w:p w14:paraId="5E5277E1" w14:textId="55D8B064" w:rsidR="006D51D1" w:rsidRDefault="006D51D1" w:rsidP="006D51D1">
      <w:r>
        <w:t xml:space="preserve">The </w:t>
      </w:r>
      <w:r w:rsidR="00AB530E">
        <w:t>measurement</w:t>
      </w:r>
      <w:r>
        <w:t xml:space="preserve"> determination provides guidance on how to </w:t>
      </w:r>
      <w:r w:rsidR="004A6FCC">
        <w:t>measure</w:t>
      </w:r>
      <w:r w:rsidR="004A6FCC" w:rsidDel="004A6FCC">
        <w:t xml:space="preserve"> </w:t>
      </w:r>
      <w:r>
        <w:t xml:space="preserve">the amount of </w:t>
      </w:r>
      <w:r w:rsidR="00BD1243">
        <w:t xml:space="preserve">an </w:t>
      </w:r>
      <w:r>
        <w:t xml:space="preserve">energy </w:t>
      </w:r>
      <w:r w:rsidR="00BD1243">
        <w:t xml:space="preserve">commodity </w:t>
      </w:r>
      <w:r>
        <w:t xml:space="preserve">a facility produces or </w:t>
      </w:r>
      <w:r w:rsidR="00645FFE">
        <w:t xml:space="preserve">uses </w:t>
      </w:r>
      <w:r>
        <w:t xml:space="preserve">(e.g. the quantity of coal or electricity) and the energy content of that commodity. All forms of energy production and </w:t>
      </w:r>
      <w:r w:rsidR="00AA5716">
        <w:t xml:space="preserve">use </w:t>
      </w:r>
      <w:r w:rsidR="00957630">
        <w:t xml:space="preserve">reported under the scheme </w:t>
      </w:r>
      <w:r>
        <w:t xml:space="preserve">are </w:t>
      </w:r>
      <w:r w:rsidR="00BD1243">
        <w:t>converted to</w:t>
      </w:r>
      <w:r>
        <w:t xml:space="preserve"> a comparable physical metric</w:t>
      </w:r>
      <w:r w:rsidR="00957630">
        <w:t xml:space="preserve"> (</w:t>
      </w:r>
      <w:r w:rsidR="00AA5716">
        <w:t xml:space="preserve">e.g. </w:t>
      </w:r>
      <w:r>
        <w:t>gigajoules of energy</w:t>
      </w:r>
      <w:r w:rsidR="00957630">
        <w:t>)</w:t>
      </w:r>
      <w:r>
        <w:t xml:space="preserve">. </w:t>
      </w:r>
    </w:p>
    <w:p w14:paraId="1CCDCB3B" w14:textId="488A8C05" w:rsidR="006D51D1" w:rsidRDefault="006D51D1" w:rsidP="00883094">
      <w:pPr>
        <w:pStyle w:val="Heading3"/>
      </w:pPr>
      <w:r>
        <w:t>Emissions</w:t>
      </w:r>
    </w:p>
    <w:p w14:paraId="3C0460B5" w14:textId="4DD5646A" w:rsidR="00130FB5" w:rsidRDefault="006D51D1" w:rsidP="006D51D1">
      <w:r>
        <w:t xml:space="preserve">The </w:t>
      </w:r>
      <w:r w:rsidR="00AB530E">
        <w:t>measurement</w:t>
      </w:r>
      <w:r>
        <w:t xml:space="preserve"> determination lists principles that guide how reporting entities should measure their emissions: transparency, comparability, accuracy and completeness. </w:t>
      </w:r>
      <w:r w:rsidR="002C67D8">
        <w:t>R</w:t>
      </w:r>
      <w:r w:rsidR="00A37E95">
        <w:t xml:space="preserve">eporters </w:t>
      </w:r>
      <w:r>
        <w:t xml:space="preserve">must also assess the level of uncertainty that applies to their </w:t>
      </w:r>
      <w:r w:rsidR="004A6FCC">
        <w:t xml:space="preserve">measurement </w:t>
      </w:r>
      <w:r w:rsidR="00F24D8A">
        <w:t>of scope 1 emissions</w:t>
      </w:r>
      <w:r w:rsidR="00020CD8">
        <w:t xml:space="preserve"> when they exceed specified thresholds</w:t>
      </w:r>
      <w:r>
        <w:t xml:space="preserve">. However, most reporting entities are provided with some flexibility in how they can </w:t>
      </w:r>
      <w:r w:rsidR="004A6FCC">
        <w:t>measure</w:t>
      </w:r>
      <w:r w:rsidR="004A6FCC" w:rsidDel="004A6FCC">
        <w:t xml:space="preserve"> </w:t>
      </w:r>
      <w:r>
        <w:t xml:space="preserve">their emissions. For emissions sources, there are up to four tiers of methods that entities can choose from. </w:t>
      </w:r>
    </w:p>
    <w:p w14:paraId="17D73B3B" w14:textId="74F3D826" w:rsidR="00ED046E" w:rsidRDefault="006D51D1" w:rsidP="006D51D1">
      <w:r>
        <w:t>Method 1 is</w:t>
      </w:r>
      <w:r w:rsidR="00CC5315">
        <w:t xml:space="preserve"> generally</w:t>
      </w:r>
      <w:r>
        <w:t xml:space="preserve"> the most straightforward</w:t>
      </w:r>
      <w:r w:rsidR="00130FB5">
        <w:t xml:space="preserve"> and </w:t>
      </w:r>
      <w:r w:rsidR="00023E72">
        <w:t xml:space="preserve">is based on </w:t>
      </w:r>
      <w:r w:rsidR="00130FB5">
        <w:t xml:space="preserve">national average </w:t>
      </w:r>
      <w:r w:rsidR="00023E72">
        <w:t>estimates of emissions</w:t>
      </w:r>
      <w:r w:rsidR="00130FB5">
        <w:t>. M</w:t>
      </w:r>
      <w:r>
        <w:t>ethods 2</w:t>
      </w:r>
      <w:r w:rsidR="00130FB5">
        <w:t xml:space="preserve"> and</w:t>
      </w:r>
      <w:r>
        <w:t xml:space="preserve"> 3 </w:t>
      </w:r>
      <w:r w:rsidR="00ED046E">
        <w:t xml:space="preserve">use facility specific emissions factors and allow for more accurate emissions </w:t>
      </w:r>
      <w:r w:rsidR="004A6FCC">
        <w:t>measurement</w:t>
      </w:r>
      <w:r w:rsidR="00ED046E">
        <w:t>. Method 4 focuses on measuring emissions directly</w:t>
      </w:r>
      <w:r>
        <w:t xml:space="preserve">. </w:t>
      </w:r>
    </w:p>
    <w:p w14:paraId="1DFA5DC5" w14:textId="0C8AB4E3" w:rsidR="006D51D1" w:rsidRDefault="006D51D1" w:rsidP="006D51D1">
      <w:r>
        <w:t xml:space="preserve">This approach broadly aligns with international guidance on emissions measurement, which recognises the sophistication of emissions </w:t>
      </w:r>
      <w:r w:rsidR="00AA5716">
        <w:t xml:space="preserve">measurement </w:t>
      </w:r>
      <w:r>
        <w:t>approaches need</w:t>
      </w:r>
      <w:r w:rsidR="00B75498">
        <w:t>ed</w:t>
      </w:r>
      <w:r>
        <w:t xml:space="preserve"> to reflect the differences in industries, sectors and the gases being </w:t>
      </w:r>
      <w:r w:rsidR="004A6FCC">
        <w:t>measure</w:t>
      </w:r>
      <w:r>
        <w:t xml:space="preserve">d (IPCC </w:t>
      </w:r>
      <w:r w:rsidR="00C13993">
        <w:t>2006</w:t>
      </w:r>
      <w:r>
        <w:t xml:space="preserve">). </w:t>
      </w:r>
    </w:p>
    <w:p w14:paraId="28EBFF0C" w14:textId="02C3A2D9" w:rsidR="006D51D1" w:rsidRDefault="006D51D1" w:rsidP="006D51D1">
      <w:r>
        <w:t>Once an entity chooses a higher order tier (</w:t>
      </w:r>
      <w:r w:rsidR="00C53F05">
        <w:t>m</w:t>
      </w:r>
      <w:r>
        <w:t xml:space="preserve">ethod 2, 3 or 4), it generally cannot swap to a lower tier method for four years to prevent gaming (Explanatory Statement, </w:t>
      </w:r>
      <w:r w:rsidRPr="00265293">
        <w:t xml:space="preserve">National Greenhouse and Energy Reporting (Measurement) Determination 2008 </w:t>
      </w:r>
      <w:r>
        <w:t xml:space="preserve">(Cth)). </w:t>
      </w:r>
    </w:p>
    <w:p w14:paraId="00A436D8" w14:textId="0502CC34" w:rsidR="006D51D1" w:rsidRDefault="006D51D1" w:rsidP="006D51D1">
      <w:r>
        <w:t>There are various reasons a</w:t>
      </w:r>
      <w:r w:rsidR="007E6EC1">
        <w:t xml:space="preserve"> </w:t>
      </w:r>
      <w:r>
        <w:t xml:space="preserve">reporter might choose a different method tier among the options available, including the administrative cost of using a more or less complex method, the accuracy of the results, and the measurement and data collection practices they already have in place for other purposes. </w:t>
      </w:r>
    </w:p>
    <w:p w14:paraId="36D8BAE3" w14:textId="264B2125" w:rsidR="006D51D1" w:rsidRDefault="006D51D1" w:rsidP="006D51D1">
      <w:r>
        <w:t xml:space="preserve">The Authority would like to hear stakeholders’ views on whether the methods available for </w:t>
      </w:r>
      <w:r w:rsidR="00645FFE">
        <w:t xml:space="preserve">measuring </w:t>
      </w:r>
      <w:r>
        <w:t xml:space="preserve">emissions are fit for purpose and meet the needs of reporters and those </w:t>
      </w:r>
      <w:r w:rsidR="004A6FCC">
        <w:t xml:space="preserve">who </w:t>
      </w:r>
      <w:r>
        <w:t xml:space="preserve">use the data.  </w:t>
      </w:r>
    </w:p>
    <w:p w14:paraId="787B0D3A" w14:textId="60885863" w:rsidR="00425C29" w:rsidRDefault="00CC6672" w:rsidP="00883094">
      <w:pPr>
        <w:pStyle w:val="Heading2"/>
      </w:pPr>
      <w:bookmarkStart w:id="468" w:name="_Toc520448570"/>
      <w:bookmarkStart w:id="469" w:name="_Toc520455246"/>
      <w:bookmarkStart w:id="470" w:name="_Toc520459045"/>
      <w:bookmarkStart w:id="471" w:name="_Toc520459439"/>
      <w:bookmarkStart w:id="472" w:name="_Toc520458567"/>
      <w:bookmarkStart w:id="473" w:name="_Toc520459524"/>
      <w:bookmarkStart w:id="474" w:name="_Toc520461437"/>
      <w:bookmarkStart w:id="475" w:name="_Toc520461800"/>
      <w:bookmarkStart w:id="476" w:name="_Toc520466831"/>
      <w:bookmarkStart w:id="477" w:name="_Toc520469868"/>
      <w:bookmarkStart w:id="478" w:name="_Toc520705325"/>
      <w:bookmarkStart w:id="479" w:name="_Toc520707689"/>
      <w:bookmarkStart w:id="480" w:name="_Toc520716703"/>
      <w:bookmarkStart w:id="481" w:name="_Toc520720351"/>
      <w:bookmarkStart w:id="482" w:name="_Toc520721602"/>
      <w:bookmarkStart w:id="483" w:name="_Toc520724135"/>
      <w:bookmarkStart w:id="484" w:name="_Toc520735240"/>
      <w:bookmarkStart w:id="485" w:name="_Toc520736273"/>
      <w:bookmarkStart w:id="486" w:name="_Toc520736692"/>
      <w:bookmarkStart w:id="487" w:name="_Toc519166174"/>
      <w:bookmarkStart w:id="488" w:name="_Toc519240540"/>
      <w:bookmarkStart w:id="489" w:name="_Toc519240669"/>
      <w:r>
        <w:lastRenderedPageBreak/>
        <w:t>H</w:t>
      </w:r>
      <w:r w:rsidR="00425C29">
        <w:t xml:space="preserve">ow and when </w:t>
      </w:r>
      <w:r>
        <w:t>c</w:t>
      </w:r>
      <w:r w:rsidR="00425C29">
        <w:t>ompanies report</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p>
    <w:p w14:paraId="23B753CC" w14:textId="39815C77" w:rsidR="00425C29" w:rsidRDefault="00DD2686" w:rsidP="00425C29">
      <w:r>
        <w:t>Companies</w:t>
      </w:r>
      <w:r w:rsidR="00425C29">
        <w:t xml:space="preserve"> must submit </w:t>
      </w:r>
      <w:r>
        <w:t xml:space="preserve">their </w:t>
      </w:r>
      <w:r w:rsidR="00425C29">
        <w:t>report</w:t>
      </w:r>
      <w:r>
        <w:t>s</w:t>
      </w:r>
      <w:r w:rsidR="00425C29">
        <w:t xml:space="preserve"> by 31</w:t>
      </w:r>
      <w:r w:rsidR="00826E1B">
        <w:t> </w:t>
      </w:r>
      <w:r w:rsidR="00425C29">
        <w:t>October for the preceding financial year. For example, if a company exceeds a threshold in the 2017-18 financial year it must report by 31</w:t>
      </w:r>
      <w:r w:rsidR="00826E1B">
        <w:t> </w:t>
      </w:r>
      <w:r w:rsidR="00425C29">
        <w:t>October</w:t>
      </w:r>
      <w:r w:rsidR="00826E1B">
        <w:t> </w:t>
      </w:r>
      <w:r w:rsidR="00425C29">
        <w:t xml:space="preserve">2018. Reporting entities are encouraged to audit their reports but this is not compulsory (Section </w:t>
      </w:r>
      <w:r w:rsidR="00156160">
        <w:fldChar w:fldCharType="begin"/>
      </w:r>
      <w:r w:rsidR="00156160">
        <w:instrText xml:space="preserve"> REF _Ref520715530 \r \h </w:instrText>
      </w:r>
      <w:r w:rsidR="00156160">
        <w:fldChar w:fldCharType="separate"/>
      </w:r>
      <w:r w:rsidR="00AD7AD8">
        <w:t>5.1</w:t>
      </w:r>
      <w:r w:rsidR="00156160">
        <w:fldChar w:fldCharType="end"/>
      </w:r>
      <w:r w:rsidR="00425C29">
        <w:t>).</w:t>
      </w:r>
    </w:p>
    <w:p w14:paraId="4B1677F9" w14:textId="51B13D41" w:rsidR="00425C29" w:rsidRDefault="00425C29" w:rsidP="00425C29">
      <w:r>
        <w:t>Scheme participants must keep records of their activities for five years. This includes detail about the emission sources monitored, methods used for emission</w:t>
      </w:r>
      <w:r w:rsidR="00645FFE">
        <w:t>s measurement</w:t>
      </w:r>
      <w:r>
        <w:t xml:space="preserve"> and justification for methods chosen (CER 2018</w:t>
      </w:r>
      <w:r w:rsidR="00480738">
        <w:t>e</w:t>
      </w:r>
      <w:r>
        <w:t xml:space="preserve">). </w:t>
      </w:r>
    </w:p>
    <w:p w14:paraId="38057482" w14:textId="3BE56EB0" w:rsidR="00425C29" w:rsidRDefault="00425C29" w:rsidP="00425C29">
      <w:r>
        <w:t xml:space="preserve">Companies report electronically using the Emissions and Energy Reporting System, which is administered by the </w:t>
      </w:r>
      <w:r w:rsidR="00172258">
        <w:t xml:space="preserve">Clean Energy </w:t>
      </w:r>
      <w:r w:rsidR="00645FFE">
        <w:t xml:space="preserve">Regulator </w:t>
      </w:r>
      <w:r>
        <w:t>(</w:t>
      </w:r>
      <w:r w:rsidRPr="00364C9F">
        <w:t>CER 2016b</w:t>
      </w:r>
      <w:r>
        <w:t xml:space="preserve">). </w:t>
      </w:r>
    </w:p>
    <w:p w14:paraId="44536C07" w14:textId="621ECB3A" w:rsidR="00425C29" w:rsidRDefault="00425C29" w:rsidP="00425C29">
      <w:r>
        <w:t xml:space="preserve">There may be companies which are below the reporting thresholds and would like to report their emissions </w:t>
      </w:r>
      <w:r w:rsidR="00C8164E">
        <w:t xml:space="preserve">and energy </w:t>
      </w:r>
      <w:r>
        <w:t xml:space="preserve">data on a voluntary basis, for example to meet their corporate social responsibility objectives. </w:t>
      </w:r>
    </w:p>
    <w:p w14:paraId="4F64295A" w14:textId="77777777" w:rsidR="00425C29" w:rsidRDefault="00425C29" w:rsidP="00425C29">
      <w:r>
        <w:t>The Authority is interested in feedback from stakeholders about:</w:t>
      </w:r>
    </w:p>
    <w:p w14:paraId="50932F3F" w14:textId="32C5038B" w:rsidR="00425C29" w:rsidRPr="004841B0" w:rsidRDefault="00B60DA0" w:rsidP="006B5CAF">
      <w:pPr>
        <w:pStyle w:val="ListNumber"/>
        <w:numPr>
          <w:ilvl w:val="0"/>
          <w:numId w:val="9"/>
        </w:numPr>
        <w:ind w:left="567"/>
        <w:rPr>
          <w:rFonts w:eastAsiaTheme="minorHAnsi" w:cstheme="minorBidi"/>
          <w:lang w:val="en-US"/>
        </w:rPr>
      </w:pPr>
      <w:r>
        <w:rPr>
          <w:rFonts w:eastAsiaTheme="minorHAnsi" w:cstheme="minorBidi"/>
          <w:lang w:val="en-US"/>
        </w:rPr>
        <w:t>T</w:t>
      </w:r>
      <w:r w:rsidR="00425C29" w:rsidRPr="004841B0">
        <w:rPr>
          <w:rFonts w:eastAsiaTheme="minorHAnsi" w:cstheme="minorBidi"/>
          <w:lang w:val="en-US"/>
        </w:rPr>
        <w:t>he frequency and timing of when registration and reporting obligations fall due and whether these requirements are fit for purpose</w:t>
      </w:r>
      <w:r>
        <w:rPr>
          <w:rFonts w:eastAsiaTheme="minorHAnsi" w:cstheme="minorBidi"/>
          <w:lang w:val="en-US"/>
        </w:rPr>
        <w:t>.</w:t>
      </w:r>
    </w:p>
    <w:p w14:paraId="39885DA7" w14:textId="4B25BBD2" w:rsidR="00425C29" w:rsidRPr="004841B0" w:rsidRDefault="00B60DA0" w:rsidP="006B5CAF">
      <w:pPr>
        <w:pStyle w:val="ListNumber"/>
        <w:numPr>
          <w:ilvl w:val="0"/>
          <w:numId w:val="9"/>
        </w:numPr>
        <w:ind w:left="567"/>
        <w:rPr>
          <w:rFonts w:eastAsiaTheme="minorHAnsi" w:cstheme="minorBidi"/>
          <w:lang w:val="en-US"/>
        </w:rPr>
      </w:pPr>
      <w:r>
        <w:rPr>
          <w:rFonts w:eastAsiaTheme="minorHAnsi" w:cstheme="minorBidi"/>
          <w:lang w:val="en-US"/>
        </w:rPr>
        <w:t>E</w:t>
      </w:r>
      <w:r w:rsidR="00425C29" w:rsidRPr="004841B0">
        <w:rPr>
          <w:rFonts w:eastAsiaTheme="minorHAnsi" w:cstheme="minorBidi"/>
          <w:lang w:val="en-US"/>
        </w:rPr>
        <w:t xml:space="preserve">xperiences using the reporting tool and </w:t>
      </w:r>
      <w:r w:rsidR="00DD2686">
        <w:rPr>
          <w:rFonts w:eastAsiaTheme="minorHAnsi" w:cstheme="minorBidi"/>
          <w:lang w:val="en-US"/>
        </w:rPr>
        <w:t>if</w:t>
      </w:r>
      <w:r w:rsidR="00DD2686" w:rsidRPr="004841B0">
        <w:rPr>
          <w:rFonts w:eastAsiaTheme="minorHAnsi" w:cstheme="minorBidi"/>
          <w:lang w:val="en-US"/>
        </w:rPr>
        <w:t xml:space="preserve"> </w:t>
      </w:r>
      <w:r w:rsidR="00425C29" w:rsidRPr="004841B0">
        <w:rPr>
          <w:rFonts w:eastAsiaTheme="minorHAnsi" w:cstheme="minorBidi"/>
          <w:lang w:val="en-US"/>
        </w:rPr>
        <w:t>it is easy to use, fit for purpose, comprehensive and representative</w:t>
      </w:r>
      <w:r>
        <w:rPr>
          <w:rFonts w:eastAsiaTheme="minorHAnsi" w:cstheme="minorBidi"/>
          <w:lang w:val="en-US"/>
        </w:rPr>
        <w:t>.</w:t>
      </w:r>
    </w:p>
    <w:p w14:paraId="0A500776" w14:textId="6D687348" w:rsidR="005115C2" w:rsidRPr="00903F38" w:rsidRDefault="00B60DA0" w:rsidP="006B5CAF">
      <w:pPr>
        <w:pStyle w:val="ListNumber"/>
        <w:numPr>
          <w:ilvl w:val="0"/>
          <w:numId w:val="9"/>
        </w:numPr>
        <w:ind w:left="567"/>
        <w:rPr>
          <w:rFonts w:eastAsiaTheme="minorHAnsi" w:cstheme="minorBidi"/>
          <w:lang w:val="en-US"/>
        </w:rPr>
      </w:pPr>
      <w:r>
        <w:rPr>
          <w:rFonts w:eastAsiaTheme="minorHAnsi" w:cstheme="minorBidi"/>
          <w:lang w:val="en-US"/>
        </w:rPr>
        <w:t>I</w:t>
      </w:r>
      <w:r w:rsidR="00AA5716">
        <w:rPr>
          <w:rFonts w:eastAsiaTheme="minorHAnsi" w:cstheme="minorBidi"/>
          <w:lang w:val="en-US"/>
        </w:rPr>
        <w:t>f</w:t>
      </w:r>
      <w:r w:rsidR="00425C29" w:rsidRPr="004841B0">
        <w:rPr>
          <w:rFonts w:eastAsiaTheme="minorHAnsi" w:cstheme="minorBidi"/>
          <w:lang w:val="en-US"/>
        </w:rPr>
        <w:t xml:space="preserve"> companies would like to report voluntarily </w:t>
      </w:r>
      <w:r w:rsidR="00DD2686">
        <w:rPr>
          <w:rFonts w:eastAsiaTheme="minorHAnsi" w:cstheme="minorBidi"/>
          <w:lang w:val="en-US"/>
        </w:rPr>
        <w:t xml:space="preserve">using the </w:t>
      </w:r>
      <w:r w:rsidR="00DD2686">
        <w:t>Emissions and Energy Reporting System</w:t>
      </w:r>
      <w:r w:rsidR="00DD2686" w:rsidRPr="004841B0">
        <w:rPr>
          <w:rFonts w:eastAsiaTheme="minorHAnsi" w:cstheme="minorBidi"/>
          <w:lang w:val="en-US"/>
        </w:rPr>
        <w:t xml:space="preserve"> </w:t>
      </w:r>
      <w:r w:rsidR="00425C29" w:rsidRPr="004841B0">
        <w:rPr>
          <w:rFonts w:eastAsiaTheme="minorHAnsi" w:cstheme="minorBidi"/>
          <w:lang w:val="en-US"/>
        </w:rPr>
        <w:t xml:space="preserve">and if that data would be useful for </w:t>
      </w:r>
      <w:r w:rsidR="00AA5716">
        <w:rPr>
          <w:rFonts w:eastAsiaTheme="minorHAnsi" w:cstheme="minorBidi"/>
          <w:lang w:val="en-US"/>
        </w:rPr>
        <w:t xml:space="preserve">providing information to </w:t>
      </w:r>
      <w:r w:rsidR="00425C29" w:rsidRPr="004841B0">
        <w:rPr>
          <w:rFonts w:eastAsiaTheme="minorHAnsi" w:cstheme="minorBidi"/>
          <w:lang w:val="en-US"/>
        </w:rPr>
        <w:t>companies, governments, investors, consumers and others about the emissions</w:t>
      </w:r>
      <w:r w:rsidR="00C8164E">
        <w:rPr>
          <w:rFonts w:eastAsiaTheme="minorHAnsi" w:cstheme="minorBidi"/>
          <w:lang w:val="en-US"/>
        </w:rPr>
        <w:t xml:space="preserve"> and energy</w:t>
      </w:r>
      <w:r w:rsidR="00425C29" w:rsidRPr="004841B0">
        <w:rPr>
          <w:rFonts w:eastAsiaTheme="minorHAnsi" w:cstheme="minorBidi"/>
          <w:lang w:val="en-US"/>
        </w:rPr>
        <w:t xml:space="preserve"> activities of a broader set of companies.</w:t>
      </w:r>
    </w:p>
    <w:p w14:paraId="4EC75AA3" w14:textId="308E0391" w:rsidR="00264DEB" w:rsidRDefault="00264DEB" w:rsidP="00883094">
      <w:pPr>
        <w:pStyle w:val="Heading2"/>
      </w:pPr>
      <w:bookmarkStart w:id="490" w:name="_Toc520386034"/>
      <w:bookmarkStart w:id="491" w:name="_Toc520391712"/>
      <w:bookmarkStart w:id="492" w:name="_Toc520448432"/>
      <w:bookmarkStart w:id="493" w:name="_Toc520448515"/>
      <w:bookmarkStart w:id="494" w:name="_Toc520448571"/>
      <w:bookmarkStart w:id="495" w:name="_Toc520448794"/>
      <w:bookmarkStart w:id="496" w:name="_Toc520450061"/>
      <w:bookmarkStart w:id="497" w:name="_Toc520449255"/>
      <w:bookmarkStart w:id="498" w:name="_Toc520451178"/>
      <w:bookmarkStart w:id="499" w:name="_Toc520451263"/>
      <w:bookmarkStart w:id="500" w:name="_Toc520452223"/>
      <w:bookmarkStart w:id="501" w:name="_Toc520451754"/>
      <w:bookmarkStart w:id="502" w:name="_Toc520453790"/>
      <w:bookmarkStart w:id="503" w:name="_Toc520454000"/>
      <w:bookmarkStart w:id="504" w:name="_Toc520454133"/>
      <w:bookmarkStart w:id="505" w:name="_Toc520454189"/>
      <w:bookmarkStart w:id="506" w:name="_Toc520454355"/>
      <w:bookmarkStart w:id="507" w:name="_Toc520455247"/>
      <w:bookmarkStart w:id="508" w:name="_Toc520454546"/>
      <w:bookmarkStart w:id="509" w:name="_Toc520455535"/>
      <w:bookmarkStart w:id="510" w:name="_Toc520455591"/>
      <w:bookmarkStart w:id="511" w:name="_Toc520455560"/>
      <w:bookmarkStart w:id="512" w:name="_Toc520456036"/>
      <w:bookmarkStart w:id="513" w:name="_Toc520456211"/>
      <w:bookmarkStart w:id="514" w:name="_Toc520456412"/>
      <w:bookmarkStart w:id="515" w:name="_Toc520456683"/>
      <w:bookmarkStart w:id="516" w:name="_Toc520458180"/>
      <w:bookmarkStart w:id="517" w:name="_Toc520458570"/>
      <w:bookmarkStart w:id="518" w:name="_Toc520459440"/>
      <w:bookmarkStart w:id="519" w:name="_Toc520460142"/>
      <w:bookmarkStart w:id="520" w:name="_Toc520460492"/>
      <w:bookmarkStart w:id="521" w:name="_Toc520460588"/>
      <w:bookmarkStart w:id="522" w:name="_Toc520461009"/>
      <w:bookmarkStart w:id="523" w:name="_Toc520461281"/>
      <w:bookmarkStart w:id="524" w:name="_Toc520461438"/>
      <w:bookmarkStart w:id="525" w:name="_Toc520461529"/>
      <w:bookmarkStart w:id="526" w:name="_Toc520386035"/>
      <w:bookmarkStart w:id="527" w:name="_Toc520391713"/>
      <w:bookmarkStart w:id="528" w:name="_Toc520448433"/>
      <w:bookmarkStart w:id="529" w:name="_Toc520448516"/>
      <w:bookmarkStart w:id="530" w:name="_Toc520448572"/>
      <w:bookmarkStart w:id="531" w:name="_Toc520448795"/>
      <w:bookmarkStart w:id="532" w:name="_Toc520450062"/>
      <w:bookmarkStart w:id="533" w:name="_Toc520449256"/>
      <w:bookmarkStart w:id="534" w:name="_Toc520451179"/>
      <w:bookmarkStart w:id="535" w:name="_Toc520451264"/>
      <w:bookmarkStart w:id="536" w:name="_Toc520452224"/>
      <w:bookmarkStart w:id="537" w:name="_Toc520451755"/>
      <w:bookmarkStart w:id="538" w:name="_Toc520453791"/>
      <w:bookmarkStart w:id="539" w:name="_Toc520454001"/>
      <w:bookmarkStart w:id="540" w:name="_Toc520454134"/>
      <w:bookmarkStart w:id="541" w:name="_Toc520454190"/>
      <w:bookmarkStart w:id="542" w:name="_Toc520454356"/>
      <w:bookmarkStart w:id="543" w:name="_Toc520455248"/>
      <w:bookmarkStart w:id="544" w:name="_Toc520454547"/>
      <w:bookmarkStart w:id="545" w:name="_Toc520455536"/>
      <w:bookmarkStart w:id="546" w:name="_Toc520455592"/>
      <w:bookmarkStart w:id="547" w:name="_Toc520455561"/>
      <w:bookmarkStart w:id="548" w:name="_Toc520456037"/>
      <w:bookmarkStart w:id="549" w:name="_Toc520456212"/>
      <w:bookmarkStart w:id="550" w:name="_Toc520456413"/>
      <w:bookmarkStart w:id="551" w:name="_Toc520456684"/>
      <w:bookmarkStart w:id="552" w:name="_Toc520458181"/>
      <w:bookmarkStart w:id="553" w:name="_Toc520458571"/>
      <w:bookmarkStart w:id="554" w:name="_Toc520459441"/>
      <w:bookmarkStart w:id="555" w:name="_Toc520460143"/>
      <w:bookmarkStart w:id="556" w:name="_Toc520460493"/>
      <w:bookmarkStart w:id="557" w:name="_Toc520460589"/>
      <w:bookmarkStart w:id="558" w:name="_Toc520461010"/>
      <w:bookmarkStart w:id="559" w:name="_Toc520461282"/>
      <w:bookmarkStart w:id="560" w:name="_Toc520461439"/>
      <w:bookmarkStart w:id="561" w:name="_Toc520461530"/>
      <w:bookmarkStart w:id="562" w:name="_Toc519166177"/>
      <w:bookmarkStart w:id="563" w:name="_Toc519240543"/>
      <w:bookmarkStart w:id="564" w:name="_Toc519240672"/>
      <w:bookmarkStart w:id="565" w:name="_Toc520448573"/>
      <w:bookmarkStart w:id="566" w:name="_Toc520455249"/>
      <w:bookmarkStart w:id="567" w:name="_Toc520459048"/>
      <w:bookmarkStart w:id="568" w:name="_Toc520459442"/>
      <w:bookmarkStart w:id="569" w:name="_Toc520459525"/>
      <w:bookmarkStart w:id="570" w:name="_Toc520461440"/>
      <w:bookmarkStart w:id="571" w:name="_Toc520461803"/>
      <w:bookmarkStart w:id="572" w:name="_Toc520466832"/>
      <w:bookmarkStart w:id="573" w:name="_Toc520469869"/>
      <w:bookmarkStart w:id="574" w:name="_Toc520705326"/>
      <w:bookmarkStart w:id="575" w:name="_Toc520707690"/>
      <w:bookmarkStart w:id="576" w:name="_Toc520716704"/>
      <w:bookmarkStart w:id="577" w:name="_Toc520720352"/>
      <w:bookmarkStart w:id="578" w:name="_Toc520721603"/>
      <w:bookmarkStart w:id="579" w:name="_Toc520724136"/>
      <w:bookmarkStart w:id="580" w:name="_Toc520735241"/>
      <w:bookmarkStart w:id="581" w:name="_Toc520736274"/>
      <w:bookmarkStart w:id="582" w:name="_Toc520736693"/>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r>
        <w:t>Streamlining emissions and energy reporting</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p>
    <w:p w14:paraId="0C30DB6F" w14:textId="34D53564" w:rsidR="006D51D1" w:rsidRDefault="006D51D1" w:rsidP="006D51D1">
      <w:r>
        <w:t xml:space="preserve">One of the objectives of the </w:t>
      </w:r>
      <w:r w:rsidR="00425C29">
        <w:t>l</w:t>
      </w:r>
      <w:r>
        <w:t>egislation is to have a single national framework for reporting and disseminatin</w:t>
      </w:r>
      <w:r w:rsidR="00CD0AC1">
        <w:t>g</w:t>
      </w:r>
      <w:r>
        <w:t xml:space="preserve"> emissions and energy information (NGER Act</w:t>
      </w:r>
      <w:r w:rsidR="00DD60BA">
        <w:t xml:space="preserve"> </w:t>
      </w:r>
      <w:r>
        <w:t>s</w:t>
      </w:r>
      <w:r w:rsidR="00DD60BA">
        <w:t> </w:t>
      </w:r>
      <w:r>
        <w:t>3.1). The Authority is interested in exploring the extent to which this objective has been realised</w:t>
      </w:r>
      <w:r w:rsidR="000F4A0C">
        <w:t xml:space="preserve"> and how the scheme might be used to service a range of existing and future</w:t>
      </w:r>
      <w:r w:rsidR="007E6EC1">
        <w:t xml:space="preserve"> data and</w:t>
      </w:r>
      <w:r w:rsidR="000F4A0C">
        <w:t xml:space="preserve"> reporting needs</w:t>
      </w:r>
      <w:r>
        <w:t xml:space="preserve">. </w:t>
      </w:r>
    </w:p>
    <w:p w14:paraId="6433F13B" w14:textId="5D04273B" w:rsidR="000F4A0C" w:rsidRDefault="006D51D1" w:rsidP="006D51D1">
      <w:r>
        <w:t xml:space="preserve">Companies are required to report on other gases or particulate matter </w:t>
      </w:r>
      <w:r w:rsidR="00CD0AC1">
        <w:t>(</w:t>
      </w:r>
      <w:r>
        <w:t>such as carbon monoxide, nitrogen oxides and sulphur dioxide</w:t>
      </w:r>
      <w:r w:rsidR="00CD0AC1">
        <w:t>)</w:t>
      </w:r>
      <w:r>
        <w:t xml:space="preserve"> through the National Pollutant Inventory, which covers 93 substances that can affect human health, or air and water quality</w:t>
      </w:r>
      <w:r w:rsidR="00BD1243">
        <w:t xml:space="preserve"> (</w:t>
      </w:r>
      <w:r w:rsidR="00480738">
        <w:t>DoEE n.d.b</w:t>
      </w:r>
      <w:r w:rsidR="00BD1243">
        <w:t>)</w:t>
      </w:r>
      <w:r>
        <w:t xml:space="preserve">. </w:t>
      </w:r>
      <w:r w:rsidR="006C0CF3">
        <w:t>Some of these substances are greenhouse gas precursors or aerosols that affect climate and are required to be reported under the UNFCCC.</w:t>
      </w:r>
      <w:r>
        <w:t xml:space="preserve"> </w:t>
      </w:r>
    </w:p>
    <w:p w14:paraId="6C20AAD0" w14:textId="3D146A10" w:rsidR="000F4A0C" w:rsidRDefault="006D51D1" w:rsidP="006D51D1">
      <w:r>
        <w:lastRenderedPageBreak/>
        <w:t xml:space="preserve">Companies may </w:t>
      </w:r>
      <w:r w:rsidR="000F4A0C">
        <w:t xml:space="preserve">also </w:t>
      </w:r>
      <w:r>
        <w:t xml:space="preserve">report emissions </w:t>
      </w:r>
      <w:r w:rsidR="00C8164E">
        <w:t xml:space="preserve">and energy </w:t>
      </w:r>
      <w:r>
        <w:t xml:space="preserve">data under other state-based, local or voluntary initiatives. For example, many states have energy efficiency programs under which companies may need to report energy use. Some companies may also participate in voluntary environmental or carbon neutral accreditation schemes that require emissions and energy reporting. </w:t>
      </w:r>
    </w:p>
    <w:p w14:paraId="7A449934" w14:textId="016D58CA" w:rsidR="006D51D1" w:rsidRDefault="006D51D1" w:rsidP="006D51D1">
      <w:r>
        <w:t xml:space="preserve">In addition, there is increasing </w:t>
      </w:r>
      <w:r w:rsidR="007E6EC1">
        <w:t>interest in</w:t>
      </w:r>
      <w:r>
        <w:t xml:space="preserve"> companies report</w:t>
      </w:r>
      <w:r w:rsidR="007E6EC1">
        <w:t>ing</w:t>
      </w:r>
      <w:r>
        <w:t xml:space="preserve"> on climate-related financial risks. Climate</w:t>
      </w:r>
      <w:r w:rsidR="007E6EC1">
        <w:t>-</w:t>
      </w:r>
      <w:r w:rsidR="00E818A9">
        <w:t xml:space="preserve">related </w:t>
      </w:r>
      <w:r>
        <w:t>r</w:t>
      </w:r>
      <w:r w:rsidR="00E818A9">
        <w:t>is</w:t>
      </w:r>
      <w:r>
        <w:t>k</w:t>
      </w:r>
      <w:r w:rsidR="00E818A9">
        <w:t>s</w:t>
      </w:r>
      <w:r>
        <w:t xml:space="preserve"> can include consideration of climate change impacts on corporate assets and operations; the potential impact of future emissions reduction policies and technological change on </w:t>
      </w:r>
      <w:r w:rsidR="00172258">
        <w:t>compani</w:t>
      </w:r>
      <w:r>
        <w:t xml:space="preserve">es’ future viability; and </w:t>
      </w:r>
      <w:r w:rsidR="00E818A9">
        <w:t xml:space="preserve">the potential for </w:t>
      </w:r>
      <w:r>
        <w:t>reduced demand for emissions intensive goods and services.</w:t>
      </w:r>
    </w:p>
    <w:p w14:paraId="2C1D5C76" w14:textId="08A97FE9" w:rsidR="005E371D" w:rsidRDefault="004B09DC" w:rsidP="006D51D1">
      <w:r>
        <w:t xml:space="preserve">In 2017, the international Financial Stability Board’s Task Force on Climate-related Financial Disclosures (TCFD) published </w:t>
      </w:r>
      <w:r w:rsidR="005E371D">
        <w:t xml:space="preserve">high level </w:t>
      </w:r>
      <w:r>
        <w:t xml:space="preserve">recommendations around </w:t>
      </w:r>
      <w:r w:rsidR="005E371D">
        <w:t>how companies should report on climate risks</w:t>
      </w:r>
      <w:r>
        <w:t xml:space="preserve"> (</w:t>
      </w:r>
      <w:r w:rsidR="000876DB">
        <w:t>TCFD</w:t>
      </w:r>
      <w:r w:rsidR="00480738">
        <w:t xml:space="preserve"> 2017</w:t>
      </w:r>
      <w:r>
        <w:t xml:space="preserve">). </w:t>
      </w:r>
    </w:p>
    <w:p w14:paraId="11FAB673" w14:textId="1E089962" w:rsidR="000F4A0C" w:rsidRDefault="006D51D1" w:rsidP="006D51D1">
      <w:r>
        <w:t xml:space="preserve">The Australian Prudential Regulation Authority (APRA) has recognised climate change imposes </w:t>
      </w:r>
      <w:r w:rsidR="00520574">
        <w:t>‘</w:t>
      </w:r>
      <w:r>
        <w:t>foreseeable, material and actionable</w:t>
      </w:r>
      <w:r w:rsidR="00520574">
        <w:t>’</w:t>
      </w:r>
      <w:r>
        <w:t xml:space="preserve"> financial risks on Australian companies (Summerhayes 2017) and </w:t>
      </w:r>
      <w:r w:rsidR="007E6EC1">
        <w:t>is</w:t>
      </w:r>
      <w:r w:rsidR="00D14FB6">
        <w:t xml:space="preserve"> engaging with companies on how they </w:t>
      </w:r>
      <w:r>
        <w:t>approach, measure and manage these climate</w:t>
      </w:r>
      <w:r w:rsidR="00AA5716">
        <w:t>-</w:t>
      </w:r>
      <w:r>
        <w:t>related risks. The Australian Securities and Investment Commission is also working with APRA</w:t>
      </w:r>
      <w:r w:rsidR="008A46E0">
        <w:t>, the Reserve Bank of Australia and Treasury</w:t>
      </w:r>
      <w:r>
        <w:t xml:space="preserve"> to </w:t>
      </w:r>
      <w:r w:rsidR="008A46E0">
        <w:t>help e</w:t>
      </w:r>
      <w:r w:rsidR="001A0BD2">
        <w:t>n</w:t>
      </w:r>
      <w:r w:rsidR="008A46E0">
        <w:t>sure</w:t>
      </w:r>
      <w:r>
        <w:t xml:space="preserve"> </w:t>
      </w:r>
      <w:r w:rsidR="00CE2A69">
        <w:t xml:space="preserve">a coordinated response to climate risk </w:t>
      </w:r>
      <w:r w:rsidR="008A46E0">
        <w:t xml:space="preserve">and its impact on </w:t>
      </w:r>
      <w:r w:rsidR="00E818A9">
        <w:t xml:space="preserve">Australia’s </w:t>
      </w:r>
      <w:r w:rsidR="008A46E0">
        <w:t>financial system and markets</w:t>
      </w:r>
      <w:r w:rsidR="001A0BD2">
        <w:t xml:space="preserve"> (Price 2018)</w:t>
      </w:r>
      <w:r>
        <w:t xml:space="preserve">. </w:t>
      </w:r>
    </w:p>
    <w:p w14:paraId="027A776F" w14:textId="5D934AA3" w:rsidR="0070154C" w:rsidRDefault="000F4A0C" w:rsidP="00216EBF">
      <w:r>
        <w:t>In May</w:t>
      </w:r>
      <w:r w:rsidR="00E63A4A">
        <w:t> </w:t>
      </w:r>
      <w:r>
        <w:t>2018, the Australian Securities Exchange (ASX) released draft amendments to the ASX Corporate Governance Principles and Recommendations encouraging listed entities that have material exposure to climate</w:t>
      </w:r>
      <w:r w:rsidR="00AA5716">
        <w:t>-related</w:t>
      </w:r>
      <w:r>
        <w:t xml:space="preserve"> risks to </w:t>
      </w:r>
      <w:r w:rsidR="00B54781">
        <w:t xml:space="preserve">consider </w:t>
      </w:r>
      <w:r>
        <w:t>implement</w:t>
      </w:r>
      <w:r w:rsidR="00B54781">
        <w:t>ing</w:t>
      </w:r>
      <w:r>
        <w:t xml:space="preserve"> the TCFD’s recommendations.</w:t>
      </w:r>
    </w:p>
    <w:p w14:paraId="31A3BEFE" w14:textId="77777777" w:rsidR="000B147F" w:rsidRDefault="000B147F">
      <w:pPr>
        <w:spacing w:after="0" w:line="240" w:lineRule="auto"/>
      </w:pPr>
      <w:r>
        <w:br w:type="page"/>
      </w:r>
    </w:p>
    <w:p w14:paraId="4FEDAC81" w14:textId="64F69947" w:rsidR="000F4A0C" w:rsidRDefault="000F4A0C" w:rsidP="000F4A0C">
      <w:r>
        <w:lastRenderedPageBreak/>
        <w:t>The Authority is interested in stakeholder</w:t>
      </w:r>
      <w:r w:rsidR="009157CD">
        <w:t>s’</w:t>
      </w:r>
      <w:r>
        <w:t xml:space="preserve"> views on:</w:t>
      </w:r>
    </w:p>
    <w:p w14:paraId="6384F45F" w14:textId="1A23910E" w:rsidR="000F4A0C" w:rsidRPr="004841B0" w:rsidRDefault="00E26355"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Whether</w:t>
      </w:r>
      <w:r w:rsidR="000F4A0C" w:rsidRPr="004841B0">
        <w:rPr>
          <w:rFonts w:eastAsiaTheme="minorHAnsi" w:cstheme="minorBidi"/>
          <w:lang w:val="en-US"/>
        </w:rPr>
        <w:t xml:space="preserve"> any voluntary or mandatory schemes that use emissions and energy data could be streamlined into </w:t>
      </w:r>
      <w:r w:rsidR="00BE5EE1">
        <w:rPr>
          <w:rFonts w:eastAsiaTheme="minorHAnsi" w:cstheme="minorBidi"/>
          <w:lang w:val="en-US"/>
        </w:rPr>
        <w:t>the</w:t>
      </w:r>
      <w:r w:rsidR="000F4A0C" w:rsidRPr="004841B0">
        <w:rPr>
          <w:rFonts w:eastAsiaTheme="minorHAnsi" w:cstheme="minorBidi"/>
          <w:lang w:val="en-US"/>
        </w:rPr>
        <w:t xml:space="preserve"> reporting </w:t>
      </w:r>
      <w:r w:rsidR="00BE5EE1">
        <w:rPr>
          <w:rFonts w:eastAsiaTheme="minorHAnsi" w:cstheme="minorBidi"/>
          <w:lang w:val="en-US"/>
        </w:rPr>
        <w:t xml:space="preserve">scheme </w:t>
      </w:r>
      <w:r w:rsidR="000F4A0C" w:rsidRPr="004841B0">
        <w:rPr>
          <w:rFonts w:eastAsiaTheme="minorHAnsi" w:cstheme="minorBidi"/>
          <w:lang w:val="en-US"/>
        </w:rPr>
        <w:t>to lower costs. This could include incorporating additional gases, emission sources or types of entities that report into the framework</w:t>
      </w:r>
      <w:r w:rsidR="00940CE0">
        <w:rPr>
          <w:rFonts w:eastAsiaTheme="minorHAnsi" w:cstheme="minorBidi"/>
          <w:lang w:val="en-US"/>
        </w:rPr>
        <w:t>.</w:t>
      </w:r>
    </w:p>
    <w:p w14:paraId="1844F365" w14:textId="090A73F6" w:rsidR="000F4A0C" w:rsidRPr="004841B0" w:rsidRDefault="00E26355" w:rsidP="006B5CAF">
      <w:pPr>
        <w:pStyle w:val="ListNumber"/>
        <w:keepNext/>
        <w:keepLines/>
        <w:numPr>
          <w:ilvl w:val="0"/>
          <w:numId w:val="9"/>
        </w:numPr>
        <w:ind w:left="567"/>
        <w:rPr>
          <w:rFonts w:eastAsiaTheme="minorHAnsi" w:cstheme="minorBidi"/>
          <w:lang w:val="en-US"/>
        </w:rPr>
      </w:pPr>
      <w:r w:rsidRPr="004841B0">
        <w:rPr>
          <w:rFonts w:eastAsiaTheme="minorHAnsi" w:cstheme="minorBidi"/>
          <w:lang w:val="en-US"/>
        </w:rPr>
        <w:t>How</w:t>
      </w:r>
      <w:r w:rsidR="005E371D" w:rsidRPr="004841B0">
        <w:rPr>
          <w:rFonts w:eastAsiaTheme="minorHAnsi" w:cstheme="minorBidi"/>
          <w:lang w:val="en-US"/>
        </w:rPr>
        <w:t xml:space="preserve"> the </w:t>
      </w:r>
      <w:r w:rsidR="00C727B5" w:rsidRPr="004841B0">
        <w:rPr>
          <w:rFonts w:eastAsiaTheme="minorHAnsi" w:cstheme="minorBidi"/>
          <w:lang w:val="en-US"/>
        </w:rPr>
        <w:t xml:space="preserve">reporting </w:t>
      </w:r>
      <w:r w:rsidR="005E371D" w:rsidRPr="004841B0">
        <w:rPr>
          <w:rFonts w:eastAsiaTheme="minorHAnsi" w:cstheme="minorBidi"/>
          <w:lang w:val="en-US"/>
        </w:rPr>
        <w:t xml:space="preserve">scheme can </w:t>
      </w:r>
      <w:r w:rsidR="00902B2C" w:rsidRPr="004841B0">
        <w:rPr>
          <w:rFonts w:eastAsiaTheme="minorHAnsi" w:cstheme="minorBidi"/>
          <w:lang w:val="en-US"/>
        </w:rPr>
        <w:t>support</w:t>
      </w:r>
      <w:r w:rsidR="00C727B5" w:rsidRPr="004841B0">
        <w:rPr>
          <w:rFonts w:eastAsiaTheme="minorHAnsi" w:cstheme="minorBidi"/>
          <w:lang w:val="en-US"/>
        </w:rPr>
        <w:t xml:space="preserve"> </w:t>
      </w:r>
      <w:r w:rsidR="005E371D" w:rsidRPr="004841B0">
        <w:rPr>
          <w:rFonts w:eastAsiaTheme="minorHAnsi" w:cstheme="minorBidi"/>
          <w:lang w:val="en-US"/>
        </w:rPr>
        <w:t>climate</w:t>
      </w:r>
      <w:r w:rsidR="00BE7672">
        <w:rPr>
          <w:rFonts w:eastAsiaTheme="minorHAnsi" w:cstheme="minorBidi"/>
          <w:lang w:val="en-US"/>
        </w:rPr>
        <w:t>-related</w:t>
      </w:r>
      <w:r w:rsidR="005E371D" w:rsidRPr="004841B0">
        <w:rPr>
          <w:rFonts w:eastAsiaTheme="minorHAnsi" w:cstheme="minorBidi"/>
          <w:lang w:val="en-US"/>
        </w:rPr>
        <w:t xml:space="preserve"> risk disclosure. </w:t>
      </w:r>
    </w:p>
    <w:p w14:paraId="31E228BB" w14:textId="70D1A26D" w:rsidR="005115C2" w:rsidRDefault="00CC6672" w:rsidP="00883094">
      <w:pPr>
        <w:pStyle w:val="Heading2"/>
      </w:pPr>
      <w:bookmarkStart w:id="583" w:name="_Toc520448574"/>
      <w:bookmarkStart w:id="584" w:name="_Toc520455250"/>
      <w:bookmarkStart w:id="585" w:name="_Toc520459049"/>
      <w:bookmarkStart w:id="586" w:name="_Toc520459443"/>
      <w:bookmarkStart w:id="587" w:name="_Toc520459526"/>
      <w:bookmarkStart w:id="588" w:name="_Toc520461441"/>
      <w:bookmarkStart w:id="589" w:name="_Toc520461804"/>
      <w:bookmarkStart w:id="590" w:name="_Toc520466833"/>
      <w:bookmarkStart w:id="591" w:name="_Toc520469870"/>
      <w:bookmarkStart w:id="592" w:name="_Toc520705327"/>
      <w:bookmarkStart w:id="593" w:name="_Toc520707691"/>
      <w:bookmarkStart w:id="594" w:name="_Toc520716705"/>
      <w:bookmarkStart w:id="595" w:name="_Toc520720353"/>
      <w:bookmarkStart w:id="596" w:name="_Toc520721604"/>
      <w:bookmarkStart w:id="597" w:name="_Toc520724137"/>
      <w:bookmarkStart w:id="598" w:name="_Toc520735242"/>
      <w:bookmarkStart w:id="599" w:name="_Toc520736275"/>
      <w:bookmarkStart w:id="600" w:name="_Toc520736694"/>
      <w:bookmarkStart w:id="601" w:name="_Toc519166178"/>
      <w:bookmarkStart w:id="602" w:name="_Toc519240544"/>
      <w:bookmarkStart w:id="603" w:name="_Toc519240673"/>
      <w:r>
        <w:t>D</w:t>
      </w:r>
      <w:r w:rsidR="005115C2">
        <w:t>oes reporting help companies manage their emissions</w:t>
      </w:r>
      <w:r w:rsidR="00C8164E">
        <w:t xml:space="preserve"> and energy</w:t>
      </w:r>
      <w:r w:rsidR="005115C2">
        <w:t>?</w:t>
      </w:r>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p>
    <w:p w14:paraId="23A94E4A" w14:textId="710F5A03" w:rsidR="005115C2" w:rsidRDefault="00195CDD" w:rsidP="006D51D1">
      <w:r>
        <w:t>R</w:t>
      </w:r>
      <w:r w:rsidR="005115C2">
        <w:t xml:space="preserve">eporting </w:t>
      </w:r>
      <w:r>
        <w:t xml:space="preserve">under the scheme </w:t>
      </w:r>
      <w:r w:rsidR="005115C2">
        <w:t xml:space="preserve">has now been in place </w:t>
      </w:r>
      <w:r w:rsidR="005115C2" w:rsidRPr="00C53F05">
        <w:t xml:space="preserve">for a </w:t>
      </w:r>
      <w:r w:rsidR="005115C2" w:rsidRPr="005112D5">
        <w:t>decade</w:t>
      </w:r>
      <w:r w:rsidR="005115C2">
        <w:t xml:space="preserve">, enough time to consider whether </w:t>
      </w:r>
      <w:r w:rsidR="007E6EC1">
        <w:t>it</w:t>
      </w:r>
      <w:r w:rsidR="005115C2">
        <w:t xml:space="preserve"> has been effective in encouraging companies to measure </w:t>
      </w:r>
      <w:r w:rsidR="007E6EC1">
        <w:t xml:space="preserve">and manage </w:t>
      </w:r>
      <w:r w:rsidR="005115C2">
        <w:t xml:space="preserve">their emissions and energy use. If companies have reduced energy </w:t>
      </w:r>
      <w:r w:rsidR="00082592">
        <w:t>use</w:t>
      </w:r>
      <w:r w:rsidR="005115C2">
        <w:t xml:space="preserve"> and emissions in response to </w:t>
      </w:r>
      <w:r>
        <w:t>the</w:t>
      </w:r>
      <w:r w:rsidR="005115C2">
        <w:t xml:space="preserve"> reporting</w:t>
      </w:r>
      <w:r>
        <w:t xml:space="preserve"> scheme</w:t>
      </w:r>
      <w:r w:rsidR="005115C2">
        <w:t xml:space="preserve">, the Authority would like to hear about how they have done so. </w:t>
      </w:r>
    </w:p>
    <w:p w14:paraId="532B9B08" w14:textId="4AE75514" w:rsidR="00264DEB" w:rsidRDefault="00264DEB" w:rsidP="00883094">
      <w:pPr>
        <w:pStyle w:val="Heading2"/>
      </w:pPr>
      <w:bookmarkStart w:id="604" w:name="_Toc520448575"/>
      <w:bookmarkStart w:id="605" w:name="_Toc520455251"/>
      <w:bookmarkStart w:id="606" w:name="_Toc520459050"/>
      <w:bookmarkStart w:id="607" w:name="_Toc520459444"/>
      <w:bookmarkStart w:id="608" w:name="_Toc520458572"/>
      <w:bookmarkStart w:id="609" w:name="_Toc520459527"/>
      <w:bookmarkStart w:id="610" w:name="_Toc520461442"/>
      <w:bookmarkStart w:id="611" w:name="_Toc520461805"/>
      <w:bookmarkStart w:id="612" w:name="_Toc520466834"/>
      <w:bookmarkStart w:id="613" w:name="_Toc520469871"/>
      <w:bookmarkStart w:id="614" w:name="_Toc520705328"/>
      <w:bookmarkStart w:id="615" w:name="_Toc520707692"/>
      <w:bookmarkStart w:id="616" w:name="_Toc520716706"/>
      <w:bookmarkStart w:id="617" w:name="_Toc520720354"/>
      <w:bookmarkStart w:id="618" w:name="_Toc520721605"/>
      <w:bookmarkStart w:id="619" w:name="_Toc520724138"/>
      <w:bookmarkStart w:id="620" w:name="_Toc520735243"/>
      <w:bookmarkStart w:id="621" w:name="_Toc520736276"/>
      <w:bookmarkStart w:id="622" w:name="_Toc520736695"/>
      <w:r>
        <w:t>International emissions and energy reporting schemes</w:t>
      </w:r>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200B3DE3" w14:textId="415B4493" w:rsidR="006D51D1" w:rsidRDefault="009410C1" w:rsidP="006D51D1">
      <w:r>
        <w:t>T</w:t>
      </w:r>
      <w:r w:rsidR="006D51D1">
        <w:t xml:space="preserve">here are a number of international examples of </w:t>
      </w:r>
      <w:r w:rsidR="00422842">
        <w:t xml:space="preserve">mandatory </w:t>
      </w:r>
      <w:r w:rsidR="006D51D1">
        <w:t xml:space="preserve">emissions </w:t>
      </w:r>
      <w:r w:rsidR="00BD1243">
        <w:t xml:space="preserve">or </w:t>
      </w:r>
      <w:r w:rsidR="006D51D1">
        <w:t xml:space="preserve">energy reporting schemes. These include programs in the United States, </w:t>
      </w:r>
      <w:r w:rsidR="00422842">
        <w:t>European Union</w:t>
      </w:r>
      <w:r w:rsidR="006D51D1">
        <w:t xml:space="preserve">, </w:t>
      </w:r>
      <w:r w:rsidR="00422842">
        <w:t xml:space="preserve">Canada, </w:t>
      </w:r>
      <w:r w:rsidR="006D51D1">
        <w:t>Japan</w:t>
      </w:r>
      <w:r w:rsidR="0072360F">
        <w:t>,</w:t>
      </w:r>
      <w:r w:rsidR="00556CCE">
        <w:t xml:space="preserve"> </w:t>
      </w:r>
      <w:r w:rsidR="007A11EB">
        <w:t xml:space="preserve">New Zealand </w:t>
      </w:r>
      <w:r w:rsidR="00556CCE">
        <w:t>and</w:t>
      </w:r>
      <w:r w:rsidR="006D51D1">
        <w:t xml:space="preserve"> South Korea. These schemes differ in terms of the emissions and size of facilities they cover and the information that is published.</w:t>
      </w:r>
    </w:p>
    <w:p w14:paraId="3483B8A1" w14:textId="39483E40" w:rsidR="00D97780" w:rsidRDefault="006D51D1" w:rsidP="00D97780">
      <w:r>
        <w:t xml:space="preserve">The Authority is interested in hearing from stakeholders </w:t>
      </w:r>
      <w:r w:rsidR="007E6EC1">
        <w:t>about</w:t>
      </w:r>
      <w:r>
        <w:t xml:space="preserve"> lessons from similar schemes operating in other countries</w:t>
      </w:r>
      <w:r w:rsidR="00D97780">
        <w:t xml:space="preserve"> that could be applied to </w:t>
      </w:r>
      <w:r w:rsidR="007E6EC1">
        <w:t>Australia’s emissions and energy reporting scheme</w:t>
      </w:r>
      <w:r w:rsidR="00D97780">
        <w:t>.</w:t>
      </w:r>
    </w:p>
    <w:tbl>
      <w:tblPr>
        <w:tblStyle w:val="TableGrid"/>
        <w:tblW w:w="0" w:type="auto"/>
        <w:shd w:val="clear" w:color="auto" w:fill="E6ECF2"/>
        <w:tblLook w:val="04A0" w:firstRow="1" w:lastRow="0" w:firstColumn="1" w:lastColumn="0" w:noHBand="0" w:noVBand="1"/>
      </w:tblPr>
      <w:tblGrid>
        <w:gridCol w:w="9202"/>
      </w:tblGrid>
      <w:tr w:rsidR="00264DEB" w14:paraId="23F8CD72" w14:textId="77777777" w:rsidTr="00D97780">
        <w:trPr>
          <w:cnfStyle w:val="100000000000" w:firstRow="1" w:lastRow="0" w:firstColumn="0" w:lastColumn="0" w:oddVBand="0" w:evenVBand="0" w:oddHBand="0" w:evenHBand="0" w:firstRowFirstColumn="0" w:firstRowLastColumn="0" w:lastRowFirstColumn="0" w:lastRowLastColumn="0"/>
        </w:trPr>
        <w:tc>
          <w:tcPr>
            <w:tcW w:w="9202" w:type="dxa"/>
            <w:shd w:val="clear" w:color="auto" w:fill="E6ECF2"/>
            <w:tcMar>
              <w:top w:w="567" w:type="dxa"/>
              <w:left w:w="567" w:type="dxa"/>
              <w:bottom w:w="567" w:type="dxa"/>
              <w:right w:w="567" w:type="dxa"/>
            </w:tcMar>
          </w:tcPr>
          <w:p w14:paraId="2DE6EDD4" w14:textId="22F8D3A2" w:rsidR="00264DEB" w:rsidRPr="00D97780" w:rsidRDefault="00D97780" w:rsidP="006D51D1">
            <w:pPr>
              <w:rPr>
                <w:b/>
                <w:color w:val="159DCE"/>
              </w:rPr>
            </w:pPr>
            <w:r w:rsidRPr="00D97780">
              <w:rPr>
                <w:b/>
                <w:color w:val="159DCE"/>
              </w:rPr>
              <w:t>CONSULTATION QUESTIONS</w:t>
            </w:r>
            <w:r w:rsidR="00193858">
              <w:rPr>
                <w:b/>
                <w:color w:val="159DCE"/>
              </w:rPr>
              <w:t>: CHAPTER 2</w:t>
            </w:r>
          </w:p>
          <w:p w14:paraId="7968AE32" w14:textId="77777777" w:rsidR="00AA5716" w:rsidRDefault="00AA5716" w:rsidP="00AA5716">
            <w:bookmarkStart w:id="623" w:name="_Toc520705276"/>
            <w:bookmarkStart w:id="624" w:name="_Toc520707633"/>
            <w:bookmarkStart w:id="625" w:name="_Toc520716646"/>
            <w:bookmarkStart w:id="626" w:name="_Toc520720298"/>
            <w:bookmarkStart w:id="627" w:name="_Toc520720971"/>
            <w:bookmarkStart w:id="628" w:name="_Toc520721549"/>
            <w:bookmarkStart w:id="629" w:name="_Toc520724079"/>
            <w:bookmarkStart w:id="630" w:name="_Toc520735183"/>
            <w:bookmarkStart w:id="631" w:name="_Toc520736216"/>
            <w:bookmarkStart w:id="632" w:name="_Toc520736635"/>
            <w:bookmarkStart w:id="633" w:name="_Toc519087300"/>
            <w:bookmarkStart w:id="634" w:name="_Toc519090725"/>
            <w:bookmarkStart w:id="635" w:name="_Toc519163106"/>
            <w:bookmarkStart w:id="636" w:name="_Toc519163419"/>
            <w:bookmarkStart w:id="637" w:name="_Toc519164464"/>
            <w:bookmarkStart w:id="638" w:name="_Toc520280112"/>
            <w:bookmarkStart w:id="639" w:name="_Toc520281305"/>
            <w:bookmarkStart w:id="640" w:name="_Toc520459386"/>
            <w:bookmarkStart w:id="641" w:name="_Toc520461747"/>
            <w:r>
              <w:t xml:space="preserve">Q. </w:t>
            </w:r>
            <w:r w:rsidR="00363A9B">
              <w:fldChar w:fldCharType="begin"/>
            </w:r>
            <w:r w:rsidR="00363A9B">
              <w:instrText xml:space="preserve"> SEQ Q. \* ARABIC </w:instrText>
            </w:r>
            <w:r w:rsidR="00363A9B">
              <w:fldChar w:fldCharType="separate"/>
            </w:r>
            <w:r w:rsidR="00AD7AD8">
              <w:rPr>
                <w:noProof/>
              </w:rPr>
              <w:t>1</w:t>
            </w:r>
            <w:r w:rsidR="00363A9B">
              <w:rPr>
                <w:noProof/>
              </w:rPr>
              <w:fldChar w:fldCharType="end"/>
            </w:r>
            <w:r>
              <w:t xml:space="preserve"> </w:t>
            </w:r>
            <w:r>
              <w:tab/>
              <w:t>Do the National Greenhouse and Energy Reporting scheme reporting thresholds balance coverage with administrative costs? Should thresholds be increased, decreased or kept as is?</w:t>
            </w:r>
            <w:bookmarkEnd w:id="623"/>
            <w:bookmarkEnd w:id="624"/>
            <w:bookmarkEnd w:id="625"/>
            <w:bookmarkEnd w:id="626"/>
            <w:bookmarkEnd w:id="627"/>
            <w:bookmarkEnd w:id="628"/>
            <w:bookmarkEnd w:id="629"/>
            <w:bookmarkEnd w:id="630"/>
            <w:bookmarkEnd w:id="631"/>
            <w:bookmarkEnd w:id="632"/>
          </w:p>
          <w:p w14:paraId="556D3BE1" w14:textId="57B90ACB" w:rsidR="00D97780" w:rsidRDefault="00D97780" w:rsidP="00D97780">
            <w:bookmarkStart w:id="642" w:name="_Toc520705277"/>
            <w:bookmarkStart w:id="643" w:name="_Toc520707634"/>
            <w:bookmarkStart w:id="644" w:name="_Toc520716647"/>
            <w:bookmarkStart w:id="645" w:name="_Toc520720299"/>
            <w:bookmarkStart w:id="646" w:name="_Toc520720972"/>
            <w:bookmarkStart w:id="647" w:name="_Toc520721550"/>
            <w:bookmarkStart w:id="648" w:name="_Toc520724080"/>
            <w:bookmarkStart w:id="649" w:name="_Toc520735184"/>
            <w:bookmarkStart w:id="650" w:name="_Toc520736217"/>
            <w:bookmarkStart w:id="651" w:name="_Toc520736636"/>
            <w:r>
              <w:t xml:space="preserve">Q. </w:t>
            </w:r>
            <w:r w:rsidR="00363A9B">
              <w:fldChar w:fldCharType="begin"/>
            </w:r>
            <w:r w:rsidR="00363A9B">
              <w:instrText xml:space="preserve"> SEQ Q. \* ARABIC </w:instrText>
            </w:r>
            <w:r w:rsidR="00363A9B">
              <w:fldChar w:fldCharType="separate"/>
            </w:r>
            <w:r w:rsidR="00AD7AD8">
              <w:rPr>
                <w:noProof/>
              </w:rPr>
              <w:t>2</w:t>
            </w:r>
            <w:r w:rsidR="00363A9B">
              <w:rPr>
                <w:noProof/>
              </w:rPr>
              <w:fldChar w:fldCharType="end"/>
            </w:r>
            <w:r>
              <w:t xml:space="preserve"> </w:t>
            </w:r>
            <w:r>
              <w:tab/>
            </w:r>
            <w:r w:rsidRPr="00D97780">
              <w:t xml:space="preserve">Should the scope of reporting under the National Greenhouse and Energy Reporting scheme be expanded or reduced e.g. to include or exclude certain </w:t>
            </w:r>
            <w:r w:rsidRPr="00D97780">
              <w:lastRenderedPageBreak/>
              <w:t>greenhouse gases</w:t>
            </w:r>
            <w:r w:rsidR="00827F9D">
              <w:t xml:space="preserve">, emissions sources, </w:t>
            </w:r>
            <w:r w:rsidRPr="00D97780">
              <w:t>inventory sectors</w:t>
            </w:r>
            <w:r w:rsidR="00827F9D">
              <w:t xml:space="preserve"> or types of entities </w:t>
            </w:r>
            <w:r w:rsidR="004A6FCC">
              <w:t xml:space="preserve">who </w:t>
            </w:r>
            <w:r w:rsidR="00827F9D">
              <w:t>report</w:t>
            </w:r>
            <w:r w:rsidRPr="00D97780">
              <w:t>?</w:t>
            </w:r>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2993C5E6" w14:textId="6D621119" w:rsidR="00AA5716" w:rsidRDefault="00D97780" w:rsidP="00D97780">
            <w:bookmarkStart w:id="652" w:name="_Toc520724081"/>
            <w:bookmarkStart w:id="653" w:name="_Toc520735185"/>
            <w:bookmarkStart w:id="654" w:name="_Toc520736218"/>
            <w:bookmarkStart w:id="655" w:name="_Toc520736637"/>
            <w:r w:rsidDel="00AA5716">
              <w:t xml:space="preserve">Q. </w:t>
            </w:r>
            <w:bookmarkStart w:id="656" w:name="_Toc520705278"/>
            <w:bookmarkStart w:id="657" w:name="_Toc520707635"/>
            <w:bookmarkStart w:id="658" w:name="_Toc520716648"/>
            <w:bookmarkStart w:id="659" w:name="_Toc519087303"/>
            <w:bookmarkStart w:id="660" w:name="_Toc519090728"/>
            <w:bookmarkStart w:id="661" w:name="_Toc519163109"/>
            <w:bookmarkStart w:id="662" w:name="_Toc519163422"/>
            <w:bookmarkStart w:id="663" w:name="_Toc519164467"/>
            <w:bookmarkStart w:id="664" w:name="_Toc520280115"/>
            <w:bookmarkStart w:id="665" w:name="_Toc520281308"/>
            <w:bookmarkStart w:id="666" w:name="_Toc520459388"/>
            <w:bookmarkStart w:id="667" w:name="_Toc520461749"/>
            <w:r w:rsidR="00453780" w:rsidDel="00AA5716">
              <w:fldChar w:fldCharType="begin"/>
            </w:r>
            <w:r w:rsidR="00453780">
              <w:instrText xml:space="preserve"> SEQ Q. \* ARABIC </w:instrText>
            </w:r>
            <w:r w:rsidR="00453780" w:rsidDel="00AA5716">
              <w:fldChar w:fldCharType="separate"/>
            </w:r>
            <w:r w:rsidR="00AD7AD8">
              <w:rPr>
                <w:noProof/>
              </w:rPr>
              <w:t>3</w:t>
            </w:r>
            <w:r w:rsidR="00453780" w:rsidDel="00AA5716">
              <w:rPr>
                <w:noProof/>
              </w:rPr>
              <w:fldChar w:fldCharType="end"/>
            </w:r>
            <w:r>
              <w:t xml:space="preserve"> </w:t>
            </w:r>
            <w:r>
              <w:tab/>
            </w:r>
            <w:r w:rsidR="00AA5716">
              <w:t>Do you have any feedback on the annual policy and consultation process to update the measurement determination?</w:t>
            </w:r>
            <w:bookmarkEnd w:id="656"/>
            <w:bookmarkEnd w:id="657"/>
            <w:bookmarkEnd w:id="658"/>
            <w:bookmarkEnd w:id="652"/>
            <w:bookmarkEnd w:id="653"/>
            <w:bookmarkEnd w:id="654"/>
            <w:bookmarkEnd w:id="655"/>
          </w:p>
          <w:p w14:paraId="35F5B5E3" w14:textId="4C8973B0" w:rsidR="00D97780" w:rsidRPr="00D97780" w:rsidRDefault="00AA5716" w:rsidP="00D97780">
            <w:bookmarkStart w:id="668" w:name="_Toc520705279"/>
            <w:bookmarkStart w:id="669" w:name="_Toc520720300"/>
            <w:bookmarkStart w:id="670" w:name="_Toc520720973"/>
            <w:bookmarkStart w:id="671" w:name="_Toc520721551"/>
            <w:bookmarkStart w:id="672" w:name="_Toc520724082"/>
            <w:bookmarkStart w:id="673" w:name="_Toc520735186"/>
            <w:bookmarkStart w:id="674" w:name="_Toc520736219"/>
            <w:bookmarkStart w:id="675" w:name="_Toc520736638"/>
            <w:bookmarkStart w:id="676" w:name="_Toc520707636"/>
            <w:bookmarkStart w:id="677" w:name="_Toc520716649"/>
            <w:r>
              <w:t xml:space="preserve">Q. </w:t>
            </w:r>
            <w:r w:rsidR="00363A9B">
              <w:fldChar w:fldCharType="begin"/>
            </w:r>
            <w:r w:rsidR="00363A9B">
              <w:instrText xml:space="preserve"> SEQ Q. \* ARABIC </w:instrText>
            </w:r>
            <w:r w:rsidR="00363A9B">
              <w:fldChar w:fldCharType="separate"/>
            </w:r>
            <w:r w:rsidR="00AD7AD8">
              <w:rPr>
                <w:noProof/>
              </w:rPr>
              <w:t>4</w:t>
            </w:r>
            <w:r w:rsidR="00363A9B">
              <w:rPr>
                <w:noProof/>
              </w:rPr>
              <w:fldChar w:fldCharType="end"/>
            </w:r>
            <w:r>
              <w:t xml:space="preserve"> </w:t>
            </w:r>
            <w:r>
              <w:tab/>
            </w:r>
            <w:r w:rsidR="00D97780">
              <w:t>Are the methods for reporting emissions and energy in the measurement determination fit for purpose?</w:t>
            </w:r>
            <w:bookmarkEnd w:id="668"/>
            <w:bookmarkEnd w:id="669"/>
            <w:bookmarkEnd w:id="670"/>
            <w:bookmarkEnd w:id="671"/>
            <w:bookmarkEnd w:id="672"/>
            <w:bookmarkEnd w:id="673"/>
            <w:bookmarkEnd w:id="674"/>
            <w:bookmarkEnd w:id="675"/>
            <w:r w:rsidR="00D97780">
              <w:t xml:space="preserve"> </w:t>
            </w:r>
            <w:bookmarkEnd w:id="659"/>
            <w:bookmarkEnd w:id="660"/>
            <w:bookmarkEnd w:id="661"/>
            <w:bookmarkEnd w:id="662"/>
            <w:bookmarkEnd w:id="663"/>
            <w:bookmarkEnd w:id="664"/>
            <w:bookmarkEnd w:id="665"/>
            <w:bookmarkEnd w:id="666"/>
            <w:bookmarkEnd w:id="667"/>
            <w:bookmarkEnd w:id="676"/>
            <w:bookmarkEnd w:id="677"/>
          </w:p>
          <w:p w14:paraId="7D02EB2D" w14:textId="17279476" w:rsidR="00AA5716" w:rsidRDefault="00AA5716" w:rsidP="00AA5716">
            <w:bookmarkStart w:id="678" w:name="_Toc520705280"/>
            <w:bookmarkStart w:id="679" w:name="_Toc520707637"/>
            <w:bookmarkStart w:id="680" w:name="_Toc520716650"/>
            <w:bookmarkStart w:id="681" w:name="_Toc520720301"/>
            <w:bookmarkStart w:id="682" w:name="_Toc520720974"/>
            <w:bookmarkStart w:id="683" w:name="_Toc520721552"/>
            <w:bookmarkStart w:id="684" w:name="_Toc520724083"/>
            <w:bookmarkStart w:id="685" w:name="_Toc520735187"/>
            <w:bookmarkStart w:id="686" w:name="_Toc520736220"/>
            <w:bookmarkStart w:id="687" w:name="_Toc520736639"/>
            <w:bookmarkStart w:id="688" w:name="_Toc519087304"/>
            <w:bookmarkStart w:id="689" w:name="_Toc519090729"/>
            <w:bookmarkStart w:id="690" w:name="_Toc519163110"/>
            <w:bookmarkStart w:id="691" w:name="_Toc519163423"/>
            <w:bookmarkStart w:id="692" w:name="_Toc519164468"/>
            <w:bookmarkStart w:id="693" w:name="_Toc520280116"/>
            <w:bookmarkStart w:id="694" w:name="_Toc520281309"/>
            <w:bookmarkStart w:id="695" w:name="_Toc520459389"/>
            <w:bookmarkStart w:id="696" w:name="_Toc520461750"/>
            <w:r>
              <w:t xml:space="preserve">Q. </w:t>
            </w:r>
            <w:r w:rsidR="00363A9B">
              <w:fldChar w:fldCharType="begin"/>
            </w:r>
            <w:r w:rsidR="00363A9B">
              <w:instrText xml:space="preserve"> SEQ Q. \* ARABIC </w:instrText>
            </w:r>
            <w:r w:rsidR="00363A9B">
              <w:fldChar w:fldCharType="separate"/>
            </w:r>
            <w:r w:rsidR="00AD7AD8">
              <w:rPr>
                <w:noProof/>
              </w:rPr>
              <w:t>5</w:t>
            </w:r>
            <w:r w:rsidR="00363A9B">
              <w:rPr>
                <w:noProof/>
              </w:rPr>
              <w:fldChar w:fldCharType="end"/>
            </w:r>
            <w:r w:rsidR="00E26355">
              <w:t xml:space="preserve"> </w:t>
            </w:r>
            <w:r w:rsidR="00E26355">
              <w:tab/>
            </w:r>
            <w:r>
              <w:t>Does the frequency and timing for reporting cause any particular issues for companies?</w:t>
            </w:r>
            <w:bookmarkEnd w:id="678"/>
            <w:bookmarkEnd w:id="679"/>
            <w:bookmarkEnd w:id="680"/>
            <w:bookmarkEnd w:id="681"/>
            <w:bookmarkEnd w:id="682"/>
            <w:bookmarkEnd w:id="683"/>
            <w:bookmarkEnd w:id="684"/>
            <w:bookmarkEnd w:id="685"/>
            <w:bookmarkEnd w:id="686"/>
            <w:bookmarkEnd w:id="687"/>
          </w:p>
          <w:p w14:paraId="4441859B" w14:textId="045A1705" w:rsidR="00905770" w:rsidRDefault="00D97780" w:rsidP="00D97780">
            <w:bookmarkStart w:id="697" w:name="_Toc520705282"/>
            <w:bookmarkStart w:id="698" w:name="_Toc520707639"/>
            <w:bookmarkStart w:id="699" w:name="_Toc520716652"/>
            <w:bookmarkStart w:id="700" w:name="_Toc520720302"/>
            <w:bookmarkStart w:id="701" w:name="_Toc520720975"/>
            <w:bookmarkStart w:id="702" w:name="_Toc520721553"/>
            <w:bookmarkStart w:id="703" w:name="_Toc520724084"/>
            <w:bookmarkStart w:id="704" w:name="_Toc520735188"/>
            <w:bookmarkStart w:id="705" w:name="_Toc520736221"/>
            <w:bookmarkStart w:id="706" w:name="_Toc520736640"/>
            <w:r>
              <w:t xml:space="preserve">Q. </w:t>
            </w:r>
            <w:r w:rsidR="00363A9B">
              <w:fldChar w:fldCharType="begin"/>
            </w:r>
            <w:r w:rsidR="00363A9B">
              <w:instrText xml:space="preserve"> SEQ Q. \* AR</w:instrText>
            </w:r>
            <w:r w:rsidR="00363A9B">
              <w:instrText xml:space="preserve">ABIC </w:instrText>
            </w:r>
            <w:r w:rsidR="00363A9B">
              <w:fldChar w:fldCharType="separate"/>
            </w:r>
            <w:r w:rsidR="00AD7AD8">
              <w:rPr>
                <w:noProof/>
              </w:rPr>
              <w:t>6</w:t>
            </w:r>
            <w:r w:rsidR="00363A9B">
              <w:rPr>
                <w:noProof/>
              </w:rPr>
              <w:fldChar w:fldCharType="end"/>
            </w:r>
            <w:r>
              <w:t xml:space="preserve"> </w:t>
            </w:r>
            <w:r>
              <w:tab/>
              <w:t>Is the Emissions and Energy Reporting System tool easy to use and fit for purpose?</w:t>
            </w:r>
            <w:bookmarkStart w:id="707" w:name="_Toc519087305"/>
            <w:bookmarkStart w:id="708" w:name="_Toc519090730"/>
            <w:bookmarkStart w:id="709" w:name="_Toc519163111"/>
            <w:bookmarkStart w:id="710" w:name="_Toc519163424"/>
            <w:bookmarkStart w:id="711" w:name="_Toc519164469"/>
            <w:bookmarkStart w:id="712" w:name="_Toc520280117"/>
            <w:bookmarkStart w:id="713" w:name="_Toc520281310"/>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r>
              <w:tab/>
            </w:r>
          </w:p>
          <w:p w14:paraId="1A5C7F74" w14:textId="7E764F52" w:rsidR="00AA5716" w:rsidRDefault="00AA5716" w:rsidP="00AA5716">
            <w:bookmarkStart w:id="714" w:name="_Toc520705283"/>
            <w:bookmarkStart w:id="715" w:name="_Toc520707640"/>
            <w:bookmarkStart w:id="716" w:name="_Toc520716653"/>
            <w:bookmarkStart w:id="717" w:name="_Toc520720303"/>
            <w:bookmarkStart w:id="718" w:name="_Toc520720976"/>
            <w:bookmarkStart w:id="719" w:name="_Toc520721554"/>
            <w:bookmarkStart w:id="720" w:name="_Toc520724085"/>
            <w:bookmarkStart w:id="721" w:name="_Toc520735189"/>
            <w:bookmarkStart w:id="722" w:name="_Toc520736222"/>
            <w:bookmarkStart w:id="723" w:name="_Toc520736641"/>
            <w:bookmarkStart w:id="724" w:name="_Toc520459390"/>
            <w:bookmarkStart w:id="725" w:name="_Toc520461751"/>
            <w:r>
              <w:t xml:space="preserve">Q. </w:t>
            </w:r>
            <w:r w:rsidR="00363A9B">
              <w:fldChar w:fldCharType="begin"/>
            </w:r>
            <w:r w:rsidR="00363A9B">
              <w:instrText xml:space="preserve"> SEQ Q. \* ARABIC </w:instrText>
            </w:r>
            <w:r w:rsidR="00363A9B">
              <w:fldChar w:fldCharType="separate"/>
            </w:r>
            <w:r w:rsidR="00AD7AD8">
              <w:rPr>
                <w:noProof/>
              </w:rPr>
              <w:t>7</w:t>
            </w:r>
            <w:r w:rsidR="00363A9B">
              <w:rPr>
                <w:noProof/>
              </w:rPr>
              <w:fldChar w:fldCharType="end"/>
            </w:r>
            <w:r>
              <w:t xml:space="preserve"> </w:t>
            </w:r>
            <w:r w:rsidR="00E26355">
              <w:tab/>
            </w:r>
            <w:r>
              <w:t xml:space="preserve">Are there emissions and energy </w:t>
            </w:r>
            <w:r w:rsidR="000B147F">
              <w:t>data</w:t>
            </w:r>
            <w:r>
              <w:t xml:space="preserve"> </w:t>
            </w:r>
            <w:r w:rsidR="00DE63AB">
              <w:t>that</w:t>
            </w:r>
            <w:r>
              <w:t xml:space="preserve"> companies would like to report through the Emissions and Energy Reporting System but are currently unable to? Would the development of a voluntary tool be useful for this information?</w:t>
            </w:r>
            <w:bookmarkEnd w:id="714"/>
            <w:bookmarkEnd w:id="715"/>
            <w:bookmarkEnd w:id="716"/>
            <w:bookmarkEnd w:id="717"/>
            <w:bookmarkEnd w:id="718"/>
            <w:bookmarkEnd w:id="719"/>
            <w:bookmarkEnd w:id="720"/>
            <w:bookmarkEnd w:id="721"/>
            <w:bookmarkEnd w:id="722"/>
            <w:bookmarkEnd w:id="723"/>
          </w:p>
          <w:p w14:paraId="20658F6E" w14:textId="77777777" w:rsidR="00AA5716" w:rsidRDefault="00AA5716" w:rsidP="00AA5716">
            <w:bookmarkStart w:id="726" w:name="_Toc520705284"/>
            <w:bookmarkStart w:id="727" w:name="_Toc520707641"/>
            <w:bookmarkStart w:id="728" w:name="_Toc520716654"/>
            <w:bookmarkStart w:id="729" w:name="_Toc520720304"/>
            <w:bookmarkStart w:id="730" w:name="_Toc520720977"/>
            <w:bookmarkStart w:id="731" w:name="_Toc520721555"/>
            <w:bookmarkStart w:id="732" w:name="_Toc520724086"/>
            <w:bookmarkStart w:id="733" w:name="_Toc520735190"/>
            <w:bookmarkStart w:id="734" w:name="_Toc520736223"/>
            <w:bookmarkStart w:id="735" w:name="_Toc520736642"/>
            <w:r>
              <w:t xml:space="preserve">Q. </w:t>
            </w:r>
            <w:r w:rsidR="00363A9B">
              <w:fldChar w:fldCharType="begin"/>
            </w:r>
            <w:r w:rsidR="00363A9B">
              <w:instrText xml:space="preserve"> SEQ Q. \* ARABIC </w:instrText>
            </w:r>
            <w:r w:rsidR="00363A9B">
              <w:fldChar w:fldCharType="separate"/>
            </w:r>
            <w:r w:rsidR="00AD7AD8">
              <w:rPr>
                <w:noProof/>
              </w:rPr>
              <w:t>8</w:t>
            </w:r>
            <w:r w:rsidR="00363A9B">
              <w:rPr>
                <w:noProof/>
              </w:rPr>
              <w:fldChar w:fldCharType="end"/>
            </w:r>
            <w:r>
              <w:t xml:space="preserve"> </w:t>
            </w:r>
            <w:r>
              <w:tab/>
              <w:t>Are there opportunities to streamline emissions and energy reporting obligations under the National Greenhouse and Energy Reporting scheme and other programs?</w:t>
            </w:r>
            <w:bookmarkEnd w:id="726"/>
            <w:bookmarkEnd w:id="727"/>
            <w:bookmarkEnd w:id="728"/>
            <w:bookmarkEnd w:id="729"/>
            <w:bookmarkEnd w:id="730"/>
            <w:bookmarkEnd w:id="731"/>
            <w:bookmarkEnd w:id="732"/>
            <w:bookmarkEnd w:id="733"/>
            <w:bookmarkEnd w:id="734"/>
            <w:bookmarkEnd w:id="735"/>
          </w:p>
          <w:p w14:paraId="2B7C38B5" w14:textId="4C8BD44F" w:rsidR="00AA5716" w:rsidRDefault="00AA5716" w:rsidP="00AA5716">
            <w:bookmarkStart w:id="736" w:name="_Toc520705285"/>
            <w:bookmarkStart w:id="737" w:name="_Toc520707642"/>
            <w:bookmarkStart w:id="738" w:name="_Toc520716655"/>
            <w:bookmarkStart w:id="739" w:name="_Toc520720305"/>
            <w:bookmarkStart w:id="740" w:name="_Toc520720978"/>
            <w:bookmarkStart w:id="741" w:name="_Toc520721556"/>
            <w:bookmarkStart w:id="742" w:name="_Toc520724087"/>
            <w:bookmarkStart w:id="743" w:name="_Toc520735191"/>
            <w:bookmarkStart w:id="744" w:name="_Toc520736224"/>
            <w:bookmarkStart w:id="745" w:name="_Toc520736643"/>
            <w:r>
              <w:t xml:space="preserve">Q. </w:t>
            </w:r>
            <w:r w:rsidR="00363A9B">
              <w:fldChar w:fldCharType="begin"/>
            </w:r>
            <w:r w:rsidR="00363A9B">
              <w:instrText xml:space="preserve"> SEQ Q. \* ARABIC </w:instrText>
            </w:r>
            <w:r w:rsidR="00363A9B">
              <w:fldChar w:fldCharType="separate"/>
            </w:r>
            <w:r w:rsidR="00AD7AD8">
              <w:rPr>
                <w:noProof/>
              </w:rPr>
              <w:t>9</w:t>
            </w:r>
            <w:r w:rsidR="00363A9B">
              <w:rPr>
                <w:noProof/>
              </w:rPr>
              <w:fldChar w:fldCharType="end"/>
            </w:r>
            <w:r>
              <w:t xml:space="preserve"> </w:t>
            </w:r>
            <w:r>
              <w:tab/>
              <w:t xml:space="preserve">How does the </w:t>
            </w:r>
            <w:r w:rsidR="000B147F">
              <w:t>National Greenhouse and Energy Reporting</w:t>
            </w:r>
            <w:r>
              <w:t xml:space="preserve"> scheme contribute to providing useful information for climate</w:t>
            </w:r>
            <w:r w:rsidR="00A52418">
              <w:t>-related</w:t>
            </w:r>
            <w:r>
              <w:t xml:space="preserve"> risk disclosure or other data users and are any enhancements to the reporting scheme </w:t>
            </w:r>
            <w:r w:rsidR="00393F75">
              <w:t>desirable</w:t>
            </w:r>
            <w:r>
              <w:t>?</w:t>
            </w:r>
            <w:bookmarkEnd w:id="736"/>
            <w:bookmarkEnd w:id="737"/>
            <w:bookmarkEnd w:id="738"/>
            <w:bookmarkEnd w:id="739"/>
            <w:bookmarkEnd w:id="740"/>
            <w:bookmarkEnd w:id="741"/>
            <w:bookmarkEnd w:id="742"/>
            <w:bookmarkEnd w:id="743"/>
            <w:bookmarkEnd w:id="744"/>
            <w:bookmarkEnd w:id="745"/>
            <w:r w:rsidDel="00676ACE">
              <w:t xml:space="preserve"> </w:t>
            </w:r>
          </w:p>
          <w:p w14:paraId="1C1F2410" w14:textId="51D6940D" w:rsidR="00905770" w:rsidRDefault="00905770" w:rsidP="00905770">
            <w:bookmarkStart w:id="746" w:name="_Toc520459392"/>
            <w:bookmarkStart w:id="747" w:name="_Toc520461753"/>
            <w:bookmarkStart w:id="748" w:name="_Toc520705286"/>
            <w:bookmarkStart w:id="749" w:name="_Toc520707643"/>
            <w:bookmarkStart w:id="750" w:name="_Toc520716656"/>
            <w:bookmarkStart w:id="751" w:name="_Toc520720306"/>
            <w:bookmarkStart w:id="752" w:name="_Toc520720979"/>
            <w:bookmarkStart w:id="753" w:name="_Toc520721557"/>
            <w:bookmarkStart w:id="754" w:name="_Toc520724088"/>
            <w:bookmarkStart w:id="755" w:name="_Toc520735192"/>
            <w:bookmarkStart w:id="756" w:name="_Toc520736225"/>
            <w:bookmarkStart w:id="757" w:name="_Toc520736644"/>
            <w:bookmarkEnd w:id="724"/>
            <w:bookmarkEnd w:id="725"/>
            <w:r>
              <w:t xml:space="preserve">Q. </w:t>
            </w:r>
            <w:r w:rsidR="00363A9B">
              <w:fldChar w:fldCharType="begin"/>
            </w:r>
            <w:r w:rsidR="00363A9B">
              <w:instrText xml:space="preserve"> SEQ Q. \* ARABIC </w:instrText>
            </w:r>
            <w:r w:rsidR="00363A9B">
              <w:fldChar w:fldCharType="separate"/>
            </w:r>
            <w:r w:rsidR="00AD7AD8">
              <w:rPr>
                <w:noProof/>
              </w:rPr>
              <w:t>10</w:t>
            </w:r>
            <w:r w:rsidR="00363A9B">
              <w:rPr>
                <w:noProof/>
              </w:rPr>
              <w:fldChar w:fldCharType="end"/>
            </w:r>
            <w:r>
              <w:t xml:space="preserve"> </w:t>
            </w:r>
            <w:r>
              <w:tab/>
            </w:r>
            <w:r w:rsidRPr="00D97780">
              <w:t xml:space="preserve">Is reporting of emissions and energy data </w:t>
            </w:r>
            <w:r w:rsidR="00C8164E">
              <w:t xml:space="preserve">meeting the needs of data users and </w:t>
            </w:r>
            <w:r w:rsidRPr="00D97780">
              <w:t>inducing change in business operations? If so, how?</w:t>
            </w:r>
            <w:bookmarkEnd w:id="746"/>
            <w:bookmarkEnd w:id="747"/>
            <w:bookmarkEnd w:id="748"/>
            <w:bookmarkEnd w:id="749"/>
            <w:bookmarkEnd w:id="750"/>
            <w:bookmarkEnd w:id="751"/>
            <w:bookmarkEnd w:id="752"/>
            <w:bookmarkEnd w:id="753"/>
            <w:bookmarkEnd w:id="754"/>
            <w:bookmarkEnd w:id="755"/>
            <w:bookmarkEnd w:id="756"/>
            <w:bookmarkEnd w:id="757"/>
          </w:p>
          <w:p w14:paraId="7CDC215C" w14:textId="4F389295" w:rsidR="00D97780" w:rsidRDefault="00905770" w:rsidP="006D51D1">
            <w:bookmarkStart w:id="758" w:name="_Toc520724089"/>
            <w:bookmarkStart w:id="759" w:name="_Toc520735193"/>
            <w:bookmarkStart w:id="760" w:name="_Toc520736226"/>
            <w:bookmarkStart w:id="761" w:name="_Toc520736645"/>
            <w:r w:rsidDel="00AA5716">
              <w:t xml:space="preserve">Q. </w:t>
            </w:r>
            <w:bookmarkStart w:id="762" w:name="_Toc520716657"/>
            <w:bookmarkEnd w:id="707"/>
            <w:bookmarkEnd w:id="708"/>
            <w:bookmarkEnd w:id="709"/>
            <w:bookmarkEnd w:id="710"/>
            <w:bookmarkEnd w:id="711"/>
            <w:bookmarkEnd w:id="712"/>
            <w:bookmarkEnd w:id="713"/>
            <w:r w:rsidR="00453780" w:rsidDel="00AA5716">
              <w:fldChar w:fldCharType="begin"/>
            </w:r>
            <w:r w:rsidR="00453780">
              <w:instrText xml:space="preserve"> SEQ Q. \* ARABIC </w:instrText>
            </w:r>
            <w:r w:rsidR="00453780" w:rsidDel="00AA5716">
              <w:fldChar w:fldCharType="separate"/>
            </w:r>
            <w:r w:rsidR="00AD7AD8">
              <w:rPr>
                <w:noProof/>
              </w:rPr>
              <w:t>11</w:t>
            </w:r>
            <w:r w:rsidR="00453780" w:rsidDel="00AA5716">
              <w:rPr>
                <w:noProof/>
              </w:rPr>
              <w:fldChar w:fldCharType="end"/>
            </w:r>
            <w:r w:rsidR="00E26355">
              <w:t xml:space="preserve"> </w:t>
            </w:r>
            <w:r w:rsidR="00E26355">
              <w:tab/>
            </w:r>
            <w:bookmarkStart w:id="763" w:name="_Toc519087310"/>
            <w:bookmarkStart w:id="764" w:name="_Toc519090735"/>
            <w:bookmarkStart w:id="765" w:name="_Toc519163116"/>
            <w:bookmarkStart w:id="766" w:name="_Toc519163429"/>
            <w:bookmarkStart w:id="767" w:name="_Toc519164474"/>
            <w:bookmarkStart w:id="768" w:name="_Toc520280122"/>
            <w:bookmarkStart w:id="769" w:name="_Toc520281315"/>
            <w:bookmarkStart w:id="770" w:name="_Toc520459396"/>
            <w:bookmarkStart w:id="771" w:name="_Toc520461757"/>
            <w:bookmarkStart w:id="772" w:name="_Toc520705287"/>
            <w:bookmarkStart w:id="773" w:name="_Toc520707644"/>
            <w:r w:rsidR="00D97780">
              <w:t>Are there learnings from international emissions and energy reporting schemes that could be applied in Australia?</w:t>
            </w:r>
            <w:bookmarkEnd w:id="762"/>
            <w:bookmarkEnd w:id="763"/>
            <w:bookmarkEnd w:id="764"/>
            <w:bookmarkEnd w:id="765"/>
            <w:bookmarkEnd w:id="766"/>
            <w:bookmarkEnd w:id="767"/>
            <w:bookmarkEnd w:id="768"/>
            <w:bookmarkEnd w:id="769"/>
            <w:bookmarkEnd w:id="770"/>
            <w:bookmarkEnd w:id="771"/>
            <w:bookmarkEnd w:id="772"/>
            <w:bookmarkEnd w:id="773"/>
            <w:bookmarkEnd w:id="758"/>
            <w:bookmarkEnd w:id="759"/>
            <w:bookmarkEnd w:id="760"/>
            <w:bookmarkEnd w:id="761"/>
          </w:p>
        </w:tc>
      </w:tr>
    </w:tbl>
    <w:p w14:paraId="4C3DC892" w14:textId="77777777" w:rsidR="00264DEB" w:rsidRDefault="00264DEB" w:rsidP="006D51D1"/>
    <w:p w14:paraId="71B5BBE9" w14:textId="77777777" w:rsidR="001C731F" w:rsidRDefault="001C731F" w:rsidP="006D51D1"/>
    <w:p w14:paraId="57956338" w14:textId="53E4B335" w:rsidR="001C731F" w:rsidRDefault="001C731F" w:rsidP="004240E8">
      <w:pPr>
        <w:pStyle w:val="Heading1"/>
        <w:numPr>
          <w:ilvl w:val="0"/>
          <w:numId w:val="14"/>
        </w:numPr>
      </w:pPr>
      <w:bookmarkStart w:id="774" w:name="_Safeguard_mechanism"/>
      <w:bookmarkStart w:id="775" w:name="_Toc519166179"/>
      <w:bookmarkStart w:id="776" w:name="_Toc519240545"/>
      <w:bookmarkStart w:id="777" w:name="_Toc519240674"/>
      <w:bookmarkStart w:id="778" w:name="_Ref520110941"/>
      <w:bookmarkStart w:id="779" w:name="_Toc520448576"/>
      <w:bookmarkStart w:id="780" w:name="_Toc520455252"/>
      <w:bookmarkStart w:id="781" w:name="_Toc520459051"/>
      <w:bookmarkStart w:id="782" w:name="_Toc520459445"/>
      <w:bookmarkStart w:id="783" w:name="_Toc520458573"/>
      <w:bookmarkStart w:id="784" w:name="_Toc520459528"/>
      <w:bookmarkStart w:id="785" w:name="_Toc520461443"/>
      <w:bookmarkStart w:id="786" w:name="_Toc520461806"/>
      <w:bookmarkStart w:id="787" w:name="_Toc520466835"/>
      <w:bookmarkStart w:id="788" w:name="_Toc520469872"/>
      <w:bookmarkStart w:id="789" w:name="_Toc520705329"/>
      <w:bookmarkStart w:id="790" w:name="_Toc520707693"/>
      <w:bookmarkStart w:id="791" w:name="_Ref520715368"/>
      <w:bookmarkStart w:id="792" w:name="_Ref520716107"/>
      <w:bookmarkStart w:id="793" w:name="_Toc520716707"/>
      <w:bookmarkStart w:id="794" w:name="_Toc520720355"/>
      <w:bookmarkStart w:id="795" w:name="_Ref520720907"/>
      <w:bookmarkStart w:id="796" w:name="_Toc520721606"/>
      <w:bookmarkStart w:id="797" w:name="_Toc520724139"/>
      <w:bookmarkStart w:id="798" w:name="_Toc520735244"/>
      <w:bookmarkStart w:id="799" w:name="_Toc520736277"/>
      <w:bookmarkStart w:id="800" w:name="_Toc520736696"/>
      <w:bookmarkEnd w:id="774"/>
      <w:r>
        <w:lastRenderedPageBreak/>
        <w:t xml:space="preserve">Safeguard </w:t>
      </w:r>
      <w:r w:rsidR="0045106F">
        <w:t>m</w:t>
      </w:r>
      <w:r>
        <w:t>echanism</w:t>
      </w:r>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p>
    <w:p w14:paraId="3CE8913F" w14:textId="11DB2475" w:rsidR="007046F0" w:rsidRDefault="001E1229" w:rsidP="0072360F">
      <w:r>
        <w:t xml:space="preserve">Under the </w:t>
      </w:r>
      <w:r w:rsidR="00C7614C">
        <w:t xml:space="preserve">National Greenhouse and Energy Reporting </w:t>
      </w:r>
      <w:r>
        <w:t xml:space="preserve">legislation, the </w:t>
      </w:r>
      <w:r w:rsidR="00902B2C">
        <w:t xml:space="preserve">objective of the safeguard </w:t>
      </w:r>
      <w:r w:rsidR="00C7614C">
        <w:t>mechanism</w:t>
      </w:r>
      <w:r w:rsidR="00902B2C">
        <w:t xml:space="preserve"> is to ensure facilities </w:t>
      </w:r>
      <w:r w:rsidR="001C731F">
        <w:t xml:space="preserve">covered by </w:t>
      </w:r>
      <w:r w:rsidR="00A52418">
        <w:t>it</w:t>
      </w:r>
      <w:r w:rsidR="001C731F">
        <w:t xml:space="preserve"> </w:t>
      </w:r>
      <w:r w:rsidR="00902B2C">
        <w:t xml:space="preserve">do not exceed </w:t>
      </w:r>
      <w:r w:rsidR="001C731F">
        <w:t xml:space="preserve">their </w:t>
      </w:r>
      <w:r w:rsidR="007046F0">
        <w:t xml:space="preserve">greenhouse gas emissions limits (known as </w:t>
      </w:r>
      <w:r w:rsidR="001C731F">
        <w:t>baseline</w:t>
      </w:r>
      <w:r w:rsidR="007046F0">
        <w:t>s)</w:t>
      </w:r>
      <w:r w:rsidR="001C731F">
        <w:t xml:space="preserve">. </w:t>
      </w:r>
      <w:r w:rsidR="007046F0">
        <w:t xml:space="preserve">The safeguard </w:t>
      </w:r>
      <w:r w:rsidR="00827F9D">
        <w:t xml:space="preserve">provides a framework for Australia’s </w:t>
      </w:r>
      <w:r w:rsidR="00A52418">
        <w:t>companies</w:t>
      </w:r>
      <w:r w:rsidR="00827F9D">
        <w:t xml:space="preserve"> to measure, report and manage their emissions.</w:t>
      </w:r>
      <w:r w:rsidR="007046F0">
        <w:t xml:space="preserve"> It </w:t>
      </w:r>
      <w:r w:rsidR="001C731F">
        <w:t xml:space="preserve">aims to ensure emissions reductions purchased under the Emissions Reduction Fund are not offset by significant increases in emissions above business as usual levels elsewhere in the economy. The safeguard was designed to allow businesses to continue normal operations while at the same time providing an incentive to keep their emissions below their baseline. </w:t>
      </w:r>
    </w:p>
    <w:p w14:paraId="2812951D" w14:textId="173EC8C2" w:rsidR="0072360F" w:rsidRDefault="0072360F" w:rsidP="0072360F">
      <w:r>
        <w:t>The safeguard commenced on 1</w:t>
      </w:r>
      <w:r w:rsidR="00E63A4A">
        <w:t> </w:t>
      </w:r>
      <w:r>
        <w:t>July</w:t>
      </w:r>
      <w:r w:rsidR="00E63A4A">
        <w:t> </w:t>
      </w:r>
      <w:r>
        <w:t>2016.</w:t>
      </w:r>
    </w:p>
    <w:p w14:paraId="4F4FBC6F" w14:textId="6AA363FA" w:rsidR="006872F5" w:rsidRDefault="006872F5" w:rsidP="0072360F">
      <w:bookmarkStart w:id="801" w:name="_Toc520386040"/>
      <w:bookmarkStart w:id="802" w:name="_Toc520391718"/>
      <w:bookmarkStart w:id="803" w:name="_Toc520448438"/>
      <w:bookmarkStart w:id="804" w:name="_Toc520448521"/>
      <w:bookmarkStart w:id="805" w:name="_Toc520448577"/>
      <w:bookmarkStart w:id="806" w:name="_Toc520448800"/>
      <w:bookmarkStart w:id="807" w:name="_Toc520449291"/>
      <w:bookmarkStart w:id="808" w:name="_Toc520450067"/>
      <w:bookmarkStart w:id="809" w:name="_Toc520449261"/>
      <w:bookmarkStart w:id="810" w:name="_Toc520451184"/>
      <w:bookmarkStart w:id="811" w:name="_Toc520451269"/>
      <w:bookmarkStart w:id="812" w:name="_Toc520452229"/>
      <w:bookmarkStart w:id="813" w:name="_Toc520451760"/>
      <w:bookmarkStart w:id="814" w:name="_Toc520453796"/>
      <w:bookmarkStart w:id="815" w:name="_Toc520454006"/>
      <w:bookmarkStart w:id="816" w:name="_Toc520454139"/>
      <w:bookmarkStart w:id="817" w:name="_Toc520454195"/>
      <w:bookmarkStart w:id="818" w:name="_Toc520454361"/>
      <w:bookmarkStart w:id="819" w:name="_Toc520455253"/>
      <w:bookmarkStart w:id="820" w:name="_Toc520454552"/>
      <w:bookmarkStart w:id="821" w:name="_Toc520455541"/>
      <w:bookmarkStart w:id="822" w:name="_Toc520455597"/>
      <w:bookmarkStart w:id="823" w:name="_Toc520455566"/>
      <w:bookmarkStart w:id="824" w:name="_Toc520456042"/>
      <w:bookmarkStart w:id="825" w:name="_Toc520456217"/>
      <w:bookmarkStart w:id="826" w:name="_Toc520456418"/>
      <w:bookmarkStart w:id="827" w:name="_Toc520456689"/>
      <w:bookmarkStart w:id="828" w:name="_Toc520458186"/>
      <w:bookmarkStart w:id="829" w:name="_Toc520458576"/>
      <w:bookmarkStart w:id="830" w:name="_Toc520459446"/>
      <w:bookmarkStart w:id="831" w:name="_Toc520460148"/>
      <w:bookmarkStart w:id="832" w:name="_Toc520460498"/>
      <w:bookmarkStart w:id="833" w:name="_Toc520460594"/>
      <w:bookmarkStart w:id="834" w:name="_Toc520461015"/>
      <w:bookmarkStart w:id="835" w:name="_Toc520461287"/>
      <w:bookmarkStart w:id="836" w:name="_Toc520461444"/>
      <w:bookmarkStart w:id="837" w:name="_Toc520461535"/>
      <w:bookmarkStart w:id="838" w:name="_Toc519166182"/>
      <w:bookmarkStart w:id="839" w:name="_Toc519240549"/>
      <w:bookmarkStart w:id="840" w:name="_Toc519240677"/>
      <w:bookmarkStart w:id="841" w:name="_Toc520448578"/>
      <w:bookmarkStart w:id="842" w:name="_Toc520455254"/>
      <w:bookmarkStart w:id="843" w:name="_Toc520459053"/>
      <w:bookmarkStart w:id="844" w:name="_Toc520459447"/>
      <w:bookmarkStart w:id="845" w:name="_Toc520458575"/>
      <w:bookmarkStart w:id="846" w:name="_Toc520459529"/>
      <w:bookmarkStart w:id="847" w:name="_Toc520461445"/>
      <w:bookmarkStart w:id="848" w:name="_Toc520461807"/>
      <w:bookmarkStart w:id="849" w:name="_Toc520466836"/>
      <w:bookmarkStart w:id="850" w:name="_Toc520469873"/>
      <w:bookmarkStart w:id="851" w:name="_Toc52070533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r>
        <w:t xml:space="preserve">The Authority is interested in hearing stakeholders’ views on whether the safeguard is meeting its objectives and if it is fit for purpose.  </w:t>
      </w:r>
    </w:p>
    <w:p w14:paraId="38FDD524" w14:textId="1BE7BAEA" w:rsidR="001C731F" w:rsidRDefault="00CC6672" w:rsidP="00883094">
      <w:pPr>
        <w:pStyle w:val="Heading2"/>
      </w:pPr>
      <w:bookmarkStart w:id="852" w:name="_Toc520707694"/>
      <w:bookmarkStart w:id="853" w:name="_Toc520716708"/>
      <w:bookmarkStart w:id="854" w:name="_Toc520720356"/>
      <w:bookmarkStart w:id="855" w:name="_Toc520721607"/>
      <w:bookmarkStart w:id="856" w:name="_Toc520724140"/>
      <w:bookmarkStart w:id="857" w:name="_Toc520735245"/>
      <w:bookmarkStart w:id="858" w:name="_Toc520736278"/>
      <w:bookmarkStart w:id="859" w:name="_Toc520736697"/>
      <w:r>
        <w:t>T</w:t>
      </w:r>
      <w:r w:rsidR="001C731F">
        <w:t>he safeguard emissions threshold</w:t>
      </w:r>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r w:rsidR="001C731F">
        <w:t xml:space="preserve"> </w:t>
      </w:r>
    </w:p>
    <w:p w14:paraId="7CE6A6CF" w14:textId="50D22890" w:rsidR="001C731F" w:rsidRDefault="007046F0" w:rsidP="001C731F">
      <w:r>
        <w:t xml:space="preserve">The safeguard applies to facilities </w:t>
      </w:r>
      <w:r w:rsidR="00E34A05">
        <w:t xml:space="preserve">that </w:t>
      </w:r>
      <w:r w:rsidR="001C731F">
        <w:t xml:space="preserve">have </w:t>
      </w:r>
      <w:r w:rsidR="001E1229">
        <w:t xml:space="preserve">direct (or </w:t>
      </w:r>
      <w:r w:rsidR="001C731F">
        <w:t>scope 1</w:t>
      </w:r>
      <w:r w:rsidR="001E1229">
        <w:t xml:space="preserve">) </w:t>
      </w:r>
      <w:r w:rsidR="001C731F">
        <w:t xml:space="preserve">emissions of more than 100,000 tonnes of carbon dioxide equivalent </w:t>
      </w:r>
      <w:r w:rsidR="00A30035">
        <w:t>(t CO</w:t>
      </w:r>
      <w:r w:rsidR="00A30035" w:rsidRPr="00364C9F">
        <w:rPr>
          <w:vertAlign w:val="subscript"/>
        </w:rPr>
        <w:t>2</w:t>
      </w:r>
      <w:r w:rsidR="00A30035">
        <w:t>-e)</w:t>
      </w:r>
      <w:r w:rsidR="001C731F">
        <w:t xml:space="preserve"> </w:t>
      </w:r>
      <w:r>
        <w:t xml:space="preserve">a </w:t>
      </w:r>
      <w:r w:rsidR="001C731F">
        <w:t xml:space="preserve">year. In 2016-17, the safeguard covered </w:t>
      </w:r>
      <w:r w:rsidR="001F31CC">
        <w:t>203</w:t>
      </w:r>
      <w:r w:rsidR="001F31CC" w:rsidRPr="009B15A7">
        <w:t xml:space="preserve"> </w:t>
      </w:r>
      <w:r w:rsidR="001C731F" w:rsidRPr="009B15A7">
        <w:t xml:space="preserve">facilities in the </w:t>
      </w:r>
      <w:r w:rsidR="00A52418">
        <w:t xml:space="preserve">industrial sectors of </w:t>
      </w:r>
      <w:r w:rsidR="001C731F" w:rsidRPr="009B15A7">
        <w:t>mining, oil and gas, manufacturing</w:t>
      </w:r>
      <w:r>
        <w:t xml:space="preserve">, </w:t>
      </w:r>
      <w:r w:rsidR="001C731F" w:rsidRPr="009B15A7">
        <w:t xml:space="preserve">transport </w:t>
      </w:r>
      <w:r>
        <w:t xml:space="preserve">and off-grid </w:t>
      </w:r>
      <w:r w:rsidRPr="009B15A7">
        <w:t>electricity</w:t>
      </w:r>
      <w:r>
        <w:t>. A sectoral limit</w:t>
      </w:r>
      <w:r w:rsidDel="009D3B25">
        <w:t xml:space="preserve"> </w:t>
      </w:r>
      <w:r>
        <w:t xml:space="preserve">applied to </w:t>
      </w:r>
      <w:r w:rsidR="001F31CC">
        <w:t>288 grid-connected electricity generators</w:t>
      </w:r>
      <w:r w:rsidR="001C731F" w:rsidRPr="009B15A7">
        <w:t>.</w:t>
      </w:r>
      <w:r w:rsidR="001F31CC">
        <w:rPr>
          <w:rStyle w:val="FootnoteReference"/>
        </w:rPr>
        <w:footnoteReference w:id="2"/>
      </w:r>
      <w:r w:rsidR="001C731F" w:rsidRPr="009B15A7">
        <w:t xml:space="preserve"> Together, they accounted for </w:t>
      </w:r>
      <w:r w:rsidR="001C731F" w:rsidRPr="006B231F">
        <w:t xml:space="preserve">56 per cent </w:t>
      </w:r>
      <w:r w:rsidR="001C731F" w:rsidRPr="009B15A7">
        <w:t xml:space="preserve">of Australia’s emissions. </w:t>
      </w:r>
    </w:p>
    <w:p w14:paraId="379A4025" w14:textId="672C9432" w:rsidR="001C731F" w:rsidRDefault="001C731F" w:rsidP="001C731F">
      <w:r>
        <w:t>The emissions threshold was set to cover a large proportion of Australia’s emissions while only affecting a relatively small number of Australia</w:t>
      </w:r>
      <w:r w:rsidR="00EC1F59">
        <w:t xml:space="preserve">n facilities </w:t>
      </w:r>
      <w:r>
        <w:t>(</w:t>
      </w:r>
      <w:r w:rsidR="00480738">
        <w:t>Commonwealth of Australia 2014</w:t>
      </w:r>
      <w:r>
        <w:t>). Increasing the emissions threshold above 100,000 tonnes would reduce the number of facilities covered by the safeguard</w:t>
      </w:r>
      <w:r w:rsidR="000E2EA8">
        <w:t xml:space="preserve"> and the associated </w:t>
      </w:r>
      <w:r w:rsidR="001E1229">
        <w:t xml:space="preserve">obligations </w:t>
      </w:r>
      <w:r>
        <w:t xml:space="preserve">of complying with </w:t>
      </w:r>
      <w:r w:rsidR="00A52418">
        <w:t>it</w:t>
      </w:r>
      <w:r>
        <w:t xml:space="preserve">. However, it would also mean that fewer facilities would need to keep their emissions below a baseline. On the other hand, reducing the emissions threshold (from say 100,000 tonnes to 50,000 tonnes) would mean more facilities and more of Australia’s emissions are covered by the safeguard. This would also increase the number of companies subject to safeguard compliance </w:t>
      </w:r>
      <w:r w:rsidR="000B7548">
        <w:t>obligations</w:t>
      </w:r>
      <w:r>
        <w:t xml:space="preserve">.  </w:t>
      </w:r>
    </w:p>
    <w:p w14:paraId="1B9EEB66" w14:textId="707ADE41" w:rsidR="00CD7BAB" w:rsidRPr="00BD7D93" w:rsidRDefault="001C731F" w:rsidP="00213334">
      <w:r>
        <w:lastRenderedPageBreak/>
        <w:t xml:space="preserve">The Authority would like to hear from stakeholders as to whether the current threshold </w:t>
      </w:r>
      <w:r w:rsidR="00CB3BEC">
        <w:t xml:space="preserve">is set at a level that </w:t>
      </w:r>
      <w:r>
        <w:t xml:space="preserve">makes an efficient trade-off between emissions coverage and </w:t>
      </w:r>
      <w:r w:rsidR="000B7548">
        <w:t xml:space="preserve">obligations </w:t>
      </w:r>
      <w:r w:rsidR="00A52418">
        <w:t>on</w:t>
      </w:r>
      <w:r>
        <w:t xml:space="preserve"> business</w:t>
      </w:r>
      <w:r w:rsidR="00A52418">
        <w:t>es</w:t>
      </w:r>
      <w:r>
        <w:t xml:space="preserve">. </w:t>
      </w:r>
    </w:p>
    <w:p w14:paraId="7F3E5E47" w14:textId="58607840" w:rsidR="00CB3BEC" w:rsidRPr="00CB3BEC" w:rsidRDefault="00CB3BEC" w:rsidP="00883094">
      <w:pPr>
        <w:pStyle w:val="Heading2"/>
      </w:pPr>
      <w:bookmarkStart w:id="860" w:name="_Types_of_emissions"/>
      <w:bookmarkStart w:id="861" w:name="_Toc520448579"/>
      <w:bookmarkStart w:id="862" w:name="_Toc520455255"/>
      <w:bookmarkStart w:id="863" w:name="_Toc520459054"/>
      <w:bookmarkStart w:id="864" w:name="_Toc520459448"/>
      <w:bookmarkStart w:id="865" w:name="_Toc520459530"/>
      <w:bookmarkStart w:id="866" w:name="_Toc520461446"/>
      <w:bookmarkStart w:id="867" w:name="_Toc520461808"/>
      <w:bookmarkStart w:id="868" w:name="_Toc520466837"/>
      <w:bookmarkStart w:id="869" w:name="_Toc520469874"/>
      <w:bookmarkStart w:id="870" w:name="_Toc520705331"/>
      <w:bookmarkStart w:id="871" w:name="_Toc520707695"/>
      <w:bookmarkStart w:id="872" w:name="_Toc520716709"/>
      <w:bookmarkStart w:id="873" w:name="_Toc520720357"/>
      <w:bookmarkStart w:id="874" w:name="_Toc520721608"/>
      <w:bookmarkStart w:id="875" w:name="_Toc520724141"/>
      <w:bookmarkStart w:id="876" w:name="_Toc520735246"/>
      <w:bookmarkStart w:id="877" w:name="_Toc520736279"/>
      <w:bookmarkStart w:id="878" w:name="_Toc520736698"/>
      <w:bookmarkEnd w:id="860"/>
      <w:r w:rsidRPr="00CB3BEC">
        <w:t>Types of emissions covered</w:t>
      </w:r>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r w:rsidRPr="00CB3BEC">
        <w:t xml:space="preserve"> </w:t>
      </w:r>
    </w:p>
    <w:p w14:paraId="11EA8323" w14:textId="1D2FBC54" w:rsidR="0074730B" w:rsidRPr="004412BC" w:rsidRDefault="00CB3BEC" w:rsidP="00CB3BEC">
      <w:r w:rsidRPr="004412BC" w:rsidDel="003B176C">
        <w:t xml:space="preserve">In general, </w:t>
      </w:r>
      <w:r w:rsidRPr="004412BC">
        <w:t xml:space="preserve">the emissions covered by the safeguard are the </w:t>
      </w:r>
      <w:r w:rsidR="000B7548">
        <w:t>direct</w:t>
      </w:r>
      <w:r w:rsidRPr="004412BC">
        <w:t xml:space="preserve"> </w:t>
      </w:r>
      <w:r w:rsidR="003B176C">
        <w:t xml:space="preserve">(or scope 1) </w:t>
      </w:r>
      <w:r w:rsidRPr="004412BC">
        <w:t xml:space="preserve">emissions included in the </w:t>
      </w:r>
      <w:r w:rsidR="003B176C">
        <w:t xml:space="preserve">National Greenhouse and Energy Reporting </w:t>
      </w:r>
      <w:r w:rsidR="002A558E" w:rsidRPr="002A558E">
        <w:t>measurement determination</w:t>
      </w:r>
      <w:r w:rsidR="002A558E" w:rsidRPr="004412BC">
        <w:t xml:space="preserve"> </w:t>
      </w:r>
      <w:r w:rsidRPr="004412BC">
        <w:t xml:space="preserve">(Section </w:t>
      </w:r>
      <w:r w:rsidR="000876DB">
        <w:fldChar w:fldCharType="begin"/>
      </w:r>
      <w:r w:rsidR="000876DB">
        <w:instrText xml:space="preserve"> REF _Ref520715616 \r \h </w:instrText>
      </w:r>
      <w:r w:rsidR="000876DB">
        <w:fldChar w:fldCharType="separate"/>
      </w:r>
      <w:r w:rsidR="00AD7AD8">
        <w:t>2.5</w:t>
      </w:r>
      <w:r w:rsidR="000876DB">
        <w:fldChar w:fldCharType="end"/>
      </w:r>
      <w:r w:rsidRPr="004412BC">
        <w:t xml:space="preserve">). </w:t>
      </w:r>
      <w:r w:rsidR="002A558E">
        <w:fldChar w:fldCharType="begin"/>
      </w:r>
      <w:r w:rsidR="002A558E">
        <w:instrText xml:space="preserve"> REF _Ref520469118 \r \h </w:instrText>
      </w:r>
      <w:r w:rsidR="002A558E">
        <w:fldChar w:fldCharType="separate"/>
      </w:r>
      <w:r w:rsidR="00AD7AD8">
        <w:t>Chapter 2</w:t>
      </w:r>
      <w:r w:rsidR="002A558E">
        <w:fldChar w:fldCharType="end"/>
      </w:r>
      <w:r w:rsidRPr="004412BC">
        <w:t xml:space="preserve"> asked stakeholders whether any changes should be made to the scope of the reporting scheme. </w:t>
      </w:r>
    </w:p>
    <w:p w14:paraId="1A525238" w14:textId="553E06A5" w:rsidR="00CB3BEC" w:rsidRPr="004412BC" w:rsidRDefault="00CB3BEC" w:rsidP="00CB3BEC">
      <w:r w:rsidRPr="004412BC">
        <w:t>The Authority is interested in hearing from stakeholder</w:t>
      </w:r>
      <w:r w:rsidR="00271F52">
        <w:t>s</w:t>
      </w:r>
      <w:r w:rsidR="0074730B" w:rsidRPr="004412BC">
        <w:t xml:space="preserve"> </w:t>
      </w:r>
      <w:r w:rsidRPr="004412BC">
        <w:t xml:space="preserve">if any </w:t>
      </w:r>
      <w:r w:rsidR="00271F52">
        <w:t xml:space="preserve">changes </w:t>
      </w:r>
      <w:r w:rsidRPr="004412BC">
        <w:t>should be made to the safeguard as a consequence.</w:t>
      </w:r>
    </w:p>
    <w:p w14:paraId="75C18595" w14:textId="77777777" w:rsidR="001C731F" w:rsidRDefault="001C731F" w:rsidP="00883094">
      <w:pPr>
        <w:pStyle w:val="Heading2"/>
      </w:pPr>
      <w:bookmarkStart w:id="879" w:name="_Toc519166183"/>
      <w:bookmarkStart w:id="880" w:name="_Toc519240550"/>
      <w:bookmarkStart w:id="881" w:name="_Toc519240678"/>
      <w:bookmarkStart w:id="882" w:name="_Toc520448580"/>
      <w:bookmarkStart w:id="883" w:name="_Toc520455256"/>
      <w:bookmarkStart w:id="884" w:name="_Toc520459055"/>
      <w:bookmarkStart w:id="885" w:name="_Toc520459449"/>
      <w:bookmarkStart w:id="886" w:name="_Toc520458577"/>
      <w:bookmarkStart w:id="887" w:name="_Toc520459531"/>
      <w:bookmarkStart w:id="888" w:name="_Toc520461447"/>
      <w:bookmarkStart w:id="889" w:name="_Toc520461809"/>
      <w:bookmarkStart w:id="890" w:name="_Toc520466838"/>
      <w:bookmarkStart w:id="891" w:name="_Toc520469875"/>
      <w:bookmarkStart w:id="892" w:name="_Toc520705332"/>
      <w:bookmarkStart w:id="893" w:name="_Toc520707696"/>
      <w:bookmarkStart w:id="894" w:name="_Toc520716710"/>
      <w:bookmarkStart w:id="895" w:name="_Toc520720358"/>
      <w:bookmarkStart w:id="896" w:name="_Toc520721609"/>
      <w:bookmarkStart w:id="897" w:name="_Toc520724142"/>
      <w:bookmarkStart w:id="898" w:name="_Toc520735247"/>
      <w:bookmarkStart w:id="899" w:name="_Toc520736280"/>
      <w:bookmarkStart w:id="900" w:name="_Toc520736699"/>
      <w:r>
        <w:t>Safeguard baselines</w:t>
      </w:r>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p>
    <w:p w14:paraId="1C2EA449" w14:textId="3627863A" w:rsidR="001C731F" w:rsidRDefault="001C731F" w:rsidP="001C731F">
      <w:r>
        <w:t xml:space="preserve">Emissions baselines are determined by the </w:t>
      </w:r>
      <w:r w:rsidR="00C7614C">
        <w:t xml:space="preserve">Clean Energy </w:t>
      </w:r>
      <w:r w:rsidR="006D3F81">
        <w:t>Regulator</w:t>
      </w:r>
      <w:r w:rsidR="006D3F81" w:rsidDel="006D3F81">
        <w:t xml:space="preserve"> </w:t>
      </w:r>
      <w:r>
        <w:t xml:space="preserve">based on the options in </w:t>
      </w:r>
      <w:r w:rsidR="000876DB">
        <w:fldChar w:fldCharType="begin"/>
      </w:r>
      <w:r w:rsidR="000876DB">
        <w:instrText xml:space="preserve"> REF _Ref519159351 \h </w:instrText>
      </w:r>
      <w:r w:rsidR="000876DB">
        <w:fldChar w:fldCharType="separate"/>
      </w:r>
      <w:r w:rsidR="00AD7AD8">
        <w:t xml:space="preserve">Table </w:t>
      </w:r>
      <w:r w:rsidR="00AD7AD8">
        <w:rPr>
          <w:noProof/>
        </w:rPr>
        <w:t>2</w:t>
      </w:r>
      <w:r w:rsidR="000876DB">
        <w:fldChar w:fldCharType="end"/>
      </w:r>
      <w:r>
        <w:t xml:space="preserve">. In 2016-17, </w:t>
      </w:r>
      <w:r w:rsidRPr="005112D5">
        <w:t>35</w:t>
      </w:r>
      <w:r w:rsidR="005A35C0" w:rsidRPr="005112D5">
        <w:t>7</w:t>
      </w:r>
      <w:r w:rsidR="00EE047E" w:rsidRPr="005112D5">
        <w:rPr>
          <w:rStyle w:val="FootnoteReference"/>
        </w:rPr>
        <w:footnoteReference w:id="3"/>
      </w:r>
      <w:r w:rsidRPr="005112D5">
        <w:t xml:space="preserve"> facilities had baselines (</w:t>
      </w:r>
      <w:r w:rsidR="00B65F69">
        <w:t xml:space="preserve">CER </w:t>
      </w:r>
      <w:r w:rsidR="00C13993">
        <w:t>2018p</w:t>
      </w:r>
      <w:r w:rsidRPr="005112D5">
        <w:t>).</w:t>
      </w:r>
      <w:r w:rsidRPr="005A7F6D">
        <w:t xml:space="preserve"> </w:t>
      </w:r>
    </w:p>
    <w:p w14:paraId="62183303" w14:textId="6D304FD9" w:rsidR="001C731F" w:rsidRDefault="001C731F" w:rsidP="001C731F">
      <w:r>
        <w:t>Most facilit</w:t>
      </w:r>
      <w:r w:rsidR="003B176C">
        <w:t>ies have ‘reported’</w:t>
      </w:r>
      <w:r>
        <w:t xml:space="preserve"> baselines </w:t>
      </w:r>
      <w:r w:rsidR="003B176C">
        <w:t xml:space="preserve">that </w:t>
      </w:r>
      <w:r>
        <w:t xml:space="preserve">are set at the high-point of their historical emissions </w:t>
      </w:r>
      <w:r w:rsidR="00C04673">
        <w:t>under the</w:t>
      </w:r>
      <w:r w:rsidR="003B176C">
        <w:t xml:space="preserve"> </w:t>
      </w:r>
      <w:r w:rsidR="00505E6B">
        <w:t>r</w:t>
      </w:r>
      <w:r w:rsidR="003B176C">
        <w:t>eporting</w:t>
      </w:r>
      <w:r w:rsidR="00C04673">
        <w:t xml:space="preserve"> scheme</w:t>
      </w:r>
      <w:r>
        <w:t xml:space="preserve"> for the period from 2009-10 to 2013-14 (</w:t>
      </w:r>
      <w:r w:rsidR="00AD7AD8">
        <w:fldChar w:fldCharType="begin"/>
      </w:r>
      <w:r w:rsidR="00AD7AD8">
        <w:instrText xml:space="preserve"> REF _Ref520732774 \h </w:instrText>
      </w:r>
      <w:r w:rsidR="00AD7AD8">
        <w:fldChar w:fldCharType="separate"/>
      </w:r>
      <w:r w:rsidR="00AD7AD8">
        <w:t xml:space="preserve">Figure </w:t>
      </w:r>
      <w:r w:rsidR="00AD7AD8">
        <w:rPr>
          <w:noProof/>
        </w:rPr>
        <w:t>4</w:t>
      </w:r>
      <w:r w:rsidR="00AD7AD8">
        <w:fldChar w:fldCharType="end"/>
      </w:r>
      <w:r w:rsidR="00AD7AD8">
        <w:t xml:space="preserve"> </w:t>
      </w:r>
      <w:r>
        <w:t xml:space="preserve">and </w:t>
      </w:r>
      <w:r w:rsidR="00192626">
        <w:fldChar w:fldCharType="begin"/>
      </w:r>
      <w:r w:rsidR="00192626">
        <w:instrText xml:space="preserve"> REF _Ref519159351 \h </w:instrText>
      </w:r>
      <w:r w:rsidR="00192626">
        <w:fldChar w:fldCharType="separate"/>
      </w:r>
      <w:r w:rsidR="00AD7AD8">
        <w:t xml:space="preserve">Table </w:t>
      </w:r>
      <w:r w:rsidR="00AD7AD8">
        <w:rPr>
          <w:noProof/>
        </w:rPr>
        <w:t>2</w:t>
      </w:r>
      <w:r w:rsidR="00192626">
        <w:fldChar w:fldCharType="end"/>
      </w:r>
      <w:r>
        <w:t xml:space="preserve">).  </w:t>
      </w:r>
    </w:p>
    <w:p w14:paraId="688E5E4C" w14:textId="436ABC06" w:rsidR="00CC6672" w:rsidRDefault="00D37644" w:rsidP="00CC6672">
      <w:pPr>
        <w:pStyle w:val="Caption"/>
      </w:pPr>
      <w:bookmarkStart w:id="901" w:name="_Ref520732774"/>
      <w:bookmarkStart w:id="902" w:name="_Toc520448552"/>
      <w:bookmarkStart w:id="903" w:name="_Toc520455228"/>
      <w:bookmarkStart w:id="904" w:name="_Toc520459421"/>
      <w:bookmarkStart w:id="905" w:name="_Toc520461419"/>
      <w:bookmarkStart w:id="906" w:name="_Toc520461785"/>
      <w:bookmarkStart w:id="907" w:name="_Toc520707674"/>
      <w:bookmarkStart w:id="908" w:name="_Toc520716688"/>
      <w:bookmarkStart w:id="909" w:name="_Toc520720336"/>
      <w:bookmarkStart w:id="910" w:name="_Toc520721587"/>
      <w:bookmarkStart w:id="911" w:name="_Toc520724120"/>
      <w:bookmarkStart w:id="912" w:name="_Toc520735224"/>
      <w:bookmarkStart w:id="913" w:name="_Toc520736257"/>
      <w:bookmarkStart w:id="914" w:name="_Toc520736676"/>
      <w:r>
        <w:lastRenderedPageBreak/>
        <w:t xml:space="preserve">Figure </w:t>
      </w:r>
      <w:r w:rsidR="00363A9B">
        <w:fldChar w:fldCharType="begin"/>
      </w:r>
      <w:r w:rsidR="00363A9B">
        <w:instrText xml:space="preserve"> SEQ Figure \* ARABIC </w:instrText>
      </w:r>
      <w:r w:rsidR="00363A9B">
        <w:fldChar w:fldCharType="separate"/>
      </w:r>
      <w:r w:rsidR="00AD7AD8">
        <w:rPr>
          <w:noProof/>
        </w:rPr>
        <w:t>4</w:t>
      </w:r>
      <w:r w:rsidR="00363A9B">
        <w:rPr>
          <w:noProof/>
        </w:rPr>
        <w:fldChar w:fldCharType="end"/>
      </w:r>
      <w:bookmarkEnd w:id="901"/>
      <w:r w:rsidR="00CC6672">
        <w:t>: Setting a reported baseline</w:t>
      </w:r>
      <w:bookmarkEnd w:id="902"/>
      <w:bookmarkEnd w:id="903"/>
      <w:bookmarkEnd w:id="904"/>
      <w:bookmarkEnd w:id="905"/>
      <w:bookmarkEnd w:id="906"/>
      <w:bookmarkEnd w:id="907"/>
      <w:bookmarkEnd w:id="908"/>
      <w:bookmarkEnd w:id="909"/>
      <w:bookmarkEnd w:id="910"/>
      <w:bookmarkEnd w:id="911"/>
      <w:bookmarkEnd w:id="912"/>
      <w:bookmarkEnd w:id="913"/>
      <w:bookmarkEnd w:id="914"/>
    </w:p>
    <w:p w14:paraId="5B37BDE0" w14:textId="4C46FC37" w:rsidR="002E3A6B" w:rsidRDefault="00F34C98" w:rsidP="00CE1D92">
      <w:pPr>
        <w:jc w:val="center"/>
      </w:pPr>
      <w:r>
        <w:rPr>
          <w:noProof/>
          <w:lang w:eastAsia="en-AU"/>
        </w:rPr>
        <w:drawing>
          <wp:inline distT="0" distB="0" distL="0" distR="0" wp14:anchorId="4D981BFE" wp14:editId="721E90BB">
            <wp:extent cx="4450814" cy="2866379"/>
            <wp:effectExtent l="0" t="0" r="6985" b="0"/>
            <wp:docPr id="8" name="Picture 8" descr="Figure 4 is a schematic that shows how to set a reported baseline. The reported baseline is the facility’s highest emissions between 2009-10 and 2013-14. " title="FIGURE 4: SETTING A REPORTED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4497881" cy="2896691"/>
                    </a:xfrm>
                    <a:prstGeom prst="rect">
                      <a:avLst/>
                    </a:prstGeom>
                    <a:noFill/>
                  </pic:spPr>
                </pic:pic>
              </a:graphicData>
            </a:graphic>
          </wp:inline>
        </w:drawing>
      </w:r>
    </w:p>
    <w:p w14:paraId="22AF9AF5" w14:textId="24C0DE82" w:rsidR="0034608E" w:rsidRDefault="0034608E" w:rsidP="001C731F">
      <w:r>
        <w:t xml:space="preserve">The Government also allowed for a number of other approaches for setting </w:t>
      </w:r>
      <w:r w:rsidR="002767F9">
        <w:t xml:space="preserve">baselines </w:t>
      </w:r>
      <w:r>
        <w:t xml:space="preserve">because some companies did not have historical data or because the historical data was not seen as a good indicator of the future emissions profile of particular sectors or businesses. </w:t>
      </w:r>
    </w:p>
    <w:p w14:paraId="3BC49F60" w14:textId="3FF531C5" w:rsidR="001C731F" w:rsidRDefault="001C731F" w:rsidP="001C731F">
      <w:r>
        <w:t xml:space="preserve">Some baselines rely on concepts of emissions intensity (emissions per unit of production). Some of these baselines are calculated by multiplying forecast or actual production by emissions intensity.  </w:t>
      </w:r>
    </w:p>
    <w:p w14:paraId="2823FF64" w14:textId="423ED675" w:rsidR="00BC3559" w:rsidRDefault="00BC3559" w:rsidP="001C731F">
      <w:pPr>
        <w:sectPr w:rsidR="00BC3559" w:rsidSect="00BA3FE5">
          <w:headerReference w:type="default" r:id="rId33"/>
          <w:headerReference w:type="first" r:id="rId34"/>
          <w:type w:val="continuous"/>
          <w:pgSz w:w="11906" w:h="16838"/>
          <w:pgMar w:top="1418" w:right="1276" w:bottom="851" w:left="1418" w:header="425" w:footer="425" w:gutter="0"/>
          <w:cols w:space="708"/>
          <w:titlePg/>
          <w:docGrid w:linePitch="360"/>
        </w:sectPr>
      </w:pPr>
    </w:p>
    <w:p w14:paraId="1BD98C0A" w14:textId="1B23C6FF" w:rsidR="00562C5D" w:rsidRDefault="00562C5D" w:rsidP="00562C5D">
      <w:pPr>
        <w:pStyle w:val="Caption"/>
      </w:pPr>
      <w:bookmarkStart w:id="915" w:name="_Ref519159351"/>
      <w:bookmarkStart w:id="916" w:name="_Toc519166212"/>
      <w:bookmarkStart w:id="917" w:name="_Toc519240579"/>
      <w:bookmarkStart w:id="918" w:name="_Toc519240646"/>
      <w:bookmarkStart w:id="919" w:name="_Toc520461414"/>
      <w:bookmarkStart w:id="920" w:name="_Toc520461780"/>
      <w:bookmarkStart w:id="921" w:name="_Toc520707669"/>
      <w:bookmarkStart w:id="922" w:name="_Toc520716683"/>
      <w:bookmarkStart w:id="923" w:name="_Toc520720331"/>
      <w:bookmarkStart w:id="924" w:name="_Toc520721582"/>
      <w:bookmarkStart w:id="925" w:name="_Toc520724115"/>
      <w:bookmarkStart w:id="926" w:name="_Toc520735219"/>
      <w:bookmarkStart w:id="927" w:name="_Toc520736252"/>
      <w:bookmarkStart w:id="928" w:name="_Toc520736671"/>
      <w:r>
        <w:lastRenderedPageBreak/>
        <w:t xml:space="preserve">Table </w:t>
      </w:r>
      <w:r w:rsidR="00363A9B">
        <w:fldChar w:fldCharType="begin"/>
      </w:r>
      <w:r w:rsidR="00363A9B">
        <w:instrText xml:space="preserve"> SEQ Table \* ARABIC </w:instrText>
      </w:r>
      <w:r w:rsidR="00363A9B">
        <w:fldChar w:fldCharType="separate"/>
      </w:r>
      <w:r w:rsidR="00AD7AD8">
        <w:rPr>
          <w:noProof/>
        </w:rPr>
        <w:t>2</w:t>
      </w:r>
      <w:r w:rsidR="00363A9B">
        <w:rPr>
          <w:noProof/>
        </w:rPr>
        <w:fldChar w:fldCharType="end"/>
      </w:r>
      <w:bookmarkEnd w:id="915"/>
      <w:r>
        <w:t>: Safeguard baselines</w:t>
      </w:r>
      <w:bookmarkEnd w:id="916"/>
      <w:bookmarkEnd w:id="917"/>
      <w:bookmarkEnd w:id="918"/>
      <w:bookmarkEnd w:id="919"/>
      <w:bookmarkEnd w:id="920"/>
      <w:bookmarkEnd w:id="921"/>
      <w:bookmarkEnd w:id="922"/>
      <w:bookmarkEnd w:id="923"/>
      <w:bookmarkEnd w:id="924"/>
      <w:bookmarkEnd w:id="925"/>
      <w:bookmarkEnd w:id="926"/>
      <w:bookmarkEnd w:id="927"/>
      <w:bookmarkEnd w:id="928"/>
    </w:p>
    <w:tbl>
      <w:tblPr>
        <w:tblStyle w:val="TableGrid"/>
        <w:tblW w:w="14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1"/>
        <w:gridCol w:w="3402"/>
        <w:gridCol w:w="5954"/>
        <w:gridCol w:w="1984"/>
        <w:gridCol w:w="1838"/>
      </w:tblGrid>
      <w:tr w:rsidR="001C731F" w:rsidRPr="00CE5F50" w14:paraId="06989776" w14:textId="77777777" w:rsidTr="00FF46B5">
        <w:trPr>
          <w:cnfStyle w:val="100000000000" w:firstRow="1" w:lastRow="0" w:firstColumn="0" w:lastColumn="0" w:oddVBand="0" w:evenVBand="0" w:oddHBand="0" w:evenHBand="0" w:firstRowFirstColumn="0" w:firstRowLastColumn="0" w:lastRowFirstColumn="0" w:lastRowLastColumn="0"/>
        </w:trPr>
        <w:tc>
          <w:tcPr>
            <w:tcW w:w="1701" w:type="dxa"/>
            <w:shd w:val="clear" w:color="auto" w:fill="0C9FCD"/>
            <w:tcMar>
              <w:top w:w="57" w:type="dxa"/>
            </w:tcMar>
          </w:tcPr>
          <w:p w14:paraId="4AF30013" w14:textId="1624E6D6" w:rsidR="001C731F" w:rsidRPr="00216EBF" w:rsidRDefault="002767F9" w:rsidP="00AF0C3F">
            <w:pPr>
              <w:spacing w:after="60"/>
              <w:rPr>
                <w:b/>
                <w:color w:val="FFFFFF" w:themeColor="background1"/>
                <w:sz w:val="16"/>
                <w:szCs w:val="16"/>
              </w:rPr>
            </w:pPr>
            <w:r>
              <w:rPr>
                <w:b/>
                <w:color w:val="FFFFFF" w:themeColor="background1"/>
                <w:sz w:val="16"/>
                <w:szCs w:val="16"/>
              </w:rPr>
              <w:t>Baseline type</w:t>
            </w:r>
          </w:p>
        </w:tc>
        <w:tc>
          <w:tcPr>
            <w:tcW w:w="3402" w:type="dxa"/>
            <w:shd w:val="clear" w:color="auto" w:fill="0C9FCD"/>
            <w:tcMar>
              <w:top w:w="57" w:type="dxa"/>
            </w:tcMar>
          </w:tcPr>
          <w:p w14:paraId="6756A614" w14:textId="20B86FC5" w:rsidR="001C731F" w:rsidRPr="00216EBF" w:rsidRDefault="002767F9" w:rsidP="00AF0C3F">
            <w:pPr>
              <w:spacing w:after="60"/>
              <w:rPr>
                <w:b/>
                <w:color w:val="FFFFFF" w:themeColor="background1"/>
                <w:sz w:val="16"/>
                <w:szCs w:val="16"/>
              </w:rPr>
            </w:pPr>
            <w:r>
              <w:rPr>
                <w:b/>
                <w:color w:val="FFFFFF" w:themeColor="background1"/>
                <w:sz w:val="16"/>
                <w:szCs w:val="16"/>
              </w:rPr>
              <w:t>Based on</w:t>
            </w:r>
          </w:p>
        </w:tc>
        <w:tc>
          <w:tcPr>
            <w:tcW w:w="5954" w:type="dxa"/>
            <w:shd w:val="clear" w:color="auto" w:fill="0C9FCD"/>
            <w:tcMar>
              <w:top w:w="57" w:type="dxa"/>
            </w:tcMar>
          </w:tcPr>
          <w:p w14:paraId="022E2A8E" w14:textId="5EA48BBE" w:rsidR="001C731F" w:rsidRPr="00216EBF" w:rsidRDefault="002767F9" w:rsidP="00AF0C3F">
            <w:pPr>
              <w:spacing w:after="60"/>
              <w:rPr>
                <w:b/>
                <w:color w:val="FFFFFF" w:themeColor="background1"/>
                <w:sz w:val="16"/>
                <w:szCs w:val="16"/>
              </w:rPr>
            </w:pPr>
            <w:r>
              <w:rPr>
                <w:b/>
                <w:color w:val="FFFFFF" w:themeColor="background1"/>
                <w:sz w:val="16"/>
                <w:szCs w:val="16"/>
              </w:rPr>
              <w:t>Applies to</w:t>
            </w:r>
          </w:p>
        </w:tc>
        <w:tc>
          <w:tcPr>
            <w:tcW w:w="1984" w:type="dxa"/>
            <w:shd w:val="clear" w:color="auto" w:fill="0C9FCD"/>
            <w:tcMar>
              <w:top w:w="57" w:type="dxa"/>
            </w:tcMar>
          </w:tcPr>
          <w:p w14:paraId="40234288" w14:textId="6991D42F" w:rsidR="001C731F" w:rsidRPr="00216EBF" w:rsidRDefault="002767F9" w:rsidP="00AF0C3F">
            <w:pPr>
              <w:spacing w:after="60"/>
              <w:rPr>
                <w:b/>
                <w:color w:val="FFFFFF" w:themeColor="background1"/>
                <w:sz w:val="16"/>
                <w:szCs w:val="16"/>
              </w:rPr>
            </w:pPr>
            <w:r>
              <w:rPr>
                <w:b/>
                <w:color w:val="FFFFFF" w:themeColor="background1"/>
                <w:sz w:val="16"/>
                <w:szCs w:val="16"/>
              </w:rPr>
              <w:t>Available from</w:t>
            </w:r>
          </w:p>
        </w:tc>
        <w:tc>
          <w:tcPr>
            <w:tcW w:w="1838" w:type="dxa"/>
            <w:shd w:val="clear" w:color="auto" w:fill="0C9FCD"/>
            <w:tcMar>
              <w:top w:w="57" w:type="dxa"/>
            </w:tcMar>
          </w:tcPr>
          <w:p w14:paraId="23BC370C" w14:textId="1A85F8F3" w:rsidR="001C731F" w:rsidRPr="00216EBF" w:rsidRDefault="002767F9" w:rsidP="00216EBF">
            <w:pPr>
              <w:spacing w:after="60"/>
              <w:jc w:val="right"/>
              <w:rPr>
                <w:b/>
                <w:color w:val="FFFFFF" w:themeColor="background1"/>
                <w:sz w:val="16"/>
                <w:szCs w:val="16"/>
              </w:rPr>
            </w:pPr>
            <w:r>
              <w:rPr>
                <w:b/>
                <w:color w:val="FFFFFF" w:themeColor="background1"/>
                <w:sz w:val="16"/>
                <w:szCs w:val="16"/>
              </w:rPr>
              <w:t>Number of facilities with baselines</w:t>
            </w:r>
          </w:p>
        </w:tc>
      </w:tr>
      <w:tr w:rsidR="001C731F" w:rsidRPr="00CE5F50" w14:paraId="133675EE" w14:textId="77777777" w:rsidTr="00FF46B5">
        <w:trPr>
          <w:cnfStyle w:val="000000100000" w:firstRow="0" w:lastRow="0" w:firstColumn="0" w:lastColumn="0" w:oddVBand="0" w:evenVBand="0" w:oddHBand="1" w:evenHBand="0" w:firstRowFirstColumn="0" w:firstRowLastColumn="0" w:lastRowFirstColumn="0" w:lastRowLastColumn="0"/>
        </w:trPr>
        <w:tc>
          <w:tcPr>
            <w:tcW w:w="1701" w:type="dxa"/>
            <w:tcBorders>
              <w:bottom w:val="dotted" w:sz="4" w:space="0" w:color="auto"/>
            </w:tcBorders>
            <w:tcMar>
              <w:top w:w="57" w:type="dxa"/>
            </w:tcMar>
          </w:tcPr>
          <w:p w14:paraId="26F74403" w14:textId="2FE32167" w:rsidR="001C731F" w:rsidRPr="00216EBF" w:rsidRDefault="00762BA8" w:rsidP="00AF0C3F">
            <w:pPr>
              <w:spacing w:after="60"/>
              <w:rPr>
                <w:sz w:val="16"/>
                <w:szCs w:val="16"/>
              </w:rPr>
            </w:pPr>
            <w:r w:rsidRPr="00216EBF">
              <w:rPr>
                <w:sz w:val="16"/>
                <w:szCs w:val="16"/>
              </w:rPr>
              <w:t>R</w:t>
            </w:r>
            <w:r w:rsidR="001C731F" w:rsidRPr="00216EBF">
              <w:rPr>
                <w:sz w:val="16"/>
                <w:szCs w:val="16"/>
              </w:rPr>
              <w:t>eported</w:t>
            </w:r>
          </w:p>
        </w:tc>
        <w:tc>
          <w:tcPr>
            <w:tcW w:w="3402" w:type="dxa"/>
            <w:tcBorders>
              <w:bottom w:val="dotted" w:sz="4" w:space="0" w:color="auto"/>
            </w:tcBorders>
            <w:tcMar>
              <w:top w:w="57" w:type="dxa"/>
            </w:tcMar>
          </w:tcPr>
          <w:p w14:paraId="76F8FF21" w14:textId="77777777" w:rsidR="001C731F" w:rsidRPr="00216EBF" w:rsidRDefault="001C731F" w:rsidP="00AF0C3F">
            <w:pPr>
              <w:spacing w:after="60"/>
              <w:rPr>
                <w:sz w:val="16"/>
                <w:szCs w:val="16"/>
              </w:rPr>
            </w:pPr>
            <w:r w:rsidRPr="00216EBF">
              <w:rPr>
                <w:sz w:val="16"/>
                <w:szCs w:val="16"/>
              </w:rPr>
              <w:t>High point of emissions between 2009</w:t>
            </w:r>
            <w:r w:rsidRPr="00216EBF">
              <w:rPr>
                <w:sz w:val="16"/>
                <w:szCs w:val="16"/>
              </w:rPr>
              <w:noBreakHyphen/>
              <w:t xml:space="preserve">10 and 2013-14. </w:t>
            </w:r>
          </w:p>
        </w:tc>
        <w:tc>
          <w:tcPr>
            <w:tcW w:w="5954" w:type="dxa"/>
            <w:tcBorders>
              <w:bottom w:val="dotted" w:sz="4" w:space="0" w:color="auto"/>
            </w:tcBorders>
            <w:tcMar>
              <w:top w:w="57" w:type="dxa"/>
            </w:tcMar>
          </w:tcPr>
          <w:p w14:paraId="49607F3D" w14:textId="431F18A1" w:rsidR="001C731F" w:rsidRPr="00216EBF" w:rsidRDefault="001C731F" w:rsidP="00395AA8">
            <w:pPr>
              <w:spacing w:after="60"/>
              <w:rPr>
                <w:sz w:val="16"/>
                <w:szCs w:val="16"/>
              </w:rPr>
            </w:pPr>
            <w:r w:rsidRPr="00216EBF">
              <w:rPr>
                <w:sz w:val="16"/>
                <w:szCs w:val="16"/>
              </w:rPr>
              <w:t>Existing facilities where historical emissions are</w:t>
            </w:r>
            <w:r w:rsidR="00F44C16" w:rsidRPr="00216EBF">
              <w:rPr>
                <w:sz w:val="16"/>
                <w:szCs w:val="16"/>
              </w:rPr>
              <w:t xml:space="preserve"> reported under </w:t>
            </w:r>
            <w:r w:rsidR="00C04673">
              <w:rPr>
                <w:sz w:val="16"/>
                <w:szCs w:val="16"/>
              </w:rPr>
              <w:t xml:space="preserve">the </w:t>
            </w:r>
            <w:r w:rsidR="002767F9">
              <w:rPr>
                <w:sz w:val="16"/>
                <w:szCs w:val="16"/>
              </w:rPr>
              <w:t xml:space="preserve">reporting </w:t>
            </w:r>
            <w:r w:rsidR="00C04673">
              <w:rPr>
                <w:sz w:val="16"/>
                <w:szCs w:val="16"/>
              </w:rPr>
              <w:t>scheme</w:t>
            </w:r>
            <w:r w:rsidR="00C04673" w:rsidRPr="00216EBF">
              <w:rPr>
                <w:sz w:val="16"/>
                <w:szCs w:val="16"/>
              </w:rPr>
              <w:t xml:space="preserve"> </w:t>
            </w:r>
            <w:r w:rsidR="00F44C16" w:rsidRPr="00216EBF">
              <w:rPr>
                <w:sz w:val="16"/>
                <w:szCs w:val="16"/>
              </w:rPr>
              <w:t>and are</w:t>
            </w:r>
            <w:r w:rsidRPr="00216EBF">
              <w:rPr>
                <w:sz w:val="16"/>
                <w:szCs w:val="16"/>
              </w:rPr>
              <w:t xml:space="preserve"> likely to be a reasonable indicator of future emissions. </w:t>
            </w:r>
            <w:r w:rsidR="00D94838" w:rsidRPr="00216EBF">
              <w:rPr>
                <w:sz w:val="16"/>
                <w:szCs w:val="16"/>
              </w:rPr>
              <w:t xml:space="preserve">This </w:t>
            </w:r>
            <w:r w:rsidR="00F44C16" w:rsidRPr="00216EBF">
              <w:rPr>
                <w:sz w:val="16"/>
                <w:szCs w:val="16"/>
              </w:rPr>
              <w:t xml:space="preserve">is the most common </w:t>
            </w:r>
            <w:r w:rsidR="00D94838" w:rsidRPr="00216EBF">
              <w:rPr>
                <w:sz w:val="16"/>
                <w:szCs w:val="16"/>
              </w:rPr>
              <w:t xml:space="preserve">baseline </w:t>
            </w:r>
            <w:r w:rsidR="00F44C16" w:rsidRPr="00216EBF">
              <w:rPr>
                <w:sz w:val="16"/>
                <w:szCs w:val="16"/>
              </w:rPr>
              <w:t>type.</w:t>
            </w:r>
          </w:p>
        </w:tc>
        <w:tc>
          <w:tcPr>
            <w:tcW w:w="1984" w:type="dxa"/>
            <w:tcBorders>
              <w:bottom w:val="dotted" w:sz="4" w:space="0" w:color="auto"/>
            </w:tcBorders>
            <w:tcMar>
              <w:top w:w="57" w:type="dxa"/>
            </w:tcMar>
          </w:tcPr>
          <w:p w14:paraId="15FE1085" w14:textId="5763ECAA" w:rsidR="001C731F" w:rsidRPr="00216EBF" w:rsidRDefault="001C731F" w:rsidP="00AF0C3F">
            <w:pPr>
              <w:spacing w:after="60"/>
              <w:rPr>
                <w:sz w:val="16"/>
                <w:szCs w:val="16"/>
              </w:rPr>
            </w:pPr>
            <w:r w:rsidRPr="00216EBF">
              <w:rPr>
                <w:sz w:val="16"/>
                <w:szCs w:val="16"/>
              </w:rPr>
              <w:t>1 July 2016</w:t>
            </w:r>
            <w:r w:rsidR="00263E04" w:rsidRPr="00216EBF">
              <w:rPr>
                <w:sz w:val="16"/>
                <w:szCs w:val="16"/>
              </w:rPr>
              <w:t xml:space="preserve"> </w:t>
            </w:r>
          </w:p>
        </w:tc>
        <w:tc>
          <w:tcPr>
            <w:tcW w:w="1838" w:type="dxa"/>
            <w:tcBorders>
              <w:bottom w:val="dotted" w:sz="4" w:space="0" w:color="auto"/>
            </w:tcBorders>
            <w:tcMar>
              <w:top w:w="57" w:type="dxa"/>
            </w:tcMar>
          </w:tcPr>
          <w:p w14:paraId="4ECC6B1F" w14:textId="4D6DEA21" w:rsidR="001C731F" w:rsidRPr="00216EBF" w:rsidRDefault="00F6274A" w:rsidP="00AF0C3F">
            <w:pPr>
              <w:spacing w:after="60"/>
              <w:jc w:val="right"/>
              <w:rPr>
                <w:sz w:val="16"/>
                <w:szCs w:val="16"/>
              </w:rPr>
            </w:pPr>
            <w:r w:rsidRPr="00216EBF">
              <w:rPr>
                <w:sz w:val="16"/>
                <w:szCs w:val="16"/>
              </w:rPr>
              <w:t>2</w:t>
            </w:r>
            <w:r w:rsidR="0055661B" w:rsidRPr="00216EBF">
              <w:rPr>
                <w:sz w:val="16"/>
                <w:szCs w:val="16"/>
              </w:rPr>
              <w:t>81</w:t>
            </w:r>
          </w:p>
        </w:tc>
      </w:tr>
      <w:tr w:rsidR="001C731F" w:rsidRPr="00CE5F50" w14:paraId="37E009E7" w14:textId="77777777" w:rsidTr="00FF46B5">
        <w:trPr>
          <w:cnfStyle w:val="000000010000" w:firstRow="0" w:lastRow="0" w:firstColumn="0" w:lastColumn="0" w:oddVBand="0" w:evenVBand="0" w:oddHBand="0" w:evenHBand="1" w:firstRowFirstColumn="0" w:firstRowLastColumn="0" w:lastRowFirstColumn="0" w:lastRowLastColumn="0"/>
        </w:trPr>
        <w:tc>
          <w:tcPr>
            <w:tcW w:w="1701" w:type="dxa"/>
            <w:tcBorders>
              <w:top w:val="dotted" w:sz="4" w:space="0" w:color="auto"/>
              <w:bottom w:val="dotted" w:sz="4" w:space="0" w:color="auto"/>
            </w:tcBorders>
            <w:tcMar>
              <w:top w:w="57" w:type="dxa"/>
            </w:tcMar>
          </w:tcPr>
          <w:p w14:paraId="2B56F3FE" w14:textId="1CB26153" w:rsidR="001C731F" w:rsidRPr="00216EBF" w:rsidRDefault="00762BA8" w:rsidP="00AF0C3F">
            <w:pPr>
              <w:spacing w:after="60"/>
              <w:rPr>
                <w:sz w:val="16"/>
                <w:szCs w:val="16"/>
              </w:rPr>
            </w:pPr>
            <w:r w:rsidRPr="00216EBF">
              <w:rPr>
                <w:sz w:val="16"/>
                <w:szCs w:val="16"/>
              </w:rPr>
              <w:t>C</w:t>
            </w:r>
            <w:r w:rsidR="001C731F" w:rsidRPr="00216EBF">
              <w:rPr>
                <w:sz w:val="16"/>
                <w:szCs w:val="16"/>
              </w:rPr>
              <w:t>alculated</w:t>
            </w:r>
          </w:p>
        </w:tc>
        <w:tc>
          <w:tcPr>
            <w:tcW w:w="3402" w:type="dxa"/>
            <w:tcBorders>
              <w:top w:val="dotted" w:sz="4" w:space="0" w:color="auto"/>
              <w:bottom w:val="dotted" w:sz="4" w:space="0" w:color="auto"/>
            </w:tcBorders>
            <w:tcMar>
              <w:top w:w="57" w:type="dxa"/>
            </w:tcMar>
          </w:tcPr>
          <w:p w14:paraId="41DB2A85" w14:textId="20AC4F02" w:rsidR="001C731F" w:rsidRPr="00216EBF" w:rsidRDefault="001C731F" w:rsidP="00AF0C3F">
            <w:pPr>
              <w:spacing w:after="60"/>
              <w:rPr>
                <w:sz w:val="16"/>
                <w:szCs w:val="16"/>
              </w:rPr>
            </w:pPr>
            <w:r w:rsidRPr="00216EBF">
              <w:rPr>
                <w:sz w:val="16"/>
                <w:szCs w:val="16"/>
              </w:rPr>
              <w:t xml:space="preserve">High point of </w:t>
            </w:r>
            <w:r w:rsidRPr="00216EBF">
              <w:rPr>
                <w:b/>
                <w:sz w:val="16"/>
                <w:szCs w:val="16"/>
              </w:rPr>
              <w:t>forecast</w:t>
            </w:r>
            <w:r w:rsidRPr="00216EBF">
              <w:rPr>
                <w:sz w:val="16"/>
                <w:szCs w:val="16"/>
              </w:rPr>
              <w:t xml:space="preserve"> production over next </w:t>
            </w:r>
            <w:r w:rsidR="002767F9">
              <w:rPr>
                <w:sz w:val="16"/>
                <w:szCs w:val="16"/>
              </w:rPr>
              <w:t>three</w:t>
            </w:r>
            <w:r w:rsidRPr="00216EBF">
              <w:rPr>
                <w:sz w:val="16"/>
                <w:szCs w:val="16"/>
              </w:rPr>
              <w:t xml:space="preserve"> years multiplied by </w:t>
            </w:r>
            <w:r w:rsidRPr="00216EBF">
              <w:rPr>
                <w:b/>
                <w:sz w:val="16"/>
                <w:szCs w:val="16"/>
              </w:rPr>
              <w:t>forecast</w:t>
            </w:r>
            <w:r w:rsidRPr="00216EBF">
              <w:rPr>
                <w:sz w:val="16"/>
                <w:szCs w:val="16"/>
              </w:rPr>
              <w:t xml:space="preserve"> emissions intensity (emissions per unit of production). </w:t>
            </w:r>
          </w:p>
        </w:tc>
        <w:tc>
          <w:tcPr>
            <w:tcW w:w="5954" w:type="dxa"/>
            <w:tcBorders>
              <w:top w:val="dotted" w:sz="4" w:space="0" w:color="auto"/>
              <w:bottom w:val="dotted" w:sz="4" w:space="0" w:color="auto"/>
            </w:tcBorders>
            <w:tcMar>
              <w:top w:w="57" w:type="dxa"/>
            </w:tcMar>
          </w:tcPr>
          <w:p w14:paraId="0FFB0297" w14:textId="39F1E765" w:rsidR="001C731F" w:rsidRPr="00216EBF" w:rsidRDefault="001C731F" w:rsidP="00AF0C3F">
            <w:pPr>
              <w:spacing w:after="60"/>
              <w:rPr>
                <w:sz w:val="16"/>
                <w:szCs w:val="16"/>
              </w:rPr>
            </w:pPr>
            <w:r w:rsidRPr="00216EBF">
              <w:rPr>
                <w:sz w:val="16"/>
                <w:szCs w:val="16"/>
              </w:rPr>
              <w:t>Facilities where historical emissions are viewed as a poor predictor of future emissions such as new or significantly expanded facilities, or mining or natural gas operations (where emissions intensity is affected by the particular seam of the resource being extracted</w:t>
            </w:r>
            <w:r w:rsidRPr="00216EBF" w:rsidDel="00072FB8">
              <w:rPr>
                <w:sz w:val="16"/>
                <w:szCs w:val="16"/>
              </w:rPr>
              <w:t>)</w:t>
            </w:r>
            <w:r w:rsidRPr="00216EBF">
              <w:rPr>
                <w:sz w:val="16"/>
                <w:szCs w:val="16"/>
              </w:rPr>
              <w:t>. Companies who exceeded their baseline in 2016-17 could also apply for a calculated baseline as a one off change</w:t>
            </w:r>
            <w:r w:rsidRPr="00216EBF" w:rsidDel="00123CF3">
              <w:rPr>
                <w:sz w:val="16"/>
                <w:szCs w:val="16"/>
              </w:rPr>
              <w:t>.</w:t>
            </w:r>
          </w:p>
        </w:tc>
        <w:tc>
          <w:tcPr>
            <w:tcW w:w="1984" w:type="dxa"/>
            <w:tcBorders>
              <w:top w:val="dotted" w:sz="4" w:space="0" w:color="auto"/>
              <w:bottom w:val="dotted" w:sz="4" w:space="0" w:color="auto"/>
            </w:tcBorders>
            <w:tcMar>
              <w:top w:w="57" w:type="dxa"/>
            </w:tcMar>
          </w:tcPr>
          <w:p w14:paraId="2B9F1F44" w14:textId="479FE693" w:rsidR="001C731F" w:rsidRPr="00216EBF" w:rsidRDefault="001C731F" w:rsidP="00AF0C3F">
            <w:pPr>
              <w:spacing w:after="60"/>
              <w:rPr>
                <w:sz w:val="16"/>
                <w:szCs w:val="16"/>
              </w:rPr>
            </w:pPr>
            <w:r w:rsidRPr="00216EBF">
              <w:rPr>
                <w:sz w:val="16"/>
                <w:szCs w:val="16"/>
              </w:rPr>
              <w:t>1 July 2016 for generally three years</w:t>
            </w:r>
            <w:r w:rsidR="00263E04" w:rsidRPr="00216EBF">
              <w:rPr>
                <w:sz w:val="16"/>
                <w:szCs w:val="16"/>
              </w:rPr>
              <w:t xml:space="preserve"> </w:t>
            </w:r>
          </w:p>
        </w:tc>
        <w:tc>
          <w:tcPr>
            <w:tcW w:w="1838" w:type="dxa"/>
            <w:tcBorders>
              <w:top w:val="dotted" w:sz="4" w:space="0" w:color="auto"/>
              <w:bottom w:val="dotted" w:sz="4" w:space="0" w:color="auto"/>
            </w:tcBorders>
            <w:tcMar>
              <w:top w:w="57" w:type="dxa"/>
            </w:tcMar>
          </w:tcPr>
          <w:p w14:paraId="6312E1C9" w14:textId="08C360B7" w:rsidR="00D070B3" w:rsidRPr="00216EBF" w:rsidRDefault="0055661B" w:rsidP="00AF0C3F">
            <w:pPr>
              <w:spacing w:after="60"/>
              <w:jc w:val="right"/>
              <w:rPr>
                <w:sz w:val="16"/>
                <w:szCs w:val="16"/>
              </w:rPr>
            </w:pPr>
            <w:r w:rsidRPr="00216EBF">
              <w:rPr>
                <w:sz w:val="16"/>
                <w:szCs w:val="16"/>
              </w:rPr>
              <w:t>7</w:t>
            </w:r>
            <w:r w:rsidR="005A35C0" w:rsidRPr="00216EBF">
              <w:rPr>
                <w:sz w:val="16"/>
                <w:szCs w:val="16"/>
              </w:rPr>
              <w:t>5</w:t>
            </w:r>
          </w:p>
          <w:p w14:paraId="127F4754" w14:textId="689F4B38" w:rsidR="001C731F" w:rsidRPr="00216EBF" w:rsidRDefault="001C731F" w:rsidP="00AF0C3F">
            <w:pPr>
              <w:spacing w:after="60"/>
              <w:jc w:val="right"/>
              <w:rPr>
                <w:sz w:val="16"/>
                <w:szCs w:val="16"/>
              </w:rPr>
            </w:pPr>
          </w:p>
        </w:tc>
      </w:tr>
      <w:tr w:rsidR="001C731F" w:rsidRPr="00CE5F50" w14:paraId="5D2CD67D" w14:textId="77777777" w:rsidTr="00FF46B5">
        <w:trPr>
          <w:cnfStyle w:val="000000100000" w:firstRow="0" w:lastRow="0" w:firstColumn="0" w:lastColumn="0" w:oddVBand="0" w:evenVBand="0" w:oddHBand="1" w:evenHBand="0" w:firstRowFirstColumn="0" w:firstRowLastColumn="0" w:lastRowFirstColumn="0" w:lastRowLastColumn="0"/>
        </w:trPr>
        <w:tc>
          <w:tcPr>
            <w:tcW w:w="1701" w:type="dxa"/>
            <w:tcBorders>
              <w:top w:val="dotted" w:sz="4" w:space="0" w:color="auto"/>
              <w:bottom w:val="dotted" w:sz="4" w:space="0" w:color="auto"/>
            </w:tcBorders>
            <w:tcMar>
              <w:top w:w="57" w:type="dxa"/>
            </w:tcMar>
          </w:tcPr>
          <w:p w14:paraId="28E8B916" w14:textId="4FC449E5" w:rsidR="001C731F" w:rsidRPr="00216EBF" w:rsidRDefault="00762BA8" w:rsidP="00AF0C3F">
            <w:pPr>
              <w:spacing w:after="60"/>
              <w:rPr>
                <w:sz w:val="16"/>
                <w:szCs w:val="16"/>
              </w:rPr>
            </w:pPr>
            <w:r w:rsidRPr="00216EBF">
              <w:rPr>
                <w:sz w:val="16"/>
                <w:szCs w:val="16"/>
              </w:rPr>
              <w:t>B</w:t>
            </w:r>
            <w:r w:rsidR="001C731F" w:rsidRPr="00216EBF">
              <w:rPr>
                <w:sz w:val="16"/>
                <w:szCs w:val="16"/>
              </w:rPr>
              <w:t>enchmark (best-practice baseline for new facilities)</w:t>
            </w:r>
          </w:p>
        </w:tc>
        <w:tc>
          <w:tcPr>
            <w:tcW w:w="3402" w:type="dxa"/>
            <w:tcBorders>
              <w:top w:val="dotted" w:sz="4" w:space="0" w:color="auto"/>
              <w:bottom w:val="dotted" w:sz="4" w:space="0" w:color="auto"/>
            </w:tcBorders>
            <w:tcMar>
              <w:top w:w="57" w:type="dxa"/>
            </w:tcMar>
          </w:tcPr>
          <w:p w14:paraId="0311567D" w14:textId="0D5FB335" w:rsidR="001C731F" w:rsidRPr="00216EBF" w:rsidRDefault="001C731F" w:rsidP="00AF0C3F">
            <w:pPr>
              <w:spacing w:after="60"/>
              <w:rPr>
                <w:sz w:val="16"/>
                <w:szCs w:val="16"/>
              </w:rPr>
            </w:pPr>
            <w:r w:rsidRPr="00216EBF">
              <w:rPr>
                <w:sz w:val="16"/>
                <w:szCs w:val="16"/>
              </w:rPr>
              <w:t xml:space="preserve">High point of </w:t>
            </w:r>
            <w:r w:rsidRPr="00216EBF">
              <w:rPr>
                <w:b/>
                <w:sz w:val="16"/>
                <w:szCs w:val="16"/>
              </w:rPr>
              <w:t xml:space="preserve">forecast </w:t>
            </w:r>
            <w:r w:rsidRPr="00216EBF">
              <w:rPr>
                <w:sz w:val="16"/>
                <w:szCs w:val="16"/>
              </w:rPr>
              <w:t xml:space="preserve">production over next </w:t>
            </w:r>
            <w:r w:rsidR="002767F9">
              <w:rPr>
                <w:sz w:val="16"/>
                <w:szCs w:val="16"/>
              </w:rPr>
              <w:t>three</w:t>
            </w:r>
            <w:r w:rsidRPr="00216EBF">
              <w:rPr>
                <w:sz w:val="16"/>
                <w:szCs w:val="16"/>
              </w:rPr>
              <w:t xml:space="preserve"> years multiplied by </w:t>
            </w:r>
            <w:r w:rsidRPr="00C7614C">
              <w:rPr>
                <w:b/>
                <w:sz w:val="16"/>
                <w:szCs w:val="16"/>
              </w:rPr>
              <w:t>best-practice</w:t>
            </w:r>
            <w:r w:rsidRPr="00216EBF">
              <w:rPr>
                <w:sz w:val="16"/>
                <w:szCs w:val="16"/>
              </w:rPr>
              <w:t xml:space="preserve"> emissions intensity benchmark.</w:t>
            </w:r>
          </w:p>
        </w:tc>
        <w:tc>
          <w:tcPr>
            <w:tcW w:w="5954" w:type="dxa"/>
            <w:tcBorders>
              <w:top w:val="dotted" w:sz="4" w:space="0" w:color="auto"/>
              <w:bottom w:val="dotted" w:sz="4" w:space="0" w:color="auto"/>
            </w:tcBorders>
            <w:tcMar>
              <w:top w:w="57" w:type="dxa"/>
            </w:tcMar>
          </w:tcPr>
          <w:p w14:paraId="4B2FB68D" w14:textId="68F004AD" w:rsidR="001C731F" w:rsidRPr="00216EBF" w:rsidRDefault="001C731F" w:rsidP="00AF0C3F">
            <w:pPr>
              <w:spacing w:after="60"/>
              <w:rPr>
                <w:sz w:val="16"/>
                <w:szCs w:val="16"/>
              </w:rPr>
            </w:pPr>
            <w:r w:rsidRPr="00216EBF">
              <w:rPr>
                <w:sz w:val="16"/>
                <w:szCs w:val="16"/>
              </w:rPr>
              <w:t xml:space="preserve">New or significantly expanded facilities from 2020. </w:t>
            </w:r>
            <w:r w:rsidR="005B1504" w:rsidRPr="00216EBF">
              <w:rPr>
                <w:sz w:val="16"/>
                <w:szCs w:val="16"/>
              </w:rPr>
              <w:t>Th</w:t>
            </w:r>
            <w:r w:rsidR="00654EC7" w:rsidRPr="00216EBF">
              <w:rPr>
                <w:sz w:val="16"/>
                <w:szCs w:val="16"/>
              </w:rPr>
              <w:t>e</w:t>
            </w:r>
            <w:r w:rsidR="005B1504" w:rsidRPr="00216EBF">
              <w:rPr>
                <w:sz w:val="16"/>
                <w:szCs w:val="16"/>
              </w:rPr>
              <w:t xml:space="preserve"> </w:t>
            </w:r>
            <w:r w:rsidR="00654EC7" w:rsidRPr="00216EBF">
              <w:rPr>
                <w:sz w:val="16"/>
                <w:szCs w:val="16"/>
              </w:rPr>
              <w:t>u</w:t>
            </w:r>
            <w:r w:rsidRPr="00216EBF">
              <w:rPr>
                <w:sz w:val="16"/>
                <w:szCs w:val="16"/>
              </w:rPr>
              <w:t xml:space="preserve">se of </w:t>
            </w:r>
            <w:r w:rsidR="00654EC7" w:rsidRPr="00216EBF">
              <w:rPr>
                <w:sz w:val="16"/>
                <w:szCs w:val="16"/>
              </w:rPr>
              <w:t>a</w:t>
            </w:r>
            <w:r w:rsidRPr="00216EBF">
              <w:rPr>
                <w:sz w:val="16"/>
                <w:szCs w:val="16"/>
              </w:rPr>
              <w:t xml:space="preserve"> best-practice benchmark aims to </w:t>
            </w:r>
            <w:r w:rsidR="005B1504" w:rsidRPr="00216EBF">
              <w:rPr>
                <w:sz w:val="16"/>
                <w:szCs w:val="16"/>
              </w:rPr>
              <w:t>encourage new facilities to achieve and maintain best practice</w:t>
            </w:r>
            <w:r w:rsidRPr="00216EBF">
              <w:rPr>
                <w:sz w:val="16"/>
                <w:szCs w:val="16"/>
              </w:rPr>
              <w:t>. The approach to best</w:t>
            </w:r>
            <w:r w:rsidR="00C7614C">
              <w:rPr>
                <w:sz w:val="16"/>
                <w:szCs w:val="16"/>
              </w:rPr>
              <w:t xml:space="preserve"> </w:t>
            </w:r>
            <w:r w:rsidRPr="00216EBF">
              <w:rPr>
                <w:sz w:val="16"/>
                <w:szCs w:val="16"/>
              </w:rPr>
              <w:t>practice still needs to be developed. Not currently</w:t>
            </w:r>
            <w:r w:rsidRPr="00216EBF" w:rsidDel="00762642">
              <w:rPr>
                <w:sz w:val="16"/>
                <w:szCs w:val="16"/>
              </w:rPr>
              <w:t xml:space="preserve"> </w:t>
            </w:r>
            <w:r w:rsidRPr="00216EBF">
              <w:rPr>
                <w:sz w:val="16"/>
                <w:szCs w:val="16"/>
              </w:rPr>
              <w:t>in operation.</w:t>
            </w:r>
          </w:p>
        </w:tc>
        <w:tc>
          <w:tcPr>
            <w:tcW w:w="1984" w:type="dxa"/>
            <w:tcBorders>
              <w:top w:val="dotted" w:sz="4" w:space="0" w:color="auto"/>
              <w:bottom w:val="dotted" w:sz="4" w:space="0" w:color="auto"/>
            </w:tcBorders>
            <w:tcMar>
              <w:top w:w="57" w:type="dxa"/>
            </w:tcMar>
          </w:tcPr>
          <w:p w14:paraId="007B2176" w14:textId="77B8A44D" w:rsidR="001C731F" w:rsidRPr="00216EBF" w:rsidRDefault="001C731F" w:rsidP="00AF0C3F">
            <w:pPr>
              <w:spacing w:after="60"/>
              <w:rPr>
                <w:sz w:val="16"/>
                <w:szCs w:val="16"/>
              </w:rPr>
            </w:pPr>
            <w:r w:rsidRPr="00216EBF">
              <w:rPr>
                <w:sz w:val="16"/>
                <w:szCs w:val="16"/>
              </w:rPr>
              <w:t xml:space="preserve">1 July 2020 for generally </w:t>
            </w:r>
            <w:r w:rsidR="00A630AA" w:rsidRPr="00216EBF">
              <w:rPr>
                <w:sz w:val="16"/>
                <w:szCs w:val="16"/>
              </w:rPr>
              <w:t>three</w:t>
            </w:r>
            <w:r w:rsidRPr="00216EBF">
              <w:rPr>
                <w:sz w:val="16"/>
                <w:szCs w:val="16"/>
              </w:rPr>
              <w:t xml:space="preserve"> years</w:t>
            </w:r>
            <w:r w:rsidR="00263E04" w:rsidRPr="00216EBF">
              <w:rPr>
                <w:sz w:val="16"/>
                <w:szCs w:val="16"/>
              </w:rPr>
              <w:t xml:space="preserve"> </w:t>
            </w:r>
          </w:p>
        </w:tc>
        <w:tc>
          <w:tcPr>
            <w:tcW w:w="1838" w:type="dxa"/>
            <w:tcBorders>
              <w:top w:val="dotted" w:sz="4" w:space="0" w:color="auto"/>
              <w:bottom w:val="dotted" w:sz="4" w:space="0" w:color="auto"/>
            </w:tcBorders>
            <w:tcMar>
              <w:top w:w="57" w:type="dxa"/>
            </w:tcMar>
          </w:tcPr>
          <w:p w14:paraId="0EBF5502" w14:textId="7AB31F60" w:rsidR="001C731F" w:rsidRPr="00216EBF" w:rsidRDefault="001C731F" w:rsidP="00AD518C">
            <w:pPr>
              <w:spacing w:after="60"/>
              <w:jc w:val="right"/>
              <w:rPr>
                <w:sz w:val="16"/>
                <w:szCs w:val="16"/>
              </w:rPr>
            </w:pPr>
            <w:r w:rsidRPr="00216EBF">
              <w:rPr>
                <w:sz w:val="16"/>
                <w:szCs w:val="16"/>
              </w:rPr>
              <w:t>N</w:t>
            </w:r>
            <w:r w:rsidR="00AD518C" w:rsidRPr="00216EBF">
              <w:rPr>
                <w:sz w:val="16"/>
                <w:szCs w:val="16"/>
              </w:rPr>
              <w:t xml:space="preserve">ot yet available </w:t>
            </w:r>
          </w:p>
        </w:tc>
      </w:tr>
      <w:tr w:rsidR="001C731F" w:rsidRPr="00CE5F50" w14:paraId="498073D4" w14:textId="77777777" w:rsidTr="00FF46B5">
        <w:trPr>
          <w:cnfStyle w:val="000000010000" w:firstRow="0" w:lastRow="0" w:firstColumn="0" w:lastColumn="0" w:oddVBand="0" w:evenVBand="0" w:oddHBand="0" w:evenHBand="1" w:firstRowFirstColumn="0" w:firstRowLastColumn="0" w:lastRowFirstColumn="0" w:lastRowLastColumn="0"/>
        </w:trPr>
        <w:tc>
          <w:tcPr>
            <w:tcW w:w="1701" w:type="dxa"/>
            <w:tcBorders>
              <w:top w:val="dotted" w:sz="4" w:space="0" w:color="auto"/>
              <w:bottom w:val="dotted" w:sz="4" w:space="0" w:color="auto"/>
            </w:tcBorders>
            <w:tcMar>
              <w:top w:w="57" w:type="dxa"/>
            </w:tcMar>
          </w:tcPr>
          <w:p w14:paraId="1C2D578F" w14:textId="02ECE313" w:rsidR="001C731F" w:rsidRPr="00216EBF" w:rsidRDefault="00762BA8" w:rsidP="00AF0C3F">
            <w:pPr>
              <w:spacing w:after="60"/>
              <w:rPr>
                <w:sz w:val="16"/>
                <w:szCs w:val="16"/>
              </w:rPr>
            </w:pPr>
            <w:r w:rsidRPr="00216EBF">
              <w:rPr>
                <w:sz w:val="16"/>
                <w:szCs w:val="16"/>
              </w:rPr>
              <w:t>P</w:t>
            </w:r>
            <w:r w:rsidR="001C731F" w:rsidRPr="00216EBF">
              <w:rPr>
                <w:sz w:val="16"/>
                <w:szCs w:val="16"/>
              </w:rPr>
              <w:t>roduction-adjusted</w:t>
            </w:r>
          </w:p>
        </w:tc>
        <w:tc>
          <w:tcPr>
            <w:tcW w:w="3402" w:type="dxa"/>
            <w:tcBorders>
              <w:top w:val="dotted" w:sz="4" w:space="0" w:color="auto"/>
              <w:bottom w:val="dotted" w:sz="4" w:space="0" w:color="auto"/>
            </w:tcBorders>
            <w:tcMar>
              <w:top w:w="57" w:type="dxa"/>
            </w:tcMar>
          </w:tcPr>
          <w:p w14:paraId="1284D887" w14:textId="2B6AA390" w:rsidR="001C731F" w:rsidRPr="00216EBF" w:rsidRDefault="001C731F" w:rsidP="00AF0C3F">
            <w:pPr>
              <w:spacing w:after="60"/>
              <w:rPr>
                <w:sz w:val="16"/>
                <w:szCs w:val="16"/>
              </w:rPr>
            </w:pPr>
            <w:r w:rsidRPr="00216EBF">
              <w:rPr>
                <w:sz w:val="16"/>
                <w:szCs w:val="16"/>
              </w:rPr>
              <w:t xml:space="preserve">High point of </w:t>
            </w:r>
            <w:r w:rsidRPr="00216EBF">
              <w:rPr>
                <w:b/>
                <w:sz w:val="16"/>
                <w:szCs w:val="16"/>
              </w:rPr>
              <w:t>actual</w:t>
            </w:r>
            <w:r w:rsidRPr="00216EBF">
              <w:rPr>
                <w:sz w:val="16"/>
                <w:szCs w:val="16"/>
              </w:rPr>
              <w:t xml:space="preserve"> production in previous </w:t>
            </w:r>
            <w:r w:rsidR="002767F9">
              <w:rPr>
                <w:sz w:val="16"/>
                <w:szCs w:val="16"/>
              </w:rPr>
              <w:t>three</w:t>
            </w:r>
            <w:r w:rsidRPr="00216EBF">
              <w:rPr>
                <w:sz w:val="16"/>
                <w:szCs w:val="16"/>
              </w:rPr>
              <w:t xml:space="preserve"> years multiplied by emissions intensity in previous baseline (either benchmark or previously forecast</w:t>
            </w:r>
            <w:r w:rsidR="00D60016" w:rsidRPr="00216EBF">
              <w:rPr>
                <w:sz w:val="16"/>
                <w:szCs w:val="16"/>
              </w:rPr>
              <w:t xml:space="preserve"> emissions intensity</w:t>
            </w:r>
            <w:r w:rsidRPr="00216EBF">
              <w:rPr>
                <w:sz w:val="16"/>
                <w:szCs w:val="16"/>
              </w:rPr>
              <w:t>).</w:t>
            </w:r>
          </w:p>
        </w:tc>
        <w:tc>
          <w:tcPr>
            <w:tcW w:w="5954" w:type="dxa"/>
            <w:tcBorders>
              <w:top w:val="dotted" w:sz="4" w:space="0" w:color="auto"/>
              <w:bottom w:val="dotted" w:sz="4" w:space="0" w:color="auto"/>
            </w:tcBorders>
            <w:tcMar>
              <w:top w:w="57" w:type="dxa"/>
            </w:tcMar>
          </w:tcPr>
          <w:p w14:paraId="0D7362C7" w14:textId="00E85B9F" w:rsidR="001C731F" w:rsidRPr="00216EBF" w:rsidRDefault="001C731F" w:rsidP="00AF0C3F">
            <w:pPr>
              <w:spacing w:after="60"/>
              <w:rPr>
                <w:sz w:val="16"/>
                <w:szCs w:val="16"/>
              </w:rPr>
            </w:pPr>
            <w:r w:rsidRPr="00216EBF">
              <w:rPr>
                <w:sz w:val="16"/>
                <w:szCs w:val="16"/>
              </w:rPr>
              <w:t xml:space="preserve">Facilities who had a calculated or benchmark emissions baseline will move to production-adjusted baselines after </w:t>
            </w:r>
            <w:r w:rsidR="002767F9">
              <w:rPr>
                <w:sz w:val="16"/>
                <w:szCs w:val="16"/>
              </w:rPr>
              <w:t>three</w:t>
            </w:r>
            <w:r w:rsidRPr="00216EBF">
              <w:rPr>
                <w:sz w:val="16"/>
                <w:szCs w:val="16"/>
              </w:rPr>
              <w:t xml:space="preserve"> or </w:t>
            </w:r>
            <w:r w:rsidR="002767F9">
              <w:rPr>
                <w:sz w:val="16"/>
                <w:szCs w:val="16"/>
              </w:rPr>
              <w:t>five</w:t>
            </w:r>
            <w:r w:rsidRPr="00216EBF">
              <w:rPr>
                <w:sz w:val="16"/>
                <w:szCs w:val="16"/>
              </w:rPr>
              <w:t xml:space="preserve"> years (for large facilities) to align benchmarks with historical rather than forecast production.</w:t>
            </w:r>
          </w:p>
          <w:p w14:paraId="1EA11475" w14:textId="45FC9118" w:rsidR="001C731F" w:rsidRPr="00216EBF" w:rsidRDefault="001C731F" w:rsidP="00AF0C3F">
            <w:pPr>
              <w:spacing w:after="60"/>
              <w:rPr>
                <w:sz w:val="16"/>
                <w:szCs w:val="16"/>
              </w:rPr>
            </w:pPr>
            <w:r w:rsidRPr="00216EBF">
              <w:rPr>
                <w:sz w:val="16"/>
                <w:szCs w:val="16"/>
              </w:rPr>
              <w:t>The original emissions intensity will be retained</w:t>
            </w:r>
            <w:r w:rsidR="00AA0178" w:rsidRPr="00216EBF">
              <w:rPr>
                <w:sz w:val="16"/>
                <w:szCs w:val="16"/>
              </w:rPr>
              <w:t>,</w:t>
            </w:r>
            <w:r w:rsidRPr="00216EBF">
              <w:rPr>
                <w:sz w:val="16"/>
                <w:szCs w:val="16"/>
              </w:rPr>
              <w:t xml:space="preserve"> </w:t>
            </w:r>
            <w:r w:rsidR="007E0CB7" w:rsidRPr="00216EBF">
              <w:rPr>
                <w:sz w:val="16"/>
                <w:szCs w:val="16"/>
              </w:rPr>
              <w:t>which removes</w:t>
            </w:r>
            <w:r w:rsidRPr="00216EBF">
              <w:rPr>
                <w:sz w:val="16"/>
                <w:szCs w:val="16"/>
              </w:rPr>
              <w:t xml:space="preserve"> the incentive for facilities to increase their emissions intensity in order to increase their baseline. </w:t>
            </w:r>
          </w:p>
        </w:tc>
        <w:tc>
          <w:tcPr>
            <w:tcW w:w="1984" w:type="dxa"/>
            <w:tcBorders>
              <w:top w:val="dotted" w:sz="4" w:space="0" w:color="auto"/>
              <w:bottom w:val="dotted" w:sz="4" w:space="0" w:color="auto"/>
            </w:tcBorders>
            <w:tcMar>
              <w:top w:w="57" w:type="dxa"/>
            </w:tcMar>
          </w:tcPr>
          <w:p w14:paraId="249A8DC5" w14:textId="7D39C1E6" w:rsidR="001C731F" w:rsidRPr="00216EBF" w:rsidRDefault="001C731F" w:rsidP="00AF0C3F">
            <w:pPr>
              <w:spacing w:after="60"/>
              <w:rPr>
                <w:sz w:val="16"/>
                <w:szCs w:val="16"/>
              </w:rPr>
            </w:pPr>
            <w:r w:rsidRPr="00216EBF">
              <w:rPr>
                <w:sz w:val="16"/>
                <w:szCs w:val="16"/>
              </w:rPr>
              <w:t xml:space="preserve">1 July 2019 </w:t>
            </w:r>
          </w:p>
        </w:tc>
        <w:tc>
          <w:tcPr>
            <w:tcW w:w="1838" w:type="dxa"/>
            <w:tcBorders>
              <w:top w:val="dotted" w:sz="4" w:space="0" w:color="auto"/>
              <w:bottom w:val="dotted" w:sz="4" w:space="0" w:color="auto"/>
            </w:tcBorders>
            <w:tcMar>
              <w:top w:w="57" w:type="dxa"/>
            </w:tcMar>
          </w:tcPr>
          <w:p w14:paraId="583D7A0F" w14:textId="44C79358" w:rsidR="001C731F" w:rsidRPr="00216EBF" w:rsidRDefault="001C731F" w:rsidP="00AD518C">
            <w:pPr>
              <w:spacing w:after="60"/>
              <w:jc w:val="right"/>
              <w:rPr>
                <w:sz w:val="16"/>
                <w:szCs w:val="16"/>
              </w:rPr>
            </w:pPr>
            <w:r w:rsidRPr="00216EBF">
              <w:rPr>
                <w:sz w:val="16"/>
                <w:szCs w:val="16"/>
              </w:rPr>
              <w:t>N</w:t>
            </w:r>
            <w:r w:rsidR="00AD518C" w:rsidRPr="00216EBF">
              <w:rPr>
                <w:sz w:val="16"/>
                <w:szCs w:val="16"/>
              </w:rPr>
              <w:t>ot yet available</w:t>
            </w:r>
          </w:p>
        </w:tc>
      </w:tr>
      <w:tr w:rsidR="001C731F" w:rsidRPr="00CE5F50" w14:paraId="11C8E7BC" w14:textId="77777777" w:rsidTr="00FF46B5">
        <w:trPr>
          <w:cnfStyle w:val="000000100000" w:firstRow="0" w:lastRow="0" w:firstColumn="0" w:lastColumn="0" w:oddVBand="0" w:evenVBand="0" w:oddHBand="1" w:evenHBand="0" w:firstRowFirstColumn="0" w:firstRowLastColumn="0" w:lastRowFirstColumn="0" w:lastRowLastColumn="0"/>
        </w:trPr>
        <w:tc>
          <w:tcPr>
            <w:tcW w:w="1701" w:type="dxa"/>
            <w:tcBorders>
              <w:top w:val="dotted" w:sz="4" w:space="0" w:color="auto"/>
              <w:bottom w:val="dotted" w:sz="4" w:space="0" w:color="auto"/>
            </w:tcBorders>
            <w:tcMar>
              <w:top w:w="57" w:type="dxa"/>
            </w:tcMar>
          </w:tcPr>
          <w:p w14:paraId="5FE878CF" w14:textId="1B586EF3" w:rsidR="001C731F" w:rsidRPr="00216EBF" w:rsidRDefault="00A630AA" w:rsidP="00AF0C3F">
            <w:pPr>
              <w:spacing w:after="60"/>
              <w:rPr>
                <w:sz w:val="16"/>
                <w:szCs w:val="16"/>
              </w:rPr>
            </w:pPr>
            <w:r w:rsidRPr="00216EBF">
              <w:rPr>
                <w:sz w:val="16"/>
                <w:szCs w:val="16"/>
              </w:rPr>
              <w:t>D</w:t>
            </w:r>
            <w:r w:rsidR="001C731F" w:rsidRPr="00216EBF" w:rsidDel="00215AC7">
              <w:rPr>
                <w:sz w:val="16"/>
                <w:szCs w:val="16"/>
              </w:rPr>
              <w:t>efault</w:t>
            </w:r>
          </w:p>
        </w:tc>
        <w:tc>
          <w:tcPr>
            <w:tcW w:w="3402" w:type="dxa"/>
            <w:tcBorders>
              <w:top w:val="dotted" w:sz="4" w:space="0" w:color="auto"/>
              <w:bottom w:val="dotted" w:sz="4" w:space="0" w:color="auto"/>
            </w:tcBorders>
            <w:tcMar>
              <w:top w:w="57" w:type="dxa"/>
            </w:tcMar>
          </w:tcPr>
          <w:p w14:paraId="746F9382" w14:textId="77777777" w:rsidR="001C731F" w:rsidRPr="00216EBF" w:rsidRDefault="001C731F" w:rsidP="00AF0C3F">
            <w:pPr>
              <w:spacing w:after="60"/>
              <w:rPr>
                <w:sz w:val="16"/>
                <w:szCs w:val="16"/>
              </w:rPr>
            </w:pPr>
            <w:r w:rsidRPr="00216EBF">
              <w:rPr>
                <w:sz w:val="16"/>
                <w:szCs w:val="16"/>
              </w:rPr>
              <w:t>Baseline is the same as the threshold (i.e. facilities can emit up to 100,000 tonnes before being required to reduce emissions).</w:t>
            </w:r>
          </w:p>
        </w:tc>
        <w:tc>
          <w:tcPr>
            <w:tcW w:w="5954" w:type="dxa"/>
            <w:tcBorders>
              <w:top w:val="dotted" w:sz="4" w:space="0" w:color="auto"/>
              <w:bottom w:val="dotted" w:sz="4" w:space="0" w:color="auto"/>
            </w:tcBorders>
            <w:tcMar>
              <w:top w:w="57" w:type="dxa"/>
            </w:tcMar>
          </w:tcPr>
          <w:p w14:paraId="777ADB28" w14:textId="77777777" w:rsidR="001C731F" w:rsidRPr="00216EBF" w:rsidRDefault="001C731F" w:rsidP="00AF0C3F">
            <w:pPr>
              <w:spacing w:after="60"/>
              <w:rPr>
                <w:sz w:val="16"/>
                <w:szCs w:val="16"/>
              </w:rPr>
            </w:pPr>
            <w:r w:rsidRPr="00216EBF">
              <w:rPr>
                <w:sz w:val="16"/>
                <w:szCs w:val="16"/>
              </w:rPr>
              <w:t xml:space="preserve">Facilities who have no other baseline. </w:t>
            </w:r>
          </w:p>
        </w:tc>
        <w:tc>
          <w:tcPr>
            <w:tcW w:w="1984" w:type="dxa"/>
            <w:tcBorders>
              <w:top w:val="dotted" w:sz="4" w:space="0" w:color="auto"/>
              <w:bottom w:val="dotted" w:sz="4" w:space="0" w:color="auto"/>
            </w:tcBorders>
            <w:tcMar>
              <w:top w:w="57" w:type="dxa"/>
            </w:tcMar>
          </w:tcPr>
          <w:p w14:paraId="3F369454" w14:textId="3882338B" w:rsidR="001C731F" w:rsidRPr="00216EBF" w:rsidRDefault="001C731F" w:rsidP="00AF0C3F">
            <w:pPr>
              <w:spacing w:after="60"/>
              <w:rPr>
                <w:sz w:val="16"/>
                <w:szCs w:val="16"/>
              </w:rPr>
            </w:pPr>
            <w:r w:rsidRPr="00216EBF" w:rsidDel="00215AC7">
              <w:rPr>
                <w:sz w:val="16"/>
                <w:szCs w:val="16"/>
              </w:rPr>
              <w:t xml:space="preserve">1 July 2016 </w:t>
            </w:r>
          </w:p>
        </w:tc>
        <w:tc>
          <w:tcPr>
            <w:tcW w:w="1838" w:type="dxa"/>
            <w:tcBorders>
              <w:top w:val="dotted" w:sz="4" w:space="0" w:color="auto"/>
              <w:bottom w:val="dotted" w:sz="4" w:space="0" w:color="auto"/>
            </w:tcBorders>
            <w:tcMar>
              <w:top w:w="57" w:type="dxa"/>
            </w:tcMar>
          </w:tcPr>
          <w:p w14:paraId="4D28F063" w14:textId="77777777" w:rsidR="001C731F" w:rsidRPr="00216EBF" w:rsidRDefault="0055661B" w:rsidP="00AF0C3F">
            <w:pPr>
              <w:spacing w:after="60"/>
              <w:jc w:val="right"/>
              <w:rPr>
                <w:sz w:val="16"/>
                <w:szCs w:val="16"/>
              </w:rPr>
            </w:pPr>
            <w:r w:rsidRPr="00216EBF">
              <w:rPr>
                <w:sz w:val="16"/>
                <w:szCs w:val="16"/>
              </w:rPr>
              <w:t>1</w:t>
            </w:r>
          </w:p>
          <w:p w14:paraId="2BE52BAA" w14:textId="376C7F58" w:rsidR="008D322D" w:rsidRPr="00216EBF" w:rsidRDefault="008D322D" w:rsidP="00AF0C3F">
            <w:pPr>
              <w:spacing w:after="60"/>
              <w:jc w:val="right"/>
              <w:rPr>
                <w:sz w:val="16"/>
                <w:szCs w:val="16"/>
              </w:rPr>
            </w:pPr>
          </w:p>
        </w:tc>
      </w:tr>
    </w:tbl>
    <w:p w14:paraId="04E25680" w14:textId="0668BF85" w:rsidR="005D1FFD" w:rsidRPr="00192626" w:rsidRDefault="005D1FFD" w:rsidP="00AF0C3F">
      <w:pPr>
        <w:spacing w:before="240" w:after="0" w:line="240" w:lineRule="auto"/>
        <w:rPr>
          <w:sz w:val="18"/>
        </w:rPr>
        <w:sectPr w:rsidR="005D1FFD" w:rsidRPr="00192626" w:rsidSect="00C12D80">
          <w:pgSz w:w="16838" w:h="11906" w:orient="landscape"/>
          <w:pgMar w:top="1135" w:right="1418" w:bottom="1134" w:left="567" w:header="425" w:footer="425" w:gutter="0"/>
          <w:cols w:space="708"/>
          <w:titlePg/>
          <w:docGrid w:linePitch="360"/>
        </w:sectPr>
      </w:pPr>
      <w:r w:rsidRPr="00C7614C">
        <w:rPr>
          <w:rStyle w:val="FootnoteTextChar"/>
          <w:b/>
        </w:rPr>
        <w:t>Source:</w:t>
      </w:r>
      <w:r w:rsidR="00151DA2" w:rsidRPr="00216EBF">
        <w:rPr>
          <w:rStyle w:val="FootnoteTextChar"/>
        </w:rPr>
        <w:t xml:space="preserve"> CER 2018d</w:t>
      </w:r>
      <w:r w:rsidR="00151DA2">
        <w:rPr>
          <w:sz w:val="18"/>
        </w:rPr>
        <w:t xml:space="preserve">; </w:t>
      </w:r>
      <w:r w:rsidR="00151DA2" w:rsidRPr="00216EBF">
        <w:rPr>
          <w:rStyle w:val="FootnoteTextChar"/>
        </w:rPr>
        <w:t xml:space="preserve">CER </w:t>
      </w:r>
      <w:r w:rsidR="00C13993" w:rsidRPr="00216EBF">
        <w:rPr>
          <w:rStyle w:val="FootnoteTextChar"/>
        </w:rPr>
        <w:t>2018</w:t>
      </w:r>
      <w:r w:rsidR="00C13993">
        <w:rPr>
          <w:rStyle w:val="FootnoteTextChar"/>
        </w:rPr>
        <w:t>p</w:t>
      </w:r>
      <w:r w:rsidR="00C7614C">
        <w:rPr>
          <w:rStyle w:val="FootnoteTextChar"/>
        </w:rPr>
        <w:t>.</w:t>
      </w:r>
    </w:p>
    <w:p w14:paraId="35BE51BA" w14:textId="376FDB05" w:rsidR="001759E0" w:rsidRPr="001759E0" w:rsidRDefault="001759E0" w:rsidP="00883094">
      <w:pPr>
        <w:pStyle w:val="Heading3"/>
      </w:pPr>
      <w:r w:rsidRPr="001759E0">
        <w:lastRenderedPageBreak/>
        <w:t>Varying a baseline</w:t>
      </w:r>
    </w:p>
    <w:p w14:paraId="1FECFCF0" w14:textId="7BE7D2C2" w:rsidR="000B7548" w:rsidRDefault="001759E0" w:rsidP="001759E0">
      <w:r w:rsidRPr="00364C9F">
        <w:t xml:space="preserve">As discussed in </w:t>
      </w:r>
      <w:r w:rsidR="0021720E">
        <w:fldChar w:fldCharType="begin"/>
      </w:r>
      <w:r w:rsidR="0021720E">
        <w:instrText xml:space="preserve"> REF _Ref520715830 \r \h </w:instrText>
      </w:r>
      <w:r w:rsidR="0021720E">
        <w:fldChar w:fldCharType="separate"/>
      </w:r>
      <w:r w:rsidR="00AD7AD8">
        <w:t>Chapter 2</w:t>
      </w:r>
      <w:r w:rsidR="0021720E">
        <w:fldChar w:fldCharType="end"/>
      </w:r>
      <w:r w:rsidRPr="00364C9F">
        <w:t xml:space="preserve">, the </w:t>
      </w:r>
      <w:r w:rsidR="000B7548">
        <w:t xml:space="preserve">National Greenhouse and Energy Reporting </w:t>
      </w:r>
      <w:r w:rsidRPr="00364C9F">
        <w:t>measurement determination is updated annually to reflect improvements</w:t>
      </w:r>
      <w:r w:rsidR="002767F9">
        <w:t xml:space="preserve"> in</w:t>
      </w:r>
      <w:r w:rsidRPr="00364C9F">
        <w:t xml:space="preserve"> methods</w:t>
      </w:r>
      <w:r w:rsidR="000B7548">
        <w:t xml:space="preserve"> for </w:t>
      </w:r>
      <w:r w:rsidR="002767F9">
        <w:t xml:space="preserve">measuring </w:t>
      </w:r>
      <w:r w:rsidR="000B7548">
        <w:t>emissions</w:t>
      </w:r>
      <w:r w:rsidRPr="00364C9F">
        <w:t>. These updates could affect a facility’s reported emissions and therefore their obligations under the safeguard. Safeguard reporters can seek a baseline variation if global warming potentials</w:t>
      </w:r>
      <w:r w:rsidR="00393F75">
        <w:rPr>
          <w:rStyle w:val="FootnoteReference"/>
        </w:rPr>
        <w:footnoteReference w:id="4"/>
      </w:r>
      <w:r w:rsidRPr="00364C9F">
        <w:t xml:space="preserve"> are updated (</w:t>
      </w:r>
      <w:r w:rsidR="00E32994">
        <w:t>CER</w:t>
      </w:r>
      <w:r w:rsidR="0021720E">
        <w:t> </w:t>
      </w:r>
      <w:r w:rsidR="00C13993">
        <w:t>2018p</w:t>
      </w:r>
      <w:r w:rsidRPr="00364C9F">
        <w:t xml:space="preserve">). </w:t>
      </w:r>
    </w:p>
    <w:p w14:paraId="026D3705" w14:textId="071A5F87" w:rsidR="001759E0" w:rsidRDefault="001759E0" w:rsidP="001759E0">
      <w:r w:rsidRPr="00364C9F">
        <w:t xml:space="preserve">The Authority is interested in stakeholders’ views as to whether this provision should be extended to other changes in emissions </w:t>
      </w:r>
      <w:r w:rsidR="00C7614C">
        <w:t>measurement</w:t>
      </w:r>
      <w:r w:rsidRPr="00364C9F">
        <w:t xml:space="preserve"> methods.</w:t>
      </w:r>
      <w:r>
        <w:t xml:space="preserve"> </w:t>
      </w:r>
    </w:p>
    <w:p w14:paraId="4534014E" w14:textId="103AD335" w:rsidR="001C731F" w:rsidRDefault="001C731F" w:rsidP="00883094">
      <w:pPr>
        <w:pStyle w:val="Heading3"/>
      </w:pPr>
      <w:bookmarkStart w:id="929" w:name="_Ref520715320"/>
      <w:r>
        <w:t xml:space="preserve">Grid-connected electricity </w:t>
      </w:r>
      <w:r w:rsidR="00C7614C">
        <w:t>generator</w:t>
      </w:r>
      <w:r>
        <w:t>s</w:t>
      </w:r>
      <w:r w:rsidR="00C7614C">
        <w:t>’</w:t>
      </w:r>
      <w:r>
        <w:t xml:space="preserve"> sectoral baseline</w:t>
      </w:r>
      <w:bookmarkEnd w:id="929"/>
    </w:p>
    <w:p w14:paraId="7722DA49" w14:textId="4FBDA40A" w:rsidR="001C731F" w:rsidRDefault="001C731F" w:rsidP="001C731F">
      <w:r>
        <w:t xml:space="preserve">In addition to the baseline options outlined in </w:t>
      </w:r>
      <w:r w:rsidR="00290309">
        <w:fldChar w:fldCharType="begin"/>
      </w:r>
      <w:r w:rsidR="00290309">
        <w:instrText xml:space="preserve"> REF _Ref519159351 \h </w:instrText>
      </w:r>
      <w:r w:rsidR="00290309">
        <w:fldChar w:fldCharType="separate"/>
      </w:r>
      <w:r w:rsidR="00AD7AD8">
        <w:t xml:space="preserve">Table </w:t>
      </w:r>
      <w:r w:rsidR="00AD7AD8">
        <w:rPr>
          <w:noProof/>
        </w:rPr>
        <w:t>2</w:t>
      </w:r>
      <w:r w:rsidR="00290309">
        <w:fldChar w:fldCharType="end"/>
      </w:r>
      <w:r>
        <w:t>, there is a separate baseline arrangement for the grid-connected electricity generation sector</w:t>
      </w:r>
      <w:r w:rsidR="002767F9">
        <w:t xml:space="preserve">. Their baseline is </w:t>
      </w:r>
      <w:r>
        <w:t>set at the sector</w:t>
      </w:r>
      <w:r w:rsidR="003011E8">
        <w:t>’s</w:t>
      </w:r>
      <w:r>
        <w:t xml:space="preserve"> emissions </w:t>
      </w:r>
      <w:r w:rsidR="00C47ADF">
        <w:t>in</w:t>
      </w:r>
      <w:r>
        <w:t xml:space="preserve"> 2009-10</w:t>
      </w:r>
      <w:r w:rsidR="00987DC7">
        <w:t>, which was the high point of Australia’s electricity emissions</w:t>
      </w:r>
      <w:r>
        <w:t>. These electricity generators have a sectoral baseline because at the time the safeguard was being designed, the Government took the view the sector behaves more like a single entity, where electricity output is centrally coordinated to meet demand in real time</w:t>
      </w:r>
      <w:r w:rsidR="006A436D">
        <w:t xml:space="preserve"> (</w:t>
      </w:r>
      <w:r w:rsidR="00322E36" w:rsidRPr="00364C9F">
        <w:t>DoEE</w:t>
      </w:r>
      <w:r w:rsidR="0021720E">
        <w:t> </w:t>
      </w:r>
      <w:r w:rsidR="00322E36" w:rsidRPr="00364C9F">
        <w:t>2015</w:t>
      </w:r>
      <w:r w:rsidR="006A436D">
        <w:t>)</w:t>
      </w:r>
      <w:r>
        <w:t>. This means if one power station temporarily reduced production, then other generators would increase output to make</w:t>
      </w:r>
      <w:r w:rsidR="003011E8">
        <w:t xml:space="preserve"> </w:t>
      </w:r>
      <w:r>
        <w:t>up for the shortfall.</w:t>
      </w:r>
    </w:p>
    <w:p w14:paraId="692C2329" w14:textId="22ABAFC0" w:rsidR="001C731F" w:rsidRDefault="001C731F" w:rsidP="00A70984">
      <w:r>
        <w:t xml:space="preserve">If the sectoral baseline is reached, then individual generators will be subject to individual baselines set on the basis of the high point of a generator’s emissions between 2009-10 and 2013-14. </w:t>
      </w:r>
    </w:p>
    <w:p w14:paraId="5D4DC458" w14:textId="57036164" w:rsidR="001C731F" w:rsidRDefault="001C731F" w:rsidP="001C731F">
      <w:r>
        <w:t xml:space="preserve">The electricity generation sector will be subject to </w:t>
      </w:r>
      <w:r w:rsidR="004412BC">
        <w:t>an</w:t>
      </w:r>
      <w:r>
        <w:t xml:space="preserve"> emissions requirement under the </w:t>
      </w:r>
      <w:r w:rsidR="004412BC">
        <w:t xml:space="preserve">proposed </w:t>
      </w:r>
      <w:r>
        <w:t>National Energy Guarantee (</w:t>
      </w:r>
      <w:r w:rsidR="00AF0C3F">
        <w:t>S</w:t>
      </w:r>
      <w:r>
        <w:t>ection</w:t>
      </w:r>
      <w:r w:rsidR="0021720E">
        <w:t> </w:t>
      </w:r>
      <w:r w:rsidR="00FA1465">
        <w:fldChar w:fldCharType="begin"/>
      </w:r>
      <w:r w:rsidR="00FA1465">
        <w:instrText xml:space="preserve"> REF _Ref520714679 \r \h </w:instrText>
      </w:r>
      <w:r w:rsidR="0051569E">
        <w:instrText xml:space="preserve"> \* MERGEFORMAT </w:instrText>
      </w:r>
      <w:r w:rsidR="00FA1465">
        <w:fldChar w:fldCharType="separate"/>
      </w:r>
      <w:r w:rsidR="00AD7AD8">
        <w:t>3.6.3</w:t>
      </w:r>
      <w:r w:rsidR="00FA1465">
        <w:fldChar w:fldCharType="end"/>
      </w:r>
      <w:r>
        <w:t xml:space="preserve">). </w:t>
      </w:r>
    </w:p>
    <w:p w14:paraId="36BA20EB" w14:textId="3779F813" w:rsidR="001C731F" w:rsidRDefault="00AA6BD4" w:rsidP="00883094">
      <w:pPr>
        <w:pStyle w:val="Heading3"/>
      </w:pPr>
      <w:r>
        <w:t>B</w:t>
      </w:r>
      <w:r w:rsidR="00A932BD">
        <w:t>aselines for</w:t>
      </w:r>
      <w:r w:rsidR="001C731F">
        <w:t xml:space="preserve"> national transport facilities</w:t>
      </w:r>
    </w:p>
    <w:p w14:paraId="589137C9" w14:textId="380130DC" w:rsidR="00AF53F4" w:rsidRDefault="00AF53F4" w:rsidP="00AF53F4">
      <w:r w:rsidRPr="0099062D">
        <w:rPr>
          <w:iCs/>
        </w:rPr>
        <w:t xml:space="preserve">The reporting framework allocates emissions to transport facilities based on the state within which the fuel </w:t>
      </w:r>
      <w:r w:rsidR="002767F9">
        <w:rPr>
          <w:iCs/>
        </w:rPr>
        <w:t xml:space="preserve">used </w:t>
      </w:r>
      <w:r w:rsidRPr="0099062D">
        <w:rPr>
          <w:iCs/>
        </w:rPr>
        <w:t xml:space="preserve">is purchased. </w:t>
      </w:r>
      <w:r w:rsidR="001C731F" w:rsidRPr="00AF53F4">
        <w:t>Facilities</w:t>
      </w:r>
      <w:r w:rsidR="001C731F">
        <w:t xml:space="preserve"> that operate a similar type of transport in different states or territories can nominate to report their emissions as a single national transport facility to give greater flexibility for managing emissions. </w:t>
      </w:r>
    </w:p>
    <w:p w14:paraId="1D8D9AF5" w14:textId="1EE91F9B" w:rsidR="001C731F" w:rsidRDefault="001C731F" w:rsidP="00AF53F4">
      <w:r>
        <w:lastRenderedPageBreak/>
        <w:t xml:space="preserve">The baseline for the national transport facility is determined by aggregating together the baselines of the state-based facilities. If emissions increase at some of the state-based facilities, so long as there is a corresponding decrease in the other states, the national facility </w:t>
      </w:r>
      <w:r w:rsidR="002767F9">
        <w:t>may</w:t>
      </w:r>
      <w:r>
        <w:t xml:space="preserve"> not exceed its baseline. As a result, a single national baseline allows for smoothing of emissions across a company’s operations. Once facilities choose to report on a national basis, this decision cannot be reversed. Virgin Australia, Qantas Airways, Toll </w:t>
      </w:r>
      <w:r w:rsidR="000A7C63">
        <w:t>Group</w:t>
      </w:r>
      <w:r>
        <w:t xml:space="preserve"> and Pacific National have chosen to report their emissions as single national transport facilities </w:t>
      </w:r>
      <w:r w:rsidR="00B65F69">
        <w:t>(CER</w:t>
      </w:r>
      <w:r w:rsidR="0021720E">
        <w:t> </w:t>
      </w:r>
      <w:r w:rsidR="00C13993">
        <w:t>2018p</w:t>
      </w:r>
      <w:r w:rsidR="00B65F69">
        <w:t>)</w:t>
      </w:r>
      <w:r>
        <w:t>.</w:t>
      </w:r>
      <w:r w:rsidR="00B01846">
        <w:t xml:space="preserve"> </w:t>
      </w:r>
    </w:p>
    <w:p w14:paraId="6EF789C5" w14:textId="5E2B3825" w:rsidR="00AF53F4" w:rsidRPr="0099062D" w:rsidRDefault="00AF53F4" w:rsidP="00AF53F4">
      <w:r w:rsidRPr="0067692C">
        <w:t xml:space="preserve">Given the nature of transport facilities that operate across states, </w:t>
      </w:r>
      <w:r w:rsidRPr="0099062D">
        <w:t>if transport facilities were unable to report at the national level, they would potentially make refuelling decisions to keep below their state-based safeguard limits and this could lead to perverse outcomes such as increased refuelling and transport costs.</w:t>
      </w:r>
    </w:p>
    <w:p w14:paraId="5C7E7CB3" w14:textId="07C98364" w:rsidR="001C731F" w:rsidRDefault="001C731F" w:rsidP="001C731F">
      <w:r>
        <w:t>The Authority is interested in hearing from stakeholders about how the single reporting rule for transport is working.</w:t>
      </w:r>
    </w:p>
    <w:p w14:paraId="7A198B79" w14:textId="77777777" w:rsidR="00A932BD" w:rsidRPr="00CC05B1" w:rsidRDefault="00A932BD" w:rsidP="00883094">
      <w:pPr>
        <w:pStyle w:val="Heading2"/>
      </w:pPr>
      <w:bookmarkStart w:id="930" w:name="_Toc520707294"/>
      <w:bookmarkStart w:id="931" w:name="_Toc520708433"/>
      <w:bookmarkStart w:id="932" w:name="_Toc520710685"/>
      <w:bookmarkStart w:id="933" w:name="_Toc520711676"/>
      <w:bookmarkStart w:id="934" w:name="_Toc520712555"/>
      <w:bookmarkStart w:id="935" w:name="_Toc520712758"/>
      <w:bookmarkStart w:id="936" w:name="_Toc520713146"/>
      <w:bookmarkStart w:id="937" w:name="_Toc520713231"/>
      <w:bookmarkStart w:id="938" w:name="_Toc520714035"/>
      <w:bookmarkStart w:id="939" w:name="_Toc520714088"/>
      <w:bookmarkStart w:id="940" w:name="_Toc520714135"/>
      <w:bookmarkStart w:id="941" w:name="_Toc520711066"/>
      <w:bookmarkStart w:id="942" w:name="_Toc520713329"/>
      <w:bookmarkStart w:id="943" w:name="_Toc520714739"/>
      <w:bookmarkStart w:id="944" w:name="_Toc520714829"/>
      <w:bookmarkStart w:id="945" w:name="_Toc520715042"/>
      <w:bookmarkStart w:id="946" w:name="_Toc520715222"/>
      <w:bookmarkStart w:id="947" w:name="_Toc520715313"/>
      <w:bookmarkStart w:id="948" w:name="_Toc520716455"/>
      <w:bookmarkStart w:id="949" w:name="_Toc520716562"/>
      <w:bookmarkStart w:id="950" w:name="_Toc520716711"/>
      <w:bookmarkStart w:id="951" w:name="_Toc520717002"/>
      <w:bookmarkStart w:id="952" w:name="_Toc520719491"/>
      <w:bookmarkStart w:id="953" w:name="_Toc520715133"/>
      <w:bookmarkStart w:id="954" w:name="_Toc520448581"/>
      <w:bookmarkStart w:id="955" w:name="_Toc520455257"/>
      <w:bookmarkStart w:id="956" w:name="_Toc520459450"/>
      <w:bookmarkStart w:id="957" w:name="_Toc520461448"/>
      <w:bookmarkStart w:id="958" w:name="_Toc520466839"/>
      <w:bookmarkStart w:id="959" w:name="_Toc520469876"/>
      <w:bookmarkStart w:id="960" w:name="_Toc520705333"/>
      <w:bookmarkStart w:id="961" w:name="_Toc520707697"/>
      <w:bookmarkStart w:id="962" w:name="_Toc519166184"/>
      <w:bookmarkStart w:id="963" w:name="_Toc519240551"/>
      <w:bookmarkStart w:id="964" w:name="_Toc519240679"/>
      <w:bookmarkStart w:id="965" w:name="_Toc520459056"/>
      <w:bookmarkStart w:id="966" w:name="_Toc520458578"/>
      <w:bookmarkStart w:id="967" w:name="_Toc520459532"/>
      <w:bookmarkStart w:id="968" w:name="_Toc520461810"/>
      <w:bookmarkStart w:id="969" w:name="_Toc520716712"/>
      <w:bookmarkStart w:id="970" w:name="_Toc520720359"/>
      <w:bookmarkStart w:id="971" w:name="_Toc520721610"/>
      <w:bookmarkStart w:id="972" w:name="_Toc520724143"/>
      <w:bookmarkStart w:id="973" w:name="_Toc520735248"/>
      <w:bookmarkStart w:id="974" w:name="_Toc520736281"/>
      <w:bookmarkStart w:id="975" w:name="_Toc520736700"/>
      <w:bookmarkStart w:id="976" w:name="_Toc519166185"/>
      <w:bookmarkStart w:id="977" w:name="_Toc519240552"/>
      <w:bookmarkStart w:id="978" w:name="_Toc519240680"/>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r w:rsidRPr="00CC05B1">
        <w:t>R</w:t>
      </w:r>
      <w:bookmarkEnd w:id="953"/>
      <w:r w:rsidRPr="00CC05B1">
        <w:t>eporting under the safeguard</w:t>
      </w:r>
      <w:bookmarkEnd w:id="954"/>
      <w:bookmarkEnd w:id="955"/>
      <w:bookmarkEnd w:id="956"/>
      <w:bookmarkEnd w:id="957"/>
      <w:bookmarkEnd w:id="958"/>
      <w:bookmarkEnd w:id="959"/>
      <w:bookmarkEnd w:id="960"/>
      <w:bookmarkEnd w:id="961"/>
      <w:r w:rsidRPr="00CC05B1">
        <w:t xml:space="preserve"> </w:t>
      </w:r>
      <w:bookmarkEnd w:id="962"/>
      <w:bookmarkEnd w:id="963"/>
      <w:bookmarkEnd w:id="964"/>
      <w:bookmarkEnd w:id="965"/>
      <w:bookmarkEnd w:id="966"/>
      <w:bookmarkEnd w:id="967"/>
      <w:bookmarkEnd w:id="968"/>
      <w:r w:rsidR="00CB269D">
        <w:t>mechanism</w:t>
      </w:r>
      <w:bookmarkEnd w:id="969"/>
      <w:bookmarkEnd w:id="970"/>
      <w:bookmarkEnd w:id="971"/>
      <w:bookmarkEnd w:id="972"/>
      <w:bookmarkEnd w:id="973"/>
      <w:bookmarkEnd w:id="974"/>
      <w:bookmarkEnd w:id="975"/>
    </w:p>
    <w:p w14:paraId="360AF6A3" w14:textId="4E751995" w:rsidR="00A932BD" w:rsidRDefault="00A932BD" w:rsidP="00A932BD">
      <w:r w:rsidRPr="00CC05B1">
        <w:t xml:space="preserve">All facilities currently covered by the safeguard already report under the </w:t>
      </w:r>
      <w:r w:rsidR="007239AE">
        <w:t>reporting</w:t>
      </w:r>
      <w:r w:rsidR="007239AE" w:rsidRPr="00CC05B1" w:rsidDel="007239AE">
        <w:t xml:space="preserve"> </w:t>
      </w:r>
      <w:r w:rsidRPr="00CC05B1">
        <w:t>scheme so no additional reporting for the safeguard is required. The safeguard does</w:t>
      </w:r>
      <w:r w:rsidR="002767F9">
        <w:t>,</w:t>
      </w:r>
      <w:r w:rsidRPr="00CC05B1">
        <w:t xml:space="preserve"> however</w:t>
      </w:r>
      <w:r w:rsidR="002767F9">
        <w:t>,</w:t>
      </w:r>
      <w:r w:rsidRPr="00CC05B1">
        <w:t xml:space="preserve"> cover broader types of organisations </w:t>
      </w:r>
      <w:r w:rsidR="00A80053" w:rsidRPr="00CC05B1">
        <w:t>(if they meet the safeguard threshold)</w:t>
      </w:r>
      <w:r w:rsidR="00A80053">
        <w:t xml:space="preserve"> </w:t>
      </w:r>
      <w:r w:rsidRPr="00CC05B1">
        <w:t xml:space="preserve">than those with obligations </w:t>
      </w:r>
      <w:r w:rsidR="00A80053">
        <w:t xml:space="preserve">under </w:t>
      </w:r>
      <w:r w:rsidR="00C04673">
        <w:t>the reporting scheme</w:t>
      </w:r>
      <w:r w:rsidRPr="00CC05B1">
        <w:t xml:space="preserve">. For example, many local councils that </w:t>
      </w:r>
      <w:r>
        <w:t>operate</w:t>
      </w:r>
      <w:r w:rsidRPr="00CC05B1">
        <w:t xml:space="preserve"> landfills do not have reporting obligations (as they do</w:t>
      </w:r>
      <w:r>
        <w:t xml:space="preserve"> not</w:t>
      </w:r>
      <w:r w:rsidRPr="00CC05B1">
        <w:t xml:space="preserve"> meet the definition of a controlling corporation) but may have safeguard obligations in the future if the</w:t>
      </w:r>
      <w:r>
        <w:t>ir emissions exceed 100,000</w:t>
      </w:r>
      <w:r w:rsidR="0021720E">
        <w:t> </w:t>
      </w:r>
      <w:r>
        <w:t>t</w:t>
      </w:r>
      <w:r w:rsidR="0021720E">
        <w:t> </w:t>
      </w:r>
      <w:r>
        <w:t>CO</w:t>
      </w:r>
      <w:r w:rsidRPr="00F5482D">
        <w:rPr>
          <w:vertAlign w:val="subscript"/>
        </w:rPr>
        <w:t>2</w:t>
      </w:r>
      <w:r>
        <w:t>-e a year</w:t>
      </w:r>
      <w:r w:rsidRPr="00CC05B1">
        <w:t xml:space="preserve">. </w:t>
      </w:r>
    </w:p>
    <w:p w14:paraId="45915596" w14:textId="69C8D192" w:rsidR="00A932BD" w:rsidRDefault="00A932BD" w:rsidP="00857F03">
      <w:r w:rsidRPr="00CC05B1">
        <w:t>The safeguard reporting year runs from 1 July until 30 June of the next year and reports are d</w:t>
      </w:r>
      <w:r w:rsidR="00857F03">
        <w:t>ue by 31</w:t>
      </w:r>
      <w:r w:rsidR="00536D79">
        <w:t> </w:t>
      </w:r>
      <w:r w:rsidR="00857F03">
        <w:t xml:space="preserve">October in that year. </w:t>
      </w:r>
    </w:p>
    <w:p w14:paraId="7B82B4BE" w14:textId="08C6123D" w:rsidR="001C731F" w:rsidRDefault="001C731F" w:rsidP="00883094">
      <w:pPr>
        <w:pStyle w:val="Heading2"/>
      </w:pPr>
      <w:bookmarkStart w:id="979" w:name="_Toc520448582"/>
      <w:bookmarkStart w:id="980" w:name="_Toc520455258"/>
      <w:bookmarkStart w:id="981" w:name="_Toc520459057"/>
      <w:bookmarkStart w:id="982" w:name="_Toc520459451"/>
      <w:bookmarkStart w:id="983" w:name="_Toc520458579"/>
      <w:bookmarkStart w:id="984" w:name="_Toc520459533"/>
      <w:bookmarkStart w:id="985" w:name="_Toc520461449"/>
      <w:bookmarkStart w:id="986" w:name="_Toc520461811"/>
      <w:bookmarkStart w:id="987" w:name="_Toc520466840"/>
      <w:bookmarkStart w:id="988" w:name="_Toc520469877"/>
      <w:bookmarkStart w:id="989" w:name="_Toc520705334"/>
      <w:bookmarkStart w:id="990" w:name="_Toc520707698"/>
      <w:bookmarkStart w:id="991" w:name="_Toc520716713"/>
      <w:bookmarkStart w:id="992" w:name="_Toc520720360"/>
      <w:bookmarkStart w:id="993" w:name="_Toc520721611"/>
      <w:bookmarkStart w:id="994" w:name="_Toc520724144"/>
      <w:bookmarkStart w:id="995" w:name="_Toc520735249"/>
      <w:bookmarkStart w:id="996" w:name="_Toc520736282"/>
      <w:bookmarkStart w:id="997" w:name="_Toc520736701"/>
      <w:r>
        <w:t xml:space="preserve">Managing emissions: </w:t>
      </w:r>
      <w:r w:rsidR="006213CA">
        <w:t>a</w:t>
      </w:r>
      <w:r>
        <w:t>lternative compliance options</w:t>
      </w:r>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p>
    <w:p w14:paraId="605CD56E" w14:textId="17486CF6" w:rsidR="001C731F" w:rsidRDefault="006050CE" w:rsidP="001C731F">
      <w:r>
        <w:t>A</w:t>
      </w:r>
      <w:r w:rsidR="001C731F">
        <w:t xml:space="preserve"> facility </w:t>
      </w:r>
      <w:r w:rsidR="000B7548">
        <w:t xml:space="preserve">operator </w:t>
      </w:r>
      <w:r w:rsidR="001C731F">
        <w:t xml:space="preserve">has until 1 March after the end of the previous financial year to bring </w:t>
      </w:r>
      <w:r w:rsidR="00C602DA">
        <w:t>its</w:t>
      </w:r>
      <w:r w:rsidR="001C731F">
        <w:t xml:space="preserve"> </w:t>
      </w:r>
      <w:r w:rsidR="00B7151D">
        <w:t xml:space="preserve">net </w:t>
      </w:r>
      <w:r w:rsidR="001C731F">
        <w:t xml:space="preserve">emissions to a level at or below </w:t>
      </w:r>
      <w:r w:rsidR="00C602DA">
        <w:t xml:space="preserve">its </w:t>
      </w:r>
      <w:r w:rsidR="001C731F">
        <w:t xml:space="preserve">baseline. </w:t>
      </w:r>
      <w:r w:rsidR="000B7548">
        <w:t xml:space="preserve">Facility operators </w:t>
      </w:r>
      <w:r w:rsidR="001C731F">
        <w:t>have a number of options for managing their emissions to comply with the safeguard. These are outlined below.</w:t>
      </w:r>
    </w:p>
    <w:p w14:paraId="6474D944" w14:textId="77777777" w:rsidR="001C731F" w:rsidRDefault="001C731F" w:rsidP="00883094">
      <w:pPr>
        <w:pStyle w:val="Heading3"/>
      </w:pPr>
      <w:bookmarkStart w:id="998" w:name="_Ref520735050"/>
      <w:r>
        <w:t>Emissions intensity baseline variation</w:t>
      </w:r>
      <w:bookmarkEnd w:id="998"/>
    </w:p>
    <w:p w14:paraId="71BFECA7" w14:textId="53ABF0A1" w:rsidR="001C731F" w:rsidRDefault="001C731F" w:rsidP="001C731F">
      <w:r>
        <w:t xml:space="preserve">A facility </w:t>
      </w:r>
      <w:r w:rsidR="000B7548">
        <w:t xml:space="preserve">operator </w:t>
      </w:r>
      <w:r>
        <w:t xml:space="preserve">can apply to have </w:t>
      </w:r>
      <w:r w:rsidR="006050CE">
        <w:t>its</w:t>
      </w:r>
      <w:r w:rsidR="000B7548">
        <w:t xml:space="preserve"> </w:t>
      </w:r>
      <w:r>
        <w:t xml:space="preserve">baseline temporarily increased </w:t>
      </w:r>
      <w:r w:rsidR="00F87A51">
        <w:t>in any</w:t>
      </w:r>
      <w:r>
        <w:t xml:space="preserve"> year </w:t>
      </w:r>
      <w:r w:rsidR="00F87A51">
        <w:t xml:space="preserve">where </w:t>
      </w:r>
      <w:r w:rsidR="006050CE">
        <w:t>its</w:t>
      </w:r>
      <w:r w:rsidR="001F31CC">
        <w:t xml:space="preserve"> baseline</w:t>
      </w:r>
      <w:r>
        <w:t xml:space="preserve"> </w:t>
      </w:r>
      <w:r w:rsidR="006050CE">
        <w:t xml:space="preserve">is exceeded </w:t>
      </w:r>
      <w:r w:rsidR="00F87A51">
        <w:t xml:space="preserve">and </w:t>
      </w:r>
      <w:r>
        <w:t xml:space="preserve">at the same time </w:t>
      </w:r>
      <w:r w:rsidR="006050CE">
        <w:t>the facility</w:t>
      </w:r>
      <w:r>
        <w:t xml:space="preserve"> </w:t>
      </w:r>
      <w:r w:rsidR="00F87A51">
        <w:t>improve</w:t>
      </w:r>
      <w:r w:rsidR="006050CE">
        <w:t>s</w:t>
      </w:r>
      <w:r w:rsidR="00F87A51">
        <w:t xml:space="preserve"> </w:t>
      </w:r>
      <w:r w:rsidR="006050CE">
        <w:t>its</w:t>
      </w:r>
      <w:r>
        <w:t xml:space="preserve"> emissions intensity. This is intended to create an incentive for facilities to continually lower their emissions intensity</w:t>
      </w:r>
      <w:r w:rsidR="00C21C8F">
        <w:t xml:space="preserve"> (CER</w:t>
      </w:r>
      <w:r w:rsidR="00B65F69">
        <w:t xml:space="preserve"> 2018c</w:t>
      </w:r>
      <w:r w:rsidR="00C21C8F">
        <w:t>)</w:t>
      </w:r>
      <w:r>
        <w:t>. In</w:t>
      </w:r>
      <w:r w:rsidDel="002767F9">
        <w:t xml:space="preserve"> </w:t>
      </w:r>
      <w:r>
        <w:t>2016-17, two facilities applied for and were granted an emissions intensity baseline variation (CER</w:t>
      </w:r>
      <w:r w:rsidR="00667460">
        <w:t xml:space="preserve"> 2018a</w:t>
      </w:r>
      <w:r>
        <w:t xml:space="preserve">). </w:t>
      </w:r>
    </w:p>
    <w:p w14:paraId="6AE6B289" w14:textId="77777777" w:rsidR="001C731F" w:rsidRDefault="001C731F" w:rsidP="00883094">
      <w:pPr>
        <w:pStyle w:val="Heading3"/>
      </w:pPr>
      <w:r>
        <w:lastRenderedPageBreak/>
        <w:t>Multi-year monitoring period</w:t>
      </w:r>
    </w:p>
    <w:p w14:paraId="2F5C12F4" w14:textId="79AD8FC1" w:rsidR="001C731F" w:rsidRDefault="001C731F" w:rsidP="001C731F">
      <w:r>
        <w:t>To accommodate year to year variability in emissions, facilit</w:t>
      </w:r>
      <w:r w:rsidR="000B7548">
        <w:t>y operators</w:t>
      </w:r>
      <w:r>
        <w:t xml:space="preserve"> can apply for a multi-year monitoring period. Under multi-year monitoring, a facility may exceed its baseline in one year, as long as average annual </w:t>
      </w:r>
      <w:r w:rsidR="003464F7">
        <w:t xml:space="preserve">net </w:t>
      </w:r>
      <w:r>
        <w:t>emissions over the multi-year period are below the baseline (CER</w:t>
      </w:r>
      <w:r w:rsidR="00F95804">
        <w:t xml:space="preserve"> </w:t>
      </w:r>
      <w:r w:rsidR="00C13993">
        <w:t>2018i</w:t>
      </w:r>
      <w:r>
        <w:t xml:space="preserve">). This has the effect of smoothing </w:t>
      </w:r>
      <w:r w:rsidR="00871EDE">
        <w:t xml:space="preserve">net </w:t>
      </w:r>
      <w:r>
        <w:t>emissions over the monitoring period, adding flexibility.</w:t>
      </w:r>
    </w:p>
    <w:p w14:paraId="7A4FE4BE" w14:textId="1270E11E" w:rsidR="001C731F" w:rsidRDefault="001C731F" w:rsidP="001C731F">
      <w:r>
        <w:t>The maximum multi-year monitoring period is three years. However, there is no limit to further multi-year periods being granted after the first expires</w:t>
      </w:r>
      <w:r w:rsidR="00E76CAB">
        <w:t>.</w:t>
      </w:r>
      <w:r w:rsidR="00C91243">
        <w:rPr>
          <w:rStyle w:val="FootnoteReference"/>
        </w:rPr>
        <w:footnoteReference w:id="5"/>
      </w:r>
      <w:r>
        <w:t xml:space="preserve"> In</w:t>
      </w:r>
      <w:r w:rsidDel="002767F9">
        <w:t xml:space="preserve"> </w:t>
      </w:r>
      <w:r>
        <w:t>2016-17, six facilities were granted a multi-year monitoring period</w:t>
      </w:r>
      <w:r w:rsidR="00203B99">
        <w:t xml:space="preserve"> (CER</w:t>
      </w:r>
      <w:r w:rsidR="00B65F69">
        <w:t xml:space="preserve"> 2018a</w:t>
      </w:r>
      <w:r w:rsidR="00203B99">
        <w:t>)</w:t>
      </w:r>
      <w:r>
        <w:t>.</w:t>
      </w:r>
    </w:p>
    <w:p w14:paraId="66073F83" w14:textId="77777777" w:rsidR="001C731F" w:rsidRDefault="001C731F" w:rsidP="00883094">
      <w:pPr>
        <w:pStyle w:val="Heading3"/>
      </w:pPr>
      <w:r>
        <w:t>Exceptional circumstance exemption</w:t>
      </w:r>
    </w:p>
    <w:p w14:paraId="3F1C7369" w14:textId="0C8D227B" w:rsidR="001C731F" w:rsidRDefault="001C731F" w:rsidP="001C731F">
      <w:r>
        <w:t xml:space="preserve">An exemption to safeguard obligations may be granted in exceptional circumstances where excess emissions are a direct result of a natural disaster or criminal activity, for example </w:t>
      </w:r>
      <w:r w:rsidR="00EE0B07">
        <w:t>bushfire</w:t>
      </w:r>
      <w:r>
        <w:t xml:space="preserve"> or fraud</w:t>
      </w:r>
      <w:r w:rsidR="005250DF">
        <w:t xml:space="preserve"> (CER</w:t>
      </w:r>
      <w:r w:rsidR="00B65F69">
        <w:t xml:space="preserve"> </w:t>
      </w:r>
      <w:r w:rsidR="00C13993">
        <w:t>2018h</w:t>
      </w:r>
      <w:r w:rsidR="005250DF">
        <w:t>)</w:t>
      </w:r>
      <w:r>
        <w:t xml:space="preserve">. </w:t>
      </w:r>
    </w:p>
    <w:p w14:paraId="41844F6C" w14:textId="01605F75" w:rsidR="001C731F" w:rsidRDefault="001C731F" w:rsidP="001C731F">
      <w:r>
        <w:t xml:space="preserve">The </w:t>
      </w:r>
      <w:r w:rsidR="006D3F81">
        <w:t>Regulator</w:t>
      </w:r>
      <w:r w:rsidR="006D3F81" w:rsidDel="006D3F81">
        <w:t xml:space="preserve"> </w:t>
      </w:r>
      <w:r>
        <w:t xml:space="preserve">has stated </w:t>
      </w:r>
      <w:r w:rsidR="00C602DA">
        <w:t>it</w:t>
      </w:r>
      <w:r>
        <w:t xml:space="preserve"> will consider whether reasonable steps were taken to mitigate the risk of excess emissions arising from the exceptional circumstances, both before and after its occurrence. To date, no facilit</w:t>
      </w:r>
      <w:r w:rsidR="000B7548">
        <w:t>y operators</w:t>
      </w:r>
      <w:r>
        <w:t xml:space="preserve"> have applied for an exemption declaration. </w:t>
      </w:r>
    </w:p>
    <w:p w14:paraId="0BE7B8A1" w14:textId="77777777" w:rsidR="001C731F" w:rsidRDefault="001C731F" w:rsidP="00883094">
      <w:pPr>
        <w:pStyle w:val="Heading3"/>
      </w:pPr>
      <w:r>
        <w:t>Purchasing Australian Carbon Credit Units to reduce net emissions</w:t>
      </w:r>
    </w:p>
    <w:p w14:paraId="53A2BC86" w14:textId="0B4339E1" w:rsidR="001C731F" w:rsidRDefault="001C731F" w:rsidP="001C731F">
      <w:r>
        <w:t xml:space="preserve">Companies may use </w:t>
      </w:r>
      <w:r w:rsidR="002E6A5A">
        <w:t>Australian Carbon Credit Units (</w:t>
      </w:r>
      <w:r>
        <w:t>ACCUs</w:t>
      </w:r>
      <w:r w:rsidR="002E6A5A">
        <w:t>)</w:t>
      </w:r>
      <w:r>
        <w:t xml:space="preserve"> to offset their emissions and reduce their </w:t>
      </w:r>
      <w:r w:rsidR="002E7D7E">
        <w:t xml:space="preserve">net </w:t>
      </w:r>
      <w:r>
        <w:t>emissions below their baselines. Currently</w:t>
      </w:r>
      <w:r w:rsidR="002E6A5A">
        <w:t>,</w:t>
      </w:r>
      <w:r w:rsidDel="002E6A5A">
        <w:t xml:space="preserve"> </w:t>
      </w:r>
      <w:r>
        <w:t xml:space="preserve">ACCUs are </w:t>
      </w:r>
      <w:r w:rsidR="002E6A5A">
        <w:t xml:space="preserve">the only offset credits </w:t>
      </w:r>
      <w:r>
        <w:t xml:space="preserve">eligible under the safeguard. </w:t>
      </w:r>
    </w:p>
    <w:p w14:paraId="252737D3" w14:textId="6554B7E2" w:rsidR="001C731F" w:rsidRDefault="001C731F" w:rsidP="001C731F">
      <w:r>
        <w:t>In 2016-17, 16 facilities surrendered nearly 450,000 ACCUs for compliance with the safeguard</w:t>
      </w:r>
      <w:r w:rsidR="006F117E">
        <w:t xml:space="preserve"> (CER</w:t>
      </w:r>
      <w:r w:rsidR="00B65F69">
        <w:t xml:space="preserve"> 2018a</w:t>
      </w:r>
      <w:r w:rsidR="006F117E">
        <w:t>)</w:t>
      </w:r>
      <w:r>
        <w:t xml:space="preserve">. </w:t>
      </w:r>
    </w:p>
    <w:p w14:paraId="3829CC3D" w14:textId="77777777" w:rsidR="001C731F" w:rsidRDefault="001C731F" w:rsidP="00883094">
      <w:pPr>
        <w:pStyle w:val="Heading3"/>
      </w:pPr>
      <w:r>
        <w:t>Participating in the Emissions Reduction Fund to generate Australian Carbon Credit Units</w:t>
      </w:r>
    </w:p>
    <w:p w14:paraId="54B91AE0" w14:textId="181A810E" w:rsidR="000131D8" w:rsidRDefault="00350F51" w:rsidP="001C731F">
      <w:r>
        <w:t>A s</w:t>
      </w:r>
      <w:r w:rsidR="001C731F">
        <w:t xml:space="preserve">afeguard </w:t>
      </w:r>
      <w:r w:rsidR="00260F33">
        <w:t xml:space="preserve">entity </w:t>
      </w:r>
      <w:r w:rsidR="001C731F">
        <w:t xml:space="preserve">can undertake </w:t>
      </w:r>
      <w:r>
        <w:t xml:space="preserve">an </w:t>
      </w:r>
      <w:r w:rsidR="0074524A" w:rsidRPr="004841B0">
        <w:rPr>
          <w:rFonts w:eastAsiaTheme="minorHAnsi" w:cstheme="minorBidi"/>
          <w:lang w:val="en-US"/>
        </w:rPr>
        <w:t>Emissions Reduction Fund</w:t>
      </w:r>
      <w:r w:rsidR="0074524A" w:rsidDel="0074524A">
        <w:t xml:space="preserve"> </w:t>
      </w:r>
      <w:r w:rsidR="001C731F">
        <w:t xml:space="preserve">project at </w:t>
      </w:r>
      <w:r w:rsidR="00C602DA">
        <w:t xml:space="preserve">its </w:t>
      </w:r>
      <w:r>
        <w:t xml:space="preserve">facility </w:t>
      </w:r>
      <w:r w:rsidR="001C731F">
        <w:t>and generate ACCUs. The</w:t>
      </w:r>
      <w:r w:rsidR="0051319F">
        <w:t>se</w:t>
      </w:r>
      <w:r w:rsidR="001C731F">
        <w:t xml:space="preserve"> </w:t>
      </w:r>
      <w:r w:rsidR="0051319F">
        <w:t xml:space="preserve">ACCUs </w:t>
      </w:r>
      <w:r w:rsidR="001C731F">
        <w:t xml:space="preserve">can </w:t>
      </w:r>
      <w:r w:rsidR="0051319F">
        <w:t xml:space="preserve">be </w:t>
      </w:r>
      <w:r w:rsidR="001C731F">
        <w:t>s</w:t>
      </w:r>
      <w:r w:rsidR="0051319F">
        <w:t>old</w:t>
      </w:r>
      <w:r w:rsidR="001C731F">
        <w:t xml:space="preserve"> to the Government under an </w:t>
      </w:r>
      <w:r w:rsidR="0074524A" w:rsidRPr="004841B0">
        <w:rPr>
          <w:rFonts w:eastAsiaTheme="minorHAnsi" w:cstheme="minorBidi"/>
          <w:lang w:val="en-US"/>
        </w:rPr>
        <w:t>Emissions Reduction Fund</w:t>
      </w:r>
      <w:r w:rsidR="0074524A" w:rsidDel="0074524A">
        <w:t xml:space="preserve"> </w:t>
      </w:r>
      <w:r w:rsidR="001C731F">
        <w:t>contract while at the same time reducing the</w:t>
      </w:r>
      <w:r>
        <w:t xml:space="preserve"> </w:t>
      </w:r>
      <w:r w:rsidR="002E7D7E">
        <w:t xml:space="preserve">net </w:t>
      </w:r>
      <w:r w:rsidR="001C731F">
        <w:t xml:space="preserve">emissions </w:t>
      </w:r>
      <w:r>
        <w:t xml:space="preserve">of the facility </w:t>
      </w:r>
      <w:r w:rsidR="001C731F">
        <w:t xml:space="preserve">under the safeguard through </w:t>
      </w:r>
      <w:r w:rsidR="00F82423">
        <w:t>‘</w:t>
      </w:r>
      <w:r w:rsidR="001C731F">
        <w:t>deemed surrender</w:t>
      </w:r>
      <w:r w:rsidR="00F82423">
        <w:t>’</w:t>
      </w:r>
      <w:r w:rsidR="000131D8">
        <w:t>.</w:t>
      </w:r>
      <w:r w:rsidR="001C731F">
        <w:t xml:space="preserve"> </w:t>
      </w:r>
      <w:r w:rsidR="00945A7E">
        <w:t xml:space="preserve">In contrast, </w:t>
      </w:r>
      <w:r w:rsidR="001C731F">
        <w:t xml:space="preserve">offsets like ACCUs can </w:t>
      </w:r>
      <w:r w:rsidR="00945A7E">
        <w:t xml:space="preserve">generally </w:t>
      </w:r>
      <w:r w:rsidR="001C731F">
        <w:t>only be used once (</w:t>
      </w:r>
      <w:r w:rsidR="00133B00">
        <w:t>i.e.</w:t>
      </w:r>
      <w:r w:rsidR="001C731F">
        <w:t xml:space="preserve"> to meet emissions reduction obligations for only one scheme). </w:t>
      </w:r>
    </w:p>
    <w:p w14:paraId="1F526D4D" w14:textId="4967862E" w:rsidR="00B31F19" w:rsidRDefault="000131D8" w:rsidP="001C731F">
      <w:r>
        <w:lastRenderedPageBreak/>
        <w:t>D</w:t>
      </w:r>
      <w:r w:rsidR="001C731F">
        <w:t xml:space="preserve">eemed surrender results in a double benefit to the safeguard entity (for the same emissions reductions) as </w:t>
      </w:r>
      <w:r w:rsidR="00C602DA">
        <w:t xml:space="preserve">it </w:t>
      </w:r>
      <w:r w:rsidR="001C731F">
        <w:t>receive</w:t>
      </w:r>
      <w:r w:rsidR="00C602DA">
        <w:t>s</w:t>
      </w:r>
      <w:r w:rsidR="001C731F">
        <w:t xml:space="preserve"> payment from the Government under the </w:t>
      </w:r>
      <w:r w:rsidR="0074524A" w:rsidRPr="004841B0">
        <w:rPr>
          <w:rFonts w:eastAsiaTheme="minorHAnsi" w:cstheme="minorBidi"/>
          <w:lang w:val="en-US"/>
        </w:rPr>
        <w:t>Emissions Reduction Fund</w:t>
      </w:r>
      <w:r w:rsidR="0074524A" w:rsidDel="0074524A">
        <w:t xml:space="preserve"> </w:t>
      </w:r>
      <w:r w:rsidR="001C731F">
        <w:t xml:space="preserve">contract as well as having </w:t>
      </w:r>
      <w:r w:rsidR="00C602DA">
        <w:t xml:space="preserve">its </w:t>
      </w:r>
      <w:r w:rsidR="001C731F">
        <w:t xml:space="preserve">emissions reduced against </w:t>
      </w:r>
      <w:r w:rsidR="00C602DA">
        <w:t xml:space="preserve">its </w:t>
      </w:r>
      <w:r w:rsidR="001C731F">
        <w:t>safeguard obligation</w:t>
      </w:r>
      <w:r>
        <w:t xml:space="preserve"> (CER</w:t>
      </w:r>
      <w:r w:rsidR="00290309">
        <w:t> </w:t>
      </w:r>
      <w:r w:rsidR="00C13993">
        <w:t>2018h</w:t>
      </w:r>
      <w:r>
        <w:t>;</w:t>
      </w:r>
      <w:r w:rsidR="00B65F69">
        <w:t xml:space="preserve"> CER</w:t>
      </w:r>
      <w:r w:rsidR="00290309">
        <w:t> </w:t>
      </w:r>
      <w:r w:rsidR="00B65F69">
        <w:t>n.d.b</w:t>
      </w:r>
      <w:r>
        <w:t>)</w:t>
      </w:r>
      <w:r w:rsidR="001C731F">
        <w:t xml:space="preserve">. </w:t>
      </w:r>
    </w:p>
    <w:p w14:paraId="5CF1CF64" w14:textId="14C2F8E1" w:rsidR="001C731F" w:rsidRDefault="00A932BD" w:rsidP="001C731F">
      <w:r>
        <w:t>T</w:t>
      </w:r>
      <w:r w:rsidR="001C731F">
        <w:t>he Authority is interested in stakeholder</w:t>
      </w:r>
      <w:r w:rsidR="009157CD">
        <w:t>s’</w:t>
      </w:r>
      <w:r w:rsidR="001C731F">
        <w:t xml:space="preserve"> views on </w:t>
      </w:r>
      <w:r w:rsidR="000131D8">
        <w:t>deemed surrender</w:t>
      </w:r>
      <w:r w:rsidR="00B31F19">
        <w:t xml:space="preserve">, noting </w:t>
      </w:r>
      <w:r w:rsidR="001C731F">
        <w:t>this arrangement has been used by one facility</w:t>
      </w:r>
      <w:r w:rsidR="00B31F19">
        <w:t xml:space="preserve"> and</w:t>
      </w:r>
      <w:r w:rsidR="001C731F">
        <w:t xml:space="preserve"> its usage may increase over time</w:t>
      </w:r>
      <w:r w:rsidR="005111C9">
        <w:t xml:space="preserve"> (CER</w:t>
      </w:r>
      <w:r w:rsidR="00290309">
        <w:t> </w:t>
      </w:r>
      <w:r w:rsidR="00C13993">
        <w:t>2018k</w:t>
      </w:r>
      <w:r w:rsidR="00B65F69">
        <w:t>, pers. comm.</w:t>
      </w:r>
      <w:r w:rsidR="005111C9">
        <w:t>)</w:t>
      </w:r>
      <w:r w:rsidR="001C731F">
        <w:t>.</w:t>
      </w:r>
    </w:p>
    <w:p w14:paraId="207CD9A9" w14:textId="39FE0A43" w:rsidR="006872F5" w:rsidRDefault="006872F5" w:rsidP="001C731F">
      <w:bookmarkStart w:id="999" w:name="_Toc520448583"/>
      <w:bookmarkStart w:id="1000" w:name="_Toc520455259"/>
      <w:bookmarkStart w:id="1001" w:name="_Toc520459058"/>
      <w:bookmarkStart w:id="1002" w:name="_Toc520459452"/>
      <w:bookmarkStart w:id="1003" w:name="_Toc520458580"/>
      <w:bookmarkStart w:id="1004" w:name="_Toc520459534"/>
      <w:bookmarkStart w:id="1005" w:name="_Toc520461450"/>
      <w:bookmarkStart w:id="1006" w:name="_Toc520461812"/>
      <w:bookmarkStart w:id="1007" w:name="_Toc520466841"/>
      <w:bookmarkStart w:id="1008" w:name="_Toc520469878"/>
      <w:bookmarkStart w:id="1009" w:name="_Toc520705335"/>
      <w:bookmarkStart w:id="1010" w:name="_Ref519161147"/>
      <w:bookmarkStart w:id="1011" w:name="_Toc519166186"/>
      <w:bookmarkStart w:id="1012" w:name="_Toc519240553"/>
      <w:bookmarkStart w:id="1013" w:name="_Toc519240681"/>
      <w:r>
        <w:t xml:space="preserve">The Authority is also interested in how facilities are meeting their safeguard obligations and if the options to manage excess emissions are efficient and effective. </w:t>
      </w:r>
    </w:p>
    <w:p w14:paraId="24DF5A8A" w14:textId="2EE6BA4B" w:rsidR="00CD7BAB" w:rsidRDefault="00CC6672" w:rsidP="00883094">
      <w:pPr>
        <w:pStyle w:val="Heading2"/>
      </w:pPr>
      <w:bookmarkStart w:id="1014" w:name="_Toc520707699"/>
      <w:bookmarkStart w:id="1015" w:name="_Toc520716714"/>
      <w:bookmarkStart w:id="1016" w:name="_Toc520720361"/>
      <w:bookmarkStart w:id="1017" w:name="_Toc520721612"/>
      <w:bookmarkStart w:id="1018" w:name="_Toc520724145"/>
      <w:bookmarkStart w:id="1019" w:name="_Toc520735250"/>
      <w:bookmarkStart w:id="1020" w:name="_Toc520736283"/>
      <w:bookmarkStart w:id="1021" w:name="_Toc520736702"/>
      <w:r>
        <w:t>F</w:t>
      </w:r>
      <w:r w:rsidR="00CD7BAB">
        <w:t xml:space="preserve">uture </w:t>
      </w:r>
      <w:r w:rsidR="00A70984">
        <w:t>directions</w:t>
      </w:r>
      <w:bookmarkEnd w:id="999"/>
      <w:bookmarkEnd w:id="1000"/>
      <w:bookmarkEnd w:id="1001"/>
      <w:bookmarkEnd w:id="1002"/>
      <w:bookmarkEnd w:id="1003"/>
      <w:bookmarkEnd w:id="1004"/>
      <w:bookmarkEnd w:id="1005"/>
      <w:bookmarkEnd w:id="1006"/>
      <w:bookmarkEnd w:id="1007"/>
      <w:bookmarkEnd w:id="1008"/>
      <w:bookmarkEnd w:id="1009"/>
      <w:bookmarkEnd w:id="1014"/>
      <w:bookmarkEnd w:id="1015"/>
      <w:bookmarkEnd w:id="1016"/>
      <w:bookmarkEnd w:id="1017"/>
      <w:bookmarkEnd w:id="1018"/>
      <w:bookmarkEnd w:id="1019"/>
      <w:bookmarkEnd w:id="1020"/>
      <w:bookmarkEnd w:id="1021"/>
    </w:p>
    <w:bookmarkEnd w:id="1010"/>
    <w:bookmarkEnd w:id="1011"/>
    <w:bookmarkEnd w:id="1012"/>
    <w:bookmarkEnd w:id="1013"/>
    <w:p w14:paraId="1AEA8830" w14:textId="708A832E" w:rsidR="00F27121" w:rsidRDefault="00F23C72" w:rsidP="00883094">
      <w:pPr>
        <w:pStyle w:val="Heading3"/>
      </w:pPr>
      <w:r>
        <w:t>T</w:t>
      </w:r>
      <w:r w:rsidR="00F27121">
        <w:t xml:space="preserve">he </w:t>
      </w:r>
      <w:r>
        <w:t>Authority’s</w:t>
      </w:r>
      <w:r w:rsidR="00F27121">
        <w:t xml:space="preserve"> previous </w:t>
      </w:r>
      <w:r w:rsidR="00E24273">
        <w:t>recommendations</w:t>
      </w:r>
    </w:p>
    <w:p w14:paraId="58225B6B" w14:textId="77777777" w:rsidR="00A00E4B" w:rsidRDefault="000131D8" w:rsidP="00F27121">
      <w:r>
        <w:t xml:space="preserve">In </w:t>
      </w:r>
      <w:r w:rsidR="006050CE" w:rsidRPr="006050CE">
        <w:rPr>
          <w:i/>
        </w:rPr>
        <w:t>Towards a climate policy toolkit:</w:t>
      </w:r>
      <w:r>
        <w:t xml:space="preserve"> </w:t>
      </w:r>
      <w:r w:rsidR="00E76CAB" w:rsidRPr="00364C9F">
        <w:rPr>
          <w:i/>
        </w:rPr>
        <w:t>S</w:t>
      </w:r>
      <w:r w:rsidRPr="00364C9F">
        <w:rPr>
          <w:i/>
        </w:rPr>
        <w:t>pecial review o</w:t>
      </w:r>
      <w:r w:rsidR="00E76CAB" w:rsidRPr="00364C9F">
        <w:rPr>
          <w:i/>
        </w:rPr>
        <w:t>n</w:t>
      </w:r>
      <w:r w:rsidRPr="00364C9F">
        <w:rPr>
          <w:i/>
        </w:rPr>
        <w:t xml:space="preserve"> Australia’s climate goals and policies </w:t>
      </w:r>
      <w:r>
        <w:t>(</w:t>
      </w:r>
      <w:r w:rsidR="005C2138">
        <w:t>CCA 2016</w:t>
      </w:r>
      <w:r>
        <w:t xml:space="preserve">), the Authority considered the role the safeguard could play in meeting </w:t>
      </w:r>
      <w:r w:rsidR="00E24273">
        <w:t>Australia</w:t>
      </w:r>
      <w:r>
        <w:t>’s</w:t>
      </w:r>
      <w:r w:rsidR="00E24273">
        <w:t xml:space="preserve"> international </w:t>
      </w:r>
      <w:r w:rsidR="002C6C8B">
        <w:t xml:space="preserve">commitments </w:t>
      </w:r>
      <w:r w:rsidR="00E24273">
        <w:t>under the Paris Agreement</w:t>
      </w:r>
      <w:r w:rsidR="002C6C8B">
        <w:t xml:space="preserve">. </w:t>
      </w:r>
    </w:p>
    <w:p w14:paraId="59C87A10" w14:textId="77777777" w:rsidR="00A00E4B" w:rsidRDefault="00A00E4B">
      <w:pPr>
        <w:spacing w:after="0" w:line="240" w:lineRule="auto"/>
      </w:pPr>
      <w:r>
        <w:br w:type="page"/>
      </w:r>
    </w:p>
    <w:p w14:paraId="32775E4C" w14:textId="78907AEB" w:rsidR="00F27121" w:rsidRDefault="002C6C8B" w:rsidP="00F27121">
      <w:r>
        <w:lastRenderedPageBreak/>
        <w:t>T</w:t>
      </w:r>
      <w:r w:rsidR="00F27121">
        <w:t>he Authority’s key recommendations</w:t>
      </w:r>
      <w:r w:rsidR="00921733">
        <w:t xml:space="preserve"> </w:t>
      </w:r>
      <w:r w:rsidR="00F27121">
        <w:t>were:</w:t>
      </w:r>
    </w:p>
    <w:p w14:paraId="2066E292" w14:textId="6C95E78A" w:rsidR="002C6C8B" w:rsidRPr="00231454" w:rsidRDefault="002C6C8B" w:rsidP="006B5CAF">
      <w:pPr>
        <w:pStyle w:val="ListNumber"/>
        <w:keepNext/>
        <w:numPr>
          <w:ilvl w:val="0"/>
          <w:numId w:val="9"/>
        </w:numPr>
        <w:ind w:left="567"/>
        <w:rPr>
          <w:rFonts w:eastAsiaTheme="minorHAnsi" w:cstheme="minorBidi"/>
          <w:lang w:val="en-US"/>
        </w:rPr>
      </w:pPr>
      <w:r w:rsidRPr="00231454">
        <w:rPr>
          <w:rFonts w:eastAsiaTheme="minorHAnsi" w:cstheme="minorBidi"/>
          <w:lang w:val="en-US"/>
        </w:rPr>
        <w:t>For the electricity sector, it be covered by a market mechanism</w:t>
      </w:r>
      <w:r w:rsidR="00A775B5">
        <w:rPr>
          <w:rFonts w:eastAsiaTheme="minorHAnsi" w:cstheme="minorBidi"/>
          <w:lang w:val="en-US"/>
        </w:rPr>
        <w:t>.</w:t>
      </w:r>
    </w:p>
    <w:p w14:paraId="01AFAE1A" w14:textId="6B60E192" w:rsidR="002C6C8B" w:rsidRPr="00231454" w:rsidRDefault="002C6C8B" w:rsidP="006B5CAF">
      <w:pPr>
        <w:pStyle w:val="ListNumber"/>
        <w:keepNext/>
        <w:numPr>
          <w:ilvl w:val="0"/>
          <w:numId w:val="9"/>
        </w:numPr>
        <w:ind w:left="567"/>
        <w:rPr>
          <w:rFonts w:eastAsiaTheme="minorHAnsi" w:cstheme="minorBidi"/>
          <w:lang w:val="en-US"/>
        </w:rPr>
      </w:pPr>
      <w:r w:rsidRPr="00231454">
        <w:rPr>
          <w:rFonts w:eastAsiaTheme="minorHAnsi" w:cstheme="minorBidi"/>
          <w:lang w:val="en-US"/>
        </w:rPr>
        <w:t>For the industrial sector:</w:t>
      </w:r>
    </w:p>
    <w:p w14:paraId="286960AE" w14:textId="77777777" w:rsidR="00F27121" w:rsidRPr="00231454" w:rsidRDefault="00F27121" w:rsidP="006B5CAF">
      <w:pPr>
        <w:pStyle w:val="ListNumber"/>
        <w:keepNext/>
        <w:numPr>
          <w:ilvl w:val="1"/>
          <w:numId w:val="10"/>
        </w:numPr>
        <w:ind w:left="993"/>
        <w:rPr>
          <w:rFonts w:eastAsiaTheme="minorHAnsi" w:cstheme="minorBidi"/>
          <w:lang w:val="en-US"/>
        </w:rPr>
      </w:pPr>
      <w:r w:rsidRPr="00231454">
        <w:rPr>
          <w:rFonts w:eastAsiaTheme="minorHAnsi" w:cstheme="minorBidi"/>
          <w:lang w:val="en-US"/>
        </w:rPr>
        <w:t>Coverage of the safeguard be expanded to more companies by reducing the reporting thresholds.</w:t>
      </w:r>
    </w:p>
    <w:p w14:paraId="6DAEA93B" w14:textId="77777777" w:rsidR="00F27121" w:rsidRPr="00231454" w:rsidRDefault="00F27121" w:rsidP="006B5CAF">
      <w:pPr>
        <w:pStyle w:val="ListNumber"/>
        <w:keepNext/>
        <w:numPr>
          <w:ilvl w:val="1"/>
          <w:numId w:val="10"/>
        </w:numPr>
        <w:ind w:left="993"/>
        <w:rPr>
          <w:rFonts w:eastAsiaTheme="minorHAnsi" w:cstheme="minorBidi"/>
          <w:lang w:val="en-US"/>
        </w:rPr>
      </w:pPr>
      <w:r w:rsidRPr="00231454">
        <w:rPr>
          <w:rFonts w:eastAsiaTheme="minorHAnsi" w:cstheme="minorBidi"/>
          <w:lang w:val="en-US"/>
        </w:rPr>
        <w:t>Safeguard entities should no longer have the ability to re-set baselines.</w:t>
      </w:r>
    </w:p>
    <w:p w14:paraId="609F3B36" w14:textId="77777777" w:rsidR="00F27121" w:rsidRPr="00231454" w:rsidRDefault="00F27121" w:rsidP="006B5CAF">
      <w:pPr>
        <w:pStyle w:val="ListNumber"/>
        <w:keepNext/>
        <w:numPr>
          <w:ilvl w:val="1"/>
          <w:numId w:val="10"/>
        </w:numPr>
        <w:ind w:left="993"/>
        <w:rPr>
          <w:rFonts w:eastAsiaTheme="minorHAnsi" w:cstheme="minorBidi"/>
          <w:lang w:val="en-US"/>
        </w:rPr>
      </w:pPr>
      <w:r w:rsidRPr="00231454">
        <w:rPr>
          <w:rFonts w:eastAsiaTheme="minorHAnsi" w:cstheme="minorBidi"/>
          <w:lang w:val="en-US"/>
        </w:rPr>
        <w:t>Safeguard baselines should decline in a linear fashion to allow fewer emissions over time in line with Australia’s Paris Agreement obligations.</w:t>
      </w:r>
    </w:p>
    <w:p w14:paraId="57AF6D58" w14:textId="67FCE016" w:rsidR="00F27121" w:rsidRPr="00231454" w:rsidRDefault="00F27121" w:rsidP="006B5CAF">
      <w:pPr>
        <w:pStyle w:val="ListNumber"/>
        <w:keepNext/>
        <w:numPr>
          <w:ilvl w:val="1"/>
          <w:numId w:val="10"/>
        </w:numPr>
        <w:ind w:left="993"/>
        <w:rPr>
          <w:rFonts w:eastAsiaTheme="minorHAnsi" w:cstheme="minorBidi"/>
          <w:lang w:val="en-US"/>
        </w:rPr>
      </w:pPr>
      <w:r w:rsidRPr="00231454">
        <w:rPr>
          <w:rFonts w:eastAsiaTheme="minorHAnsi" w:cstheme="minorBidi"/>
          <w:lang w:val="en-US"/>
        </w:rPr>
        <w:t>Safeguard entities should be able to meet their compliance obligations with ACCUs and international units provided the international units meet quantitative and qualitative limits to ensure they are robust and to avoid delaying the transition to a lower emissions economy. Emissions intensive trade exposed industries with safeguard obligations should not have a quantitative cap on the use of international units to address competitiveness concerns.</w:t>
      </w:r>
    </w:p>
    <w:p w14:paraId="0002A3F0" w14:textId="52214E5D" w:rsidR="00F27121" w:rsidRPr="00231454" w:rsidRDefault="0074524A" w:rsidP="006B5CAF">
      <w:pPr>
        <w:pStyle w:val="ListNumber"/>
        <w:keepNext/>
        <w:numPr>
          <w:ilvl w:val="0"/>
          <w:numId w:val="9"/>
        </w:numPr>
        <w:ind w:left="567"/>
        <w:rPr>
          <w:rFonts w:eastAsiaTheme="minorHAnsi" w:cstheme="minorBidi"/>
          <w:lang w:val="en-US"/>
        </w:rPr>
      </w:pPr>
      <w:r w:rsidRPr="004841B0">
        <w:rPr>
          <w:rFonts w:eastAsiaTheme="minorHAnsi" w:cstheme="minorBidi"/>
          <w:lang w:val="en-US"/>
        </w:rPr>
        <w:t>Emissions Reduction Fund</w:t>
      </w:r>
      <w:r w:rsidRPr="00231454" w:rsidDel="0074524A">
        <w:rPr>
          <w:rFonts w:eastAsiaTheme="minorHAnsi" w:cstheme="minorBidi"/>
          <w:lang w:val="en-US"/>
        </w:rPr>
        <w:t xml:space="preserve"> </w:t>
      </w:r>
      <w:r w:rsidR="00F27121" w:rsidRPr="00231454">
        <w:rPr>
          <w:rFonts w:eastAsiaTheme="minorHAnsi" w:cstheme="minorBidi"/>
          <w:lang w:val="en-US"/>
        </w:rPr>
        <w:t>purchasing should continue for sectors covered by the safeguard to provide transitional assistance to invest in low emissions technologies but safeguard entities should only be able to generate ACCUs if they meet additionality rules for emissions reduction projects.</w:t>
      </w:r>
    </w:p>
    <w:p w14:paraId="1086BE48" w14:textId="273CD83B" w:rsidR="000E2EA8" w:rsidRPr="00231454" w:rsidRDefault="00F27121" w:rsidP="006B5CAF">
      <w:pPr>
        <w:pStyle w:val="ListNumber"/>
        <w:keepNext/>
        <w:numPr>
          <w:ilvl w:val="0"/>
          <w:numId w:val="9"/>
        </w:numPr>
        <w:ind w:left="567"/>
        <w:rPr>
          <w:rFonts w:eastAsiaTheme="minorHAnsi" w:cstheme="minorBidi"/>
          <w:lang w:val="en-US"/>
        </w:rPr>
      </w:pPr>
      <w:r w:rsidRPr="00231454">
        <w:rPr>
          <w:rFonts w:eastAsiaTheme="minorHAnsi" w:cstheme="minorBidi"/>
          <w:lang w:val="en-US"/>
        </w:rPr>
        <w:t xml:space="preserve">The Government should review the policy toolkit as a whole in 2022 to assess its effectiveness including whether the enhanced safeguard should remain in place or whether another policy instrument such as a market mechanism be introduced for sectors covered by the safeguard. </w:t>
      </w:r>
    </w:p>
    <w:p w14:paraId="57441A0F" w14:textId="77777777" w:rsidR="00A70984" w:rsidRDefault="00A70984" w:rsidP="00883094">
      <w:pPr>
        <w:pStyle w:val="Heading3"/>
      </w:pPr>
      <w:bookmarkStart w:id="1022" w:name="_Ref519150798"/>
      <w:r>
        <w:t>The Government’s consultation on safeguard baseline setting</w:t>
      </w:r>
      <w:bookmarkEnd w:id="1022"/>
    </w:p>
    <w:p w14:paraId="3FCF4CFA" w14:textId="447C783E" w:rsidR="002C6C8B" w:rsidRDefault="00A70984" w:rsidP="00D14236">
      <w:r>
        <w:t xml:space="preserve">In its 2017 review of climate </w:t>
      </w:r>
      <w:r w:rsidR="00954552">
        <w:t xml:space="preserve">change </w:t>
      </w:r>
      <w:r>
        <w:t>polic</w:t>
      </w:r>
      <w:r w:rsidR="00954552">
        <w:t>ies</w:t>
      </w:r>
      <w:r>
        <w:t xml:space="preserve">, the Government found the safeguard </w:t>
      </w:r>
      <w:r w:rsidR="00DB5C98">
        <w:t>wa</w:t>
      </w:r>
      <w:r>
        <w:t xml:space="preserve">s working well but there </w:t>
      </w:r>
      <w:r w:rsidR="00DB5C98">
        <w:t>wa</w:t>
      </w:r>
      <w:r>
        <w:t>s scope for improvement</w:t>
      </w:r>
      <w:r w:rsidR="00CA33B9">
        <w:t xml:space="preserve"> </w:t>
      </w:r>
      <w:r w:rsidR="00F279D0">
        <w:t>(Do</w:t>
      </w:r>
      <w:r w:rsidR="007E237D" w:rsidRPr="00845DB5">
        <w:t>EE 2017a</w:t>
      </w:r>
      <w:r w:rsidR="003D0E5C">
        <w:t>)</w:t>
      </w:r>
      <w:r>
        <w:t xml:space="preserve">. </w:t>
      </w:r>
      <w:r w:rsidR="00D14236">
        <w:t xml:space="preserve">It committed to consult on ways to bring baselines up-to-date with current circumstances and make the safeguard fairer and simpler. The </w:t>
      </w:r>
      <w:r w:rsidR="00947529">
        <w:t>Department of the Environment and Energy</w:t>
      </w:r>
      <w:r w:rsidR="00D14236">
        <w:t xml:space="preserve"> </w:t>
      </w:r>
      <w:r w:rsidR="00A43758">
        <w:t xml:space="preserve">is currently consulting on draft amendments to the </w:t>
      </w:r>
      <w:r w:rsidR="00A43758" w:rsidRPr="00845DB5">
        <w:rPr>
          <w:i/>
        </w:rPr>
        <w:t>Safeguard Rule 2015</w:t>
      </w:r>
      <w:r w:rsidR="006050CE">
        <w:rPr>
          <w:i/>
        </w:rPr>
        <w:t xml:space="preserve"> </w:t>
      </w:r>
      <w:r w:rsidR="006050CE">
        <w:t>(Cth)</w:t>
      </w:r>
      <w:r w:rsidR="00A43758">
        <w:t>,</w:t>
      </w:r>
      <w:r w:rsidR="00D14236">
        <w:t xml:space="preserve"> </w:t>
      </w:r>
      <w:r>
        <w:t xml:space="preserve">with a view to changes taking effect </w:t>
      </w:r>
      <w:r w:rsidRPr="00DF7236">
        <w:t>for the 2018</w:t>
      </w:r>
      <w:r w:rsidR="00B01846">
        <w:t>-</w:t>
      </w:r>
      <w:r w:rsidRPr="00DF7236">
        <w:t>19 compliance year</w:t>
      </w:r>
      <w:r>
        <w:t xml:space="preserve"> (</w:t>
      </w:r>
      <w:r w:rsidR="004F3C0D">
        <w:t>DoEE 2018a</w:t>
      </w:r>
      <w:r>
        <w:t>)</w:t>
      </w:r>
      <w:r w:rsidRPr="00DF7236">
        <w:t>.</w:t>
      </w:r>
      <w:r>
        <w:t xml:space="preserve"> </w:t>
      </w:r>
    </w:p>
    <w:p w14:paraId="3EF02343" w14:textId="1D483630" w:rsidR="002C6C8B" w:rsidRDefault="002C6C8B" w:rsidP="002C6C8B">
      <w:r>
        <w:t>The Government also decided to review the mechanism again by 2020 including with reference to progress towards Australia’s 2030 target (</w:t>
      </w:r>
      <w:r w:rsidR="003D0E5C">
        <w:t>Do</w:t>
      </w:r>
      <w:r w:rsidR="003D0E5C" w:rsidRPr="00845DB5">
        <w:t>EE 2017a</w:t>
      </w:r>
      <w:r>
        <w:t xml:space="preserve">). That review will also consider the role of international units in the safeguard. </w:t>
      </w:r>
    </w:p>
    <w:p w14:paraId="49AEF19F" w14:textId="016BBD55" w:rsidR="00A70984" w:rsidRDefault="00271F8C" w:rsidP="00883094">
      <w:pPr>
        <w:pStyle w:val="Heading3"/>
      </w:pPr>
      <w:bookmarkStart w:id="1023" w:name="_Ref520714679"/>
      <w:r>
        <w:lastRenderedPageBreak/>
        <w:t>T</w:t>
      </w:r>
      <w:r w:rsidR="00A70984">
        <w:t>he National Energy Guarantee</w:t>
      </w:r>
      <w:bookmarkEnd w:id="1023"/>
    </w:p>
    <w:p w14:paraId="57784038" w14:textId="1352B873" w:rsidR="00A70984" w:rsidRDefault="00A70984" w:rsidP="00A70984">
      <w:r>
        <w:t xml:space="preserve">The </w:t>
      </w:r>
      <w:r w:rsidR="008B53B9">
        <w:t xml:space="preserve">proposed </w:t>
      </w:r>
      <w:r>
        <w:t>National Energy Guarantee</w:t>
      </w:r>
      <w:r w:rsidDel="00F82423">
        <w:t xml:space="preserve"> </w:t>
      </w:r>
      <w:r w:rsidR="008B53B9">
        <w:t xml:space="preserve">is </w:t>
      </w:r>
      <w:r>
        <w:t xml:space="preserve">designed to </w:t>
      </w:r>
      <w:r w:rsidR="008B53B9">
        <w:t>deliver a more</w:t>
      </w:r>
      <w:r>
        <w:t xml:space="preserve"> affordab</w:t>
      </w:r>
      <w:r w:rsidR="008B53B9">
        <w:t xml:space="preserve">le </w:t>
      </w:r>
      <w:r>
        <w:t xml:space="preserve">and </w:t>
      </w:r>
      <w:r w:rsidR="008B53B9">
        <w:t xml:space="preserve">reliable energy system and help Australia meet its international emissions reduction commitments. </w:t>
      </w:r>
      <w:r>
        <w:t xml:space="preserve">It </w:t>
      </w:r>
      <w:r w:rsidR="00D11EA7">
        <w:t xml:space="preserve">requires electricity retailers and large energy users in the National Electricity Market to meet </w:t>
      </w:r>
      <w:r>
        <w:t xml:space="preserve">a reliability </w:t>
      </w:r>
      <w:r w:rsidR="00D11EA7">
        <w:t xml:space="preserve">guarantee </w:t>
      </w:r>
      <w:r>
        <w:t xml:space="preserve">and an emissions </w:t>
      </w:r>
      <w:r w:rsidR="00D11EA7">
        <w:t>guarantee</w:t>
      </w:r>
      <w:r>
        <w:t xml:space="preserve"> (</w:t>
      </w:r>
      <w:r w:rsidR="00BA5A93">
        <w:t>DoEE</w:t>
      </w:r>
      <w:r>
        <w:t xml:space="preserve"> n.d</w:t>
      </w:r>
      <w:r w:rsidR="00BA5A93">
        <w:t>.a</w:t>
      </w:r>
      <w:r>
        <w:t>.</w:t>
      </w:r>
      <w:r w:rsidR="00D72863" w:rsidRPr="00845DB5">
        <w:t>;</w:t>
      </w:r>
      <w:r w:rsidR="00722213">
        <w:t xml:space="preserve"> COAG Energy Council 2018</w:t>
      </w:r>
      <w:r>
        <w:t>).</w:t>
      </w:r>
    </w:p>
    <w:p w14:paraId="70960D83" w14:textId="21098B0D" w:rsidR="00A70984" w:rsidRDefault="006050CE" w:rsidP="006050CE">
      <w:pPr>
        <w:spacing w:after="0" w:line="240" w:lineRule="auto"/>
      </w:pPr>
      <w:r>
        <w:br w:type="page"/>
      </w:r>
    </w:p>
    <w:tbl>
      <w:tblPr>
        <w:tblStyle w:val="TableGrid"/>
        <w:tblW w:w="0" w:type="auto"/>
        <w:shd w:val="clear" w:color="auto" w:fill="E6ECF2"/>
        <w:tblLook w:val="04A0" w:firstRow="1" w:lastRow="0" w:firstColumn="1" w:lastColumn="0" w:noHBand="0" w:noVBand="1"/>
      </w:tblPr>
      <w:tblGrid>
        <w:gridCol w:w="9202"/>
      </w:tblGrid>
      <w:tr w:rsidR="00735561" w14:paraId="1B1F783D" w14:textId="77777777" w:rsidTr="0073569F">
        <w:trPr>
          <w:cnfStyle w:val="100000000000" w:firstRow="1" w:lastRow="0" w:firstColumn="0" w:lastColumn="0" w:oddVBand="0" w:evenVBand="0" w:oddHBand="0" w:evenHBand="0" w:firstRowFirstColumn="0" w:firstRowLastColumn="0" w:lastRowFirstColumn="0" w:lastRowLastColumn="0"/>
        </w:trPr>
        <w:tc>
          <w:tcPr>
            <w:tcW w:w="9202" w:type="dxa"/>
            <w:shd w:val="clear" w:color="auto" w:fill="E6ECF2"/>
            <w:tcMar>
              <w:top w:w="567" w:type="dxa"/>
              <w:left w:w="567" w:type="dxa"/>
              <w:bottom w:w="567" w:type="dxa"/>
              <w:right w:w="567" w:type="dxa"/>
            </w:tcMar>
          </w:tcPr>
          <w:p w14:paraId="3EB456A7" w14:textId="4D3BBD6E" w:rsidR="00735561" w:rsidRPr="00D97780" w:rsidRDefault="00735561" w:rsidP="0073569F">
            <w:pPr>
              <w:rPr>
                <w:b/>
                <w:color w:val="159DCE"/>
              </w:rPr>
            </w:pPr>
            <w:r w:rsidRPr="00D97780">
              <w:rPr>
                <w:b/>
                <w:color w:val="159DCE"/>
              </w:rPr>
              <w:lastRenderedPageBreak/>
              <w:t>CONSULTATION QUESTIONS</w:t>
            </w:r>
            <w:r w:rsidR="00193858">
              <w:rPr>
                <w:b/>
                <w:color w:val="159DCE"/>
              </w:rPr>
              <w:t>: CHAPTER 3</w:t>
            </w:r>
          </w:p>
          <w:p w14:paraId="625D7235" w14:textId="39CB81F3" w:rsidR="000B7548" w:rsidRDefault="000B7548" w:rsidP="000B7548">
            <w:bookmarkStart w:id="1024" w:name="_Toc520705288"/>
            <w:bookmarkStart w:id="1025" w:name="_Toc520720307"/>
            <w:bookmarkStart w:id="1026" w:name="_Toc520720980"/>
            <w:bookmarkStart w:id="1027" w:name="_Toc520721558"/>
            <w:bookmarkStart w:id="1028" w:name="_Toc520724090"/>
            <w:bookmarkStart w:id="1029" w:name="_Toc520735194"/>
            <w:bookmarkStart w:id="1030" w:name="_Toc520736227"/>
            <w:bookmarkStart w:id="1031" w:name="_Toc520736646"/>
            <w:bookmarkStart w:id="1032" w:name="_Toc520716658"/>
            <w:bookmarkStart w:id="1033" w:name="_Toc520707645"/>
            <w:bookmarkStart w:id="1034" w:name="_Toc519087311"/>
            <w:bookmarkStart w:id="1035" w:name="_Toc519090736"/>
            <w:bookmarkStart w:id="1036" w:name="_Toc519163117"/>
            <w:bookmarkStart w:id="1037" w:name="_Toc519163430"/>
            <w:bookmarkStart w:id="1038" w:name="_Toc519164475"/>
            <w:bookmarkStart w:id="1039" w:name="_Toc520280123"/>
            <w:bookmarkStart w:id="1040" w:name="_Toc520281316"/>
            <w:bookmarkStart w:id="1041" w:name="_Toc520459397"/>
            <w:bookmarkStart w:id="1042" w:name="_Toc520461758"/>
            <w:r>
              <w:t xml:space="preserve">Q. </w:t>
            </w:r>
            <w:r w:rsidR="00363A9B">
              <w:fldChar w:fldCharType="begin"/>
            </w:r>
            <w:r w:rsidR="00363A9B">
              <w:instrText xml:space="preserve"> SEQ Q. \* ARABIC </w:instrText>
            </w:r>
            <w:r w:rsidR="00363A9B">
              <w:fldChar w:fldCharType="separate"/>
            </w:r>
            <w:r w:rsidR="00AD7AD8">
              <w:rPr>
                <w:noProof/>
              </w:rPr>
              <w:t>12</w:t>
            </w:r>
            <w:r w:rsidR="00363A9B">
              <w:rPr>
                <w:noProof/>
              </w:rPr>
              <w:fldChar w:fldCharType="end"/>
            </w:r>
            <w:r>
              <w:t xml:space="preserve"> </w:t>
            </w:r>
            <w:r>
              <w:tab/>
              <w:t xml:space="preserve">Is the safeguard </w:t>
            </w:r>
            <w:r w:rsidR="00974DF2">
              <w:t xml:space="preserve">mechanism </w:t>
            </w:r>
            <w:r>
              <w:t>delivering on its objectives and fit for purpose?</w:t>
            </w:r>
            <w:bookmarkEnd w:id="1024"/>
            <w:bookmarkEnd w:id="1025"/>
            <w:bookmarkEnd w:id="1026"/>
            <w:bookmarkEnd w:id="1027"/>
            <w:bookmarkEnd w:id="1028"/>
            <w:bookmarkEnd w:id="1029"/>
            <w:bookmarkEnd w:id="1030"/>
            <w:bookmarkEnd w:id="1031"/>
            <w:r>
              <w:t xml:space="preserve"> </w:t>
            </w:r>
            <w:bookmarkEnd w:id="1032"/>
            <w:bookmarkEnd w:id="1033"/>
          </w:p>
          <w:p w14:paraId="0B369577" w14:textId="7043460E" w:rsidR="000B7548" w:rsidRDefault="000B7548" w:rsidP="000B7548">
            <w:bookmarkStart w:id="1043" w:name="_Toc520705289"/>
            <w:bookmarkStart w:id="1044" w:name="_Toc520707646"/>
            <w:bookmarkStart w:id="1045" w:name="_Toc520716659"/>
            <w:bookmarkStart w:id="1046" w:name="_Toc520720308"/>
            <w:bookmarkStart w:id="1047" w:name="_Toc520720981"/>
            <w:bookmarkStart w:id="1048" w:name="_Toc520721559"/>
            <w:bookmarkStart w:id="1049" w:name="_Toc520724091"/>
            <w:bookmarkStart w:id="1050" w:name="_Toc520735195"/>
            <w:bookmarkStart w:id="1051" w:name="_Toc520736228"/>
            <w:bookmarkStart w:id="1052" w:name="_Toc520736647"/>
            <w:r>
              <w:t xml:space="preserve">Q. </w:t>
            </w:r>
            <w:r w:rsidR="00363A9B">
              <w:fldChar w:fldCharType="begin"/>
            </w:r>
            <w:r w:rsidR="00363A9B">
              <w:instrText xml:space="preserve"> SEQ Q. \* ARABIC </w:instrText>
            </w:r>
            <w:r w:rsidR="00363A9B">
              <w:fldChar w:fldCharType="separate"/>
            </w:r>
            <w:r w:rsidR="00AD7AD8">
              <w:rPr>
                <w:noProof/>
              </w:rPr>
              <w:t>13</w:t>
            </w:r>
            <w:r w:rsidR="00363A9B">
              <w:rPr>
                <w:noProof/>
              </w:rPr>
              <w:fldChar w:fldCharType="end"/>
            </w:r>
            <w:r>
              <w:t xml:space="preserve"> </w:t>
            </w:r>
            <w:r>
              <w:tab/>
              <w:t xml:space="preserve">Are the emissions thresholds under the safeguard </w:t>
            </w:r>
            <w:r w:rsidR="00974DF2">
              <w:t xml:space="preserve">mechanism </w:t>
            </w:r>
            <w:r>
              <w:t>efficient and effective or should they be changed so more or fewer emissions are covered?</w:t>
            </w:r>
            <w:bookmarkEnd w:id="1043"/>
            <w:bookmarkEnd w:id="1044"/>
            <w:bookmarkEnd w:id="1045"/>
            <w:bookmarkEnd w:id="1046"/>
            <w:bookmarkEnd w:id="1047"/>
            <w:bookmarkEnd w:id="1048"/>
            <w:bookmarkEnd w:id="1049"/>
            <w:bookmarkEnd w:id="1050"/>
            <w:bookmarkEnd w:id="1051"/>
            <w:bookmarkEnd w:id="1052"/>
          </w:p>
          <w:p w14:paraId="62B90A1B" w14:textId="32FF983E" w:rsidR="000B7548" w:rsidRDefault="00947529" w:rsidP="000B7548">
            <w:bookmarkStart w:id="1053" w:name="_Toc520716660"/>
            <w:bookmarkStart w:id="1054" w:name="_Toc520720309"/>
            <w:bookmarkStart w:id="1055" w:name="_Toc520720982"/>
            <w:bookmarkStart w:id="1056" w:name="_Toc520721560"/>
            <w:bookmarkStart w:id="1057" w:name="_Toc520724092"/>
            <w:bookmarkStart w:id="1058" w:name="_Toc520735196"/>
            <w:bookmarkStart w:id="1059" w:name="_Toc520736229"/>
            <w:bookmarkStart w:id="1060" w:name="_Toc520736648"/>
            <w:r>
              <w:t xml:space="preserve">Q. </w:t>
            </w:r>
            <w:r w:rsidR="00363A9B">
              <w:fldChar w:fldCharType="begin"/>
            </w:r>
            <w:r w:rsidR="00363A9B">
              <w:instrText xml:space="preserve"> SEQ Q. \* ARABIC </w:instrText>
            </w:r>
            <w:r w:rsidR="00363A9B">
              <w:fldChar w:fldCharType="separate"/>
            </w:r>
            <w:r w:rsidR="00AD7AD8">
              <w:rPr>
                <w:noProof/>
              </w:rPr>
              <w:t>14</w:t>
            </w:r>
            <w:r w:rsidR="00363A9B">
              <w:rPr>
                <w:noProof/>
              </w:rPr>
              <w:fldChar w:fldCharType="end"/>
            </w:r>
            <w:r w:rsidR="000B7548">
              <w:tab/>
            </w:r>
            <w:r w:rsidR="000B7548" w:rsidRPr="00D97780">
              <w:t xml:space="preserve">Should the scope of </w:t>
            </w:r>
            <w:r w:rsidR="000B7548">
              <w:t>the safeguard</w:t>
            </w:r>
            <w:r w:rsidR="000B7548" w:rsidRPr="00D97780">
              <w:t xml:space="preserve"> </w:t>
            </w:r>
            <w:r w:rsidR="00974DF2">
              <w:t xml:space="preserve">mechanism </w:t>
            </w:r>
            <w:r w:rsidR="000B7548" w:rsidRPr="00D97780">
              <w:t xml:space="preserve">be expanded or reduced </w:t>
            </w:r>
            <w:r w:rsidR="000B7548">
              <w:t>if changes are made to the emissions and energy reporting scheme</w:t>
            </w:r>
            <w:r w:rsidR="000B7548" w:rsidRPr="00D97780">
              <w:t>?</w:t>
            </w:r>
            <w:bookmarkEnd w:id="1053"/>
            <w:bookmarkEnd w:id="1054"/>
            <w:bookmarkEnd w:id="1055"/>
            <w:bookmarkEnd w:id="1056"/>
            <w:bookmarkEnd w:id="1057"/>
            <w:bookmarkEnd w:id="1058"/>
            <w:bookmarkEnd w:id="1059"/>
            <w:bookmarkEnd w:id="1060"/>
          </w:p>
          <w:p w14:paraId="6C125FE7" w14:textId="57F1114A" w:rsidR="006872F5" w:rsidRDefault="000B7548" w:rsidP="006872F5">
            <w:bookmarkStart w:id="1061" w:name="_Toc520720310"/>
            <w:bookmarkStart w:id="1062" w:name="_Toc520720983"/>
            <w:bookmarkStart w:id="1063" w:name="_Toc520721561"/>
            <w:bookmarkStart w:id="1064" w:name="_Toc520724093"/>
            <w:bookmarkStart w:id="1065" w:name="_Toc520735197"/>
            <w:bookmarkStart w:id="1066" w:name="_Toc520736230"/>
            <w:bookmarkStart w:id="1067" w:name="_Toc520736649"/>
            <w:bookmarkStart w:id="1068" w:name="_Toc520716661"/>
            <w:bookmarkStart w:id="1069" w:name="_Toc520707647"/>
            <w:bookmarkStart w:id="1070" w:name="_Toc520705290"/>
            <w:r>
              <w:t xml:space="preserve">Q. </w:t>
            </w:r>
            <w:r w:rsidR="00363A9B">
              <w:fldChar w:fldCharType="begin"/>
            </w:r>
            <w:r w:rsidR="00363A9B">
              <w:instrText xml:space="preserve"> SEQ Q. \* ARABIC </w:instrText>
            </w:r>
            <w:r w:rsidR="00363A9B">
              <w:fldChar w:fldCharType="separate"/>
            </w:r>
            <w:r w:rsidR="00AD7AD8">
              <w:rPr>
                <w:noProof/>
              </w:rPr>
              <w:t>15</w:t>
            </w:r>
            <w:r w:rsidR="00363A9B">
              <w:rPr>
                <w:noProof/>
              </w:rPr>
              <w:fldChar w:fldCharType="end"/>
            </w:r>
            <w:r w:rsidR="006872F5">
              <w:t xml:space="preserve"> </w:t>
            </w:r>
            <w:r w:rsidR="006872F5">
              <w:tab/>
              <w:t>Should the provision allowing baseline variations in response to a change in global warming potentials be extended to other changes that may occur in the measurement determination?</w:t>
            </w:r>
            <w:bookmarkEnd w:id="1061"/>
            <w:bookmarkEnd w:id="1062"/>
            <w:bookmarkEnd w:id="1063"/>
            <w:bookmarkEnd w:id="1064"/>
            <w:bookmarkEnd w:id="1065"/>
            <w:bookmarkEnd w:id="1066"/>
            <w:bookmarkEnd w:id="1067"/>
            <w:r w:rsidR="006872F5">
              <w:t xml:space="preserve"> </w:t>
            </w:r>
            <w:bookmarkEnd w:id="1068"/>
            <w:bookmarkEnd w:id="1069"/>
          </w:p>
          <w:p w14:paraId="42DDF171" w14:textId="77777777" w:rsidR="000B7548" w:rsidRDefault="000B7548" w:rsidP="000B7548">
            <w:bookmarkStart w:id="1071" w:name="_Toc520707648"/>
            <w:bookmarkStart w:id="1072" w:name="_Toc520716662"/>
            <w:bookmarkStart w:id="1073" w:name="_Toc520720311"/>
            <w:bookmarkStart w:id="1074" w:name="_Toc520720984"/>
            <w:bookmarkStart w:id="1075" w:name="_Toc520721562"/>
            <w:bookmarkStart w:id="1076" w:name="_Toc520724094"/>
            <w:bookmarkStart w:id="1077" w:name="_Toc520735198"/>
            <w:bookmarkStart w:id="1078" w:name="_Toc520736231"/>
            <w:bookmarkStart w:id="1079" w:name="_Toc520736650"/>
            <w:r>
              <w:t xml:space="preserve">Q. </w:t>
            </w:r>
            <w:r w:rsidR="00363A9B">
              <w:fldChar w:fldCharType="begin"/>
            </w:r>
            <w:r w:rsidR="00363A9B">
              <w:instrText xml:space="preserve"> SEQ Q. \* ARABIC </w:instrText>
            </w:r>
            <w:r w:rsidR="00363A9B">
              <w:fldChar w:fldCharType="separate"/>
            </w:r>
            <w:r w:rsidR="00AD7AD8">
              <w:rPr>
                <w:noProof/>
              </w:rPr>
              <w:t>16</w:t>
            </w:r>
            <w:r w:rsidR="00363A9B">
              <w:rPr>
                <w:noProof/>
              </w:rPr>
              <w:fldChar w:fldCharType="end"/>
            </w:r>
            <w:r>
              <w:t xml:space="preserve"> </w:t>
            </w:r>
            <w:r>
              <w:tab/>
              <w:t>Is the single reporting rule for transport fit for purpose?</w:t>
            </w:r>
            <w:bookmarkEnd w:id="1070"/>
            <w:bookmarkEnd w:id="1071"/>
            <w:bookmarkEnd w:id="1072"/>
            <w:bookmarkEnd w:id="1073"/>
            <w:bookmarkEnd w:id="1074"/>
            <w:bookmarkEnd w:id="1075"/>
            <w:bookmarkEnd w:id="1076"/>
            <w:bookmarkEnd w:id="1077"/>
            <w:bookmarkEnd w:id="1078"/>
            <w:bookmarkEnd w:id="1079"/>
            <w:r>
              <w:t xml:space="preserve"> </w:t>
            </w:r>
          </w:p>
          <w:p w14:paraId="49A4E210" w14:textId="6BE451BF" w:rsidR="00FB3858" w:rsidRDefault="00A757A6" w:rsidP="00735561">
            <w:bookmarkStart w:id="1080" w:name="_Toc520705291"/>
            <w:bookmarkStart w:id="1081" w:name="_Toc520707649"/>
            <w:bookmarkStart w:id="1082" w:name="_Toc520716663"/>
            <w:bookmarkStart w:id="1083" w:name="_Toc520720312"/>
            <w:bookmarkStart w:id="1084" w:name="_Toc520720985"/>
            <w:bookmarkStart w:id="1085" w:name="_Toc520721563"/>
            <w:bookmarkStart w:id="1086" w:name="_Toc520724095"/>
            <w:bookmarkStart w:id="1087" w:name="_Toc520735199"/>
            <w:bookmarkStart w:id="1088" w:name="_Toc520736232"/>
            <w:bookmarkStart w:id="1089" w:name="_Toc520736651"/>
            <w:r>
              <w:t xml:space="preserve">Q. </w:t>
            </w:r>
            <w:r w:rsidR="00363A9B">
              <w:fldChar w:fldCharType="begin"/>
            </w:r>
            <w:r w:rsidR="00363A9B">
              <w:instrText xml:space="preserve"> SEQ Q. </w:instrText>
            </w:r>
            <w:r w:rsidR="00363A9B">
              <w:instrText xml:space="preserve">\* ARABIC </w:instrText>
            </w:r>
            <w:r w:rsidR="00363A9B">
              <w:fldChar w:fldCharType="separate"/>
            </w:r>
            <w:r w:rsidR="00AD7AD8">
              <w:rPr>
                <w:noProof/>
              </w:rPr>
              <w:t>17</w:t>
            </w:r>
            <w:r w:rsidR="00363A9B">
              <w:rPr>
                <w:noProof/>
              </w:rPr>
              <w:fldChar w:fldCharType="end"/>
            </w:r>
            <w:r>
              <w:t xml:space="preserve"> </w:t>
            </w:r>
            <w:r>
              <w:tab/>
              <w:t xml:space="preserve">Should facilities be able to use the same emission reductions to meet safeguard </w:t>
            </w:r>
            <w:r w:rsidR="00974DF2">
              <w:t xml:space="preserve">mechanism </w:t>
            </w:r>
            <w:r>
              <w:t>and Emissions Reduction Fund contract obligations?</w:t>
            </w:r>
            <w:bookmarkEnd w:id="1080"/>
            <w:bookmarkEnd w:id="1081"/>
            <w:bookmarkEnd w:id="1082"/>
            <w:bookmarkEnd w:id="1083"/>
            <w:bookmarkEnd w:id="1084"/>
            <w:bookmarkEnd w:id="1085"/>
            <w:bookmarkEnd w:id="1086"/>
            <w:bookmarkEnd w:id="1087"/>
            <w:bookmarkEnd w:id="1088"/>
            <w:bookmarkEnd w:id="1089"/>
          </w:p>
          <w:p w14:paraId="213220C2" w14:textId="6B84C412" w:rsidR="00735561" w:rsidRDefault="00735561" w:rsidP="0073569F">
            <w:bookmarkStart w:id="1090" w:name="_Toc520705292"/>
            <w:bookmarkStart w:id="1091" w:name="_Toc520707650"/>
            <w:bookmarkStart w:id="1092" w:name="_Toc520716664"/>
            <w:bookmarkStart w:id="1093" w:name="_Toc520720313"/>
            <w:bookmarkStart w:id="1094" w:name="_Toc520720986"/>
            <w:bookmarkStart w:id="1095" w:name="_Toc520721564"/>
            <w:bookmarkStart w:id="1096" w:name="_Toc520724096"/>
            <w:bookmarkStart w:id="1097" w:name="_Toc520735200"/>
            <w:bookmarkStart w:id="1098" w:name="_Toc520736233"/>
            <w:bookmarkStart w:id="1099" w:name="_Toc520736652"/>
            <w:r>
              <w:t xml:space="preserve">Q. </w:t>
            </w:r>
            <w:r w:rsidR="00363A9B">
              <w:fldChar w:fldCharType="begin"/>
            </w:r>
            <w:r w:rsidR="00363A9B">
              <w:instrText xml:space="preserve"> SEQ Q. \* ARABIC </w:instrText>
            </w:r>
            <w:r w:rsidR="00363A9B">
              <w:fldChar w:fldCharType="separate"/>
            </w:r>
            <w:r w:rsidR="00AD7AD8">
              <w:rPr>
                <w:noProof/>
              </w:rPr>
              <w:t>18</w:t>
            </w:r>
            <w:r w:rsidR="00363A9B">
              <w:rPr>
                <w:noProof/>
              </w:rPr>
              <w:fldChar w:fldCharType="end"/>
            </w:r>
            <w:r>
              <w:t xml:space="preserve"> </w:t>
            </w:r>
            <w:r>
              <w:tab/>
              <w:t xml:space="preserve">What actions are facilities taking to meet safeguard </w:t>
            </w:r>
            <w:r w:rsidR="00974DF2">
              <w:t xml:space="preserve">mechanism </w:t>
            </w:r>
            <w:r>
              <w:t>obligations and are the options available to facilities to manage their excess emissions effective and efficient?</w:t>
            </w:r>
            <w:bookmarkEnd w:id="1034"/>
            <w:bookmarkEnd w:id="1035"/>
            <w:bookmarkEnd w:id="1036"/>
            <w:bookmarkEnd w:id="1037"/>
            <w:bookmarkEnd w:id="1038"/>
            <w:bookmarkEnd w:id="1039"/>
            <w:bookmarkEnd w:id="1040"/>
            <w:bookmarkEnd w:id="1041"/>
            <w:bookmarkEnd w:id="1042"/>
            <w:bookmarkEnd w:id="1090"/>
            <w:bookmarkEnd w:id="1091"/>
            <w:bookmarkEnd w:id="1092"/>
            <w:bookmarkEnd w:id="1093"/>
            <w:bookmarkEnd w:id="1094"/>
            <w:bookmarkEnd w:id="1095"/>
            <w:bookmarkEnd w:id="1096"/>
            <w:bookmarkEnd w:id="1097"/>
            <w:bookmarkEnd w:id="1098"/>
            <w:bookmarkEnd w:id="1099"/>
          </w:p>
        </w:tc>
      </w:tr>
    </w:tbl>
    <w:p w14:paraId="215473C2" w14:textId="77777777" w:rsidR="00735561" w:rsidRDefault="00735561" w:rsidP="00735561"/>
    <w:p w14:paraId="3DE45FBF" w14:textId="77777777" w:rsidR="001C731F" w:rsidRDefault="001C731F" w:rsidP="001C731F"/>
    <w:p w14:paraId="15F950E8" w14:textId="18A19C97" w:rsidR="00E148EB" w:rsidRPr="00E148EB" w:rsidRDefault="00E148EB" w:rsidP="004240E8">
      <w:pPr>
        <w:pStyle w:val="Heading1"/>
        <w:numPr>
          <w:ilvl w:val="0"/>
          <w:numId w:val="14"/>
        </w:numPr>
      </w:pPr>
      <w:bookmarkStart w:id="1100" w:name="_Toc519166188"/>
      <w:bookmarkStart w:id="1101" w:name="_Toc519240555"/>
      <w:bookmarkStart w:id="1102" w:name="_Toc519240683"/>
      <w:bookmarkStart w:id="1103" w:name="_Ref519766220"/>
      <w:bookmarkStart w:id="1104" w:name="_Toc520448584"/>
      <w:bookmarkStart w:id="1105" w:name="_Toc520455260"/>
      <w:bookmarkStart w:id="1106" w:name="_Toc520459059"/>
      <w:bookmarkStart w:id="1107" w:name="_Toc520459453"/>
      <w:bookmarkStart w:id="1108" w:name="_Toc520458581"/>
      <w:bookmarkStart w:id="1109" w:name="_Toc520459535"/>
      <w:bookmarkStart w:id="1110" w:name="_Toc520461451"/>
      <w:bookmarkStart w:id="1111" w:name="_Toc520461813"/>
      <w:bookmarkStart w:id="1112" w:name="_Toc520466842"/>
      <w:bookmarkStart w:id="1113" w:name="_Toc520469879"/>
      <w:bookmarkStart w:id="1114" w:name="_Toc520705336"/>
      <w:bookmarkStart w:id="1115" w:name="_Toc520707700"/>
      <w:bookmarkStart w:id="1116" w:name="_Ref520715379"/>
      <w:bookmarkStart w:id="1117" w:name="_Toc520716715"/>
      <w:bookmarkStart w:id="1118" w:name="_Toc520720362"/>
      <w:bookmarkStart w:id="1119" w:name="_Toc520721613"/>
      <w:bookmarkStart w:id="1120" w:name="_Toc520724146"/>
      <w:bookmarkStart w:id="1121" w:name="_Toc520735251"/>
      <w:bookmarkStart w:id="1122" w:name="_Toc520736284"/>
      <w:bookmarkStart w:id="1123" w:name="_Toc520736703"/>
      <w:r>
        <w:lastRenderedPageBreak/>
        <w:t>Data use and publication</w:t>
      </w:r>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p>
    <w:p w14:paraId="3B0A93A0" w14:textId="6B7D4C8D" w:rsidR="00954E33" w:rsidRDefault="00954E33" w:rsidP="00954E33">
      <w:r>
        <w:t xml:space="preserve">The National Greenhouse and Energy Reporting legislation makes provision for data collected under the Act to be published, shared and used to inform government policy </w:t>
      </w:r>
      <w:r w:rsidR="0090096A">
        <w:t>formulation</w:t>
      </w:r>
      <w:r>
        <w:t xml:space="preserve"> and the Australian public. </w:t>
      </w:r>
    </w:p>
    <w:p w14:paraId="47A7A003" w14:textId="4A3DCCD3" w:rsidR="00735561" w:rsidRDefault="00735561" w:rsidP="00883094">
      <w:pPr>
        <w:pStyle w:val="Heading2"/>
      </w:pPr>
      <w:bookmarkStart w:id="1124" w:name="_Toc519166189"/>
      <w:bookmarkStart w:id="1125" w:name="_Toc519240556"/>
      <w:bookmarkStart w:id="1126" w:name="_Toc519240684"/>
      <w:bookmarkStart w:id="1127" w:name="_Toc520448585"/>
      <w:bookmarkStart w:id="1128" w:name="_Toc520455261"/>
      <w:bookmarkStart w:id="1129" w:name="_Toc520459060"/>
      <w:bookmarkStart w:id="1130" w:name="_Toc520459454"/>
      <w:bookmarkStart w:id="1131" w:name="_Toc520458582"/>
      <w:bookmarkStart w:id="1132" w:name="_Toc520459536"/>
      <w:bookmarkStart w:id="1133" w:name="_Toc520461452"/>
      <w:bookmarkStart w:id="1134" w:name="_Toc520461814"/>
      <w:bookmarkStart w:id="1135" w:name="_Toc520466843"/>
      <w:bookmarkStart w:id="1136" w:name="_Toc520469880"/>
      <w:bookmarkStart w:id="1137" w:name="_Toc520705337"/>
      <w:bookmarkStart w:id="1138" w:name="_Toc520707701"/>
      <w:bookmarkStart w:id="1139" w:name="_Toc520716716"/>
      <w:bookmarkStart w:id="1140" w:name="_Toc520720363"/>
      <w:bookmarkStart w:id="1141" w:name="_Toc520721614"/>
      <w:bookmarkStart w:id="1142" w:name="_Toc520724147"/>
      <w:bookmarkStart w:id="1143" w:name="_Toc520735252"/>
      <w:bookmarkStart w:id="1144" w:name="_Toc520736285"/>
      <w:bookmarkStart w:id="1145" w:name="_Toc520736704"/>
      <w:r>
        <w:t>Rules for data publication</w:t>
      </w:r>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p>
    <w:p w14:paraId="438E205D" w14:textId="10E7C353" w:rsidR="00954E33" w:rsidRDefault="00954E33" w:rsidP="00954E33">
      <w:r>
        <w:t xml:space="preserve">The legislation requires the Clean Energy Regulator publish information about companies registered under the Act and their greenhouse gas emissions and energy </w:t>
      </w:r>
      <w:r w:rsidR="00FB3858">
        <w:t xml:space="preserve">production </w:t>
      </w:r>
      <w:r>
        <w:t xml:space="preserve">and use. The </w:t>
      </w:r>
      <w:r w:rsidR="006D3F81">
        <w:t>Regulator</w:t>
      </w:r>
      <w:r w:rsidR="006D3F81" w:rsidDel="006D3F81">
        <w:t xml:space="preserve"> </w:t>
      </w:r>
      <w:r>
        <w:t xml:space="preserve">must also publish information about greenhouse and energy auditors </w:t>
      </w:r>
      <w:r w:rsidR="00EE0B07">
        <w:t xml:space="preserve">  </w:t>
      </w:r>
      <w:r>
        <w:t xml:space="preserve"> (</w:t>
      </w:r>
      <w:r w:rsidR="00290309">
        <w:fldChar w:fldCharType="begin"/>
      </w:r>
      <w:r w:rsidR="00290309">
        <w:instrText xml:space="preserve"> REF _Ref520716071 \r \h </w:instrText>
      </w:r>
      <w:r w:rsidR="00290309">
        <w:fldChar w:fldCharType="separate"/>
      </w:r>
      <w:r w:rsidR="005F011A">
        <w:t>Chapter 5</w:t>
      </w:r>
      <w:r w:rsidR="00290309">
        <w:fldChar w:fldCharType="end"/>
      </w:r>
      <w:r>
        <w:t>).</w:t>
      </w:r>
      <w:r w:rsidR="008C5307">
        <w:t xml:space="preserve"> </w:t>
      </w:r>
    </w:p>
    <w:p w14:paraId="3E7C5EE9" w14:textId="69D13A32" w:rsidR="00954E33" w:rsidRDefault="00954E33" w:rsidP="00883094">
      <w:pPr>
        <w:pStyle w:val="Heading3"/>
      </w:pPr>
      <w:r>
        <w:t xml:space="preserve">National Greenhouse and Energy Register and </w:t>
      </w:r>
      <w:r w:rsidR="00675BE4">
        <w:t>Reporting</w:t>
      </w:r>
      <w:r>
        <w:t xml:space="preserve"> data</w:t>
      </w:r>
    </w:p>
    <w:p w14:paraId="4451E34A" w14:textId="40847034" w:rsidR="00954E33" w:rsidRDefault="00954E33" w:rsidP="00954E33">
      <w:r>
        <w:t xml:space="preserve">The </w:t>
      </w:r>
      <w:r w:rsidR="006D3F81">
        <w:t>Regulator</w:t>
      </w:r>
      <w:r w:rsidR="006D3F81" w:rsidDel="006D3F81">
        <w:t xml:space="preserve"> </w:t>
      </w:r>
      <w:r>
        <w:t>maintains a National Greenhouse and Energy Register includ</w:t>
      </w:r>
      <w:r w:rsidR="004A6FCC">
        <w:t>ing</w:t>
      </w:r>
      <w:r>
        <w:t xml:space="preserve"> information about companies </w:t>
      </w:r>
      <w:r w:rsidR="00231B6D">
        <w:t xml:space="preserve">that report under the scheme </w:t>
      </w:r>
      <w:r w:rsidRPr="005027BE">
        <w:t>and their emissions and energy data</w:t>
      </w:r>
      <w:r>
        <w:t xml:space="preserve">. The </w:t>
      </w:r>
      <w:r w:rsidR="006D3F81">
        <w:t>Regulator</w:t>
      </w:r>
      <w:r w:rsidR="006D3F81" w:rsidDel="006D3F81">
        <w:t xml:space="preserve"> </w:t>
      </w:r>
      <w:r>
        <w:t xml:space="preserve">publishes </w:t>
      </w:r>
      <w:r w:rsidR="005027BE">
        <w:t>much</w:t>
      </w:r>
      <w:r>
        <w:t xml:space="preserve"> of this data on its website. </w:t>
      </w:r>
      <w:r w:rsidR="006D3F81">
        <w:t>It</w:t>
      </w:r>
      <w:r>
        <w:t xml:space="preserve"> is required to publish company level emissions and energy data by 28</w:t>
      </w:r>
      <w:r w:rsidR="00DD60BA">
        <w:t> </w:t>
      </w:r>
      <w:r>
        <w:t xml:space="preserve">February for the previous financial year. To ensure data is not published in a way that identifies smaller companies and raises confidentiality concerns, the </w:t>
      </w:r>
      <w:r w:rsidR="006A4855">
        <w:t>legislation</w:t>
      </w:r>
      <w:r>
        <w:t xml:space="preserve"> states the </w:t>
      </w:r>
      <w:r w:rsidR="006D3F81">
        <w:t>Regulator</w:t>
      </w:r>
      <w:r w:rsidR="006D3F81" w:rsidDel="006D3F81">
        <w:t xml:space="preserve"> </w:t>
      </w:r>
      <w:r>
        <w:t>must not publish information about a company if their emissions and energy data are less than the publication threshold (</w:t>
      </w:r>
      <w:r w:rsidR="00A60FF7">
        <w:fldChar w:fldCharType="begin"/>
      </w:r>
      <w:r w:rsidR="00A60FF7">
        <w:instrText xml:space="preserve"> REF _Ref520733246 \h </w:instrText>
      </w:r>
      <w:r w:rsidR="00A60FF7">
        <w:fldChar w:fldCharType="separate"/>
      </w:r>
      <w:r w:rsidR="00A60FF7">
        <w:t xml:space="preserve">Table </w:t>
      </w:r>
      <w:r w:rsidR="00A60FF7">
        <w:rPr>
          <w:noProof/>
        </w:rPr>
        <w:t>3</w:t>
      </w:r>
      <w:r w:rsidR="00A60FF7">
        <w:fldChar w:fldCharType="end"/>
      </w:r>
      <w:r>
        <w:t xml:space="preserve">). However, </w:t>
      </w:r>
      <w:r w:rsidR="006D3F81">
        <w:t>it</w:t>
      </w:r>
      <w:r>
        <w:t xml:space="preserve"> may publish a range within which emissions and energy values fall. </w:t>
      </w:r>
    </w:p>
    <w:p w14:paraId="7663C44F" w14:textId="34771285" w:rsidR="00735561" w:rsidRDefault="00735561" w:rsidP="00735561">
      <w:pPr>
        <w:pStyle w:val="Caption"/>
      </w:pPr>
      <w:bookmarkStart w:id="1146" w:name="_Ref520733246"/>
      <w:bookmarkStart w:id="1147" w:name="_Toc519166213"/>
      <w:bookmarkStart w:id="1148" w:name="_Toc519240580"/>
      <w:bookmarkStart w:id="1149" w:name="_Toc519240647"/>
      <w:bookmarkStart w:id="1150" w:name="_Toc520461415"/>
      <w:bookmarkStart w:id="1151" w:name="_Toc520461781"/>
      <w:bookmarkStart w:id="1152" w:name="_Toc520707670"/>
      <w:bookmarkStart w:id="1153" w:name="_Toc520716684"/>
      <w:bookmarkStart w:id="1154" w:name="_Toc520720332"/>
      <w:bookmarkStart w:id="1155" w:name="_Toc520721583"/>
      <w:bookmarkStart w:id="1156" w:name="_Toc520724116"/>
      <w:bookmarkStart w:id="1157" w:name="_Toc520735220"/>
      <w:bookmarkStart w:id="1158" w:name="_Toc520736253"/>
      <w:bookmarkStart w:id="1159" w:name="_Toc520736672"/>
      <w:r>
        <w:t xml:space="preserve">Table </w:t>
      </w:r>
      <w:r w:rsidR="00363A9B">
        <w:fldChar w:fldCharType="begin"/>
      </w:r>
      <w:r w:rsidR="00363A9B">
        <w:instrText xml:space="preserve"> SEQ Table \* ARABIC </w:instrText>
      </w:r>
      <w:r w:rsidR="00363A9B">
        <w:fldChar w:fldCharType="separate"/>
      </w:r>
      <w:r w:rsidR="00AD7AD8">
        <w:rPr>
          <w:noProof/>
        </w:rPr>
        <w:t>3</w:t>
      </w:r>
      <w:r w:rsidR="00363A9B">
        <w:rPr>
          <w:noProof/>
        </w:rPr>
        <w:fldChar w:fldCharType="end"/>
      </w:r>
      <w:bookmarkEnd w:id="1146"/>
      <w:r>
        <w:t>: Publication thresholds</w:t>
      </w:r>
      <w:bookmarkEnd w:id="1147"/>
      <w:bookmarkEnd w:id="1148"/>
      <w:bookmarkEnd w:id="1149"/>
      <w:bookmarkEnd w:id="1150"/>
      <w:bookmarkEnd w:id="1151"/>
      <w:bookmarkEnd w:id="1152"/>
      <w:bookmarkEnd w:id="1153"/>
      <w:bookmarkEnd w:id="1154"/>
      <w:bookmarkEnd w:id="1155"/>
      <w:bookmarkEnd w:id="1156"/>
      <w:bookmarkEnd w:id="1157"/>
      <w:bookmarkEnd w:id="1158"/>
      <w:bookmarkEnd w:id="1159"/>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94"/>
        <w:gridCol w:w="2660"/>
        <w:gridCol w:w="2558"/>
      </w:tblGrid>
      <w:tr w:rsidR="00954E33" w:rsidRPr="00903F38" w14:paraId="30078E96" w14:textId="77777777" w:rsidTr="00735561">
        <w:trPr>
          <w:cnfStyle w:val="100000000000" w:firstRow="1" w:lastRow="0" w:firstColumn="0" w:lastColumn="0" w:oddVBand="0" w:evenVBand="0" w:oddHBand="0" w:evenHBand="0" w:firstRowFirstColumn="0" w:firstRowLastColumn="0" w:lastRowFirstColumn="0" w:lastRowLastColumn="0"/>
          <w:trHeight w:val="374"/>
        </w:trPr>
        <w:tc>
          <w:tcPr>
            <w:tcW w:w="3994" w:type="dxa"/>
            <w:shd w:val="clear" w:color="auto" w:fill="159DCE"/>
          </w:tcPr>
          <w:p w14:paraId="63972F62" w14:textId="77777777" w:rsidR="00954E33" w:rsidRPr="00216EBF" w:rsidRDefault="00954E33" w:rsidP="00802E5D">
            <w:pPr>
              <w:pStyle w:val="Bodytext"/>
              <w:spacing w:before="60" w:after="60"/>
              <w:rPr>
                <w:rFonts w:cs="Arial"/>
                <w:b/>
                <w:sz w:val="16"/>
                <w:szCs w:val="16"/>
              </w:rPr>
            </w:pPr>
          </w:p>
        </w:tc>
        <w:tc>
          <w:tcPr>
            <w:tcW w:w="2660" w:type="dxa"/>
            <w:shd w:val="clear" w:color="auto" w:fill="159DCE"/>
          </w:tcPr>
          <w:p w14:paraId="3A01A090" w14:textId="3946F8BF" w:rsidR="00954E33" w:rsidRPr="00216EBF" w:rsidRDefault="00FB3858" w:rsidP="002447F6">
            <w:pPr>
              <w:pStyle w:val="Bodytext"/>
              <w:spacing w:before="60" w:after="60"/>
              <w:jc w:val="right"/>
              <w:rPr>
                <w:rFonts w:cs="Arial"/>
                <w:b/>
                <w:color w:val="FFFFFF" w:themeColor="background1"/>
                <w:sz w:val="16"/>
                <w:szCs w:val="16"/>
              </w:rPr>
            </w:pPr>
            <w:r>
              <w:rPr>
                <w:rFonts w:cs="Arial"/>
                <w:b/>
                <w:color w:val="FFFFFF" w:themeColor="background1"/>
                <w:sz w:val="16"/>
                <w:szCs w:val="16"/>
              </w:rPr>
              <w:t>Combined scope 1 and scope 2 emissions (Kt CO</w:t>
            </w:r>
            <w:r w:rsidRPr="00845DB5">
              <w:rPr>
                <w:rFonts w:cs="Arial"/>
                <w:b/>
                <w:color w:val="FFFFFF" w:themeColor="background1"/>
                <w:sz w:val="16"/>
                <w:szCs w:val="16"/>
                <w:vertAlign w:val="subscript"/>
              </w:rPr>
              <w:t>2</w:t>
            </w:r>
            <w:r>
              <w:rPr>
                <w:rFonts w:cs="Arial"/>
                <w:b/>
                <w:color w:val="FFFFFF" w:themeColor="background1"/>
                <w:sz w:val="16"/>
                <w:szCs w:val="16"/>
              </w:rPr>
              <w:t>-e)</w:t>
            </w:r>
          </w:p>
        </w:tc>
        <w:tc>
          <w:tcPr>
            <w:tcW w:w="2558" w:type="dxa"/>
            <w:shd w:val="clear" w:color="auto" w:fill="159DCE"/>
          </w:tcPr>
          <w:p w14:paraId="6B79859B" w14:textId="72C19B7D" w:rsidR="00954E33" w:rsidRPr="00216EBF" w:rsidRDefault="00FB3858" w:rsidP="00802E5D">
            <w:pPr>
              <w:pStyle w:val="Bodytext"/>
              <w:spacing w:before="60" w:after="60"/>
              <w:jc w:val="right"/>
              <w:rPr>
                <w:rFonts w:cs="Arial"/>
                <w:b/>
                <w:color w:val="FFFFFF" w:themeColor="background1"/>
                <w:sz w:val="16"/>
                <w:szCs w:val="16"/>
              </w:rPr>
            </w:pPr>
            <w:r>
              <w:rPr>
                <w:rFonts w:cs="Arial"/>
                <w:b/>
                <w:color w:val="FFFFFF" w:themeColor="background1"/>
                <w:sz w:val="16"/>
                <w:szCs w:val="16"/>
              </w:rPr>
              <w:t>Production or use of energy (TJ)</w:t>
            </w:r>
            <w:r w:rsidR="00523D91" w:rsidRPr="00523D91">
              <w:rPr>
                <w:rFonts w:cs="Arial"/>
                <w:b/>
                <w:color w:val="FFFFFF" w:themeColor="background1"/>
                <w:sz w:val="16"/>
                <w:szCs w:val="16"/>
              </w:rPr>
              <w:t xml:space="preserve"> </w:t>
            </w:r>
          </w:p>
        </w:tc>
      </w:tr>
      <w:tr w:rsidR="00954E33" w:rsidRPr="00903F38" w14:paraId="694167D9" w14:textId="77777777" w:rsidTr="00735561">
        <w:trPr>
          <w:cnfStyle w:val="000000100000" w:firstRow="0" w:lastRow="0" w:firstColumn="0" w:lastColumn="0" w:oddVBand="0" w:evenVBand="0" w:oddHBand="1" w:evenHBand="0" w:firstRowFirstColumn="0" w:firstRowLastColumn="0" w:lastRowFirstColumn="0" w:lastRowLastColumn="0"/>
          <w:trHeight w:val="227"/>
        </w:trPr>
        <w:tc>
          <w:tcPr>
            <w:tcW w:w="3994" w:type="dxa"/>
            <w:tcBorders>
              <w:bottom w:val="dotted" w:sz="4" w:space="0" w:color="auto"/>
            </w:tcBorders>
          </w:tcPr>
          <w:p w14:paraId="2CF5CCF6" w14:textId="0876FE07" w:rsidR="00954E33" w:rsidRPr="00216EBF" w:rsidRDefault="00FB3858">
            <w:pPr>
              <w:pStyle w:val="Bodytext"/>
              <w:spacing w:before="60" w:after="60"/>
              <w:rPr>
                <w:rFonts w:cs="Arial"/>
                <w:b/>
                <w:sz w:val="16"/>
                <w:szCs w:val="16"/>
              </w:rPr>
            </w:pPr>
            <w:r w:rsidRPr="00523D91">
              <w:rPr>
                <w:rFonts w:cs="Arial"/>
                <w:b/>
                <w:sz w:val="16"/>
                <w:szCs w:val="16"/>
              </w:rPr>
              <w:t>C</w:t>
            </w:r>
            <w:r>
              <w:rPr>
                <w:rFonts w:cs="Arial"/>
                <w:b/>
                <w:sz w:val="16"/>
                <w:szCs w:val="16"/>
              </w:rPr>
              <w:t>ompanies</w:t>
            </w:r>
          </w:p>
        </w:tc>
        <w:tc>
          <w:tcPr>
            <w:tcW w:w="2660" w:type="dxa"/>
            <w:tcBorders>
              <w:bottom w:val="dotted" w:sz="4" w:space="0" w:color="auto"/>
            </w:tcBorders>
          </w:tcPr>
          <w:p w14:paraId="6CC4C33E" w14:textId="77777777" w:rsidR="00954E33" w:rsidRPr="00216EBF" w:rsidRDefault="00954E33" w:rsidP="00802E5D">
            <w:pPr>
              <w:pStyle w:val="Bodytext"/>
              <w:spacing w:before="60" w:after="60"/>
              <w:jc w:val="right"/>
              <w:rPr>
                <w:rFonts w:cs="Arial"/>
                <w:sz w:val="16"/>
                <w:szCs w:val="16"/>
              </w:rPr>
            </w:pPr>
            <w:r w:rsidRPr="00216EBF">
              <w:rPr>
                <w:rFonts w:cs="Arial"/>
                <w:sz w:val="16"/>
                <w:szCs w:val="16"/>
              </w:rPr>
              <w:t>50</w:t>
            </w:r>
          </w:p>
        </w:tc>
        <w:tc>
          <w:tcPr>
            <w:tcW w:w="2558" w:type="dxa"/>
            <w:tcBorders>
              <w:bottom w:val="dotted" w:sz="4" w:space="0" w:color="auto"/>
            </w:tcBorders>
          </w:tcPr>
          <w:p w14:paraId="53832579" w14:textId="77777777" w:rsidR="00954E33" w:rsidRPr="00216EBF" w:rsidRDefault="00954E33" w:rsidP="00802E5D">
            <w:pPr>
              <w:pStyle w:val="Bodytext"/>
              <w:spacing w:before="60" w:after="60"/>
              <w:jc w:val="right"/>
              <w:rPr>
                <w:rFonts w:cs="Arial"/>
                <w:sz w:val="16"/>
                <w:szCs w:val="16"/>
              </w:rPr>
            </w:pPr>
            <w:r w:rsidRPr="00216EBF">
              <w:rPr>
                <w:rFonts w:cs="Arial"/>
                <w:sz w:val="16"/>
                <w:szCs w:val="16"/>
              </w:rPr>
              <w:t>200</w:t>
            </w:r>
          </w:p>
        </w:tc>
      </w:tr>
      <w:tr w:rsidR="00954E33" w:rsidRPr="00903F38" w14:paraId="4B8CAEE4" w14:textId="77777777" w:rsidTr="00735561">
        <w:trPr>
          <w:cnfStyle w:val="000000010000" w:firstRow="0" w:lastRow="0" w:firstColumn="0" w:lastColumn="0" w:oddVBand="0" w:evenVBand="0" w:oddHBand="0" w:evenHBand="1" w:firstRowFirstColumn="0" w:firstRowLastColumn="0" w:lastRowFirstColumn="0" w:lastRowLastColumn="0"/>
          <w:trHeight w:val="227"/>
        </w:trPr>
        <w:tc>
          <w:tcPr>
            <w:tcW w:w="3994" w:type="dxa"/>
            <w:tcBorders>
              <w:top w:val="dotted" w:sz="4" w:space="0" w:color="auto"/>
              <w:bottom w:val="dotted" w:sz="4" w:space="0" w:color="auto"/>
            </w:tcBorders>
          </w:tcPr>
          <w:p w14:paraId="0D39E852" w14:textId="57FC1082" w:rsidR="00954E33" w:rsidRPr="00216EBF" w:rsidRDefault="00FB3858" w:rsidP="00802E5D">
            <w:pPr>
              <w:pStyle w:val="Bodytext"/>
              <w:spacing w:before="60" w:after="60"/>
              <w:rPr>
                <w:rFonts w:cs="Arial"/>
                <w:b/>
                <w:sz w:val="16"/>
                <w:szCs w:val="16"/>
              </w:rPr>
            </w:pPr>
            <w:r>
              <w:rPr>
                <w:rFonts w:cs="Arial"/>
                <w:b/>
                <w:sz w:val="16"/>
                <w:szCs w:val="16"/>
              </w:rPr>
              <w:t>Reporting transfer certificate holders</w:t>
            </w:r>
          </w:p>
        </w:tc>
        <w:tc>
          <w:tcPr>
            <w:tcW w:w="2660" w:type="dxa"/>
            <w:tcBorders>
              <w:top w:val="dotted" w:sz="4" w:space="0" w:color="auto"/>
              <w:bottom w:val="dotted" w:sz="4" w:space="0" w:color="auto"/>
            </w:tcBorders>
          </w:tcPr>
          <w:p w14:paraId="01924844" w14:textId="77777777" w:rsidR="00954E33" w:rsidRPr="00216EBF" w:rsidRDefault="00954E33" w:rsidP="00802E5D">
            <w:pPr>
              <w:pStyle w:val="Bodytext"/>
              <w:spacing w:before="60" w:after="60"/>
              <w:jc w:val="right"/>
              <w:rPr>
                <w:rFonts w:cs="Arial"/>
                <w:sz w:val="16"/>
                <w:szCs w:val="16"/>
              </w:rPr>
            </w:pPr>
            <w:r w:rsidRPr="00216EBF">
              <w:rPr>
                <w:rFonts w:cs="Arial"/>
                <w:sz w:val="16"/>
                <w:szCs w:val="16"/>
              </w:rPr>
              <w:t>25</w:t>
            </w:r>
          </w:p>
        </w:tc>
        <w:tc>
          <w:tcPr>
            <w:tcW w:w="2558" w:type="dxa"/>
            <w:tcBorders>
              <w:top w:val="dotted" w:sz="4" w:space="0" w:color="auto"/>
              <w:bottom w:val="dotted" w:sz="4" w:space="0" w:color="auto"/>
            </w:tcBorders>
          </w:tcPr>
          <w:p w14:paraId="63EB0E33" w14:textId="77777777" w:rsidR="00954E33" w:rsidRPr="00216EBF" w:rsidRDefault="00954E33" w:rsidP="00802E5D">
            <w:pPr>
              <w:pStyle w:val="Bodytext"/>
              <w:spacing w:before="60" w:after="60"/>
              <w:jc w:val="right"/>
              <w:rPr>
                <w:rFonts w:cs="Arial"/>
                <w:sz w:val="16"/>
                <w:szCs w:val="16"/>
              </w:rPr>
            </w:pPr>
            <w:r w:rsidRPr="00216EBF">
              <w:rPr>
                <w:rFonts w:cs="Arial"/>
                <w:sz w:val="16"/>
                <w:szCs w:val="16"/>
              </w:rPr>
              <w:t>100</w:t>
            </w:r>
          </w:p>
        </w:tc>
      </w:tr>
      <w:tr w:rsidR="00954E33" w:rsidRPr="00903F38" w14:paraId="4CEBC27D" w14:textId="77777777" w:rsidTr="00735561">
        <w:trPr>
          <w:cnfStyle w:val="000000100000" w:firstRow="0" w:lastRow="0" w:firstColumn="0" w:lastColumn="0" w:oddVBand="0" w:evenVBand="0" w:oddHBand="1" w:evenHBand="0" w:firstRowFirstColumn="0" w:firstRowLastColumn="0" w:lastRowFirstColumn="0" w:lastRowLastColumn="0"/>
          <w:trHeight w:val="227"/>
        </w:trPr>
        <w:tc>
          <w:tcPr>
            <w:tcW w:w="3994" w:type="dxa"/>
            <w:tcBorders>
              <w:top w:val="dotted" w:sz="4" w:space="0" w:color="auto"/>
              <w:bottom w:val="dotted" w:sz="4" w:space="0" w:color="auto"/>
            </w:tcBorders>
          </w:tcPr>
          <w:p w14:paraId="6F1E4980" w14:textId="6063E07E" w:rsidR="00954E33" w:rsidRPr="00216EBF" w:rsidRDefault="00FB3858" w:rsidP="00802E5D">
            <w:pPr>
              <w:pStyle w:val="Bodytext"/>
              <w:spacing w:before="60" w:after="60"/>
              <w:rPr>
                <w:rFonts w:cs="Arial"/>
                <w:b/>
                <w:sz w:val="16"/>
                <w:szCs w:val="16"/>
              </w:rPr>
            </w:pPr>
            <w:r>
              <w:rPr>
                <w:rFonts w:cs="Arial"/>
                <w:b/>
                <w:sz w:val="16"/>
                <w:szCs w:val="16"/>
              </w:rPr>
              <w:t>Electricity generators</w:t>
            </w:r>
            <w:r w:rsidR="00523D91" w:rsidRPr="00523D91">
              <w:rPr>
                <w:rFonts w:cs="Arial"/>
                <w:b/>
                <w:sz w:val="16"/>
                <w:szCs w:val="16"/>
              </w:rPr>
              <w:t xml:space="preserve"> </w:t>
            </w:r>
          </w:p>
        </w:tc>
        <w:tc>
          <w:tcPr>
            <w:tcW w:w="5218" w:type="dxa"/>
            <w:gridSpan w:val="2"/>
            <w:tcBorders>
              <w:top w:val="dotted" w:sz="4" w:space="0" w:color="auto"/>
              <w:bottom w:val="dotted" w:sz="4" w:space="0" w:color="auto"/>
            </w:tcBorders>
          </w:tcPr>
          <w:p w14:paraId="77F6AA2F" w14:textId="77777777" w:rsidR="00954E33" w:rsidRPr="00216EBF" w:rsidRDefault="00954E33" w:rsidP="00802E5D">
            <w:pPr>
              <w:pStyle w:val="Bodytext"/>
              <w:spacing w:before="60" w:after="60"/>
              <w:jc w:val="center"/>
              <w:rPr>
                <w:rFonts w:cs="Arial"/>
                <w:sz w:val="16"/>
                <w:szCs w:val="16"/>
              </w:rPr>
            </w:pPr>
            <w:r w:rsidRPr="00216EBF">
              <w:rPr>
                <w:rFonts w:cs="Arial"/>
                <w:sz w:val="16"/>
                <w:szCs w:val="16"/>
              </w:rPr>
              <w:t>No threshold</w:t>
            </w:r>
          </w:p>
        </w:tc>
      </w:tr>
    </w:tbl>
    <w:p w14:paraId="281EAC41" w14:textId="38B72CA9" w:rsidR="00954E33" w:rsidRDefault="00954E33" w:rsidP="00A00E4B">
      <w:pPr>
        <w:pStyle w:val="FootnoteText"/>
        <w:spacing w:before="120"/>
      </w:pPr>
      <w:r w:rsidRPr="00B151BC">
        <w:rPr>
          <w:b/>
        </w:rPr>
        <w:t>Note</w:t>
      </w:r>
      <w:r>
        <w:t>: A reporting transfer certificate allows the transfer of reporting obligations for a facility from a corporate group to another entity that has financial control of the facility.</w:t>
      </w:r>
      <w:r w:rsidR="00B17452">
        <w:br/>
      </w:r>
      <w:r w:rsidRPr="00B151BC">
        <w:rPr>
          <w:b/>
        </w:rPr>
        <w:t>Source</w:t>
      </w:r>
      <w:r>
        <w:t>: NGER Act</w:t>
      </w:r>
      <w:r w:rsidR="00F129D7">
        <w:t xml:space="preserve"> s 24</w:t>
      </w:r>
      <w:r>
        <w:t>.</w:t>
      </w:r>
    </w:p>
    <w:p w14:paraId="46D4E918" w14:textId="5293B015" w:rsidR="00954E33" w:rsidRDefault="00954E33" w:rsidP="00883094">
      <w:pPr>
        <w:pStyle w:val="Heading3"/>
      </w:pPr>
      <w:r>
        <w:t xml:space="preserve">Safeguard </w:t>
      </w:r>
      <w:r w:rsidR="00135B62">
        <w:t xml:space="preserve">mechanism </w:t>
      </w:r>
      <w:r>
        <w:t>data</w:t>
      </w:r>
    </w:p>
    <w:p w14:paraId="70FF074C" w14:textId="1448DB3E" w:rsidR="00954E33" w:rsidRDefault="00954E33" w:rsidP="00954E33">
      <w:r>
        <w:t xml:space="preserve">The </w:t>
      </w:r>
      <w:r w:rsidR="004A2535">
        <w:t>l</w:t>
      </w:r>
      <w:r>
        <w:t xml:space="preserve">egislation requires the </w:t>
      </w:r>
      <w:r w:rsidR="006D3F81">
        <w:t>Regulator</w:t>
      </w:r>
      <w:r w:rsidR="006D3F81" w:rsidDel="006D3F81">
        <w:t xml:space="preserve"> </w:t>
      </w:r>
      <w:r>
        <w:t xml:space="preserve">to publish certain safeguard </w:t>
      </w:r>
      <w:r w:rsidR="00135B62">
        <w:t xml:space="preserve">mechanism </w:t>
      </w:r>
      <w:r>
        <w:t xml:space="preserve">data </w:t>
      </w:r>
      <w:r w:rsidR="005A0C36">
        <w:t xml:space="preserve">for each reporting year after the 1 March compliance deadline </w:t>
      </w:r>
      <w:r>
        <w:t>(</w:t>
      </w:r>
      <w:r w:rsidR="00290309">
        <w:fldChar w:fldCharType="begin"/>
      </w:r>
      <w:r w:rsidR="00290309">
        <w:instrText xml:space="preserve"> REF _Ref520716107 \r \h </w:instrText>
      </w:r>
      <w:r w:rsidR="00290309">
        <w:fldChar w:fldCharType="separate"/>
      </w:r>
      <w:r w:rsidR="00AD7AD8">
        <w:t>Chapter 3</w:t>
      </w:r>
      <w:r w:rsidR="00290309">
        <w:fldChar w:fldCharType="end"/>
      </w:r>
      <w:r>
        <w:t>). This includes identifying the responsible emitter, its base</w:t>
      </w:r>
      <w:r>
        <w:lastRenderedPageBreak/>
        <w:t xml:space="preserve">line, annual emissions (including if it is above its baseline) and any Australian Carbon Credit Units surrendered. The </w:t>
      </w:r>
      <w:r w:rsidR="006D3F81">
        <w:t>Regulator</w:t>
      </w:r>
      <w:r w:rsidR="006D3F81" w:rsidDel="006D3F81">
        <w:t xml:space="preserve"> </w:t>
      </w:r>
      <w:r>
        <w:t xml:space="preserve">must also publish information about every safeguard baseline and baseline variation it makes. </w:t>
      </w:r>
      <w:r w:rsidR="006D3F81">
        <w:t>It</w:t>
      </w:r>
      <w:r>
        <w:t xml:space="preserve"> </w:t>
      </w:r>
      <w:r w:rsidR="00FB3858">
        <w:t xml:space="preserve">has </w:t>
      </w:r>
      <w:r w:rsidDel="00FB3858">
        <w:t>published</w:t>
      </w:r>
      <w:r>
        <w:t xml:space="preserve"> the full set of this data for 2016-17, the first year of the safeguard (CER 2018</w:t>
      </w:r>
      <w:r w:rsidR="005961CA">
        <w:t>a</w:t>
      </w:r>
      <w:r>
        <w:t>).</w:t>
      </w:r>
    </w:p>
    <w:p w14:paraId="1D606814" w14:textId="77777777" w:rsidR="00F129D7" w:rsidRDefault="00F129D7">
      <w:pPr>
        <w:spacing w:after="0" w:line="240" w:lineRule="auto"/>
      </w:pPr>
      <w:r>
        <w:br w:type="page"/>
      </w:r>
    </w:p>
    <w:p w14:paraId="7570401E" w14:textId="2F0852F1" w:rsidR="00FB3858" w:rsidRDefault="00954E33" w:rsidP="00954E33">
      <w:r>
        <w:lastRenderedPageBreak/>
        <w:t xml:space="preserve">The Authority is interested in </w:t>
      </w:r>
      <w:r w:rsidR="0090096A">
        <w:t>stakeholder</w:t>
      </w:r>
      <w:r w:rsidR="009157CD">
        <w:t>s’</w:t>
      </w:r>
      <w:r w:rsidR="0090096A">
        <w:t xml:space="preserve"> views on</w:t>
      </w:r>
      <w:r w:rsidR="00FB3858">
        <w:t>:</w:t>
      </w:r>
    </w:p>
    <w:p w14:paraId="4EE039BC" w14:textId="087619AE" w:rsidR="00FB3858" w:rsidRPr="00845DB5" w:rsidRDefault="00FB3858" w:rsidP="00845DB5">
      <w:pPr>
        <w:pStyle w:val="ListNumber"/>
        <w:keepNext/>
        <w:numPr>
          <w:ilvl w:val="0"/>
          <w:numId w:val="9"/>
        </w:numPr>
        <w:ind w:left="567"/>
        <w:rPr>
          <w:rFonts w:eastAsiaTheme="minorHAnsi" w:cstheme="minorBidi"/>
          <w:lang w:val="en-US"/>
        </w:rPr>
      </w:pPr>
      <w:r>
        <w:rPr>
          <w:rFonts w:eastAsiaTheme="minorHAnsi" w:cstheme="minorBidi"/>
          <w:lang w:val="en-US"/>
        </w:rPr>
        <w:t>t</w:t>
      </w:r>
      <w:r w:rsidRPr="00845DB5">
        <w:rPr>
          <w:rFonts w:eastAsiaTheme="minorHAnsi" w:cstheme="minorBidi"/>
          <w:lang w:val="en-US"/>
        </w:rPr>
        <w:t>he publication threshold</w:t>
      </w:r>
    </w:p>
    <w:p w14:paraId="4CB79E90" w14:textId="3A2B9F6C" w:rsidR="00FB3858" w:rsidRPr="00845DB5" w:rsidRDefault="0090096A" w:rsidP="00845DB5">
      <w:pPr>
        <w:pStyle w:val="ListNumber"/>
        <w:keepNext/>
        <w:numPr>
          <w:ilvl w:val="0"/>
          <w:numId w:val="9"/>
        </w:numPr>
        <w:ind w:left="567"/>
        <w:rPr>
          <w:rFonts w:eastAsiaTheme="minorHAnsi" w:cstheme="minorBidi"/>
          <w:lang w:val="en-US"/>
        </w:rPr>
      </w:pPr>
      <w:r w:rsidRPr="00845DB5">
        <w:rPr>
          <w:rFonts w:eastAsiaTheme="minorHAnsi" w:cstheme="minorBidi"/>
          <w:lang w:val="en-US"/>
        </w:rPr>
        <w:t>what is published</w:t>
      </w:r>
      <w:r w:rsidR="00FB3858" w:rsidRPr="00845DB5">
        <w:rPr>
          <w:rFonts w:eastAsiaTheme="minorHAnsi" w:cstheme="minorBidi"/>
          <w:lang w:val="en-US"/>
        </w:rPr>
        <w:t>, how it is published</w:t>
      </w:r>
      <w:r w:rsidRPr="00845DB5">
        <w:rPr>
          <w:rFonts w:eastAsiaTheme="minorHAnsi" w:cstheme="minorBidi"/>
          <w:lang w:val="en-US"/>
        </w:rPr>
        <w:t xml:space="preserve"> and when</w:t>
      </w:r>
      <w:r w:rsidR="00FB3858" w:rsidRPr="00845DB5">
        <w:rPr>
          <w:rFonts w:eastAsiaTheme="minorHAnsi" w:cstheme="minorBidi"/>
          <w:lang w:val="en-US"/>
        </w:rPr>
        <w:t>,</w:t>
      </w:r>
      <w:r w:rsidRPr="00845DB5">
        <w:rPr>
          <w:rFonts w:eastAsiaTheme="minorHAnsi" w:cstheme="minorBidi"/>
          <w:lang w:val="en-US"/>
        </w:rPr>
        <w:t xml:space="preserve"> and </w:t>
      </w:r>
      <w:r w:rsidR="00FB3858" w:rsidRPr="00845DB5">
        <w:rPr>
          <w:rFonts w:eastAsiaTheme="minorHAnsi" w:cstheme="minorBidi"/>
          <w:lang w:val="en-US"/>
        </w:rPr>
        <w:t>the data’s role in informing policy development and other purposes</w:t>
      </w:r>
    </w:p>
    <w:p w14:paraId="02C7D6B0" w14:textId="368FB43F" w:rsidR="00954E33" w:rsidRPr="00845DB5" w:rsidRDefault="00FB3858" w:rsidP="00845DB5">
      <w:pPr>
        <w:pStyle w:val="ListNumber"/>
        <w:keepNext/>
        <w:numPr>
          <w:ilvl w:val="0"/>
          <w:numId w:val="9"/>
        </w:numPr>
        <w:ind w:left="567"/>
        <w:rPr>
          <w:rFonts w:eastAsiaTheme="minorHAnsi" w:cstheme="minorBidi"/>
          <w:lang w:val="en-US"/>
        </w:rPr>
      </w:pPr>
      <w:r w:rsidRPr="00845DB5">
        <w:rPr>
          <w:rFonts w:eastAsiaTheme="minorHAnsi" w:cstheme="minorBidi"/>
          <w:lang w:val="en-US"/>
        </w:rPr>
        <w:t>i</w:t>
      </w:r>
      <w:r>
        <w:rPr>
          <w:rFonts w:eastAsiaTheme="minorHAnsi" w:cstheme="minorBidi"/>
          <w:lang w:val="en-US"/>
        </w:rPr>
        <w:t>f</w:t>
      </w:r>
      <w:r w:rsidRPr="00845DB5">
        <w:rPr>
          <w:rFonts w:eastAsiaTheme="minorHAnsi" w:cstheme="minorBidi"/>
          <w:lang w:val="en-US"/>
        </w:rPr>
        <w:t xml:space="preserve"> </w:t>
      </w:r>
      <w:r w:rsidR="00954E33" w:rsidRPr="00845DB5">
        <w:rPr>
          <w:rFonts w:eastAsiaTheme="minorHAnsi" w:cstheme="minorBidi"/>
          <w:lang w:val="en-US"/>
        </w:rPr>
        <w:t xml:space="preserve">there are reasons to expand or further limit the information that is published about </w:t>
      </w:r>
      <w:r w:rsidRPr="00845DB5">
        <w:rPr>
          <w:rFonts w:eastAsiaTheme="minorHAnsi" w:cstheme="minorBidi"/>
          <w:lang w:val="en-US"/>
        </w:rPr>
        <w:t xml:space="preserve">reporting entities and </w:t>
      </w:r>
      <w:r w:rsidR="00954E33" w:rsidRPr="00845DB5">
        <w:rPr>
          <w:rFonts w:eastAsiaTheme="minorHAnsi" w:cstheme="minorBidi"/>
          <w:lang w:val="en-US"/>
        </w:rPr>
        <w:t xml:space="preserve">safeguard facilities. </w:t>
      </w:r>
    </w:p>
    <w:p w14:paraId="4783DCF4" w14:textId="5B391CCA" w:rsidR="00954E33" w:rsidRDefault="00954E33" w:rsidP="00883094">
      <w:pPr>
        <w:pStyle w:val="Heading3"/>
      </w:pPr>
      <w:r>
        <w:t>Exemptions from publication</w:t>
      </w:r>
    </w:p>
    <w:p w14:paraId="28C04D44" w14:textId="4202AFB3" w:rsidR="00954E33" w:rsidRDefault="00954E33" w:rsidP="00954E33">
      <w:r>
        <w:t xml:space="preserve">A person or company can apply to have information </w:t>
      </w:r>
      <w:r w:rsidR="00403001">
        <w:t xml:space="preserve">reported under the legislation </w:t>
      </w:r>
      <w:r>
        <w:t>withheld from publication if the information is commercially sensitive (NGER Act s</w:t>
      </w:r>
      <w:r w:rsidR="00DD60BA">
        <w:t> </w:t>
      </w:r>
      <w:r>
        <w:t xml:space="preserve">25). </w:t>
      </w:r>
    </w:p>
    <w:p w14:paraId="215EE61B" w14:textId="71C531C4" w:rsidR="006C0CF3" w:rsidRDefault="006C0CF3" w:rsidP="00954E33">
      <w:r>
        <w:t xml:space="preserve">In practice, the </w:t>
      </w:r>
      <w:r w:rsidR="006D3F81">
        <w:t>Regulator</w:t>
      </w:r>
      <w:r w:rsidR="006D3F81" w:rsidDel="006D3F81">
        <w:t xml:space="preserve"> </w:t>
      </w:r>
      <w:r>
        <w:t xml:space="preserve">has rejected applications to withhold information from two companies in relation to reported emissions baselines for four facilities. Applications from five companies in relation to </w:t>
      </w:r>
      <w:r w:rsidR="00F129D7">
        <w:t>the publication of</w:t>
      </w:r>
      <w:r>
        <w:t xml:space="preserve"> reported or calculated baselines for 13 facilities are still being considered. </w:t>
      </w:r>
    </w:p>
    <w:p w14:paraId="4913DA31" w14:textId="186139D0" w:rsidR="00954E33" w:rsidRDefault="00954E33" w:rsidP="00954E33">
      <w:r>
        <w:t>The Authority is interested in stakeholder</w:t>
      </w:r>
      <w:r w:rsidR="000E7E2E">
        <w:t>s’</w:t>
      </w:r>
      <w:r>
        <w:t xml:space="preserve"> views on whether current publication arrangements effectively balance commercial sensitivities with data transparency.  </w:t>
      </w:r>
    </w:p>
    <w:p w14:paraId="19A67793" w14:textId="5E5298DA" w:rsidR="00954E33" w:rsidRDefault="00735561" w:rsidP="00883094">
      <w:pPr>
        <w:pStyle w:val="Heading2"/>
      </w:pPr>
      <w:bookmarkStart w:id="1160" w:name="_Toc519166190"/>
      <w:bookmarkStart w:id="1161" w:name="_Toc519240557"/>
      <w:bookmarkStart w:id="1162" w:name="_Toc519240685"/>
      <w:bookmarkStart w:id="1163" w:name="_Toc520448586"/>
      <w:bookmarkStart w:id="1164" w:name="_Toc520455262"/>
      <w:bookmarkStart w:id="1165" w:name="_Toc520459061"/>
      <w:bookmarkStart w:id="1166" w:name="_Toc520459455"/>
      <w:bookmarkStart w:id="1167" w:name="_Toc520458583"/>
      <w:bookmarkStart w:id="1168" w:name="_Toc520459537"/>
      <w:bookmarkStart w:id="1169" w:name="_Toc520461453"/>
      <w:bookmarkStart w:id="1170" w:name="_Toc520461815"/>
      <w:bookmarkStart w:id="1171" w:name="_Toc520466844"/>
      <w:bookmarkStart w:id="1172" w:name="_Toc520469881"/>
      <w:bookmarkStart w:id="1173" w:name="_Toc520705338"/>
      <w:bookmarkStart w:id="1174" w:name="_Toc520707702"/>
      <w:bookmarkStart w:id="1175" w:name="_Toc520716717"/>
      <w:bookmarkStart w:id="1176" w:name="_Toc520720364"/>
      <w:bookmarkStart w:id="1177" w:name="_Toc520721615"/>
      <w:bookmarkStart w:id="1178" w:name="_Toc520724148"/>
      <w:bookmarkStart w:id="1179" w:name="_Toc520735253"/>
      <w:bookmarkStart w:id="1180" w:name="_Toc520736286"/>
      <w:bookmarkStart w:id="1181" w:name="_Toc520736705"/>
      <w:r>
        <w:t>Rules for data sharing</w:t>
      </w:r>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r w:rsidR="00954E33">
        <w:t xml:space="preserve"> </w:t>
      </w:r>
    </w:p>
    <w:p w14:paraId="2245F9DA" w14:textId="7C1B458F" w:rsidR="00954E33" w:rsidRDefault="00A80053" w:rsidP="00954E33">
      <w:r>
        <w:t xml:space="preserve">The </w:t>
      </w:r>
      <w:r w:rsidR="00954E33">
        <w:t xml:space="preserve">legislation outlines how data can be shared and published. There are restrictions on what can be disclosed and penalties are in place for breaches of those restrictions. Officials of the </w:t>
      </w:r>
      <w:r w:rsidR="006D3F81">
        <w:t>Regulator</w:t>
      </w:r>
      <w:r w:rsidR="006D3F81" w:rsidDel="006D3F81">
        <w:t xml:space="preserve"> </w:t>
      </w:r>
      <w:r w:rsidR="00954E33">
        <w:t xml:space="preserve">can only disclose protected information such as the names and contact information of scheme participants under certain circumstances, for example when required for law enforcement purposes. A </w:t>
      </w:r>
      <w:r w:rsidR="009410C1">
        <w:t xml:space="preserve">company </w:t>
      </w:r>
      <w:r w:rsidR="00954E33">
        <w:t>can also request the disclosure of their own information (NGER Act s</w:t>
      </w:r>
      <w:r w:rsidR="00DD60BA">
        <w:t> </w:t>
      </w:r>
      <w:r w:rsidR="00954E33">
        <w:t xml:space="preserve">28). </w:t>
      </w:r>
    </w:p>
    <w:p w14:paraId="718EE38E" w14:textId="31D69652" w:rsidR="00954E33" w:rsidRDefault="00954E33" w:rsidP="00954E33">
      <w:r>
        <w:t xml:space="preserve">The Authority is interested in whether these rules for data sharing effectively </w:t>
      </w:r>
      <w:r w:rsidR="000C2756">
        <w:t xml:space="preserve">protect commercial and other sensitivities </w:t>
      </w:r>
      <w:r>
        <w:t xml:space="preserve">while ensuring the data </w:t>
      </w:r>
      <w:r w:rsidR="000C2756">
        <w:t xml:space="preserve">is available to </w:t>
      </w:r>
      <w:r>
        <w:t xml:space="preserve">inform </w:t>
      </w:r>
      <w:r w:rsidR="000C2756">
        <w:t>decision makers</w:t>
      </w:r>
      <w:r>
        <w:t>.</w:t>
      </w:r>
    </w:p>
    <w:p w14:paraId="11BCA3BE" w14:textId="100F82DC" w:rsidR="00954E33" w:rsidRDefault="00954E33" w:rsidP="00364C9F">
      <w:pPr>
        <w:pStyle w:val="Heading2"/>
      </w:pPr>
      <w:bookmarkStart w:id="1182" w:name="_Toc520448587"/>
      <w:bookmarkStart w:id="1183" w:name="_Toc520455263"/>
      <w:bookmarkStart w:id="1184" w:name="_Toc520459062"/>
      <w:bookmarkStart w:id="1185" w:name="_Toc520459456"/>
      <w:bookmarkStart w:id="1186" w:name="_Toc520458584"/>
      <w:bookmarkStart w:id="1187" w:name="_Toc520459538"/>
      <w:bookmarkStart w:id="1188" w:name="_Toc520461454"/>
      <w:bookmarkStart w:id="1189" w:name="_Toc520461816"/>
      <w:bookmarkStart w:id="1190" w:name="_Toc520466845"/>
      <w:bookmarkStart w:id="1191" w:name="_Toc520469882"/>
      <w:bookmarkStart w:id="1192" w:name="_Toc520705339"/>
      <w:bookmarkStart w:id="1193" w:name="_Toc520707703"/>
      <w:bookmarkStart w:id="1194" w:name="_Toc520716718"/>
      <w:bookmarkStart w:id="1195" w:name="_Toc520720365"/>
      <w:bookmarkStart w:id="1196" w:name="_Toc520721616"/>
      <w:bookmarkStart w:id="1197" w:name="_Toc520724149"/>
      <w:bookmarkStart w:id="1198" w:name="_Toc520735254"/>
      <w:bookmarkStart w:id="1199" w:name="_Toc520736287"/>
      <w:bookmarkStart w:id="1200" w:name="_Toc520736706"/>
      <w:r>
        <w:t>Client portal</w:t>
      </w:r>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p>
    <w:p w14:paraId="0CE26BE5" w14:textId="1EEA0805" w:rsidR="00954E33" w:rsidRDefault="00954E33" w:rsidP="00954E33">
      <w:r>
        <w:t xml:space="preserve">Government agencies, including from states and territories, access data through the </w:t>
      </w:r>
      <w:r w:rsidR="006D3F81">
        <w:t>Regulator</w:t>
      </w:r>
      <w:r>
        <w:t>’s client portal. This enables</w:t>
      </w:r>
      <w:r w:rsidDel="00FB3858">
        <w:t xml:space="preserve"> </w:t>
      </w:r>
      <w:r>
        <w:t xml:space="preserve">access </w:t>
      </w:r>
      <w:r w:rsidR="00FB3858">
        <w:t xml:space="preserve">to </w:t>
      </w:r>
      <w:r>
        <w:t xml:space="preserve">data </w:t>
      </w:r>
      <w:r w:rsidR="00B0351B">
        <w:t>that state and territory governments may have once collected themselves</w:t>
      </w:r>
      <w:r>
        <w:t xml:space="preserve"> and </w:t>
      </w:r>
      <w:r w:rsidR="00B0351B">
        <w:t xml:space="preserve">streamlines </w:t>
      </w:r>
      <w:r>
        <w:t xml:space="preserve">reporting under the legislation. Each login is customised to provide access to the appropriate data, for example, if the person is from a state or territory they can only access data about facilities </w:t>
      </w:r>
      <w:r w:rsidR="007F1500">
        <w:t>that are wholly or partly located</w:t>
      </w:r>
      <w:r>
        <w:t xml:space="preserve"> in that state or territory.</w:t>
      </w:r>
    </w:p>
    <w:p w14:paraId="6551E8AF" w14:textId="4EF67F0E" w:rsidR="00954E33" w:rsidRDefault="00954E33" w:rsidP="00954E33">
      <w:r>
        <w:lastRenderedPageBreak/>
        <w:t>The Authority is interested in stakeholder</w:t>
      </w:r>
      <w:r w:rsidR="000E7E2E">
        <w:t>s’</w:t>
      </w:r>
      <w:r>
        <w:t xml:space="preserve"> views on whether the processes in place for government agencies for accessing data are efficient and user-friendly.</w:t>
      </w:r>
    </w:p>
    <w:p w14:paraId="12588022" w14:textId="77384A5B" w:rsidR="00954E33" w:rsidRDefault="008F1180" w:rsidP="00883094">
      <w:pPr>
        <w:pStyle w:val="Heading2"/>
      </w:pPr>
      <w:bookmarkStart w:id="1201" w:name="_Toc519166191"/>
      <w:bookmarkStart w:id="1202" w:name="_Toc519240558"/>
      <w:bookmarkStart w:id="1203" w:name="_Toc519240686"/>
      <w:bookmarkStart w:id="1204" w:name="_Toc520448588"/>
      <w:bookmarkStart w:id="1205" w:name="_Toc520455264"/>
      <w:bookmarkStart w:id="1206" w:name="_Toc520459063"/>
      <w:bookmarkStart w:id="1207" w:name="_Toc520459457"/>
      <w:bookmarkStart w:id="1208" w:name="_Toc520458585"/>
      <w:bookmarkStart w:id="1209" w:name="_Toc520459539"/>
      <w:bookmarkStart w:id="1210" w:name="_Toc520461455"/>
      <w:bookmarkStart w:id="1211" w:name="_Toc520461817"/>
      <w:bookmarkStart w:id="1212" w:name="_Toc520466846"/>
      <w:bookmarkStart w:id="1213" w:name="_Toc520469883"/>
      <w:bookmarkStart w:id="1214" w:name="_Toc520705340"/>
      <w:bookmarkStart w:id="1215" w:name="_Toc520707704"/>
      <w:bookmarkStart w:id="1216" w:name="_Toc520716719"/>
      <w:bookmarkStart w:id="1217" w:name="_Toc520720366"/>
      <w:bookmarkStart w:id="1218" w:name="_Toc520721617"/>
      <w:bookmarkStart w:id="1219" w:name="_Toc520724150"/>
      <w:bookmarkStart w:id="1220" w:name="_Toc520735255"/>
      <w:bookmarkStart w:id="1221" w:name="_Toc520736288"/>
      <w:bookmarkStart w:id="1222" w:name="_Toc520736707"/>
      <w:r>
        <w:t>Data use</w:t>
      </w:r>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p>
    <w:p w14:paraId="683843CF" w14:textId="77649FD0" w:rsidR="00954E33" w:rsidRDefault="00954E33" w:rsidP="00954E33">
      <w:r>
        <w:t xml:space="preserve">There are many ways the public, businesses and governments can use </w:t>
      </w:r>
      <w:r w:rsidR="00FB3858">
        <w:t xml:space="preserve">the emissions and energy </w:t>
      </w:r>
      <w:r>
        <w:t>data</w:t>
      </w:r>
      <w:r w:rsidR="00FB3858">
        <w:t xml:space="preserve"> reported under the legislation</w:t>
      </w:r>
      <w:r>
        <w:t xml:space="preserve">. </w:t>
      </w:r>
    </w:p>
    <w:p w14:paraId="518E4386" w14:textId="66CDD015" w:rsidR="00954E33" w:rsidRDefault="00954E33" w:rsidP="00954E33">
      <w:r>
        <w:t>At the Commonwealth level, the Department of the Environment and Energy draws on</w:t>
      </w:r>
      <w:r w:rsidR="00FB3858">
        <w:t xml:space="preserve"> the</w:t>
      </w:r>
      <w:r>
        <w:t xml:space="preserve"> data to produce an annual inventory of Australia’s greenhouse gas emissions (DoEE 2018</w:t>
      </w:r>
      <w:r w:rsidR="005961CA">
        <w:t>b</w:t>
      </w:r>
      <w:r>
        <w:t>) and the Australian Energy Statistics (</w:t>
      </w:r>
      <w:r w:rsidR="00B151BC">
        <w:t>DoEE</w:t>
      </w:r>
      <w:r>
        <w:t xml:space="preserve"> 2017</w:t>
      </w:r>
      <w:r w:rsidR="005961CA">
        <w:t>b</w:t>
      </w:r>
      <w:r>
        <w:t xml:space="preserve">). The Department also uses data to inform energy and climate change policy development and evaluation. For </w:t>
      </w:r>
      <w:r w:rsidRPr="000C2756">
        <w:t xml:space="preserve">example, the Department </w:t>
      </w:r>
      <w:r w:rsidR="000C2756">
        <w:t>uses th</w:t>
      </w:r>
      <w:r w:rsidR="00FB3858">
        <w:t>e</w:t>
      </w:r>
      <w:r w:rsidR="000C2756">
        <w:t xml:space="preserve"> data </w:t>
      </w:r>
      <w:r w:rsidRPr="000C2756">
        <w:t xml:space="preserve">to develop </w:t>
      </w:r>
      <w:r w:rsidR="000C2756">
        <w:t>methods under the</w:t>
      </w:r>
      <w:r w:rsidRPr="000C2756">
        <w:t xml:space="preserve"> Emissions Reduction Fund and</w:t>
      </w:r>
      <w:r>
        <w:t xml:space="preserve"> </w:t>
      </w:r>
      <w:r w:rsidR="000B390A">
        <w:t>to develop</w:t>
      </w:r>
      <w:r>
        <w:t xml:space="preserve"> National Energy Productivity Plan initiatives.</w:t>
      </w:r>
    </w:p>
    <w:p w14:paraId="59C15806" w14:textId="5C54533E" w:rsidR="00954E33" w:rsidRDefault="00D45115" w:rsidP="00954E33">
      <w:r>
        <w:t>S</w:t>
      </w:r>
      <w:r w:rsidR="00954E33">
        <w:t xml:space="preserve">tates and territories use </w:t>
      </w:r>
      <w:r w:rsidR="00FB3858">
        <w:t xml:space="preserve">the </w:t>
      </w:r>
      <w:r w:rsidR="00954E33">
        <w:t xml:space="preserve">data to help develop policies aimed at improving energy use or reducing emissions. </w:t>
      </w:r>
    </w:p>
    <w:p w14:paraId="695AD10B" w14:textId="11559AD4" w:rsidR="00954E33" w:rsidRDefault="00954E33" w:rsidP="00954E33">
      <w:r>
        <w:t xml:space="preserve">Businesses </w:t>
      </w:r>
      <w:r w:rsidR="002B2542">
        <w:t>also use the data</w:t>
      </w:r>
      <w:r w:rsidR="00FB3858">
        <w:t xml:space="preserve"> to</w:t>
      </w:r>
      <w:r>
        <w:t xml:space="preserve"> get a better understanding of how their emissions and energy intensity compares with other companies in their sector. This can help companies to identify inefficient processes or equipment and improve their emissions intensity and energy use. </w:t>
      </w:r>
    </w:p>
    <w:p w14:paraId="5C127E4B" w14:textId="4E7BDFE3" w:rsidR="00954E33" w:rsidRDefault="00954E33" w:rsidP="00954E33">
      <w:r>
        <w:t xml:space="preserve">The Authority is interested in understanding </w:t>
      </w:r>
      <w:r w:rsidR="000C2756">
        <w:t xml:space="preserve">how </w:t>
      </w:r>
      <w:r w:rsidR="00F129D7">
        <w:t>stakeholders</w:t>
      </w:r>
      <w:r>
        <w:t xml:space="preserve"> access and use </w:t>
      </w:r>
      <w:r w:rsidR="000C2756">
        <w:t>the</w:t>
      </w:r>
      <w:r>
        <w:t xml:space="preserve"> data</w:t>
      </w:r>
      <w:r w:rsidR="00811A4E">
        <w:t xml:space="preserve"> and if any improvements are required to how the data is reported</w:t>
      </w:r>
      <w:r w:rsidR="000C2756">
        <w:t xml:space="preserve">. For example, has </w:t>
      </w:r>
      <w:r>
        <w:t xml:space="preserve">it helped </w:t>
      </w:r>
      <w:r w:rsidR="00F129D7">
        <w:t>government</w:t>
      </w:r>
      <w:r w:rsidR="000C2756">
        <w:t xml:space="preserve">s develop </w:t>
      </w:r>
      <w:r>
        <w:t>policy</w:t>
      </w:r>
      <w:r w:rsidR="000C2756">
        <w:t xml:space="preserve">, </w:t>
      </w:r>
      <w:r w:rsidR="00F129D7">
        <w:t xml:space="preserve">investors make decisions and </w:t>
      </w:r>
      <w:r>
        <w:t xml:space="preserve">businesses identify opportunities to improve their emissions and energy </w:t>
      </w:r>
      <w:r w:rsidR="000C2756">
        <w:t xml:space="preserve">use? </w:t>
      </w:r>
    </w:p>
    <w:p w14:paraId="4C83E148" w14:textId="3443C55A" w:rsidR="00954E33" w:rsidRDefault="00954E33" w:rsidP="00216EBF">
      <w:pPr>
        <w:pStyle w:val="Heading2"/>
      </w:pPr>
      <w:bookmarkStart w:id="1223" w:name="_Toc520705341"/>
      <w:bookmarkStart w:id="1224" w:name="_Toc520707705"/>
      <w:bookmarkStart w:id="1225" w:name="_Toc520716720"/>
      <w:bookmarkStart w:id="1226" w:name="_Toc520720367"/>
      <w:bookmarkStart w:id="1227" w:name="_Toc520721618"/>
      <w:bookmarkStart w:id="1228" w:name="_Toc520724151"/>
      <w:bookmarkStart w:id="1229" w:name="_Toc520735256"/>
      <w:bookmarkStart w:id="1230" w:name="_Toc520736289"/>
      <w:bookmarkStart w:id="1231" w:name="_Toc520736708"/>
      <w:r>
        <w:t>Future data needs</w:t>
      </w:r>
      <w:bookmarkEnd w:id="1223"/>
      <w:bookmarkEnd w:id="1224"/>
      <w:bookmarkEnd w:id="1225"/>
      <w:bookmarkEnd w:id="1226"/>
      <w:bookmarkEnd w:id="1227"/>
      <w:bookmarkEnd w:id="1228"/>
      <w:bookmarkEnd w:id="1229"/>
      <w:bookmarkEnd w:id="1230"/>
      <w:bookmarkEnd w:id="1231"/>
    </w:p>
    <w:p w14:paraId="7A665F6B" w14:textId="2D353AA2" w:rsidR="00954E33" w:rsidRDefault="00954E33" w:rsidP="00954E33">
      <w:r>
        <w:t>The kind of emissions and energy data governments</w:t>
      </w:r>
      <w:r w:rsidR="001527BE">
        <w:t>, businesses</w:t>
      </w:r>
      <w:r>
        <w:t xml:space="preserve"> and others need may change over time. One example is the continuous improvement in Australia’s</w:t>
      </w:r>
      <w:r w:rsidR="00D93B5F">
        <w:t xml:space="preserve"> measurement and reporting </w:t>
      </w:r>
      <w:r>
        <w:t>of greenhouse gas emissions</w:t>
      </w:r>
      <w:r w:rsidR="005F4A83">
        <w:t>, which is reflected in Australia’s inventory</w:t>
      </w:r>
      <w:r>
        <w:t xml:space="preserve">. This includes a commitment to </w:t>
      </w:r>
      <w:r w:rsidR="00D93B5F">
        <w:t xml:space="preserve">prepare </w:t>
      </w:r>
      <w:r>
        <w:t>reporting of black carbon emissions</w:t>
      </w:r>
      <w:r w:rsidR="002B2542">
        <w:t xml:space="preserve"> (soot)</w:t>
      </w:r>
      <w:r>
        <w:t xml:space="preserve">, which would expand the scope of Australia’s reporting (Climate &amp; Clean Air Coalition 2016). The Energy Security Board has also </w:t>
      </w:r>
      <w:r w:rsidR="001527BE">
        <w:t>suggested</w:t>
      </w:r>
      <w:r>
        <w:t xml:space="preserve"> data </w:t>
      </w:r>
      <w:r w:rsidR="00806139">
        <w:t xml:space="preserve">collected under the National Greenhouse and Energy Reporting legislation </w:t>
      </w:r>
      <w:r>
        <w:t>be used for the p</w:t>
      </w:r>
      <w:r w:rsidR="001527BE">
        <w:t>roposed</w:t>
      </w:r>
      <w:r>
        <w:t xml:space="preserve"> National Energy Guarantee.</w:t>
      </w:r>
    </w:p>
    <w:p w14:paraId="44678B06" w14:textId="061B240D" w:rsidR="00954E33" w:rsidRDefault="00954E33" w:rsidP="00954E33">
      <w:r>
        <w:t xml:space="preserve">The Authority is interested in whether and how the </w:t>
      </w:r>
      <w:r w:rsidR="007239AE">
        <w:t>reporting</w:t>
      </w:r>
      <w:r w:rsidR="007239AE" w:rsidDel="007239AE">
        <w:t xml:space="preserve"> </w:t>
      </w:r>
      <w:r>
        <w:t>scheme should evolve over time to support changing data needs.</w:t>
      </w:r>
    </w:p>
    <w:tbl>
      <w:tblPr>
        <w:tblStyle w:val="TableGrid"/>
        <w:tblW w:w="0" w:type="auto"/>
        <w:shd w:val="clear" w:color="auto" w:fill="E6ECF2"/>
        <w:tblLook w:val="04A0" w:firstRow="1" w:lastRow="0" w:firstColumn="1" w:lastColumn="0" w:noHBand="0" w:noVBand="1"/>
      </w:tblPr>
      <w:tblGrid>
        <w:gridCol w:w="9202"/>
      </w:tblGrid>
      <w:tr w:rsidR="00D05C7B" w14:paraId="3F3004C0" w14:textId="77777777" w:rsidTr="0073569F">
        <w:trPr>
          <w:cnfStyle w:val="100000000000" w:firstRow="1" w:lastRow="0" w:firstColumn="0" w:lastColumn="0" w:oddVBand="0" w:evenVBand="0" w:oddHBand="0" w:evenHBand="0" w:firstRowFirstColumn="0" w:firstRowLastColumn="0" w:lastRowFirstColumn="0" w:lastRowLastColumn="0"/>
        </w:trPr>
        <w:tc>
          <w:tcPr>
            <w:tcW w:w="9202" w:type="dxa"/>
            <w:shd w:val="clear" w:color="auto" w:fill="E6ECF2"/>
            <w:tcMar>
              <w:top w:w="567" w:type="dxa"/>
              <w:left w:w="567" w:type="dxa"/>
              <w:bottom w:w="567" w:type="dxa"/>
              <w:right w:w="567" w:type="dxa"/>
            </w:tcMar>
          </w:tcPr>
          <w:p w14:paraId="04245151" w14:textId="5AC835EB" w:rsidR="00D05C7B" w:rsidRPr="00D97780" w:rsidRDefault="00D05C7B" w:rsidP="0073569F">
            <w:pPr>
              <w:rPr>
                <w:b/>
                <w:color w:val="159DCE"/>
              </w:rPr>
            </w:pPr>
            <w:r w:rsidRPr="00D97780">
              <w:rPr>
                <w:b/>
                <w:color w:val="159DCE"/>
              </w:rPr>
              <w:lastRenderedPageBreak/>
              <w:t>CONSULTATION QUESTIONS</w:t>
            </w:r>
            <w:r w:rsidR="00193858">
              <w:rPr>
                <w:b/>
                <w:color w:val="159DCE"/>
              </w:rPr>
              <w:t>: CHAPTER 4</w:t>
            </w:r>
          </w:p>
          <w:p w14:paraId="34ED0422" w14:textId="77777777" w:rsidR="00806139" w:rsidRDefault="00806139" w:rsidP="00806139">
            <w:bookmarkStart w:id="1232" w:name="_Toc520705293"/>
            <w:bookmarkStart w:id="1233" w:name="_Toc520707651"/>
            <w:bookmarkStart w:id="1234" w:name="_Toc520716665"/>
            <w:bookmarkStart w:id="1235" w:name="_Toc520720314"/>
            <w:bookmarkStart w:id="1236" w:name="_Toc520720987"/>
            <w:bookmarkStart w:id="1237" w:name="_Toc520721565"/>
            <w:bookmarkStart w:id="1238" w:name="_Toc520724097"/>
            <w:bookmarkStart w:id="1239" w:name="_Toc520735201"/>
            <w:bookmarkStart w:id="1240" w:name="_Toc520736234"/>
            <w:bookmarkStart w:id="1241" w:name="_Toc520736653"/>
            <w:bookmarkStart w:id="1242" w:name="_Toc519087317"/>
            <w:bookmarkStart w:id="1243" w:name="_Toc519090742"/>
            <w:bookmarkStart w:id="1244" w:name="_Toc519163123"/>
            <w:bookmarkStart w:id="1245" w:name="_Toc519163436"/>
            <w:bookmarkStart w:id="1246" w:name="_Toc519164481"/>
            <w:bookmarkStart w:id="1247" w:name="_Toc520280128"/>
            <w:bookmarkStart w:id="1248" w:name="_Toc520281321"/>
            <w:bookmarkStart w:id="1249" w:name="_Toc520459402"/>
            <w:bookmarkStart w:id="1250" w:name="_Toc520461763"/>
            <w:r>
              <w:t xml:space="preserve">Q. </w:t>
            </w:r>
            <w:r w:rsidR="00363A9B">
              <w:fldChar w:fldCharType="begin"/>
            </w:r>
            <w:r w:rsidR="00363A9B">
              <w:instrText xml:space="preserve"> SEQ Q. \* ARABIC </w:instrText>
            </w:r>
            <w:r w:rsidR="00363A9B">
              <w:fldChar w:fldCharType="separate"/>
            </w:r>
            <w:r w:rsidR="00AD7AD8">
              <w:rPr>
                <w:noProof/>
              </w:rPr>
              <w:t>19</w:t>
            </w:r>
            <w:r w:rsidR="00363A9B">
              <w:rPr>
                <w:noProof/>
              </w:rPr>
              <w:fldChar w:fldCharType="end"/>
            </w:r>
            <w:r>
              <w:t xml:space="preserve"> </w:t>
            </w:r>
            <w:r>
              <w:tab/>
              <w:t>Are the publication thresholds set at the right level?</w:t>
            </w:r>
            <w:bookmarkEnd w:id="1232"/>
            <w:bookmarkEnd w:id="1233"/>
            <w:bookmarkEnd w:id="1234"/>
            <w:bookmarkEnd w:id="1235"/>
            <w:bookmarkEnd w:id="1236"/>
            <w:bookmarkEnd w:id="1237"/>
            <w:bookmarkEnd w:id="1238"/>
            <w:bookmarkEnd w:id="1239"/>
            <w:bookmarkEnd w:id="1240"/>
            <w:bookmarkEnd w:id="1241"/>
          </w:p>
          <w:p w14:paraId="4B27F6B3" w14:textId="77777777" w:rsidR="00806139" w:rsidRDefault="00806139" w:rsidP="00806139">
            <w:bookmarkStart w:id="1251" w:name="_Toc520705294"/>
            <w:bookmarkStart w:id="1252" w:name="_Toc520707652"/>
            <w:bookmarkStart w:id="1253" w:name="_Toc520716666"/>
            <w:bookmarkStart w:id="1254" w:name="_Toc520720315"/>
            <w:bookmarkStart w:id="1255" w:name="_Toc520720988"/>
            <w:bookmarkStart w:id="1256" w:name="_Toc520721566"/>
            <w:bookmarkStart w:id="1257" w:name="_Toc520724098"/>
            <w:bookmarkStart w:id="1258" w:name="_Toc520735202"/>
            <w:bookmarkStart w:id="1259" w:name="_Toc520736235"/>
            <w:bookmarkStart w:id="1260" w:name="_Toc520736654"/>
            <w:r>
              <w:t xml:space="preserve">Q. </w:t>
            </w:r>
            <w:r w:rsidR="00363A9B">
              <w:fldChar w:fldCharType="begin"/>
            </w:r>
            <w:r w:rsidR="00363A9B">
              <w:instrText xml:space="preserve"> SEQ Q. \* ARABIC </w:instrText>
            </w:r>
            <w:r w:rsidR="00363A9B">
              <w:fldChar w:fldCharType="separate"/>
            </w:r>
            <w:r w:rsidR="00AD7AD8">
              <w:rPr>
                <w:noProof/>
              </w:rPr>
              <w:t>20</w:t>
            </w:r>
            <w:r w:rsidR="00363A9B">
              <w:rPr>
                <w:noProof/>
              </w:rPr>
              <w:fldChar w:fldCharType="end"/>
            </w:r>
            <w:r>
              <w:t xml:space="preserve"> </w:t>
            </w:r>
            <w:r>
              <w:tab/>
              <w:t>Are any changes required to the data reported, when it is published or how it is published?</w:t>
            </w:r>
            <w:bookmarkEnd w:id="1251"/>
            <w:bookmarkEnd w:id="1252"/>
            <w:bookmarkEnd w:id="1253"/>
            <w:bookmarkEnd w:id="1254"/>
            <w:bookmarkEnd w:id="1255"/>
            <w:bookmarkEnd w:id="1256"/>
            <w:bookmarkEnd w:id="1257"/>
            <w:bookmarkEnd w:id="1258"/>
            <w:bookmarkEnd w:id="1259"/>
            <w:bookmarkEnd w:id="1260"/>
          </w:p>
          <w:p w14:paraId="6C7DA96A" w14:textId="77777777" w:rsidR="00806139" w:rsidRDefault="00806139" w:rsidP="00806139">
            <w:bookmarkStart w:id="1261" w:name="_Toc520705295"/>
            <w:bookmarkStart w:id="1262" w:name="_Toc520707653"/>
            <w:bookmarkStart w:id="1263" w:name="_Toc520716667"/>
            <w:bookmarkStart w:id="1264" w:name="_Toc520720316"/>
            <w:bookmarkStart w:id="1265" w:name="_Toc520720989"/>
            <w:bookmarkStart w:id="1266" w:name="_Toc520721567"/>
            <w:bookmarkStart w:id="1267" w:name="_Toc520724099"/>
            <w:bookmarkStart w:id="1268" w:name="_Toc520735203"/>
            <w:bookmarkStart w:id="1269" w:name="_Toc520736236"/>
            <w:bookmarkStart w:id="1270" w:name="_Toc520736655"/>
            <w:r>
              <w:t xml:space="preserve">Q. </w:t>
            </w:r>
            <w:r w:rsidR="00363A9B">
              <w:fldChar w:fldCharType="begin"/>
            </w:r>
            <w:r w:rsidR="00363A9B">
              <w:instrText xml:space="preserve"> SEQ Q. \* ARABIC </w:instrText>
            </w:r>
            <w:r w:rsidR="00363A9B">
              <w:fldChar w:fldCharType="separate"/>
            </w:r>
            <w:r w:rsidR="00AD7AD8">
              <w:rPr>
                <w:noProof/>
              </w:rPr>
              <w:t>21</w:t>
            </w:r>
            <w:r w:rsidR="00363A9B">
              <w:rPr>
                <w:noProof/>
              </w:rPr>
              <w:fldChar w:fldCharType="end"/>
            </w:r>
            <w:r>
              <w:t xml:space="preserve"> </w:t>
            </w:r>
            <w:r>
              <w:tab/>
              <w:t>Do the rules for data publication and sharing balance the public interest with commercial or other interests or should they be changed?</w:t>
            </w:r>
            <w:bookmarkEnd w:id="1261"/>
            <w:bookmarkEnd w:id="1262"/>
            <w:bookmarkEnd w:id="1263"/>
            <w:bookmarkEnd w:id="1264"/>
            <w:bookmarkEnd w:id="1265"/>
            <w:bookmarkEnd w:id="1266"/>
            <w:bookmarkEnd w:id="1267"/>
            <w:bookmarkEnd w:id="1268"/>
            <w:bookmarkEnd w:id="1269"/>
            <w:bookmarkEnd w:id="1270"/>
          </w:p>
          <w:p w14:paraId="5DD73791" w14:textId="77777777" w:rsidR="00806139" w:rsidRDefault="00806139" w:rsidP="00806139">
            <w:bookmarkStart w:id="1271" w:name="_Toc520705296"/>
            <w:bookmarkStart w:id="1272" w:name="_Toc520707654"/>
            <w:bookmarkStart w:id="1273" w:name="_Toc520716668"/>
            <w:bookmarkStart w:id="1274" w:name="_Toc520720317"/>
            <w:bookmarkStart w:id="1275" w:name="_Toc520720990"/>
            <w:bookmarkStart w:id="1276" w:name="_Toc520721568"/>
            <w:bookmarkStart w:id="1277" w:name="_Toc520724100"/>
            <w:bookmarkStart w:id="1278" w:name="_Toc520735204"/>
            <w:bookmarkStart w:id="1279" w:name="_Toc520736237"/>
            <w:bookmarkStart w:id="1280" w:name="_Toc520736656"/>
            <w:r>
              <w:t xml:space="preserve">Q. </w:t>
            </w:r>
            <w:r w:rsidR="00363A9B">
              <w:fldChar w:fldCharType="begin"/>
            </w:r>
            <w:r w:rsidR="00363A9B">
              <w:instrText xml:space="preserve"> SEQ Q. \* ARABIC </w:instrText>
            </w:r>
            <w:r w:rsidR="00363A9B">
              <w:fldChar w:fldCharType="separate"/>
            </w:r>
            <w:r w:rsidR="00AD7AD8">
              <w:rPr>
                <w:noProof/>
              </w:rPr>
              <w:t>22</w:t>
            </w:r>
            <w:r w:rsidR="00363A9B">
              <w:rPr>
                <w:noProof/>
              </w:rPr>
              <w:fldChar w:fldCharType="end"/>
            </w:r>
            <w:r>
              <w:t xml:space="preserve"> </w:t>
            </w:r>
            <w:r>
              <w:tab/>
              <w:t>Are the processes in place for accessing National Greenhouse and Energy Reporting data efficient and user-friendly?</w:t>
            </w:r>
            <w:bookmarkEnd w:id="1271"/>
            <w:bookmarkEnd w:id="1272"/>
            <w:bookmarkEnd w:id="1273"/>
            <w:bookmarkEnd w:id="1274"/>
            <w:bookmarkEnd w:id="1275"/>
            <w:bookmarkEnd w:id="1276"/>
            <w:bookmarkEnd w:id="1277"/>
            <w:bookmarkEnd w:id="1278"/>
            <w:bookmarkEnd w:id="1279"/>
            <w:bookmarkEnd w:id="1280"/>
          </w:p>
          <w:p w14:paraId="005045DB" w14:textId="34951C76" w:rsidR="00D05C7B" w:rsidRDefault="00D05C7B" w:rsidP="00D05C7B">
            <w:bookmarkStart w:id="1281" w:name="_Toc520705297"/>
            <w:bookmarkStart w:id="1282" w:name="_Toc520707655"/>
            <w:bookmarkStart w:id="1283" w:name="_Toc520716669"/>
            <w:bookmarkStart w:id="1284" w:name="_Toc520720318"/>
            <w:bookmarkStart w:id="1285" w:name="_Toc520720991"/>
            <w:bookmarkStart w:id="1286" w:name="_Toc520721569"/>
            <w:bookmarkStart w:id="1287" w:name="_Toc520724101"/>
            <w:bookmarkStart w:id="1288" w:name="_Toc520735205"/>
            <w:bookmarkStart w:id="1289" w:name="_Toc520736238"/>
            <w:bookmarkStart w:id="1290" w:name="_Toc520736657"/>
            <w:r>
              <w:t xml:space="preserve">Q. </w:t>
            </w:r>
            <w:r w:rsidR="00363A9B">
              <w:fldChar w:fldCharType="begin"/>
            </w:r>
            <w:r w:rsidR="00363A9B">
              <w:instrText xml:space="preserve"> SEQ Q. \* ARABIC </w:instrText>
            </w:r>
            <w:r w:rsidR="00363A9B">
              <w:fldChar w:fldCharType="separate"/>
            </w:r>
            <w:r w:rsidR="00AD7AD8">
              <w:rPr>
                <w:noProof/>
              </w:rPr>
              <w:t>23</w:t>
            </w:r>
            <w:r w:rsidR="00363A9B">
              <w:rPr>
                <w:noProof/>
              </w:rPr>
              <w:fldChar w:fldCharType="end"/>
            </w:r>
            <w:r>
              <w:t xml:space="preserve"> </w:t>
            </w:r>
            <w:r>
              <w:tab/>
              <w:t xml:space="preserve">How do you access and use emissions and energy data published or shared under the </w:t>
            </w:r>
            <w:bookmarkEnd w:id="1242"/>
            <w:bookmarkEnd w:id="1243"/>
            <w:r w:rsidR="0029233F">
              <w:t>National Greenhouse and Energy Reporting</w:t>
            </w:r>
            <w:r>
              <w:t xml:space="preserve"> </w:t>
            </w:r>
            <w:r w:rsidR="009E239C">
              <w:t>legislation</w:t>
            </w:r>
            <w:r w:rsidR="002B2542">
              <w:t xml:space="preserve"> and are any improvements required</w:t>
            </w:r>
            <w:r>
              <w:t>?</w:t>
            </w:r>
            <w:bookmarkEnd w:id="1244"/>
            <w:bookmarkEnd w:id="1245"/>
            <w:bookmarkEnd w:id="1246"/>
            <w:bookmarkEnd w:id="1247"/>
            <w:bookmarkEnd w:id="1248"/>
            <w:bookmarkEnd w:id="1249"/>
            <w:bookmarkEnd w:id="1250"/>
            <w:bookmarkEnd w:id="1281"/>
            <w:bookmarkEnd w:id="1282"/>
            <w:bookmarkEnd w:id="1283"/>
            <w:bookmarkEnd w:id="1284"/>
            <w:bookmarkEnd w:id="1285"/>
            <w:bookmarkEnd w:id="1286"/>
            <w:bookmarkEnd w:id="1287"/>
            <w:bookmarkEnd w:id="1288"/>
            <w:bookmarkEnd w:id="1289"/>
            <w:bookmarkEnd w:id="1290"/>
          </w:p>
          <w:p w14:paraId="76BCAC6F" w14:textId="4FADF4DB" w:rsidR="00D05C7B" w:rsidRDefault="00D05C7B" w:rsidP="0073569F">
            <w:bookmarkStart w:id="1291" w:name="_Toc520724102"/>
            <w:bookmarkStart w:id="1292" w:name="_Toc520735206"/>
            <w:bookmarkStart w:id="1293" w:name="_Toc520736239"/>
            <w:bookmarkStart w:id="1294" w:name="_Toc520736658"/>
            <w:r w:rsidDel="00806139">
              <w:t xml:space="preserve">Q. </w:t>
            </w:r>
            <w:bookmarkStart w:id="1295" w:name="_Toc519087322"/>
            <w:bookmarkStart w:id="1296" w:name="_Toc519090747"/>
            <w:bookmarkStart w:id="1297" w:name="_Toc519163128"/>
            <w:bookmarkStart w:id="1298" w:name="_Toc519163441"/>
            <w:bookmarkStart w:id="1299" w:name="_Toc519164486"/>
            <w:bookmarkStart w:id="1300" w:name="_Toc520280133"/>
            <w:bookmarkStart w:id="1301" w:name="_Toc520281326"/>
            <w:bookmarkStart w:id="1302" w:name="_Toc520459407"/>
            <w:bookmarkStart w:id="1303" w:name="_Toc520461402"/>
            <w:bookmarkStart w:id="1304" w:name="_Toc520461768"/>
            <w:bookmarkStart w:id="1305" w:name="_Toc520705298"/>
            <w:bookmarkStart w:id="1306" w:name="_Toc520707656"/>
            <w:bookmarkStart w:id="1307" w:name="_Toc520716670"/>
            <w:r w:rsidR="00453780" w:rsidDel="00806139">
              <w:fldChar w:fldCharType="begin"/>
            </w:r>
            <w:r w:rsidR="00453780">
              <w:instrText xml:space="preserve"> SEQ Q. \* ARABIC </w:instrText>
            </w:r>
            <w:r w:rsidR="00453780" w:rsidDel="00806139">
              <w:fldChar w:fldCharType="separate"/>
            </w:r>
            <w:r w:rsidR="00AD7AD8">
              <w:rPr>
                <w:noProof/>
              </w:rPr>
              <w:t>24</w:t>
            </w:r>
            <w:r w:rsidR="00453780" w:rsidDel="00806139">
              <w:rPr>
                <w:noProof/>
              </w:rPr>
              <w:fldChar w:fldCharType="end"/>
            </w:r>
            <w:r>
              <w:t xml:space="preserve"> </w:t>
            </w:r>
            <w:r>
              <w:tab/>
              <w:t xml:space="preserve">How should the </w:t>
            </w:r>
            <w:r w:rsidR="0029233F">
              <w:t>National Greenhouse and Energy Reporting</w:t>
            </w:r>
            <w:r>
              <w:t xml:space="preserve"> scheme evolve over time to support changing data needs?</w:t>
            </w:r>
            <w:bookmarkEnd w:id="1291"/>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292"/>
            <w:bookmarkEnd w:id="1293"/>
            <w:bookmarkEnd w:id="1294"/>
          </w:p>
        </w:tc>
      </w:tr>
    </w:tbl>
    <w:p w14:paraId="63F6D127" w14:textId="77777777" w:rsidR="001C731F" w:rsidRDefault="001C731F" w:rsidP="006D51D1"/>
    <w:p w14:paraId="5A739AF1" w14:textId="15298AC3" w:rsidR="000509A1" w:rsidRDefault="00E148EB" w:rsidP="004240E8">
      <w:pPr>
        <w:pStyle w:val="Heading1"/>
        <w:numPr>
          <w:ilvl w:val="0"/>
          <w:numId w:val="14"/>
        </w:numPr>
      </w:pPr>
      <w:bookmarkStart w:id="1308" w:name="_Audits"/>
      <w:bookmarkStart w:id="1309" w:name="_Toc519166192"/>
      <w:bookmarkStart w:id="1310" w:name="_Toc519240559"/>
      <w:bookmarkStart w:id="1311" w:name="_Toc519240687"/>
      <w:bookmarkStart w:id="1312" w:name="_Toc520448589"/>
      <w:bookmarkStart w:id="1313" w:name="_Toc520455265"/>
      <w:bookmarkStart w:id="1314" w:name="_Toc520459064"/>
      <w:bookmarkStart w:id="1315" w:name="_Toc520459458"/>
      <w:bookmarkStart w:id="1316" w:name="_Toc520458586"/>
      <w:bookmarkStart w:id="1317" w:name="_Toc520459540"/>
      <w:bookmarkStart w:id="1318" w:name="_Toc520461456"/>
      <w:bookmarkStart w:id="1319" w:name="_Toc520461818"/>
      <w:bookmarkStart w:id="1320" w:name="_Toc520466847"/>
      <w:bookmarkStart w:id="1321" w:name="_Toc520469884"/>
      <w:bookmarkStart w:id="1322" w:name="_Toc520705342"/>
      <w:bookmarkStart w:id="1323" w:name="_Toc520707706"/>
      <w:bookmarkStart w:id="1324" w:name="_Ref520715348"/>
      <w:bookmarkStart w:id="1325" w:name="_Ref520716067"/>
      <w:bookmarkStart w:id="1326" w:name="_Ref520716071"/>
      <w:bookmarkStart w:id="1327" w:name="_Ref520716207"/>
      <w:bookmarkStart w:id="1328" w:name="_Toc520716721"/>
      <w:bookmarkStart w:id="1329" w:name="_Toc520720368"/>
      <w:bookmarkStart w:id="1330" w:name="_Ref520720894"/>
      <w:bookmarkStart w:id="1331" w:name="_Toc520721619"/>
      <w:bookmarkStart w:id="1332" w:name="_Toc520724152"/>
      <w:bookmarkStart w:id="1333" w:name="_Toc520735257"/>
      <w:bookmarkStart w:id="1334" w:name="_Toc520736290"/>
      <w:bookmarkStart w:id="1335" w:name="_Toc520736709"/>
      <w:bookmarkEnd w:id="1308"/>
      <w:r>
        <w:lastRenderedPageBreak/>
        <w:t>Audits</w:t>
      </w:r>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p>
    <w:p w14:paraId="200BF4A2" w14:textId="1801E4B0" w:rsidR="000509A1" w:rsidRDefault="000509A1" w:rsidP="000509A1">
      <w:r>
        <w:t xml:space="preserve">The National Greenhouse and Energy Reporting legislation sets out the administrative and governance arrangements for conducting </w:t>
      </w:r>
      <w:r w:rsidR="00EB4C9A">
        <w:t xml:space="preserve">greenhouse and energy </w:t>
      </w:r>
      <w:r>
        <w:t xml:space="preserve">audits and for registering as an auditor. The audit framework applies to the </w:t>
      </w:r>
      <w:r w:rsidR="00697311">
        <w:t>reporting</w:t>
      </w:r>
      <w:r w:rsidR="00697311" w:rsidDel="00697311">
        <w:t xml:space="preserve"> </w:t>
      </w:r>
      <w:r>
        <w:t>scheme, the safeguard</w:t>
      </w:r>
      <w:r w:rsidR="00196588">
        <w:t xml:space="preserve"> mechanism</w:t>
      </w:r>
      <w:r>
        <w:t xml:space="preserve">, the Emissions Reduction Fund and the Renewable Energy Target. Some other government programs also use the audit framework on a voluntary basis, such as the National Carbon Offset Standard. </w:t>
      </w:r>
    </w:p>
    <w:p w14:paraId="05B49F9B" w14:textId="201FD5F9" w:rsidR="000509A1" w:rsidRDefault="000509A1" w:rsidP="000509A1">
      <w:r>
        <w:t xml:space="preserve">The Clean Energy Regulator is responsible for administrating the audit framework.  </w:t>
      </w:r>
    </w:p>
    <w:p w14:paraId="31DDD175" w14:textId="3F54E486" w:rsidR="00523D6A" w:rsidRDefault="00523D6A" w:rsidP="000509A1">
      <w:r>
        <w:t>The Authority is interested in stakeholder</w:t>
      </w:r>
      <w:r w:rsidR="000E7E2E">
        <w:t>s’</w:t>
      </w:r>
      <w:r>
        <w:t xml:space="preserve"> views on whether the audit framework is effective at ensuring compliance in </w:t>
      </w:r>
      <w:r w:rsidR="002E7D7E">
        <w:t>the</w:t>
      </w:r>
      <w:r>
        <w:t xml:space="preserve"> schemes</w:t>
      </w:r>
      <w:r w:rsidR="002E7D7E">
        <w:t xml:space="preserve"> in which it is used</w:t>
      </w:r>
      <w:r>
        <w:t>, and whether there are opportunities for improving the framework or reducing the costs of audits.</w:t>
      </w:r>
    </w:p>
    <w:p w14:paraId="7D5BABFC" w14:textId="225B9541" w:rsidR="000509A1" w:rsidRDefault="00D05C7B" w:rsidP="00883094">
      <w:pPr>
        <w:pStyle w:val="Heading2"/>
      </w:pPr>
      <w:bookmarkStart w:id="1336" w:name="_Toc519166193"/>
      <w:bookmarkStart w:id="1337" w:name="_Toc519240560"/>
      <w:bookmarkStart w:id="1338" w:name="_Toc519240688"/>
      <w:bookmarkStart w:id="1339" w:name="_Toc520448590"/>
      <w:bookmarkStart w:id="1340" w:name="_Toc520455266"/>
      <w:bookmarkStart w:id="1341" w:name="_Toc520459065"/>
      <w:bookmarkStart w:id="1342" w:name="_Toc520459459"/>
      <w:bookmarkStart w:id="1343" w:name="_Toc520458587"/>
      <w:bookmarkStart w:id="1344" w:name="_Toc520459541"/>
      <w:bookmarkStart w:id="1345" w:name="_Toc520461457"/>
      <w:bookmarkStart w:id="1346" w:name="_Toc520461819"/>
      <w:bookmarkStart w:id="1347" w:name="_Toc520466848"/>
      <w:bookmarkStart w:id="1348" w:name="_Toc520469885"/>
      <w:bookmarkStart w:id="1349" w:name="_Toc520705343"/>
      <w:bookmarkStart w:id="1350" w:name="_Toc520707707"/>
      <w:bookmarkStart w:id="1351" w:name="_Ref520715530"/>
      <w:bookmarkStart w:id="1352" w:name="_Toc520716722"/>
      <w:bookmarkStart w:id="1353" w:name="_Toc520720369"/>
      <w:bookmarkStart w:id="1354" w:name="_Toc520721620"/>
      <w:bookmarkStart w:id="1355" w:name="_Toc520724153"/>
      <w:bookmarkStart w:id="1356" w:name="_Toc520735258"/>
      <w:bookmarkStart w:id="1357" w:name="_Toc520736291"/>
      <w:bookmarkStart w:id="1358" w:name="_Toc520736710"/>
      <w:r>
        <w:t>Audits</w:t>
      </w:r>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p>
    <w:p w14:paraId="40E1E8F8" w14:textId="2E799A1C" w:rsidR="000509A1" w:rsidRDefault="000509A1" w:rsidP="00883094">
      <w:pPr>
        <w:pStyle w:val="Heading3"/>
      </w:pPr>
      <w:r>
        <w:t>National Greenhouse and Energy Reporting scheme audits</w:t>
      </w:r>
    </w:p>
    <w:p w14:paraId="35B346D7" w14:textId="21577FD7" w:rsidR="000509A1" w:rsidRDefault="002C67D8" w:rsidP="000509A1">
      <w:r>
        <w:t>R</w:t>
      </w:r>
      <w:r w:rsidR="000509A1">
        <w:t>eporters are encouraged to engage a registered greenhouse and energy auditor to confirm they comply with reporting requirements prior to submitting their reports</w:t>
      </w:r>
      <w:r w:rsidR="00C4595B">
        <w:t xml:space="preserve">. But </w:t>
      </w:r>
      <w:r w:rsidR="000509A1">
        <w:t xml:space="preserve">there is no legislative requirement to do so. </w:t>
      </w:r>
    </w:p>
    <w:p w14:paraId="21E56FA2" w14:textId="2BCA968E" w:rsidR="00ED1789" w:rsidRDefault="00ED1789" w:rsidP="000509A1">
      <w:r>
        <w:t xml:space="preserve">In 2016-17, 73 voluntary audits under the reporting scheme were </w:t>
      </w:r>
      <w:r w:rsidR="00086A45">
        <w:t xml:space="preserve">assessed by the </w:t>
      </w:r>
      <w:r>
        <w:t>Regulator.</w:t>
      </w:r>
    </w:p>
    <w:p w14:paraId="39B16A4A" w14:textId="438A7B25" w:rsidR="000509A1" w:rsidRDefault="000509A1" w:rsidP="00883094">
      <w:pPr>
        <w:pStyle w:val="Heading3"/>
      </w:pPr>
      <w:r>
        <w:t xml:space="preserve">Safeguard </w:t>
      </w:r>
      <w:r w:rsidR="00DD3B39">
        <w:t xml:space="preserve">mechanism </w:t>
      </w:r>
      <w:r>
        <w:t>audits</w:t>
      </w:r>
    </w:p>
    <w:p w14:paraId="41F2DDAF" w14:textId="6B99630C" w:rsidR="000904BC" w:rsidRDefault="000509A1">
      <w:r>
        <w:t>Safeguard facilities that apply for a calculated</w:t>
      </w:r>
      <w:r w:rsidR="00085EAA">
        <w:t>, production-adjusted or benchmark</w:t>
      </w:r>
      <w:r>
        <w:t xml:space="preserve"> baseline </w:t>
      </w:r>
      <w:r w:rsidR="0018748C">
        <w:t>(</w:t>
      </w:r>
      <w:r w:rsidR="00836187">
        <w:fldChar w:fldCharType="begin"/>
      </w:r>
      <w:r w:rsidR="00836187">
        <w:instrText xml:space="preserve"> REF _Ref519159351 \h </w:instrText>
      </w:r>
      <w:r w:rsidR="00836187">
        <w:fldChar w:fldCharType="separate"/>
      </w:r>
      <w:r w:rsidR="00AD7AD8">
        <w:t xml:space="preserve">Table </w:t>
      </w:r>
      <w:r w:rsidR="00AD7AD8">
        <w:rPr>
          <w:noProof/>
        </w:rPr>
        <w:t>2</w:t>
      </w:r>
      <w:r w:rsidR="00836187">
        <w:fldChar w:fldCharType="end"/>
      </w:r>
      <w:r>
        <w:t>)</w:t>
      </w:r>
      <w:r w:rsidR="00085EAA">
        <w:t xml:space="preserve">, or </w:t>
      </w:r>
      <w:r w:rsidR="0085792F">
        <w:t>an emis</w:t>
      </w:r>
      <w:r w:rsidR="00085EAA">
        <w:t>s</w:t>
      </w:r>
      <w:r w:rsidR="0085792F">
        <w:t>i</w:t>
      </w:r>
      <w:r w:rsidR="00085EAA">
        <w:t>ons intensity baseline variation</w:t>
      </w:r>
      <w:r>
        <w:t xml:space="preserve"> </w:t>
      </w:r>
      <w:r w:rsidR="00880287">
        <w:t xml:space="preserve">(Section </w:t>
      </w:r>
      <w:r w:rsidR="00880287">
        <w:fldChar w:fldCharType="begin"/>
      </w:r>
      <w:r w:rsidR="00880287">
        <w:instrText xml:space="preserve"> REF _Ref520735050 \r \h </w:instrText>
      </w:r>
      <w:r w:rsidR="00880287">
        <w:fldChar w:fldCharType="separate"/>
      </w:r>
      <w:r w:rsidR="00880287">
        <w:t>3.5.1</w:t>
      </w:r>
      <w:r w:rsidR="00880287">
        <w:fldChar w:fldCharType="end"/>
      </w:r>
      <w:r w:rsidR="00880287">
        <w:t xml:space="preserve">) </w:t>
      </w:r>
      <w:r>
        <w:t xml:space="preserve">must submit an audit report with their application. </w:t>
      </w:r>
      <w:r w:rsidR="000904BC">
        <w:t xml:space="preserve">Audits are intended to provide assurance of a company’s forecast production and emissions intensity (which is required for these baselines) and they also confirm </w:t>
      </w:r>
      <w:r>
        <w:t>the criteria has</w:t>
      </w:r>
      <w:r w:rsidR="00931729">
        <w:t xml:space="preserve"> </w:t>
      </w:r>
      <w:r>
        <w:t xml:space="preserve">been met. </w:t>
      </w:r>
    </w:p>
    <w:p w14:paraId="5FB8217A" w14:textId="13C193D5" w:rsidR="000509A1" w:rsidRDefault="000509A1">
      <w:r>
        <w:t>In 2017, 75 safeguard audits</w:t>
      </w:r>
      <w:r w:rsidR="00022B2D">
        <w:t xml:space="preserve"> were undertaken and provided to the </w:t>
      </w:r>
      <w:r w:rsidR="006D3F81">
        <w:t>Regulator</w:t>
      </w:r>
      <w:r w:rsidR="00196588">
        <w:t>, with four returning qualified findings and none</w:t>
      </w:r>
      <w:r>
        <w:t xml:space="preserve"> </w:t>
      </w:r>
      <w:r w:rsidR="00196588">
        <w:t xml:space="preserve">returning adverse or inconclusive opinions </w:t>
      </w:r>
      <w:r w:rsidR="00914C8D">
        <w:t>(</w:t>
      </w:r>
      <w:r w:rsidR="004F16F9" w:rsidRPr="00E725A1">
        <w:t>CER 2018</w:t>
      </w:r>
      <w:r w:rsidR="00BD08A4">
        <w:t>l</w:t>
      </w:r>
      <w:r w:rsidR="00554DA8">
        <w:t>,</w:t>
      </w:r>
      <w:r w:rsidR="004F16F9" w:rsidRPr="00E725A1">
        <w:t xml:space="preserve"> pers. comm</w:t>
      </w:r>
      <w:r w:rsidR="00B17452">
        <w:t>.</w:t>
      </w:r>
      <w:r w:rsidR="005A3E17">
        <w:t>)</w:t>
      </w:r>
      <w:r>
        <w:t>.</w:t>
      </w:r>
    </w:p>
    <w:p w14:paraId="35E940BA" w14:textId="1DBA7E3C" w:rsidR="000509A1" w:rsidRDefault="000509A1" w:rsidP="00883094">
      <w:pPr>
        <w:pStyle w:val="Heading3"/>
      </w:pPr>
      <w:r>
        <w:t>Emissions Reduction Fund audits</w:t>
      </w:r>
    </w:p>
    <w:p w14:paraId="3D5ADBC8" w14:textId="350C2974" w:rsidR="000904BC" w:rsidRDefault="00CD7BAB" w:rsidP="000509A1">
      <w:r>
        <w:t xml:space="preserve">In general, </w:t>
      </w:r>
      <w:r w:rsidR="0074524A" w:rsidRPr="004841B0">
        <w:rPr>
          <w:rFonts w:eastAsiaTheme="minorHAnsi" w:cstheme="minorBidi"/>
          <w:lang w:val="en-US"/>
        </w:rPr>
        <w:t>Emissions Reduction Fund</w:t>
      </w:r>
      <w:r w:rsidR="0074524A" w:rsidDel="0074524A">
        <w:t xml:space="preserve"> </w:t>
      </w:r>
      <w:r w:rsidR="000509A1">
        <w:t xml:space="preserve">projects must satisfy audit requirements before the </w:t>
      </w:r>
      <w:r w:rsidR="006D3F81">
        <w:t>Regulator</w:t>
      </w:r>
      <w:r w:rsidR="006D3F81" w:rsidDel="006D3F81">
        <w:t xml:space="preserve"> </w:t>
      </w:r>
      <w:r w:rsidR="00022B2D">
        <w:t xml:space="preserve">issues </w:t>
      </w:r>
      <w:r w:rsidR="000509A1">
        <w:t xml:space="preserve">them with </w:t>
      </w:r>
      <w:r w:rsidR="0018748C">
        <w:t>Australian Carbon Credit Units</w:t>
      </w:r>
      <w:r w:rsidR="000509A1">
        <w:t xml:space="preserve">. Audits are required to provide a reasonable level of assurance that projects meet legislative requirements such as using an </w:t>
      </w:r>
      <w:r w:rsidR="0074524A" w:rsidRPr="004841B0">
        <w:rPr>
          <w:rFonts w:eastAsiaTheme="minorHAnsi" w:cstheme="minorBidi"/>
          <w:lang w:val="en-US"/>
        </w:rPr>
        <w:t>Emissions Reduction Fund</w:t>
      </w:r>
      <w:r w:rsidR="0074524A" w:rsidDel="0074524A">
        <w:t xml:space="preserve"> </w:t>
      </w:r>
      <w:r w:rsidR="000509A1">
        <w:t xml:space="preserve">method and </w:t>
      </w:r>
      <w:r w:rsidR="004A6FCC">
        <w:t>r</w:t>
      </w:r>
      <w:r w:rsidR="000509A1">
        <w:t xml:space="preserve">eported emissions reductions are accurate. </w:t>
      </w:r>
    </w:p>
    <w:p w14:paraId="5064FFA1" w14:textId="232FCA44" w:rsidR="000509A1" w:rsidRDefault="000509A1" w:rsidP="000509A1">
      <w:r>
        <w:lastRenderedPageBreak/>
        <w:t xml:space="preserve">In 2017, </w:t>
      </w:r>
      <w:r w:rsidR="00022B2D">
        <w:t xml:space="preserve">117 audits of </w:t>
      </w:r>
      <w:r w:rsidR="0074524A" w:rsidRPr="004841B0">
        <w:rPr>
          <w:rFonts w:eastAsiaTheme="minorHAnsi" w:cstheme="minorBidi"/>
          <w:lang w:val="en-US"/>
        </w:rPr>
        <w:t>Emissions Reduction Fund</w:t>
      </w:r>
      <w:r w:rsidR="00022B2D">
        <w:t xml:space="preserve"> projects were undertaken and provided to the </w:t>
      </w:r>
      <w:r w:rsidR="006D3F81">
        <w:t>Regulator</w:t>
      </w:r>
      <w:r w:rsidR="006D3F81" w:rsidDel="006D3F81">
        <w:t xml:space="preserve"> </w:t>
      </w:r>
      <w:r w:rsidR="00914C8D" w:rsidRPr="00CB2190">
        <w:t>(</w:t>
      </w:r>
      <w:r w:rsidR="00914C8D" w:rsidRPr="00364C9F">
        <w:t xml:space="preserve">CER </w:t>
      </w:r>
      <w:r w:rsidR="00CB2190" w:rsidRPr="00364C9F">
        <w:t>2018</w:t>
      </w:r>
      <w:r w:rsidR="00BD08A4">
        <w:t>l</w:t>
      </w:r>
      <w:r w:rsidR="00290309">
        <w:t>,</w:t>
      </w:r>
      <w:r w:rsidR="00CB2190" w:rsidRPr="00364C9F">
        <w:t xml:space="preserve"> </w:t>
      </w:r>
      <w:r w:rsidR="00914C8D" w:rsidRPr="00364C9F">
        <w:t>pers. comm</w:t>
      </w:r>
      <w:r w:rsidR="00B17452">
        <w:t>.</w:t>
      </w:r>
      <w:r w:rsidR="005A3E17">
        <w:t>)</w:t>
      </w:r>
      <w:r>
        <w:t>.</w:t>
      </w:r>
    </w:p>
    <w:p w14:paraId="4DAF9815" w14:textId="168993C0" w:rsidR="000509A1" w:rsidRDefault="000509A1" w:rsidP="00883094">
      <w:pPr>
        <w:pStyle w:val="Heading3"/>
      </w:pPr>
      <w:r>
        <w:t>Renewable Energy Target audits</w:t>
      </w:r>
    </w:p>
    <w:p w14:paraId="01B33E09" w14:textId="37C7D02B" w:rsidR="000904BC" w:rsidRDefault="000509A1" w:rsidP="000509A1">
      <w:r>
        <w:t xml:space="preserve">Companies that are emissions-intensive and trade-exposed are exempt from certain obligations under the </w:t>
      </w:r>
      <w:r w:rsidR="0074524A">
        <w:t>Renewable Energy Target</w:t>
      </w:r>
      <w:r>
        <w:t xml:space="preserve">. To receive an exemption, companies must submit an audited application. </w:t>
      </w:r>
      <w:r w:rsidR="008E2211">
        <w:t xml:space="preserve">These audits may be completed by </w:t>
      </w:r>
      <w:r w:rsidR="00196588">
        <w:t xml:space="preserve">registered greenhouse and energy </w:t>
      </w:r>
      <w:r w:rsidR="008E2211">
        <w:t xml:space="preserve">auditors or certain auditors registered under the </w:t>
      </w:r>
      <w:r w:rsidR="008E2211" w:rsidRPr="00E24D9F">
        <w:rPr>
          <w:i/>
        </w:rPr>
        <w:t>Corporations Act 2001</w:t>
      </w:r>
      <w:r w:rsidR="00DD3B39">
        <w:rPr>
          <w:i/>
        </w:rPr>
        <w:t xml:space="preserve"> </w:t>
      </w:r>
      <w:r w:rsidR="00DD3B39" w:rsidRPr="00845DB5">
        <w:t>(Cth)</w:t>
      </w:r>
      <w:r w:rsidR="008E2211">
        <w:t xml:space="preserve">. </w:t>
      </w:r>
    </w:p>
    <w:p w14:paraId="646A3A3D" w14:textId="3A7E4106" w:rsidR="000509A1" w:rsidRDefault="000509A1" w:rsidP="000509A1">
      <w:r>
        <w:t>In 2017, 8</w:t>
      </w:r>
      <w:r w:rsidR="008E2211">
        <w:t>4</w:t>
      </w:r>
      <w:r>
        <w:t xml:space="preserve"> </w:t>
      </w:r>
      <w:r w:rsidR="0074524A">
        <w:t>Renewable Energy Target</w:t>
      </w:r>
      <w:r w:rsidR="0074524A" w:rsidDel="0074524A">
        <w:t xml:space="preserve"> </w:t>
      </w:r>
      <w:r>
        <w:t>audits</w:t>
      </w:r>
      <w:r w:rsidR="00022B2D">
        <w:t xml:space="preserve"> were undertaken</w:t>
      </w:r>
      <w:r w:rsidR="00022B2D" w:rsidRPr="00022B2D">
        <w:t xml:space="preserve"> </w:t>
      </w:r>
      <w:r w:rsidR="00022B2D">
        <w:t xml:space="preserve">and provided to the </w:t>
      </w:r>
      <w:r w:rsidR="006D3F81">
        <w:t>Regulator</w:t>
      </w:r>
      <w:r w:rsidR="00067331">
        <w:t>, 56 of which were completed by greenhouse and energy auditors</w:t>
      </w:r>
      <w:r w:rsidR="00914C8D">
        <w:t xml:space="preserve"> (</w:t>
      </w:r>
      <w:r w:rsidR="004F16F9" w:rsidRPr="00E725A1">
        <w:t>CER 2018</w:t>
      </w:r>
      <w:r w:rsidR="00BD08A4">
        <w:t>l</w:t>
      </w:r>
      <w:r w:rsidR="00290309">
        <w:t>,</w:t>
      </w:r>
      <w:r w:rsidR="004F16F9" w:rsidRPr="00E725A1">
        <w:t xml:space="preserve"> pers. comm</w:t>
      </w:r>
      <w:r w:rsidR="00B17452">
        <w:t>.;</w:t>
      </w:r>
      <w:r w:rsidR="00BD08A4" w:rsidRPr="00BD08A4">
        <w:t xml:space="preserve"> </w:t>
      </w:r>
      <w:r w:rsidR="00BD08A4" w:rsidRPr="00E725A1">
        <w:t>CER 2018</w:t>
      </w:r>
      <w:r w:rsidR="00BD08A4">
        <w:t>m</w:t>
      </w:r>
      <w:r w:rsidR="00290309">
        <w:t>,</w:t>
      </w:r>
      <w:r w:rsidR="00BD08A4" w:rsidRPr="00E725A1">
        <w:t xml:space="preserve"> pers. comm</w:t>
      </w:r>
      <w:r w:rsidR="00B17452">
        <w:t>.</w:t>
      </w:r>
      <w:r w:rsidR="005A3E17">
        <w:t>)</w:t>
      </w:r>
      <w:r>
        <w:t>.</w:t>
      </w:r>
    </w:p>
    <w:p w14:paraId="5A49237B" w14:textId="39E9D07E" w:rsidR="000509A1" w:rsidRDefault="00AA6BD4" w:rsidP="00883094">
      <w:pPr>
        <w:pStyle w:val="Heading3"/>
      </w:pPr>
      <w:r>
        <w:t>C</w:t>
      </w:r>
      <w:r w:rsidR="00675BE4">
        <w:t xml:space="preserve">lean </w:t>
      </w:r>
      <w:r w:rsidR="00271F8C">
        <w:t>E</w:t>
      </w:r>
      <w:r w:rsidR="00675BE4">
        <w:t xml:space="preserve">nergy </w:t>
      </w:r>
      <w:r w:rsidR="00271F8C">
        <w:t>R</w:t>
      </w:r>
      <w:r w:rsidR="00675BE4">
        <w:t>egulator</w:t>
      </w:r>
      <w:r w:rsidR="000509A1">
        <w:t xml:space="preserve"> initiated audits - compliance monitoring and management</w:t>
      </w:r>
    </w:p>
    <w:p w14:paraId="42E3000C" w14:textId="20413290" w:rsidR="000509A1" w:rsidRDefault="000509A1" w:rsidP="000509A1">
      <w:r>
        <w:t xml:space="preserve">The </w:t>
      </w:r>
      <w:r w:rsidR="006D3F81">
        <w:t>Regulator</w:t>
      </w:r>
      <w:r w:rsidR="006D3F81" w:rsidDel="006D3F81">
        <w:t xml:space="preserve"> </w:t>
      </w:r>
      <w:r w:rsidR="00E93B0A">
        <w:t xml:space="preserve">commissions a series of audits each year to investigate particular compliance priorities or risks and audits a selection </w:t>
      </w:r>
      <w:r w:rsidR="004075DA">
        <w:t xml:space="preserve">of </w:t>
      </w:r>
      <w:r w:rsidR="00085EAA">
        <w:t xml:space="preserve">reporters, </w:t>
      </w:r>
      <w:r>
        <w:t xml:space="preserve">safeguard </w:t>
      </w:r>
      <w:r w:rsidR="00085EAA">
        <w:t xml:space="preserve">entities, </w:t>
      </w:r>
      <w:r w:rsidR="0074524A" w:rsidRPr="004841B0">
        <w:rPr>
          <w:rFonts w:eastAsiaTheme="minorHAnsi" w:cstheme="minorBidi"/>
          <w:lang w:val="en-US"/>
        </w:rPr>
        <w:t>Emissions Reduction Fund</w:t>
      </w:r>
      <w:r w:rsidR="0074524A" w:rsidDel="0074524A">
        <w:t xml:space="preserve"> </w:t>
      </w:r>
      <w:r w:rsidR="00085EAA">
        <w:t xml:space="preserve">projects and </w:t>
      </w:r>
      <w:r w:rsidR="0074524A">
        <w:t xml:space="preserve">Renewable Energy Target </w:t>
      </w:r>
      <w:r w:rsidR="00085EAA">
        <w:t>entities</w:t>
      </w:r>
      <w:r w:rsidR="00E93B0A">
        <w:t>.</w:t>
      </w:r>
    </w:p>
    <w:p w14:paraId="1985A873" w14:textId="710AC04C" w:rsidR="000509A1" w:rsidRDefault="000509A1" w:rsidP="000509A1">
      <w:r>
        <w:t>In 2016-17</w:t>
      </w:r>
      <w:r w:rsidR="00D30150">
        <w:t xml:space="preserve">, the </w:t>
      </w:r>
      <w:r w:rsidR="006D3F81">
        <w:t>Regulator</w:t>
      </w:r>
      <w:r w:rsidR="00D30150">
        <w:t>’s</w:t>
      </w:r>
      <w:r>
        <w:t xml:space="preserve"> audit program focused on particular methods</w:t>
      </w:r>
      <w:r w:rsidR="00F6391A">
        <w:t xml:space="preserve"> </w:t>
      </w:r>
      <w:r w:rsidR="0074524A">
        <w:t xml:space="preserve">under the </w:t>
      </w:r>
      <w:r w:rsidR="0018748C">
        <w:t xml:space="preserve">Emissions Reduction Fund </w:t>
      </w:r>
      <w:r w:rsidR="00F6391A">
        <w:t>that</w:t>
      </w:r>
      <w:r>
        <w:t xml:space="preserve"> raised compliance concerns including herd management, vegetation and savanna burning. In the </w:t>
      </w:r>
      <w:r w:rsidR="00697311">
        <w:t>reporting</w:t>
      </w:r>
      <w:r w:rsidR="00697311" w:rsidDel="00697311">
        <w:t xml:space="preserve"> </w:t>
      </w:r>
      <w:r>
        <w:t xml:space="preserve">scheme, audits focused on energy production and </w:t>
      </w:r>
      <w:r w:rsidR="0018748C">
        <w:t>use</w:t>
      </w:r>
      <w:r>
        <w:t xml:space="preserve">, flaring of coal mine methane, and the chemical manufacture industry. </w:t>
      </w:r>
      <w:r w:rsidR="0074524A">
        <w:t>A</w:t>
      </w:r>
      <w:r>
        <w:t xml:space="preserve">udits </w:t>
      </w:r>
      <w:r w:rsidR="0074524A">
        <w:t xml:space="preserve">under the Renewable Energy Target </w:t>
      </w:r>
      <w:r w:rsidR="00D27502">
        <w:t xml:space="preserve">were </w:t>
      </w:r>
      <w:r>
        <w:t xml:space="preserve">focused on demonstrating power station compliance.  </w:t>
      </w:r>
    </w:p>
    <w:p w14:paraId="379C0052" w14:textId="0257B031" w:rsidR="000509A1" w:rsidRDefault="000509A1" w:rsidP="000509A1">
      <w:r>
        <w:t xml:space="preserve">In addition, where the </w:t>
      </w:r>
      <w:r w:rsidR="00BF2779">
        <w:t>Regulator</w:t>
      </w:r>
      <w:r w:rsidR="00BF2779" w:rsidDel="00BF2779">
        <w:t xml:space="preserve"> </w:t>
      </w:r>
      <w:r>
        <w:t xml:space="preserve">has reasonable grounds to suspect a breach of </w:t>
      </w:r>
      <w:r w:rsidR="00D27502">
        <w:t xml:space="preserve">the </w:t>
      </w:r>
      <w:r w:rsidR="00403001">
        <w:t xml:space="preserve">National Greenhouse and Energy Reporting legislation </w:t>
      </w:r>
      <w:r w:rsidR="00D27502">
        <w:t xml:space="preserve">or </w:t>
      </w:r>
      <w:r w:rsidR="00403001">
        <w:t xml:space="preserve">the </w:t>
      </w:r>
      <w:r w:rsidR="0074524A" w:rsidRPr="004841B0">
        <w:rPr>
          <w:rFonts w:eastAsiaTheme="minorHAnsi" w:cstheme="minorBidi"/>
          <w:lang w:val="en-US"/>
        </w:rPr>
        <w:t>Emissions Reduction Fund</w:t>
      </w:r>
      <w:r w:rsidR="0074524A" w:rsidDel="0074524A">
        <w:t xml:space="preserve"> </w:t>
      </w:r>
      <w:r>
        <w:t xml:space="preserve">legislation, a company can be required to undertake a compliance management audit. For these audits, the scheme participant can appoint and pay for a greenhouse and energy auditor of its own choice, unless a particular auditor has been specified in the notice.  </w:t>
      </w:r>
    </w:p>
    <w:p w14:paraId="2B08C08E" w14:textId="01DD7E46" w:rsidR="000509A1" w:rsidRDefault="000509A1" w:rsidP="00C855A5">
      <w:r w:rsidRPr="00364C9F">
        <w:t>In</w:t>
      </w:r>
      <w:r w:rsidR="00E93B0A" w:rsidRPr="00364C9F">
        <w:t xml:space="preserve"> </w:t>
      </w:r>
      <w:r w:rsidRPr="00364C9F">
        <w:t>201</w:t>
      </w:r>
      <w:r w:rsidR="00E93B0A" w:rsidRPr="00364C9F">
        <w:t>6-1</w:t>
      </w:r>
      <w:r w:rsidRPr="00364C9F">
        <w:t>7</w:t>
      </w:r>
      <w:r w:rsidR="00D30150">
        <w:t xml:space="preserve">, </w:t>
      </w:r>
      <w:r w:rsidRPr="00364C9F">
        <w:t xml:space="preserve">the </w:t>
      </w:r>
      <w:r w:rsidR="00BF2779">
        <w:t>Regulator</w:t>
      </w:r>
      <w:r w:rsidR="00BF2779" w:rsidRPr="00C60692" w:rsidDel="00BF2779">
        <w:t xml:space="preserve"> </w:t>
      </w:r>
      <w:r w:rsidR="00240F19">
        <w:t>assessed</w:t>
      </w:r>
      <w:r w:rsidR="00240F19" w:rsidRPr="00364C9F">
        <w:t xml:space="preserve"> </w:t>
      </w:r>
      <w:r w:rsidRPr="00364C9F">
        <w:t>5</w:t>
      </w:r>
      <w:r w:rsidR="00E93B0A" w:rsidRPr="00364C9F">
        <w:t>3</w:t>
      </w:r>
      <w:r w:rsidRPr="00364C9F">
        <w:t xml:space="preserve"> compliance monitoring and management audits</w:t>
      </w:r>
      <w:r w:rsidR="009D7B08" w:rsidRPr="00364C9F">
        <w:t>, accounting for 2-5</w:t>
      </w:r>
      <w:r w:rsidR="00052415" w:rsidRPr="00364C9F">
        <w:t xml:space="preserve"> per cent</w:t>
      </w:r>
      <w:r w:rsidR="009D7B08" w:rsidRPr="00364C9F">
        <w:t xml:space="preserve"> of the </w:t>
      </w:r>
      <w:r w:rsidR="009D7B08">
        <w:t xml:space="preserve">total </w:t>
      </w:r>
      <w:r w:rsidR="002E34BA">
        <w:t xml:space="preserve">matters that </w:t>
      </w:r>
      <w:r w:rsidR="00EA25B3">
        <w:t>could</w:t>
      </w:r>
      <w:r w:rsidR="002E34BA">
        <w:t xml:space="preserve"> be audited </w:t>
      </w:r>
      <w:r w:rsidR="00BF2779">
        <w:t xml:space="preserve">across the </w:t>
      </w:r>
      <w:r w:rsidR="009D7B08">
        <w:t>schemes</w:t>
      </w:r>
      <w:r>
        <w:t xml:space="preserve"> </w:t>
      </w:r>
      <w:r w:rsidR="009661BD">
        <w:t>(</w:t>
      </w:r>
      <w:r w:rsidR="004F16F9" w:rsidRPr="00E725A1">
        <w:t>CER 2018</w:t>
      </w:r>
      <w:r w:rsidR="00BD08A4">
        <w:t>l</w:t>
      </w:r>
      <w:r w:rsidR="00554DA8">
        <w:t>,</w:t>
      </w:r>
      <w:r w:rsidR="004F16F9" w:rsidRPr="00E725A1">
        <w:t xml:space="preserve"> pers. comm</w:t>
      </w:r>
      <w:r w:rsidR="00B17452">
        <w:t>.</w:t>
      </w:r>
      <w:r w:rsidR="009661BD">
        <w:t>)</w:t>
      </w:r>
      <w:r>
        <w:t xml:space="preserve">. </w:t>
      </w:r>
    </w:p>
    <w:p w14:paraId="02B00FEC" w14:textId="77777777" w:rsidR="00267B07" w:rsidRDefault="00267B07" w:rsidP="00267B07">
      <w:pPr>
        <w:pStyle w:val="Heading3"/>
      </w:pPr>
      <w:bookmarkStart w:id="1359" w:name="_Toc520448592"/>
      <w:bookmarkStart w:id="1360" w:name="_Toc520455268"/>
      <w:bookmarkStart w:id="1361" w:name="_Toc520459067"/>
      <w:bookmarkStart w:id="1362" w:name="_Toc520459461"/>
      <w:bookmarkStart w:id="1363" w:name="_Toc520458589"/>
      <w:bookmarkStart w:id="1364" w:name="_Toc520459543"/>
      <w:bookmarkStart w:id="1365" w:name="_Toc520461459"/>
      <w:bookmarkStart w:id="1366" w:name="_Toc520461821"/>
      <w:bookmarkStart w:id="1367" w:name="_Toc520466849"/>
      <w:bookmarkStart w:id="1368" w:name="_Toc520469886"/>
      <w:bookmarkStart w:id="1369" w:name="_Toc520705344"/>
      <w:bookmarkStart w:id="1370" w:name="_Toc520707708"/>
      <w:r>
        <w:t>Audit findings</w:t>
      </w:r>
    </w:p>
    <w:p w14:paraId="375F7D05" w14:textId="5054D725" w:rsidR="00267B07" w:rsidRDefault="00267B07" w:rsidP="00267B07">
      <w:r>
        <w:t>Of the overall 380 audits undertaken and provided to the Regulator</w:t>
      </w:r>
      <w:r w:rsidDel="006D3F81">
        <w:t xml:space="preserve"> </w:t>
      </w:r>
      <w:r>
        <w:t xml:space="preserve">in 2016-17, </w:t>
      </w:r>
      <w:r w:rsidDel="00E93B0A">
        <w:t>a</w:t>
      </w:r>
      <w:r>
        <w:t xml:space="preserve">round 55 per cent of the matters audited returned an unqualified audit (meaning no errors were found), about 30 per cent were qualified (meaning one or more errors were found not affecting the conclusions), around 8 per cent were adverse </w:t>
      </w:r>
      <w:r>
        <w:lastRenderedPageBreak/>
        <w:t>(where errors were found affecting the conclusions) and around 7 per cent were inconclusive (</w:t>
      </w:r>
      <w:r w:rsidRPr="00E725A1">
        <w:t>CER 2018</w:t>
      </w:r>
      <w:r>
        <w:t>l</w:t>
      </w:r>
      <w:r w:rsidR="00554DA8">
        <w:t>,</w:t>
      </w:r>
      <w:r w:rsidRPr="00E725A1">
        <w:t xml:space="preserve"> pers. comm</w:t>
      </w:r>
      <w:r>
        <w:t>.).</w:t>
      </w:r>
    </w:p>
    <w:p w14:paraId="09CFDD29" w14:textId="325FD27F" w:rsidR="000509A1" w:rsidRDefault="000509A1" w:rsidP="00364C9F">
      <w:pPr>
        <w:pStyle w:val="Heading2"/>
      </w:pPr>
      <w:bookmarkStart w:id="1371" w:name="_Toc520715054"/>
      <w:bookmarkStart w:id="1372" w:name="_Toc520715234"/>
      <w:bookmarkStart w:id="1373" w:name="_Toc520715325"/>
      <w:bookmarkStart w:id="1374" w:name="_Toc520716467"/>
      <w:bookmarkStart w:id="1375" w:name="_Toc520716574"/>
      <w:bookmarkStart w:id="1376" w:name="_Toc520716723"/>
      <w:bookmarkStart w:id="1377" w:name="_Toc520717014"/>
      <w:bookmarkStart w:id="1378" w:name="_Toc520719503"/>
      <w:bookmarkStart w:id="1379" w:name="_Toc520716724"/>
      <w:bookmarkStart w:id="1380" w:name="_Toc520720370"/>
      <w:bookmarkStart w:id="1381" w:name="_Toc520721621"/>
      <w:bookmarkStart w:id="1382" w:name="_Toc520724154"/>
      <w:bookmarkStart w:id="1383" w:name="_Toc520735259"/>
      <w:bookmarkStart w:id="1384" w:name="_Toc520736292"/>
      <w:bookmarkStart w:id="1385" w:name="_Toc520736711"/>
      <w:bookmarkEnd w:id="1371"/>
      <w:bookmarkEnd w:id="1372"/>
      <w:bookmarkEnd w:id="1373"/>
      <w:bookmarkEnd w:id="1374"/>
      <w:bookmarkEnd w:id="1375"/>
      <w:bookmarkEnd w:id="1376"/>
      <w:bookmarkEnd w:id="1377"/>
      <w:bookmarkEnd w:id="1378"/>
      <w:r>
        <w:t>Requirements for auditors</w:t>
      </w:r>
      <w:bookmarkEnd w:id="1359"/>
      <w:bookmarkEnd w:id="1360"/>
      <w:bookmarkEnd w:id="1361"/>
      <w:bookmarkEnd w:id="1362"/>
      <w:bookmarkEnd w:id="1363"/>
      <w:bookmarkEnd w:id="1364"/>
      <w:bookmarkEnd w:id="1365"/>
      <w:bookmarkEnd w:id="1366"/>
      <w:bookmarkEnd w:id="1367"/>
      <w:bookmarkEnd w:id="1368"/>
      <w:bookmarkEnd w:id="1369"/>
      <w:bookmarkEnd w:id="1370"/>
      <w:bookmarkEnd w:id="1379"/>
      <w:bookmarkEnd w:id="1380"/>
      <w:bookmarkEnd w:id="1381"/>
      <w:bookmarkEnd w:id="1382"/>
      <w:bookmarkEnd w:id="1383"/>
      <w:bookmarkEnd w:id="1384"/>
      <w:bookmarkEnd w:id="1385"/>
    </w:p>
    <w:p w14:paraId="066422A6" w14:textId="0E05BBE9" w:rsidR="000509A1" w:rsidRDefault="000509A1" w:rsidP="000509A1">
      <w:r>
        <w:t xml:space="preserve">The audit framework sets out standards of professional conduct, qualifications, knowledge, training and experience auditors need to have to be registered by the </w:t>
      </w:r>
      <w:r w:rsidR="00BF2779">
        <w:t>Regulator</w:t>
      </w:r>
      <w:r>
        <w:t xml:space="preserve">. Once registered, auditors must continue to meet certain requirements, such as actively participating in audits and continuing professional development. The </w:t>
      </w:r>
      <w:r w:rsidR="00BF2779">
        <w:t>Regulator</w:t>
      </w:r>
      <w:r w:rsidR="00BF2779" w:rsidDel="00BF2779">
        <w:t xml:space="preserve"> </w:t>
      </w:r>
      <w:r>
        <w:t xml:space="preserve">publishes a register of greenhouse and energy auditors, including details such as company </w:t>
      </w:r>
      <w:r w:rsidR="002E7D7E">
        <w:t>and</w:t>
      </w:r>
      <w:r>
        <w:t xml:space="preserve"> location. As at </w:t>
      </w:r>
      <w:r w:rsidR="007068EB">
        <w:t>July</w:t>
      </w:r>
      <w:r w:rsidR="00F10D8B">
        <w:t> </w:t>
      </w:r>
      <w:r>
        <w:t>2018 there were 10</w:t>
      </w:r>
      <w:r w:rsidR="007173E4">
        <w:t>5</w:t>
      </w:r>
      <w:r>
        <w:t xml:space="preserve"> auditors registered </w:t>
      </w:r>
      <w:r w:rsidR="007173E4">
        <w:t>(</w:t>
      </w:r>
      <w:r w:rsidR="00A41910" w:rsidRPr="00CB2190">
        <w:t>CER 201</w:t>
      </w:r>
      <w:r w:rsidR="00C30E85" w:rsidRPr="00364C9F">
        <w:t>8</w:t>
      </w:r>
      <w:r w:rsidR="00BD08A4">
        <w:t>n</w:t>
      </w:r>
      <w:r w:rsidR="007173E4">
        <w:t>)</w:t>
      </w:r>
      <w:r>
        <w:t>.</w:t>
      </w:r>
    </w:p>
    <w:p w14:paraId="4A91E8FC" w14:textId="1996FA02" w:rsidR="000509A1" w:rsidRDefault="000509A1" w:rsidP="000509A1">
      <w:r>
        <w:t xml:space="preserve">The </w:t>
      </w:r>
      <w:r w:rsidR="00BF2779">
        <w:t>Regulator</w:t>
      </w:r>
      <w:r w:rsidR="00BF2779" w:rsidDel="00BF2779">
        <w:t xml:space="preserve"> </w:t>
      </w:r>
      <w:r>
        <w:t>monitors the performance and compliance of registered auditors through education, registration reviews, on site and desktop inspections, and auditor risk profiling.</w:t>
      </w:r>
    </w:p>
    <w:p w14:paraId="5AA3EB9B" w14:textId="7093AA71" w:rsidR="000509A1" w:rsidRDefault="00C70F47" w:rsidP="000509A1">
      <w:bookmarkStart w:id="1386" w:name="OLE_LINK1"/>
      <w:r>
        <w:t>In response to feedback from auditors, t</w:t>
      </w:r>
      <w:r w:rsidR="000509A1">
        <w:t xml:space="preserve">he </w:t>
      </w:r>
      <w:r w:rsidR="00BF2779">
        <w:t>Regulator</w:t>
      </w:r>
      <w:r w:rsidR="00BF2779" w:rsidDel="00BF2779">
        <w:t xml:space="preserve"> </w:t>
      </w:r>
      <w:r w:rsidR="0063772F">
        <w:t xml:space="preserve">has </w:t>
      </w:r>
      <w:r>
        <w:t>proposed</w:t>
      </w:r>
      <w:r w:rsidR="000509A1">
        <w:t xml:space="preserve"> </w:t>
      </w:r>
      <w:r>
        <w:t>changes to the audit framework to ensure auditors and audits are of an acceptable standard and quality.</w:t>
      </w:r>
      <w:r w:rsidR="000509A1">
        <w:t xml:space="preserve">  </w:t>
      </w:r>
    </w:p>
    <w:p w14:paraId="558F1387" w14:textId="211B2768" w:rsidR="000509A1" w:rsidRDefault="000509A1" w:rsidP="00364C9F">
      <w:pPr>
        <w:pStyle w:val="Heading2"/>
      </w:pPr>
      <w:bookmarkStart w:id="1387" w:name="_Toc520448593"/>
      <w:bookmarkStart w:id="1388" w:name="_Toc520455269"/>
      <w:bookmarkStart w:id="1389" w:name="_Toc520459068"/>
      <w:bookmarkStart w:id="1390" w:name="_Toc520459462"/>
      <w:bookmarkStart w:id="1391" w:name="_Toc520458590"/>
      <w:bookmarkStart w:id="1392" w:name="_Toc520459544"/>
      <w:bookmarkStart w:id="1393" w:name="_Toc520461460"/>
      <w:bookmarkStart w:id="1394" w:name="_Toc520461822"/>
      <w:bookmarkStart w:id="1395" w:name="_Toc520466850"/>
      <w:bookmarkStart w:id="1396" w:name="_Toc520469887"/>
      <w:bookmarkStart w:id="1397" w:name="_Toc520705345"/>
      <w:bookmarkStart w:id="1398" w:name="_Toc520707709"/>
      <w:bookmarkStart w:id="1399" w:name="_Toc520716725"/>
      <w:bookmarkStart w:id="1400" w:name="_Toc520720371"/>
      <w:bookmarkStart w:id="1401" w:name="_Toc520721622"/>
      <w:bookmarkStart w:id="1402" w:name="_Toc520724155"/>
      <w:bookmarkStart w:id="1403" w:name="_Toc520735260"/>
      <w:bookmarkStart w:id="1404" w:name="_Toc520736293"/>
      <w:bookmarkStart w:id="1405" w:name="_Toc520736712"/>
      <w:bookmarkEnd w:id="1386"/>
      <w:r>
        <w:t>Non-compliance by greenhouse and energy auditors</w:t>
      </w:r>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p>
    <w:p w14:paraId="6CED0F5C" w14:textId="4B5BE8D8" w:rsidR="000509A1" w:rsidRDefault="000509A1" w:rsidP="000509A1">
      <w:r>
        <w:t xml:space="preserve">The </w:t>
      </w:r>
      <w:r w:rsidR="00BF2779">
        <w:t>Regulator</w:t>
      </w:r>
      <w:r w:rsidR="00BF2779" w:rsidDel="00BF2779">
        <w:t xml:space="preserve"> </w:t>
      </w:r>
      <w:r>
        <w:t xml:space="preserve">can apply conditions to an auditor's registration, or suspend or deregister an auditor who does not comply with the audit framework. The </w:t>
      </w:r>
      <w:r w:rsidR="00BF2779">
        <w:t>Regulator</w:t>
      </w:r>
      <w:r w:rsidR="00BF2779" w:rsidDel="00BF2779">
        <w:t xml:space="preserve"> </w:t>
      </w:r>
      <w:r>
        <w:t xml:space="preserve">has used these powers in a small number of cases. Auditors can also choose to suspend their registration or deregister voluntarily to avoid the ongoing requirements to maintain their registration. </w:t>
      </w:r>
    </w:p>
    <w:p w14:paraId="29C38F62" w14:textId="655A8440" w:rsidR="00D05C7B" w:rsidRDefault="00D05C7B" w:rsidP="00883094">
      <w:pPr>
        <w:pStyle w:val="Heading2"/>
      </w:pPr>
      <w:bookmarkStart w:id="1406" w:name="_Toc519166195"/>
      <w:bookmarkStart w:id="1407" w:name="_Toc519240562"/>
      <w:bookmarkStart w:id="1408" w:name="_Toc519240690"/>
      <w:bookmarkStart w:id="1409" w:name="_Toc520448594"/>
      <w:bookmarkStart w:id="1410" w:name="_Toc520455270"/>
      <w:bookmarkStart w:id="1411" w:name="_Toc520459069"/>
      <w:bookmarkStart w:id="1412" w:name="_Toc520459463"/>
      <w:bookmarkStart w:id="1413" w:name="_Toc520458591"/>
      <w:bookmarkStart w:id="1414" w:name="_Toc520459545"/>
      <w:bookmarkStart w:id="1415" w:name="_Toc520461461"/>
      <w:bookmarkStart w:id="1416" w:name="_Toc520461823"/>
      <w:bookmarkStart w:id="1417" w:name="_Toc520466851"/>
      <w:bookmarkStart w:id="1418" w:name="_Toc520469888"/>
      <w:bookmarkStart w:id="1419" w:name="_Toc520705346"/>
      <w:bookmarkStart w:id="1420" w:name="_Toc520707710"/>
      <w:bookmarkStart w:id="1421" w:name="_Toc520716726"/>
      <w:bookmarkStart w:id="1422" w:name="_Toc520720372"/>
      <w:bookmarkStart w:id="1423" w:name="_Toc520721623"/>
      <w:bookmarkStart w:id="1424" w:name="_Toc520724156"/>
      <w:bookmarkStart w:id="1425" w:name="_Toc520735261"/>
      <w:bookmarkStart w:id="1426" w:name="_Toc520736294"/>
      <w:bookmarkStart w:id="1427" w:name="_Toc520736713"/>
      <w:r>
        <w:t>Other programs us</w:t>
      </w:r>
      <w:r w:rsidR="00E43A55">
        <w:t>ing</w:t>
      </w:r>
      <w:r>
        <w:t xml:space="preserve"> the audit framework</w:t>
      </w:r>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r>
        <w:t xml:space="preserve"> </w:t>
      </w:r>
    </w:p>
    <w:p w14:paraId="2863EB7A" w14:textId="3CB755BB" w:rsidR="000509A1" w:rsidRDefault="000509A1" w:rsidP="000509A1">
      <w:r>
        <w:t xml:space="preserve">Some other government programs use the greenhouse and energy auditors registered under the legislation, such as the National Carbon Offset Standard. This a voluntary standard </w:t>
      </w:r>
      <w:r w:rsidR="000005F8">
        <w:t>that allows businesses, products or events to be certified as carbon neutral</w:t>
      </w:r>
      <w:r>
        <w:t xml:space="preserve">. The </w:t>
      </w:r>
      <w:r w:rsidR="0074524A">
        <w:t xml:space="preserve">standard </w:t>
      </w:r>
      <w:r>
        <w:t xml:space="preserve">is administered by the </w:t>
      </w:r>
      <w:r w:rsidR="00FF6084">
        <w:t>Department</w:t>
      </w:r>
      <w:r w:rsidR="00DD3B39">
        <w:t xml:space="preserve"> of the Environment and Energy</w:t>
      </w:r>
      <w:r w:rsidR="00FF6084">
        <w:t xml:space="preserve">, not the </w:t>
      </w:r>
      <w:r w:rsidR="00BF2779">
        <w:t>Regulator.</w:t>
      </w:r>
      <w:r>
        <w:t xml:space="preserve"> </w:t>
      </w:r>
    </w:p>
    <w:p w14:paraId="1C4D6FEE" w14:textId="1DBF6365" w:rsidR="000509A1" w:rsidRDefault="000509A1" w:rsidP="000509A1">
      <w:r>
        <w:t>The Authority understands other government programs may also use the audit framework. The Authority is interested in hearing from stakeholders as to whether any other government</w:t>
      </w:r>
      <w:r w:rsidR="00323C3C">
        <w:t xml:space="preserve">, businesses or others </w:t>
      </w:r>
      <w:r>
        <w:t>use the audit framework.</w:t>
      </w:r>
    </w:p>
    <w:p w14:paraId="70693F10" w14:textId="36EB0499" w:rsidR="00523D6A" w:rsidRDefault="00523D6A" w:rsidP="00497BA8">
      <w:r>
        <w:t>The Authority is interested in stakeholder</w:t>
      </w:r>
      <w:r w:rsidR="00C420C6">
        <w:t>s’</w:t>
      </w:r>
      <w:r>
        <w:t xml:space="preserve"> views on whether the requirements for auditors in the audit framework effectively balance the need for high quality audits at a reasonable cost, and whether stakeholders believe there are currently sufficient auditors of a high quality available</w:t>
      </w:r>
      <w:r w:rsidR="008E5A2A">
        <w:t xml:space="preserve"> to complete the audits needed.</w:t>
      </w:r>
    </w:p>
    <w:tbl>
      <w:tblPr>
        <w:tblStyle w:val="TableGrid"/>
        <w:tblW w:w="0" w:type="auto"/>
        <w:shd w:val="clear" w:color="auto" w:fill="E6ECF2"/>
        <w:tblLook w:val="04A0" w:firstRow="1" w:lastRow="0" w:firstColumn="1" w:lastColumn="0" w:noHBand="0" w:noVBand="1"/>
      </w:tblPr>
      <w:tblGrid>
        <w:gridCol w:w="9202"/>
      </w:tblGrid>
      <w:tr w:rsidR="00497BA8" w14:paraId="02263C22" w14:textId="77777777" w:rsidTr="0073569F">
        <w:trPr>
          <w:cnfStyle w:val="100000000000" w:firstRow="1" w:lastRow="0" w:firstColumn="0" w:lastColumn="0" w:oddVBand="0" w:evenVBand="0" w:oddHBand="0" w:evenHBand="0" w:firstRowFirstColumn="0" w:firstRowLastColumn="0" w:lastRowFirstColumn="0" w:lastRowLastColumn="0"/>
        </w:trPr>
        <w:tc>
          <w:tcPr>
            <w:tcW w:w="9202" w:type="dxa"/>
            <w:shd w:val="clear" w:color="auto" w:fill="E6ECF2"/>
            <w:tcMar>
              <w:top w:w="567" w:type="dxa"/>
              <w:left w:w="567" w:type="dxa"/>
              <w:bottom w:w="567" w:type="dxa"/>
              <w:right w:w="567" w:type="dxa"/>
            </w:tcMar>
          </w:tcPr>
          <w:p w14:paraId="337A2C22" w14:textId="142B5946" w:rsidR="00497BA8" w:rsidRPr="00D97780" w:rsidRDefault="00497BA8" w:rsidP="0073569F">
            <w:pPr>
              <w:rPr>
                <w:b/>
                <w:color w:val="159DCE"/>
              </w:rPr>
            </w:pPr>
            <w:r w:rsidRPr="00D97780">
              <w:rPr>
                <w:b/>
                <w:color w:val="159DCE"/>
              </w:rPr>
              <w:lastRenderedPageBreak/>
              <w:t>CONSULTATION QUESTIONS</w:t>
            </w:r>
            <w:r w:rsidR="00193858">
              <w:rPr>
                <w:b/>
                <w:color w:val="159DCE"/>
              </w:rPr>
              <w:t>: CHAPTER 5</w:t>
            </w:r>
          </w:p>
          <w:p w14:paraId="70FBF2E9" w14:textId="4E3E2905" w:rsidR="00497BA8" w:rsidRDefault="00497BA8" w:rsidP="00497BA8">
            <w:bookmarkStart w:id="1428" w:name="_Toc519087323"/>
            <w:bookmarkStart w:id="1429" w:name="_Toc519090748"/>
            <w:bookmarkStart w:id="1430" w:name="_Toc519163129"/>
            <w:bookmarkStart w:id="1431" w:name="_Toc519163442"/>
            <w:bookmarkStart w:id="1432" w:name="_Toc519164487"/>
            <w:bookmarkStart w:id="1433" w:name="_Toc520280134"/>
            <w:bookmarkStart w:id="1434" w:name="_Toc520281327"/>
            <w:bookmarkStart w:id="1435" w:name="_Toc520459408"/>
            <w:bookmarkStart w:id="1436" w:name="_Toc520461403"/>
            <w:bookmarkStart w:id="1437" w:name="_Toc520461769"/>
            <w:bookmarkStart w:id="1438" w:name="_Toc520705299"/>
            <w:bookmarkStart w:id="1439" w:name="_Toc520707657"/>
            <w:bookmarkStart w:id="1440" w:name="_Toc520716671"/>
            <w:bookmarkStart w:id="1441" w:name="_Toc520720319"/>
            <w:bookmarkStart w:id="1442" w:name="_Toc520720992"/>
            <w:bookmarkStart w:id="1443" w:name="_Toc520721570"/>
            <w:bookmarkStart w:id="1444" w:name="_Toc520724103"/>
            <w:bookmarkStart w:id="1445" w:name="_Toc520735207"/>
            <w:bookmarkStart w:id="1446" w:name="_Toc520736240"/>
            <w:bookmarkStart w:id="1447" w:name="_Toc520736659"/>
            <w:r>
              <w:t xml:space="preserve">Q. </w:t>
            </w:r>
            <w:r w:rsidR="00363A9B">
              <w:fldChar w:fldCharType="begin"/>
            </w:r>
            <w:r w:rsidR="00363A9B">
              <w:instrText xml:space="preserve"> SEQ Q. \* ARABIC </w:instrText>
            </w:r>
            <w:r w:rsidR="00363A9B">
              <w:fldChar w:fldCharType="separate"/>
            </w:r>
            <w:r w:rsidR="00AD7AD8">
              <w:rPr>
                <w:noProof/>
              </w:rPr>
              <w:t>25</w:t>
            </w:r>
            <w:r w:rsidR="00363A9B">
              <w:rPr>
                <w:noProof/>
              </w:rPr>
              <w:fldChar w:fldCharType="end"/>
            </w:r>
            <w:r>
              <w:t xml:space="preserve"> </w:t>
            </w:r>
            <w:r>
              <w:tab/>
            </w:r>
            <w:r w:rsidRPr="00497BA8">
              <w:t xml:space="preserve">Is the audit framework in the </w:t>
            </w:r>
            <w:r w:rsidR="0029233F">
              <w:t>National Greenhouse and Energy Reporting</w:t>
            </w:r>
            <w:r w:rsidRPr="00497BA8">
              <w:t xml:space="preserve"> legislation effective and efficient at ensuring compliance?</w:t>
            </w:r>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p>
          <w:p w14:paraId="5F1A01F7" w14:textId="659D32D2" w:rsidR="00497BA8" w:rsidRDefault="00497BA8" w:rsidP="00497BA8">
            <w:bookmarkStart w:id="1448" w:name="_Toc519087324"/>
            <w:bookmarkStart w:id="1449" w:name="_Toc519090749"/>
            <w:bookmarkStart w:id="1450" w:name="_Toc519163130"/>
            <w:bookmarkStart w:id="1451" w:name="_Toc519163443"/>
            <w:bookmarkStart w:id="1452" w:name="_Toc519164488"/>
            <w:bookmarkStart w:id="1453" w:name="_Toc520280135"/>
            <w:bookmarkStart w:id="1454" w:name="_Toc520281328"/>
            <w:bookmarkStart w:id="1455" w:name="_Toc520459409"/>
            <w:bookmarkStart w:id="1456" w:name="_Toc520461404"/>
            <w:bookmarkStart w:id="1457" w:name="_Toc520461770"/>
            <w:bookmarkStart w:id="1458" w:name="_Toc520705300"/>
            <w:bookmarkStart w:id="1459" w:name="_Toc520707658"/>
            <w:bookmarkStart w:id="1460" w:name="_Toc520716672"/>
            <w:bookmarkStart w:id="1461" w:name="_Toc520720320"/>
            <w:bookmarkStart w:id="1462" w:name="_Toc520720993"/>
            <w:bookmarkStart w:id="1463" w:name="_Toc520721571"/>
            <w:bookmarkStart w:id="1464" w:name="_Toc520724104"/>
            <w:bookmarkStart w:id="1465" w:name="_Toc520735208"/>
            <w:bookmarkStart w:id="1466" w:name="_Toc520736241"/>
            <w:bookmarkStart w:id="1467" w:name="_Toc520736660"/>
            <w:r>
              <w:t xml:space="preserve">Q. </w:t>
            </w:r>
            <w:r w:rsidR="00363A9B">
              <w:fldChar w:fldCharType="begin"/>
            </w:r>
            <w:r w:rsidR="00363A9B">
              <w:instrText xml:space="preserve"> SEQ Q. \* ARABIC </w:instrText>
            </w:r>
            <w:r w:rsidR="00363A9B">
              <w:fldChar w:fldCharType="separate"/>
            </w:r>
            <w:r w:rsidR="00AD7AD8">
              <w:rPr>
                <w:noProof/>
              </w:rPr>
              <w:t>26</w:t>
            </w:r>
            <w:r w:rsidR="00363A9B">
              <w:rPr>
                <w:noProof/>
              </w:rPr>
              <w:fldChar w:fldCharType="end"/>
            </w:r>
            <w:r>
              <w:t xml:space="preserve"> </w:t>
            </w:r>
            <w:r>
              <w:tab/>
            </w:r>
            <w:r w:rsidRPr="00497BA8">
              <w:t>Are there opportunities for improving the audit framework such as reducing the cost of audits or making the audits more effective?</w:t>
            </w:r>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p>
          <w:p w14:paraId="75A12274" w14:textId="77777777" w:rsidR="00D570F7" w:rsidRDefault="00D570F7" w:rsidP="00D570F7">
            <w:bookmarkStart w:id="1468" w:name="_Toc520705301"/>
            <w:bookmarkStart w:id="1469" w:name="_Toc520707659"/>
            <w:bookmarkStart w:id="1470" w:name="_Toc520716673"/>
            <w:bookmarkStart w:id="1471" w:name="_Toc520720321"/>
            <w:bookmarkStart w:id="1472" w:name="_Toc520720994"/>
            <w:bookmarkStart w:id="1473" w:name="_Toc520721572"/>
            <w:bookmarkStart w:id="1474" w:name="_Toc520724105"/>
            <w:bookmarkStart w:id="1475" w:name="_Toc520735209"/>
            <w:bookmarkStart w:id="1476" w:name="_Toc520736242"/>
            <w:bookmarkStart w:id="1477" w:name="_Toc520736661"/>
            <w:bookmarkStart w:id="1478" w:name="_Toc519087325"/>
            <w:bookmarkStart w:id="1479" w:name="_Toc519087470"/>
            <w:bookmarkStart w:id="1480" w:name="_Toc519090750"/>
            <w:bookmarkStart w:id="1481" w:name="_Toc519163131"/>
            <w:bookmarkStart w:id="1482" w:name="_Toc519163444"/>
            <w:bookmarkStart w:id="1483" w:name="_Toc519164489"/>
            <w:bookmarkStart w:id="1484" w:name="_Toc520280136"/>
            <w:bookmarkStart w:id="1485" w:name="_Toc520281329"/>
            <w:bookmarkStart w:id="1486" w:name="_Toc520459410"/>
            <w:bookmarkStart w:id="1487" w:name="_Toc520461405"/>
            <w:bookmarkStart w:id="1488" w:name="_Toc520461771"/>
            <w:r>
              <w:t xml:space="preserve">Q. </w:t>
            </w:r>
            <w:r w:rsidR="00363A9B">
              <w:fldChar w:fldCharType="begin"/>
            </w:r>
            <w:r w:rsidR="00363A9B">
              <w:instrText xml:space="preserve"> SEQ Q. \* ARABIC </w:instrText>
            </w:r>
            <w:r w:rsidR="00363A9B">
              <w:fldChar w:fldCharType="separate"/>
            </w:r>
            <w:r w:rsidR="00AD7AD8">
              <w:rPr>
                <w:noProof/>
              </w:rPr>
              <w:t>27</w:t>
            </w:r>
            <w:r w:rsidR="00363A9B">
              <w:rPr>
                <w:noProof/>
              </w:rPr>
              <w:fldChar w:fldCharType="end"/>
            </w:r>
            <w:r>
              <w:t xml:space="preserve"> </w:t>
            </w:r>
            <w:r>
              <w:tab/>
              <w:t>What</w:t>
            </w:r>
            <w:r w:rsidRPr="00497BA8">
              <w:t xml:space="preserve"> other government or non-government programs </w:t>
            </w:r>
            <w:r>
              <w:t>use</w:t>
            </w:r>
            <w:r w:rsidRPr="00497BA8">
              <w:t xml:space="preserve"> the </w:t>
            </w:r>
            <w:r>
              <w:t>National Greenhouse and Energy Reporting audit</w:t>
            </w:r>
            <w:r w:rsidRPr="00497BA8">
              <w:t xml:space="preserve"> framework?</w:t>
            </w:r>
            <w:bookmarkEnd w:id="1468"/>
            <w:bookmarkEnd w:id="1469"/>
            <w:bookmarkEnd w:id="1470"/>
            <w:bookmarkEnd w:id="1471"/>
            <w:bookmarkEnd w:id="1472"/>
            <w:bookmarkEnd w:id="1473"/>
            <w:bookmarkEnd w:id="1474"/>
            <w:bookmarkEnd w:id="1475"/>
            <w:bookmarkEnd w:id="1476"/>
            <w:bookmarkEnd w:id="1477"/>
          </w:p>
          <w:p w14:paraId="01667702" w14:textId="41B3A0B2" w:rsidR="00497BA8" w:rsidRDefault="00D570F7" w:rsidP="00D570F7">
            <w:r>
              <w:t xml:space="preserve"> </w:t>
            </w:r>
            <w:bookmarkStart w:id="1489" w:name="_Toc520705302"/>
            <w:bookmarkStart w:id="1490" w:name="_Toc520707660"/>
            <w:bookmarkStart w:id="1491" w:name="_Toc520716674"/>
            <w:bookmarkStart w:id="1492" w:name="_Toc520720322"/>
            <w:bookmarkStart w:id="1493" w:name="_Toc520720995"/>
            <w:bookmarkStart w:id="1494" w:name="_Toc520721573"/>
            <w:bookmarkStart w:id="1495" w:name="_Toc520724106"/>
            <w:bookmarkStart w:id="1496" w:name="_Toc520735210"/>
            <w:bookmarkStart w:id="1497" w:name="_Toc520736243"/>
            <w:bookmarkStart w:id="1498" w:name="_Toc520736662"/>
            <w:r w:rsidR="00497BA8">
              <w:t xml:space="preserve">Q. </w:t>
            </w:r>
            <w:r w:rsidR="00363A9B">
              <w:fldChar w:fldCharType="begin"/>
            </w:r>
            <w:r w:rsidR="00363A9B">
              <w:instrText xml:space="preserve"> SEQ Q. \* ARABIC </w:instrText>
            </w:r>
            <w:r w:rsidR="00363A9B">
              <w:fldChar w:fldCharType="separate"/>
            </w:r>
            <w:r w:rsidR="00AD7AD8">
              <w:rPr>
                <w:noProof/>
              </w:rPr>
              <w:t>28</w:t>
            </w:r>
            <w:r w:rsidR="00363A9B">
              <w:rPr>
                <w:noProof/>
              </w:rPr>
              <w:fldChar w:fldCharType="end"/>
            </w:r>
            <w:r w:rsidR="00497BA8">
              <w:t xml:space="preserve"> </w:t>
            </w:r>
            <w:r w:rsidR="00497BA8">
              <w:tab/>
            </w:r>
            <w:r w:rsidR="00497BA8" w:rsidRPr="00497BA8">
              <w:t>Do the requirements for auditors effectively balance the cost and quality of audits?</w:t>
            </w:r>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p>
          <w:p w14:paraId="24483BAE" w14:textId="35694EE6" w:rsidR="00497BA8" w:rsidRDefault="00497BA8">
            <w:bookmarkStart w:id="1499" w:name="_Toc519087326"/>
            <w:bookmarkStart w:id="1500" w:name="_Toc519087471"/>
            <w:bookmarkStart w:id="1501" w:name="_Toc519090751"/>
            <w:bookmarkStart w:id="1502" w:name="_Toc519163132"/>
            <w:bookmarkStart w:id="1503" w:name="_Toc519163445"/>
            <w:bookmarkStart w:id="1504" w:name="_Toc519164490"/>
            <w:bookmarkStart w:id="1505" w:name="_Toc520280137"/>
            <w:bookmarkStart w:id="1506" w:name="_Toc520281330"/>
            <w:bookmarkStart w:id="1507" w:name="_Toc520459411"/>
            <w:bookmarkStart w:id="1508" w:name="_Toc520461406"/>
            <w:bookmarkStart w:id="1509" w:name="_Toc520461772"/>
            <w:bookmarkStart w:id="1510" w:name="_Toc520705303"/>
            <w:bookmarkStart w:id="1511" w:name="_Toc520707661"/>
            <w:bookmarkStart w:id="1512" w:name="_Toc520716675"/>
            <w:bookmarkStart w:id="1513" w:name="_Toc520720323"/>
            <w:bookmarkStart w:id="1514" w:name="_Toc520720996"/>
            <w:bookmarkStart w:id="1515" w:name="_Toc520721574"/>
            <w:bookmarkStart w:id="1516" w:name="_Toc520724107"/>
            <w:bookmarkStart w:id="1517" w:name="_Toc520735211"/>
            <w:bookmarkStart w:id="1518" w:name="_Toc520736244"/>
            <w:bookmarkStart w:id="1519" w:name="_Toc520736663"/>
            <w:r>
              <w:t xml:space="preserve">Q. </w:t>
            </w:r>
            <w:r w:rsidR="00363A9B">
              <w:fldChar w:fldCharType="begin"/>
            </w:r>
            <w:r w:rsidR="00363A9B">
              <w:instrText xml:space="preserve"> SEQ Q. \* ARABIC </w:instrText>
            </w:r>
            <w:r w:rsidR="00363A9B">
              <w:fldChar w:fldCharType="separate"/>
            </w:r>
            <w:r w:rsidR="00AD7AD8">
              <w:rPr>
                <w:noProof/>
              </w:rPr>
              <w:t>29</w:t>
            </w:r>
            <w:r w:rsidR="00363A9B">
              <w:rPr>
                <w:noProof/>
              </w:rPr>
              <w:fldChar w:fldCharType="end"/>
            </w:r>
            <w:r>
              <w:t xml:space="preserve"> </w:t>
            </w:r>
            <w:r>
              <w:tab/>
            </w:r>
            <w:r w:rsidRPr="00497BA8">
              <w:t xml:space="preserve">Are there </w:t>
            </w:r>
            <w:r w:rsidR="00323C3C">
              <w:t xml:space="preserve">enough </w:t>
            </w:r>
            <w:r w:rsidR="00265293">
              <w:t>quality</w:t>
            </w:r>
            <w:r w:rsidR="00323C3C">
              <w:t xml:space="preserve"> auditors available</w:t>
            </w:r>
            <w:r w:rsidRPr="00497BA8">
              <w:t>?</w:t>
            </w:r>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p>
        </w:tc>
      </w:tr>
    </w:tbl>
    <w:p w14:paraId="628D0025" w14:textId="1A399522" w:rsidR="000509A1" w:rsidRDefault="00E148EB" w:rsidP="004240E8">
      <w:pPr>
        <w:pStyle w:val="Heading1"/>
        <w:numPr>
          <w:ilvl w:val="0"/>
          <w:numId w:val="14"/>
        </w:numPr>
      </w:pPr>
      <w:bookmarkStart w:id="1520" w:name="_Toc519166196"/>
      <w:bookmarkStart w:id="1521" w:name="_Toc519240563"/>
      <w:bookmarkStart w:id="1522" w:name="_Toc519240691"/>
      <w:bookmarkStart w:id="1523" w:name="_Toc520448595"/>
      <w:bookmarkStart w:id="1524" w:name="_Toc520455271"/>
      <w:bookmarkStart w:id="1525" w:name="_Toc520459070"/>
      <w:bookmarkStart w:id="1526" w:name="_Toc520459464"/>
      <w:bookmarkStart w:id="1527" w:name="_Toc520458592"/>
      <w:bookmarkStart w:id="1528" w:name="_Toc520459546"/>
      <w:bookmarkStart w:id="1529" w:name="_Toc520461462"/>
      <w:bookmarkStart w:id="1530" w:name="_Toc520461824"/>
      <w:bookmarkStart w:id="1531" w:name="_Toc520466852"/>
      <w:bookmarkStart w:id="1532" w:name="_Toc520469889"/>
      <w:bookmarkStart w:id="1533" w:name="_Toc520705347"/>
      <w:bookmarkStart w:id="1534" w:name="_Toc520707711"/>
      <w:bookmarkStart w:id="1535" w:name="_Toc520716727"/>
      <w:bookmarkStart w:id="1536" w:name="_Toc520720373"/>
      <w:bookmarkStart w:id="1537" w:name="_Toc520721624"/>
      <w:bookmarkStart w:id="1538" w:name="_Toc520724157"/>
      <w:bookmarkStart w:id="1539" w:name="_Toc520735262"/>
      <w:bookmarkStart w:id="1540" w:name="_Toc520736295"/>
      <w:bookmarkStart w:id="1541" w:name="_Toc520736714"/>
      <w:r>
        <w:lastRenderedPageBreak/>
        <w:t>Governance and compliance</w:t>
      </w:r>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p>
    <w:p w14:paraId="564B77F0" w14:textId="52F30128" w:rsidR="000509A1" w:rsidRDefault="000509A1" w:rsidP="000509A1">
      <w:r>
        <w:t>The Department of the Environment and Energy and the Clean Energy Regulator both play a role in the governance of the National Greenhouse and Energy Reporting scheme</w:t>
      </w:r>
      <w:r w:rsidR="00BB297A">
        <w:t>,</w:t>
      </w:r>
      <w:r>
        <w:t xml:space="preserve"> the safeguard</w:t>
      </w:r>
      <w:r w:rsidR="00BB297A">
        <w:t xml:space="preserve"> </w:t>
      </w:r>
      <w:r w:rsidR="00632608">
        <w:t xml:space="preserve">mechanism </w:t>
      </w:r>
      <w:r w:rsidR="00BB297A">
        <w:t>and the auditing framework</w:t>
      </w:r>
      <w:r>
        <w:t xml:space="preserve">. </w:t>
      </w:r>
    </w:p>
    <w:p w14:paraId="28450CA1" w14:textId="1B1B2737" w:rsidR="000509A1" w:rsidRDefault="000509A1" w:rsidP="000509A1">
      <w:r>
        <w:t>The Department has formal oversight of policy development</w:t>
      </w:r>
      <w:r w:rsidR="001E0B54">
        <w:t xml:space="preserve"> for</w:t>
      </w:r>
      <w:r w:rsidR="004454AD">
        <w:t xml:space="preserve"> </w:t>
      </w:r>
      <w:r>
        <w:t xml:space="preserve">the </w:t>
      </w:r>
      <w:r w:rsidR="00697311">
        <w:t>reporting</w:t>
      </w:r>
      <w:r w:rsidR="00697311" w:rsidDel="00697311">
        <w:t xml:space="preserve"> </w:t>
      </w:r>
      <w:r>
        <w:t>scheme, safeguard and the auditing framework</w:t>
      </w:r>
      <w:r w:rsidR="00264722">
        <w:t>,</w:t>
      </w:r>
      <w:r w:rsidR="004454AD">
        <w:t xml:space="preserve"> while the Regulator administers those schemes</w:t>
      </w:r>
      <w:r>
        <w:t xml:space="preserve"> and is also responsibl</w:t>
      </w:r>
      <w:r w:rsidR="00DB573B">
        <w:t>e for enforcement and compliance</w:t>
      </w:r>
      <w:r>
        <w:t>.</w:t>
      </w:r>
    </w:p>
    <w:p w14:paraId="6411146B" w14:textId="5B4738C8" w:rsidR="00497BA8" w:rsidRDefault="00497BA8" w:rsidP="0018091B">
      <w:pPr>
        <w:pStyle w:val="Heading2"/>
      </w:pPr>
      <w:bookmarkStart w:id="1542" w:name="_Toc519166197"/>
      <w:bookmarkStart w:id="1543" w:name="_Toc519240564"/>
      <w:bookmarkStart w:id="1544" w:name="_Toc519240692"/>
      <w:bookmarkStart w:id="1545" w:name="_Toc520448596"/>
      <w:bookmarkStart w:id="1546" w:name="_Toc520455272"/>
      <w:bookmarkStart w:id="1547" w:name="_Toc520459071"/>
      <w:bookmarkStart w:id="1548" w:name="_Toc520459465"/>
      <w:bookmarkStart w:id="1549" w:name="_Toc520458593"/>
      <w:bookmarkStart w:id="1550" w:name="_Toc520459547"/>
      <w:bookmarkStart w:id="1551" w:name="_Toc520461463"/>
      <w:bookmarkStart w:id="1552" w:name="_Toc520461825"/>
      <w:bookmarkStart w:id="1553" w:name="_Toc520466853"/>
      <w:bookmarkStart w:id="1554" w:name="_Toc520469890"/>
      <w:bookmarkStart w:id="1555" w:name="_Toc520705348"/>
      <w:bookmarkStart w:id="1556" w:name="_Toc520707712"/>
      <w:bookmarkStart w:id="1557" w:name="_Toc520716728"/>
      <w:bookmarkStart w:id="1558" w:name="_Toc520720374"/>
      <w:bookmarkStart w:id="1559" w:name="_Toc520721625"/>
      <w:bookmarkStart w:id="1560" w:name="_Toc520724158"/>
      <w:bookmarkStart w:id="1561" w:name="_Toc520735263"/>
      <w:bookmarkStart w:id="1562" w:name="_Toc520736296"/>
      <w:bookmarkStart w:id="1563" w:name="_Toc520736715"/>
      <w:r>
        <w:t>Compliance and the Clean Energy Regulator</w:t>
      </w:r>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p>
    <w:p w14:paraId="707D086E" w14:textId="4E6FB1FF" w:rsidR="005748E6" w:rsidRDefault="000509A1" w:rsidP="000509A1">
      <w:r>
        <w:t xml:space="preserve">The </w:t>
      </w:r>
      <w:r w:rsidR="00BF2779">
        <w:t>Regulator</w:t>
      </w:r>
      <w:r w:rsidR="00BF2779" w:rsidDel="00BF2779">
        <w:t xml:space="preserve"> </w:t>
      </w:r>
      <w:r>
        <w:t xml:space="preserve">encourages compliance with the legislation using a tiered approach of education, support and enforcement. </w:t>
      </w:r>
      <w:r w:rsidR="00BF2779">
        <w:t>It</w:t>
      </w:r>
      <w:r>
        <w:t xml:space="preserve"> assists participants to understand their rights and obligations through education, training, guidance and other resources</w:t>
      </w:r>
      <w:r w:rsidR="00FF7AFF">
        <w:t xml:space="preserve"> (</w:t>
      </w:r>
      <w:r w:rsidR="00A41910">
        <w:t>CER 2017c</w:t>
      </w:r>
      <w:r w:rsidR="00FF7AFF">
        <w:t>)</w:t>
      </w:r>
      <w:r>
        <w:t xml:space="preserve">. </w:t>
      </w:r>
    </w:p>
    <w:p w14:paraId="2C202AD4" w14:textId="2E0C748E" w:rsidR="005748E6" w:rsidRDefault="000509A1" w:rsidP="005748E6">
      <w:r>
        <w:t xml:space="preserve">The </w:t>
      </w:r>
      <w:r w:rsidR="00BF2779">
        <w:t>Regulator</w:t>
      </w:r>
      <w:r w:rsidR="00BF2779" w:rsidDel="00BF2779">
        <w:t xml:space="preserve"> </w:t>
      </w:r>
      <w:r>
        <w:t xml:space="preserve">uses a risk-based approach to detecting non-compliance focusing on those areas or companies they believe are at greatest risk of material breaches of the legislation. </w:t>
      </w:r>
      <w:r w:rsidR="00BF2779">
        <w:t>It</w:t>
      </w:r>
      <w:r>
        <w:t xml:space="preserve"> considers the findings of voluntary and mandatory audit reporting as well as undertaking data analytics and other information gathering to target potential areas of non-compliance</w:t>
      </w:r>
      <w:r w:rsidR="00943A34">
        <w:t xml:space="preserve"> (</w:t>
      </w:r>
      <w:r w:rsidR="00A41910">
        <w:t>CER 2017c</w:t>
      </w:r>
      <w:r w:rsidR="00943A34">
        <w:t>)</w:t>
      </w:r>
      <w:r>
        <w:t xml:space="preserve">. </w:t>
      </w:r>
    </w:p>
    <w:p w14:paraId="17760A17" w14:textId="31689623" w:rsidR="005748E6" w:rsidRDefault="005748E6" w:rsidP="005748E6">
      <w:r>
        <w:t xml:space="preserve">The </w:t>
      </w:r>
      <w:r w:rsidR="00BF2779">
        <w:t>Regulator</w:t>
      </w:r>
      <w:r w:rsidR="00BF2779" w:rsidDel="00BF2779">
        <w:t xml:space="preserve"> </w:t>
      </w:r>
      <w:r>
        <w:t>has recently focused on whether data reported and audits undertaken are compliant with the requirements of th</w:t>
      </w:r>
      <w:r w:rsidR="00403001">
        <w:t xml:space="preserve">e emissions and energy reporting and safeguard </w:t>
      </w:r>
      <w:r>
        <w:t>schemes (</w:t>
      </w:r>
      <w:r w:rsidR="00A41910">
        <w:t>CER 2017c</w:t>
      </w:r>
      <w:r w:rsidR="00ED6A1A">
        <w:t>;</w:t>
      </w:r>
      <w:r w:rsidR="00A41910">
        <w:t xml:space="preserve"> </w:t>
      </w:r>
      <w:r>
        <w:t>CER</w:t>
      </w:r>
      <w:r w:rsidR="00A41910">
        <w:t xml:space="preserve"> 2017b</w:t>
      </w:r>
      <w:r>
        <w:t>).</w:t>
      </w:r>
    </w:p>
    <w:p w14:paraId="7CEFEFC9" w14:textId="29244E6A" w:rsidR="005748E6" w:rsidRDefault="005748E6" w:rsidP="005748E6">
      <w:r>
        <w:t xml:space="preserve">The Authority is interested in hearing from stakeholders about whether guidance made available by the </w:t>
      </w:r>
      <w:r w:rsidR="00BF2779">
        <w:t>Regulator</w:t>
      </w:r>
      <w:r w:rsidR="00BF2779" w:rsidDel="00BF2779">
        <w:t xml:space="preserve"> </w:t>
      </w:r>
      <w:r>
        <w:t xml:space="preserve">online or through phone and email makes it easy to understand company obligations under the </w:t>
      </w:r>
      <w:r w:rsidR="00BF2779">
        <w:t>reporting scheme</w:t>
      </w:r>
      <w:r>
        <w:t>, safeguard and audit components of the legislation.</w:t>
      </w:r>
    </w:p>
    <w:p w14:paraId="7B3AE202" w14:textId="565A41DF" w:rsidR="000509A1" w:rsidRDefault="000509A1" w:rsidP="0018091B">
      <w:pPr>
        <w:pStyle w:val="Heading3"/>
      </w:pPr>
      <w:r>
        <w:t>Timeline for scheme obligations</w:t>
      </w:r>
    </w:p>
    <w:p w14:paraId="1CFD655C" w14:textId="0609ABFE" w:rsidR="000509A1" w:rsidRDefault="002154A5" w:rsidP="000509A1">
      <w:r>
        <w:t>C</w:t>
      </w:r>
      <w:r w:rsidR="000509A1">
        <w:t>ompanies are required to register and report for the previous financial year by 31</w:t>
      </w:r>
      <w:r w:rsidR="00290309">
        <w:t> </w:t>
      </w:r>
      <w:r w:rsidR="000509A1">
        <w:t>August and 31</w:t>
      </w:r>
      <w:r w:rsidR="00536D79">
        <w:t> </w:t>
      </w:r>
      <w:r w:rsidR="000509A1">
        <w:t xml:space="preserve">October respectively. </w:t>
      </w:r>
    </w:p>
    <w:p w14:paraId="40262D00" w14:textId="762F19BC" w:rsidR="000509A1" w:rsidRDefault="000509A1" w:rsidP="000509A1">
      <w:r>
        <w:t xml:space="preserve">Under the safeguard, applications for baselines and flexible compliance measures (like the </w:t>
      </w:r>
      <w:r w:rsidR="00A80BEA">
        <w:t>multi</w:t>
      </w:r>
      <w:r w:rsidR="00ED3863">
        <w:t>-year</w:t>
      </w:r>
      <w:r>
        <w:t xml:space="preserve"> compliance period) for the previous financial year are due on 31</w:t>
      </w:r>
      <w:r w:rsidR="00536D79">
        <w:t> </w:t>
      </w:r>
      <w:r>
        <w:t xml:space="preserve">October. The deadline to surrender </w:t>
      </w:r>
      <w:r w:rsidR="00A80BEA">
        <w:t xml:space="preserve">Australian Carbon Credit Units </w:t>
      </w:r>
      <w:r>
        <w:t>to avoid excess emissions above baselines is 28</w:t>
      </w:r>
      <w:r w:rsidR="00290309">
        <w:t> </w:t>
      </w:r>
      <w:r>
        <w:t xml:space="preserve">February following the previous financial year. </w:t>
      </w:r>
    </w:p>
    <w:p w14:paraId="139923C8" w14:textId="180E2F0A" w:rsidR="000509A1" w:rsidRDefault="000509A1" w:rsidP="000509A1">
      <w:r>
        <w:lastRenderedPageBreak/>
        <w:t>The Authority is interested in stakeholder</w:t>
      </w:r>
      <w:r w:rsidR="00C420C6">
        <w:t>s’</w:t>
      </w:r>
      <w:r>
        <w:t xml:space="preserve"> views on whether the timing of </w:t>
      </w:r>
      <w:r w:rsidR="002154A5">
        <w:t xml:space="preserve">reporting </w:t>
      </w:r>
      <w:r w:rsidR="00A80BEA">
        <w:t xml:space="preserve">and other </w:t>
      </w:r>
      <w:r>
        <w:t>obligations allow</w:t>
      </w:r>
      <w:r w:rsidR="002154A5">
        <w:t>s</w:t>
      </w:r>
      <w:r>
        <w:t xml:space="preserve"> sufficient time to meet these obligations.</w:t>
      </w:r>
    </w:p>
    <w:p w14:paraId="72709481" w14:textId="26706EC9" w:rsidR="00497BA8" w:rsidRDefault="00497BA8" w:rsidP="0018091B">
      <w:pPr>
        <w:pStyle w:val="Heading2"/>
      </w:pPr>
      <w:bookmarkStart w:id="1564" w:name="_Toc519166198"/>
      <w:bookmarkStart w:id="1565" w:name="_Toc519240565"/>
      <w:bookmarkStart w:id="1566" w:name="_Toc519240693"/>
      <w:bookmarkStart w:id="1567" w:name="_Toc520448597"/>
      <w:bookmarkStart w:id="1568" w:name="_Toc520455273"/>
      <w:bookmarkStart w:id="1569" w:name="_Toc520459072"/>
      <w:bookmarkStart w:id="1570" w:name="_Toc520459466"/>
      <w:bookmarkStart w:id="1571" w:name="_Toc520458594"/>
      <w:bookmarkStart w:id="1572" w:name="_Toc520459548"/>
      <w:bookmarkStart w:id="1573" w:name="_Toc520461464"/>
      <w:bookmarkStart w:id="1574" w:name="_Toc520461826"/>
      <w:bookmarkStart w:id="1575" w:name="_Toc520466854"/>
      <w:bookmarkStart w:id="1576" w:name="_Toc520469891"/>
      <w:bookmarkStart w:id="1577" w:name="_Toc520705349"/>
      <w:bookmarkStart w:id="1578" w:name="_Toc520707713"/>
      <w:bookmarkStart w:id="1579" w:name="_Toc520716729"/>
      <w:bookmarkStart w:id="1580" w:name="_Toc520720375"/>
      <w:bookmarkStart w:id="1581" w:name="_Toc520721626"/>
      <w:bookmarkStart w:id="1582" w:name="_Toc520724159"/>
      <w:bookmarkStart w:id="1583" w:name="_Toc520735264"/>
      <w:bookmarkStart w:id="1584" w:name="_Toc520736297"/>
      <w:bookmarkStart w:id="1585" w:name="_Toc520736716"/>
      <w:r>
        <w:t>Enforcement by the Clean Energy Regulator</w:t>
      </w:r>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p>
    <w:p w14:paraId="4C2D390B" w14:textId="25EB3C5A" w:rsidR="000509A1" w:rsidRDefault="00A73E1D" w:rsidP="000509A1">
      <w:r>
        <w:t xml:space="preserve">Where </w:t>
      </w:r>
      <w:r w:rsidR="000509A1">
        <w:t>breaches of the legislation have occurred</w:t>
      </w:r>
      <w:r>
        <w:t xml:space="preserve">, the </w:t>
      </w:r>
      <w:r w:rsidR="00BF2779">
        <w:t>Regulator</w:t>
      </w:r>
      <w:r w:rsidR="00BF2779" w:rsidDel="00BF2779">
        <w:t xml:space="preserve"> </w:t>
      </w:r>
      <w:r>
        <w:t>has a range of enforcement options</w:t>
      </w:r>
      <w:r w:rsidR="000509A1">
        <w:t>. In making a decision to take enforcement action</w:t>
      </w:r>
      <w:r w:rsidR="00DD653A">
        <w:t>,</w:t>
      </w:r>
      <w:r w:rsidR="000509A1">
        <w:t xml:space="preserve"> the </w:t>
      </w:r>
      <w:r w:rsidR="00BF2779">
        <w:t>Regulator</w:t>
      </w:r>
      <w:r w:rsidR="00BF2779" w:rsidDel="00BF2779">
        <w:t xml:space="preserve"> </w:t>
      </w:r>
      <w:r w:rsidR="000509A1">
        <w:t>will consider the materiality of the breach and the conduct of scheme participants</w:t>
      </w:r>
      <w:r w:rsidR="00A80BEA">
        <w:t>. F</w:t>
      </w:r>
      <w:r w:rsidR="000509A1">
        <w:t>or example</w:t>
      </w:r>
      <w:r w:rsidR="00DD653A">
        <w:t>, the Regulator considers</w:t>
      </w:r>
      <w:r w:rsidR="000509A1">
        <w:t xml:space="preserve"> whether it appears they deliberately breached the legislation and the likelihood they will comply in the future. The </w:t>
      </w:r>
      <w:r w:rsidR="00BF2779">
        <w:t>Regulator’s</w:t>
      </w:r>
      <w:r w:rsidR="000509A1">
        <w:t xml:space="preserve"> enforcement actions aim to be proportionate to the breach that occurred</w:t>
      </w:r>
      <w:r w:rsidR="00943A34">
        <w:t xml:space="preserve"> (</w:t>
      </w:r>
      <w:r w:rsidR="00A41910">
        <w:t>CER 2017c</w:t>
      </w:r>
      <w:r w:rsidR="00943A34">
        <w:t>)</w:t>
      </w:r>
      <w:r w:rsidR="000509A1">
        <w:t xml:space="preserve">. </w:t>
      </w:r>
    </w:p>
    <w:p w14:paraId="7DF2380E" w14:textId="1A8C7150" w:rsidR="000509A1" w:rsidRDefault="000509A1" w:rsidP="0018091B">
      <w:pPr>
        <w:pStyle w:val="Heading3"/>
      </w:pPr>
      <w:r>
        <w:t>Enforceable undertakings</w:t>
      </w:r>
    </w:p>
    <w:p w14:paraId="505D61DA" w14:textId="75E7A95B" w:rsidR="000509A1" w:rsidRDefault="000509A1" w:rsidP="000509A1">
      <w:r>
        <w:t xml:space="preserve">In order to resolve breaches or improve compliance with the legislation, the </w:t>
      </w:r>
      <w:r w:rsidR="00BF7A91">
        <w:t>Regulator</w:t>
      </w:r>
      <w:r w:rsidR="00BF7A91" w:rsidDel="00BF7A91">
        <w:t xml:space="preserve"> </w:t>
      </w:r>
      <w:r>
        <w:t xml:space="preserve">may work with individuals or companies to develop voluntary enforceable undertakings, which are written statements that each party will do, or refrain from doing, certain actions. Breach of an enforceable undertaking may result in court action. </w:t>
      </w:r>
    </w:p>
    <w:p w14:paraId="297FD046" w14:textId="6FD86BAC" w:rsidR="000509A1" w:rsidRDefault="0087634B" w:rsidP="000509A1">
      <w:r>
        <w:t xml:space="preserve">The </w:t>
      </w:r>
      <w:r w:rsidR="00BF7A91">
        <w:t>Regulator</w:t>
      </w:r>
      <w:r w:rsidR="00BF7A91" w:rsidDel="00BF7A91">
        <w:t xml:space="preserve"> </w:t>
      </w:r>
      <w:r>
        <w:t xml:space="preserve">has issued two enforceable undertakings under the </w:t>
      </w:r>
      <w:r w:rsidR="00FF00FD">
        <w:t>legislation</w:t>
      </w:r>
      <w:r>
        <w:t xml:space="preserve">. The details of enforceable undertakings are published on the </w:t>
      </w:r>
      <w:r w:rsidR="00BF7A91">
        <w:t>Regulator</w:t>
      </w:r>
      <w:r>
        <w:t>’s website (</w:t>
      </w:r>
      <w:r w:rsidR="00A41910">
        <w:t>CER 2018f</w:t>
      </w:r>
      <w:r>
        <w:t xml:space="preserve">). </w:t>
      </w:r>
    </w:p>
    <w:p w14:paraId="2765CC5F" w14:textId="18E3D897" w:rsidR="000509A1" w:rsidRDefault="000509A1" w:rsidP="0018091B">
      <w:pPr>
        <w:pStyle w:val="Heading3"/>
      </w:pPr>
      <w:r>
        <w:t>Penalties, infringement notices and court action</w:t>
      </w:r>
    </w:p>
    <w:p w14:paraId="40BCF0BC" w14:textId="3248FBD3" w:rsidR="003C56FF" w:rsidRDefault="000509A1" w:rsidP="000509A1">
      <w:r>
        <w:t xml:space="preserve">Most penalty provisions in the legislation impose financial penalties. </w:t>
      </w:r>
      <w:r w:rsidR="001D75D4">
        <w:t xml:space="preserve">The </w:t>
      </w:r>
      <w:r w:rsidR="00BF7A91">
        <w:t>Regulator</w:t>
      </w:r>
      <w:r w:rsidR="00BF7A91" w:rsidDel="00BF7A91">
        <w:t xml:space="preserve"> </w:t>
      </w:r>
      <w:r w:rsidR="001D75D4">
        <w:t xml:space="preserve">is also able to issue infringement notices. </w:t>
      </w:r>
      <w:r w:rsidR="0078598F">
        <w:t xml:space="preserve">The infringement notice specifies the nature of the alleged breach and the amount of the penalty. </w:t>
      </w:r>
      <w:r>
        <w:t xml:space="preserve">For example, a company </w:t>
      </w:r>
      <w:r w:rsidR="009C461E">
        <w:t xml:space="preserve">that </w:t>
      </w:r>
      <w:r>
        <w:t xml:space="preserve">fails to register for </w:t>
      </w:r>
      <w:r w:rsidR="00A80053">
        <w:t xml:space="preserve">the </w:t>
      </w:r>
      <w:r>
        <w:t xml:space="preserve">reporting </w:t>
      </w:r>
      <w:r w:rsidR="00A80053">
        <w:t xml:space="preserve">scheme </w:t>
      </w:r>
      <w:r>
        <w:t>when a threshold is met could be subject to a financial penalty (up to $</w:t>
      </w:r>
      <w:r w:rsidR="00830D0E">
        <w:t>12,600</w:t>
      </w:r>
      <w:r>
        <w:t xml:space="preserve">) imposed through an infringement notice. </w:t>
      </w:r>
    </w:p>
    <w:p w14:paraId="075E222C" w14:textId="328E82A8" w:rsidR="000509A1" w:rsidRDefault="00EE594E" w:rsidP="000509A1">
      <w:r>
        <w:t>Alternatively, or i</w:t>
      </w:r>
      <w:r w:rsidR="000509A1">
        <w:t xml:space="preserve">f a company fails to pay, the </w:t>
      </w:r>
      <w:r w:rsidR="00BF7A91">
        <w:t>Regulator</w:t>
      </w:r>
      <w:r w:rsidR="00BF7A91" w:rsidDel="00BF7A91">
        <w:t xml:space="preserve"> </w:t>
      </w:r>
      <w:r w:rsidR="000509A1">
        <w:t>may take court action.</w:t>
      </w:r>
      <w:r>
        <w:t xml:space="preserve"> </w:t>
      </w:r>
      <w:r w:rsidR="00E31958">
        <w:t xml:space="preserve">For failing to register, a </w:t>
      </w:r>
      <w:r w:rsidR="0078598F">
        <w:t>c</w:t>
      </w:r>
      <w:r>
        <w:t xml:space="preserve">ourt </w:t>
      </w:r>
      <w:r w:rsidR="00E31958">
        <w:t xml:space="preserve">could </w:t>
      </w:r>
      <w:r>
        <w:t xml:space="preserve">impose </w:t>
      </w:r>
      <w:r w:rsidR="005072CA">
        <w:t xml:space="preserve">a </w:t>
      </w:r>
      <w:r w:rsidR="00E31958">
        <w:t>p</w:t>
      </w:r>
      <w:r w:rsidR="005072CA">
        <w:t>enalty of</w:t>
      </w:r>
      <w:r w:rsidR="00E31958">
        <w:t xml:space="preserve"> up to $420,000</w:t>
      </w:r>
      <w:r w:rsidR="005072CA">
        <w:t xml:space="preserve"> initially and $21,000 for each </w:t>
      </w:r>
      <w:r w:rsidR="00667D38">
        <w:t xml:space="preserve">subsequent </w:t>
      </w:r>
      <w:r w:rsidR="005072CA">
        <w:t xml:space="preserve">day the </w:t>
      </w:r>
      <w:r w:rsidR="00667D38">
        <w:t xml:space="preserve">company </w:t>
      </w:r>
      <w:r w:rsidR="005072CA">
        <w:t>fails to comply</w:t>
      </w:r>
      <w:r>
        <w:t>.</w:t>
      </w:r>
      <w:r w:rsidR="000509A1">
        <w:t xml:space="preserve">  </w:t>
      </w:r>
    </w:p>
    <w:p w14:paraId="0E2CA31E" w14:textId="77777777" w:rsidR="003C56FF" w:rsidRDefault="00530AE7" w:rsidP="000509A1">
      <w:r>
        <w:t>It</w:t>
      </w:r>
      <w:r w:rsidR="00E31958">
        <w:t xml:space="preserve"> may be </w:t>
      </w:r>
      <w:r w:rsidR="008576AA">
        <w:t>a criminal</w:t>
      </w:r>
      <w:r w:rsidR="00E31958">
        <w:t xml:space="preserve"> offence to provide false or misleading information or documents to the Regulator</w:t>
      </w:r>
      <w:r w:rsidR="000509A1">
        <w:t>.</w:t>
      </w:r>
      <w:r w:rsidR="000C7226" w:rsidRPr="000C7226">
        <w:t xml:space="preserve"> </w:t>
      </w:r>
    </w:p>
    <w:p w14:paraId="4151944D" w14:textId="0322384A" w:rsidR="000509A1" w:rsidRDefault="003C56FF" w:rsidP="000509A1">
      <w:r>
        <w:t>To date, t</w:t>
      </w:r>
      <w:r w:rsidR="000C7226">
        <w:t xml:space="preserve">he </w:t>
      </w:r>
      <w:r w:rsidR="00BF7A91">
        <w:t>Regulator</w:t>
      </w:r>
      <w:r w:rsidR="00BF7A91" w:rsidDel="00BF7A91">
        <w:t xml:space="preserve"> </w:t>
      </w:r>
      <w:r w:rsidR="000C7226">
        <w:t>has not used any of these provisions under the legislation.</w:t>
      </w:r>
      <w:r w:rsidR="000509A1">
        <w:t xml:space="preserve"> </w:t>
      </w:r>
    </w:p>
    <w:p w14:paraId="71B32F27" w14:textId="68B0A8B9" w:rsidR="000509A1" w:rsidRDefault="00675BE4" w:rsidP="0018091B">
      <w:pPr>
        <w:pStyle w:val="Heading3"/>
      </w:pPr>
      <w:r>
        <w:lastRenderedPageBreak/>
        <w:t>National Greenhouse and Energy Reporting</w:t>
      </w:r>
      <w:r w:rsidR="000509A1">
        <w:t xml:space="preserve"> auditors</w:t>
      </w:r>
    </w:p>
    <w:p w14:paraId="0224DB91" w14:textId="755A969F" w:rsidR="000509A1" w:rsidRDefault="000509A1" w:rsidP="000509A1">
      <w:r>
        <w:t xml:space="preserve">If the </w:t>
      </w:r>
      <w:r w:rsidR="00BF7A91">
        <w:t>Regulator</w:t>
      </w:r>
      <w:r w:rsidR="00BF7A91" w:rsidDel="00BF7A91">
        <w:t xml:space="preserve"> </w:t>
      </w:r>
      <w:r>
        <w:t xml:space="preserve">identifies a breach of the legislation by an auditor, for example, knowingly giving a positive audit of a report when the data does not support it, the </w:t>
      </w:r>
      <w:r w:rsidR="00BF7A91">
        <w:t>Regulator</w:t>
      </w:r>
      <w:r w:rsidR="00BF7A91" w:rsidDel="00BF7A91">
        <w:t xml:space="preserve"> </w:t>
      </w:r>
      <w:r>
        <w:t>may decide to apply conditions to an auditor's registration</w:t>
      </w:r>
      <w:r w:rsidR="000C7226">
        <w:t>, suspend their registration if they do not undertake specified actions</w:t>
      </w:r>
      <w:r>
        <w:t xml:space="preserve"> or deregister them (</w:t>
      </w:r>
      <w:r w:rsidR="00290309">
        <w:fldChar w:fldCharType="begin"/>
      </w:r>
      <w:r w:rsidR="00290309">
        <w:instrText xml:space="preserve"> REF _Ref520716207 \r \h </w:instrText>
      </w:r>
      <w:r w:rsidR="00290309">
        <w:fldChar w:fldCharType="separate"/>
      </w:r>
      <w:r w:rsidR="00AD7AD8">
        <w:t>Chapter 5</w:t>
      </w:r>
      <w:r w:rsidR="00290309">
        <w:fldChar w:fldCharType="end"/>
      </w:r>
      <w:r>
        <w:t xml:space="preserve">). </w:t>
      </w:r>
    </w:p>
    <w:p w14:paraId="5B07E878" w14:textId="34FB0FC9" w:rsidR="000509A1" w:rsidRDefault="000509A1" w:rsidP="000509A1">
      <w:r>
        <w:t xml:space="preserve">The Authority is interested in feedback on whether the </w:t>
      </w:r>
      <w:r w:rsidR="00BF7A91">
        <w:t>Regulator</w:t>
      </w:r>
      <w:r>
        <w:t>’s current enforcement powers are sufficient to encourage compliance with the legislation.</w:t>
      </w:r>
    </w:p>
    <w:p w14:paraId="7178D7B4" w14:textId="1B66A925" w:rsidR="00497BA8" w:rsidRDefault="00497BA8" w:rsidP="0018091B">
      <w:pPr>
        <w:pStyle w:val="Heading2"/>
      </w:pPr>
      <w:bookmarkStart w:id="1586" w:name="_Toc519166199"/>
      <w:bookmarkStart w:id="1587" w:name="_Toc519240566"/>
      <w:bookmarkStart w:id="1588" w:name="_Toc519240694"/>
      <w:bookmarkStart w:id="1589" w:name="_Toc520448598"/>
      <w:bookmarkStart w:id="1590" w:name="_Toc520455274"/>
      <w:bookmarkStart w:id="1591" w:name="_Toc520459073"/>
      <w:bookmarkStart w:id="1592" w:name="_Toc520459467"/>
      <w:bookmarkStart w:id="1593" w:name="_Toc520458595"/>
      <w:bookmarkStart w:id="1594" w:name="_Toc520459549"/>
      <w:bookmarkStart w:id="1595" w:name="_Toc520461465"/>
      <w:bookmarkStart w:id="1596" w:name="_Toc520461827"/>
      <w:bookmarkStart w:id="1597" w:name="_Toc520466855"/>
      <w:bookmarkStart w:id="1598" w:name="_Toc520469892"/>
      <w:bookmarkStart w:id="1599" w:name="_Toc520705350"/>
      <w:bookmarkStart w:id="1600" w:name="_Toc520707714"/>
      <w:bookmarkStart w:id="1601" w:name="_Toc520716730"/>
      <w:bookmarkStart w:id="1602" w:name="_Toc520720376"/>
      <w:bookmarkStart w:id="1603" w:name="_Toc520721627"/>
      <w:bookmarkStart w:id="1604" w:name="_Toc520724160"/>
      <w:bookmarkStart w:id="1605" w:name="_Toc520735265"/>
      <w:bookmarkStart w:id="1606" w:name="_Toc520736298"/>
      <w:bookmarkStart w:id="1607" w:name="_Toc520736717"/>
      <w:r>
        <w:t>Review of Clean Energy Regulator decisions</w:t>
      </w:r>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p>
    <w:p w14:paraId="4B6CA5B2" w14:textId="18916184" w:rsidR="000509A1" w:rsidRDefault="00DC7813" w:rsidP="00711616">
      <w:r>
        <w:t>Under the legislation</w:t>
      </w:r>
      <w:r w:rsidR="001E0B54">
        <w:t>,</w:t>
      </w:r>
      <w:r>
        <w:t xml:space="preserve"> s</w:t>
      </w:r>
      <w:r w:rsidR="000509A1">
        <w:t xml:space="preserve">takeholders can request the Administrative Appeals Tribunal </w:t>
      </w:r>
      <w:r w:rsidR="0063772F">
        <w:t xml:space="preserve">(AAT) </w:t>
      </w:r>
      <w:r w:rsidR="000509A1">
        <w:t xml:space="preserve">review certain decisions made by the </w:t>
      </w:r>
      <w:r w:rsidR="00BF7A91">
        <w:t>Regulator</w:t>
      </w:r>
      <w:r w:rsidR="000509A1">
        <w:t xml:space="preserve">. These include decisions relating to the </w:t>
      </w:r>
      <w:r w:rsidR="00BF7A91">
        <w:t>Regulator</w:t>
      </w:r>
      <w:r w:rsidR="000509A1">
        <w:t>’s setting of safeguard baselines and auditor registrations.</w:t>
      </w:r>
      <w:r w:rsidR="00BE7949">
        <w:t xml:space="preserve"> One applicant has sought a review of a calculated baseline decision but the application was withdrawn (</w:t>
      </w:r>
      <w:r w:rsidR="004F16F9" w:rsidRPr="00E725A1">
        <w:t>CER 2018</w:t>
      </w:r>
      <w:r w:rsidR="00BD08A4">
        <w:t>m</w:t>
      </w:r>
      <w:r w:rsidR="00554DA8">
        <w:t>,</w:t>
      </w:r>
      <w:r w:rsidR="004F16F9" w:rsidRPr="00E725A1">
        <w:t xml:space="preserve"> pers. comm</w:t>
      </w:r>
      <w:r w:rsidR="00B17452">
        <w:t>.</w:t>
      </w:r>
      <w:r w:rsidR="00BE7949">
        <w:t>).</w:t>
      </w:r>
    </w:p>
    <w:p w14:paraId="221D7735" w14:textId="77EB3BF9" w:rsidR="000509A1" w:rsidRDefault="0034772E" w:rsidP="000509A1">
      <w:r>
        <w:t>Although s</w:t>
      </w:r>
      <w:r w:rsidR="0063772F">
        <w:t>takeholders do not have to request an internal review prior to lodging an</w:t>
      </w:r>
      <w:r w:rsidR="00384092">
        <w:t xml:space="preserve"> </w:t>
      </w:r>
      <w:r w:rsidR="0063772F">
        <w:t>appeal with the AAT</w:t>
      </w:r>
      <w:r>
        <w:t xml:space="preserve">, </w:t>
      </w:r>
      <w:r w:rsidR="00384092">
        <w:t xml:space="preserve">the </w:t>
      </w:r>
      <w:r w:rsidR="00BF7A91">
        <w:t>Regulator</w:t>
      </w:r>
      <w:r w:rsidR="00FF00FD">
        <w:t>’</w:t>
      </w:r>
      <w:r w:rsidR="00384092">
        <w:t>s website states it ‘</w:t>
      </w:r>
      <w:r w:rsidR="00384092" w:rsidRPr="00364C9F">
        <w:t xml:space="preserve">is committed to transparent decision making processes and to providing access to a fair and objective procedure for the internal review of decisions’ </w:t>
      </w:r>
      <w:r w:rsidR="00384092">
        <w:t>(</w:t>
      </w:r>
      <w:r w:rsidR="00A41910">
        <w:t>CER 2015</w:t>
      </w:r>
      <w:r w:rsidR="00384092">
        <w:t>)</w:t>
      </w:r>
      <w:r w:rsidR="000C7226">
        <w:t xml:space="preserve">. </w:t>
      </w:r>
      <w:r w:rsidR="00BE7949">
        <w:t xml:space="preserve">The </w:t>
      </w:r>
      <w:r w:rsidR="00BF7A91">
        <w:t>Regulator</w:t>
      </w:r>
      <w:r w:rsidR="00BF7A91" w:rsidDel="00BF7A91">
        <w:t xml:space="preserve"> </w:t>
      </w:r>
      <w:r w:rsidR="00BE7949">
        <w:t>has not conducted any internal reviews of decisions under the legislation (</w:t>
      </w:r>
      <w:r w:rsidR="004F16F9" w:rsidRPr="00E725A1">
        <w:t>CER 2018</w:t>
      </w:r>
      <w:r w:rsidR="00BD08A4">
        <w:t>m</w:t>
      </w:r>
      <w:r w:rsidR="00554DA8">
        <w:t>,</w:t>
      </w:r>
      <w:r w:rsidR="004F16F9" w:rsidRPr="00E725A1">
        <w:t xml:space="preserve"> pers. comm</w:t>
      </w:r>
      <w:r w:rsidR="00B17452">
        <w:t>.</w:t>
      </w:r>
      <w:r w:rsidR="00BE7949">
        <w:t xml:space="preserve">). </w:t>
      </w:r>
      <w:r w:rsidR="000509A1">
        <w:t xml:space="preserve">The Authority is interested in hearing from stakeholders on whether there are any opportunities for improvements in the </w:t>
      </w:r>
      <w:r w:rsidR="00BF7A91">
        <w:t>Regulator</w:t>
      </w:r>
      <w:r w:rsidR="000509A1">
        <w:t>’s decision making and review processes.</w:t>
      </w:r>
    </w:p>
    <w:p w14:paraId="5556F698" w14:textId="704CADC6" w:rsidR="000509A1" w:rsidRDefault="000509A1" w:rsidP="000509A1"/>
    <w:tbl>
      <w:tblPr>
        <w:tblStyle w:val="TableGrid"/>
        <w:tblW w:w="0" w:type="auto"/>
        <w:shd w:val="clear" w:color="auto" w:fill="E6ECF2"/>
        <w:tblLook w:val="04A0" w:firstRow="1" w:lastRow="0" w:firstColumn="1" w:lastColumn="0" w:noHBand="0" w:noVBand="1"/>
      </w:tblPr>
      <w:tblGrid>
        <w:gridCol w:w="9202"/>
      </w:tblGrid>
      <w:tr w:rsidR="007F2D80" w14:paraId="12923F11" w14:textId="77777777" w:rsidTr="0073569F">
        <w:trPr>
          <w:cnfStyle w:val="100000000000" w:firstRow="1" w:lastRow="0" w:firstColumn="0" w:lastColumn="0" w:oddVBand="0" w:evenVBand="0" w:oddHBand="0" w:evenHBand="0" w:firstRowFirstColumn="0" w:firstRowLastColumn="0" w:lastRowFirstColumn="0" w:lastRowLastColumn="0"/>
        </w:trPr>
        <w:tc>
          <w:tcPr>
            <w:tcW w:w="9202" w:type="dxa"/>
            <w:shd w:val="clear" w:color="auto" w:fill="E6ECF2"/>
            <w:tcMar>
              <w:top w:w="567" w:type="dxa"/>
              <w:left w:w="567" w:type="dxa"/>
              <w:bottom w:w="567" w:type="dxa"/>
              <w:right w:w="567" w:type="dxa"/>
            </w:tcMar>
          </w:tcPr>
          <w:p w14:paraId="140ED69E" w14:textId="61FF0F31" w:rsidR="007F2D80" w:rsidRPr="00D97780" w:rsidRDefault="007F2D80" w:rsidP="0073569F">
            <w:pPr>
              <w:rPr>
                <w:b/>
                <w:color w:val="159DCE"/>
              </w:rPr>
            </w:pPr>
            <w:r w:rsidRPr="00D97780">
              <w:rPr>
                <w:b/>
                <w:color w:val="159DCE"/>
              </w:rPr>
              <w:t>CONSULTATION QUESTIONS</w:t>
            </w:r>
            <w:r w:rsidR="00193858">
              <w:rPr>
                <w:b/>
                <w:color w:val="159DCE"/>
              </w:rPr>
              <w:t>: CHAPTER 6</w:t>
            </w:r>
          </w:p>
          <w:p w14:paraId="184C37AE" w14:textId="15D48737" w:rsidR="007F2D80" w:rsidRDefault="007F2D80" w:rsidP="007F2D80">
            <w:bookmarkStart w:id="1608" w:name="_Toc519087328"/>
            <w:bookmarkStart w:id="1609" w:name="_Toc519087473"/>
            <w:bookmarkStart w:id="1610" w:name="_Toc519090753"/>
            <w:bookmarkStart w:id="1611" w:name="_Toc519163134"/>
            <w:bookmarkStart w:id="1612" w:name="_Toc519163447"/>
            <w:bookmarkStart w:id="1613" w:name="_Toc519164492"/>
            <w:bookmarkStart w:id="1614" w:name="_Toc520280139"/>
            <w:bookmarkStart w:id="1615" w:name="_Toc520281332"/>
            <w:bookmarkStart w:id="1616" w:name="_Toc520459413"/>
            <w:bookmarkStart w:id="1617" w:name="_Toc520461408"/>
            <w:bookmarkStart w:id="1618" w:name="_Toc520461774"/>
            <w:bookmarkStart w:id="1619" w:name="_Toc520705304"/>
            <w:bookmarkStart w:id="1620" w:name="_Toc520707662"/>
            <w:bookmarkStart w:id="1621" w:name="_Toc520716676"/>
            <w:bookmarkStart w:id="1622" w:name="_Toc520720324"/>
            <w:bookmarkStart w:id="1623" w:name="_Toc520720997"/>
            <w:bookmarkStart w:id="1624" w:name="_Toc520721575"/>
            <w:bookmarkStart w:id="1625" w:name="_Toc520724108"/>
            <w:bookmarkStart w:id="1626" w:name="_Toc520735212"/>
            <w:bookmarkStart w:id="1627" w:name="_Toc520736245"/>
            <w:bookmarkStart w:id="1628" w:name="_Toc520736664"/>
            <w:r>
              <w:t xml:space="preserve">Q. </w:t>
            </w:r>
            <w:r w:rsidR="00363A9B">
              <w:fldChar w:fldCharType="begin"/>
            </w:r>
            <w:r w:rsidR="00363A9B">
              <w:instrText xml:space="preserve"> SEQ Q. \* ARABIC </w:instrText>
            </w:r>
            <w:r w:rsidR="00363A9B">
              <w:fldChar w:fldCharType="separate"/>
            </w:r>
            <w:r w:rsidR="00AD7AD8">
              <w:rPr>
                <w:noProof/>
              </w:rPr>
              <w:t>30</w:t>
            </w:r>
            <w:r w:rsidR="00363A9B">
              <w:rPr>
                <w:noProof/>
              </w:rPr>
              <w:fldChar w:fldCharType="end"/>
            </w:r>
            <w:r>
              <w:t xml:space="preserve"> </w:t>
            </w:r>
            <w:r>
              <w:tab/>
            </w:r>
            <w:r w:rsidRPr="007F2D80">
              <w:t>Is the guidance pr</w:t>
            </w:r>
            <w:r w:rsidR="00FF00FD">
              <w:t>ovided</w:t>
            </w:r>
            <w:r w:rsidRPr="007F2D80">
              <w:t xml:space="preserve"> by the </w:t>
            </w:r>
            <w:r w:rsidR="0029233F">
              <w:t>Clean Energy Regulator</w:t>
            </w:r>
            <w:r w:rsidRPr="007F2D80">
              <w:t xml:space="preserve"> on its website, and through other channels such as by phone or email helpful in complying with </w:t>
            </w:r>
            <w:r w:rsidR="0029233F">
              <w:t>National Greenhouse and Energy Reporting</w:t>
            </w:r>
            <w:r w:rsidRPr="007F2D80">
              <w:t xml:space="preserve"> legislation obligations? How (if </w:t>
            </w:r>
            <w:r w:rsidR="00F578E9">
              <w:t>a</w:t>
            </w:r>
            <w:r w:rsidRPr="007F2D80">
              <w:t>t all) could it be improved?</w:t>
            </w:r>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p>
          <w:p w14:paraId="509F6E80" w14:textId="63A49A41" w:rsidR="007F2D80" w:rsidRDefault="007F2D80" w:rsidP="0073569F">
            <w:bookmarkStart w:id="1629" w:name="_Toc519087329"/>
            <w:bookmarkStart w:id="1630" w:name="_Toc519087474"/>
            <w:bookmarkStart w:id="1631" w:name="_Toc519090754"/>
            <w:bookmarkStart w:id="1632" w:name="_Toc519163135"/>
            <w:bookmarkStart w:id="1633" w:name="_Toc519163448"/>
            <w:bookmarkStart w:id="1634" w:name="_Toc519164493"/>
            <w:bookmarkStart w:id="1635" w:name="_Toc520280140"/>
            <w:bookmarkStart w:id="1636" w:name="_Toc520281333"/>
            <w:bookmarkStart w:id="1637" w:name="_Toc520459414"/>
            <w:bookmarkStart w:id="1638" w:name="_Toc520461409"/>
            <w:bookmarkStart w:id="1639" w:name="_Toc520461775"/>
            <w:bookmarkStart w:id="1640" w:name="_Toc520705305"/>
            <w:bookmarkStart w:id="1641" w:name="_Toc520707663"/>
            <w:bookmarkStart w:id="1642" w:name="_Toc520716677"/>
            <w:bookmarkStart w:id="1643" w:name="_Toc520720325"/>
            <w:bookmarkStart w:id="1644" w:name="_Toc520720998"/>
            <w:bookmarkStart w:id="1645" w:name="_Toc520721576"/>
            <w:bookmarkStart w:id="1646" w:name="_Toc520724109"/>
            <w:bookmarkStart w:id="1647" w:name="_Toc520735213"/>
            <w:bookmarkStart w:id="1648" w:name="_Toc520736246"/>
            <w:bookmarkStart w:id="1649" w:name="_Toc520736665"/>
            <w:r>
              <w:lastRenderedPageBreak/>
              <w:t xml:space="preserve">Q. </w:t>
            </w:r>
            <w:r w:rsidR="00363A9B">
              <w:fldChar w:fldCharType="begin"/>
            </w:r>
            <w:r w:rsidR="00363A9B">
              <w:instrText xml:space="preserve"> SEQ Q. \* ARAB</w:instrText>
            </w:r>
            <w:r w:rsidR="00363A9B">
              <w:instrText xml:space="preserve">IC </w:instrText>
            </w:r>
            <w:r w:rsidR="00363A9B">
              <w:fldChar w:fldCharType="separate"/>
            </w:r>
            <w:r w:rsidR="00AD7AD8">
              <w:rPr>
                <w:noProof/>
              </w:rPr>
              <w:t>31</w:t>
            </w:r>
            <w:r w:rsidR="00363A9B">
              <w:rPr>
                <w:noProof/>
              </w:rPr>
              <w:fldChar w:fldCharType="end"/>
            </w:r>
            <w:r>
              <w:t xml:space="preserve"> </w:t>
            </w:r>
            <w:r>
              <w:tab/>
            </w:r>
            <w:r w:rsidRPr="007F2D80">
              <w:t xml:space="preserve">Does the timing of obligations for </w:t>
            </w:r>
            <w:r w:rsidR="0029233F">
              <w:t>National Greenhouse and Energy Reporting</w:t>
            </w:r>
            <w:r w:rsidRPr="007F2D80">
              <w:t xml:space="preserve"> and the safeguard </w:t>
            </w:r>
            <w:r w:rsidR="00974DF2">
              <w:t xml:space="preserve">mechanism </w:t>
            </w:r>
            <w:r w:rsidRPr="007F2D80">
              <w:t>allow sufficient time to meet the obligations?</w:t>
            </w:r>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p>
          <w:p w14:paraId="48E031D5" w14:textId="52AED1FA" w:rsidR="007F2D80" w:rsidRDefault="007F2D80" w:rsidP="0073569F">
            <w:bookmarkStart w:id="1650" w:name="_Toc519087330"/>
            <w:bookmarkStart w:id="1651" w:name="_Toc519087475"/>
            <w:bookmarkStart w:id="1652" w:name="_Toc519090755"/>
            <w:bookmarkStart w:id="1653" w:name="_Toc519163136"/>
            <w:bookmarkStart w:id="1654" w:name="_Toc519163449"/>
            <w:bookmarkStart w:id="1655" w:name="_Toc519164494"/>
            <w:bookmarkStart w:id="1656" w:name="_Toc520280141"/>
            <w:bookmarkStart w:id="1657" w:name="_Toc520281334"/>
            <w:bookmarkStart w:id="1658" w:name="_Toc520459415"/>
            <w:bookmarkStart w:id="1659" w:name="_Toc520461410"/>
            <w:bookmarkStart w:id="1660" w:name="_Toc520461776"/>
            <w:bookmarkStart w:id="1661" w:name="_Toc520705306"/>
            <w:bookmarkStart w:id="1662" w:name="_Toc520707664"/>
            <w:bookmarkStart w:id="1663" w:name="_Toc520716678"/>
            <w:bookmarkStart w:id="1664" w:name="_Toc520720326"/>
            <w:bookmarkStart w:id="1665" w:name="_Toc520720999"/>
            <w:bookmarkStart w:id="1666" w:name="_Toc520721577"/>
            <w:bookmarkStart w:id="1667" w:name="_Toc520724110"/>
            <w:bookmarkStart w:id="1668" w:name="_Toc520735214"/>
            <w:bookmarkStart w:id="1669" w:name="_Toc520736247"/>
            <w:bookmarkStart w:id="1670" w:name="_Toc520736666"/>
            <w:r>
              <w:t xml:space="preserve">Q. </w:t>
            </w:r>
            <w:r w:rsidR="00363A9B">
              <w:fldChar w:fldCharType="begin"/>
            </w:r>
            <w:r w:rsidR="00363A9B">
              <w:instrText xml:space="preserve"> SEQ Q. \* ARABIC </w:instrText>
            </w:r>
            <w:r w:rsidR="00363A9B">
              <w:fldChar w:fldCharType="separate"/>
            </w:r>
            <w:r w:rsidR="00AD7AD8">
              <w:rPr>
                <w:noProof/>
              </w:rPr>
              <w:t>32</w:t>
            </w:r>
            <w:r w:rsidR="00363A9B">
              <w:rPr>
                <w:noProof/>
              </w:rPr>
              <w:fldChar w:fldCharType="end"/>
            </w:r>
            <w:r>
              <w:t xml:space="preserve"> </w:t>
            </w:r>
            <w:r>
              <w:tab/>
            </w:r>
            <w:r w:rsidRPr="007F2D80">
              <w:t>Does the Clean Energy Regulator have sufficient powers to encourage compliance with the National Greenhouse and Energy Reporting legislation?</w:t>
            </w:r>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p>
          <w:p w14:paraId="69491158" w14:textId="0E712BFF" w:rsidR="007F2D80" w:rsidRDefault="007F2D80" w:rsidP="0073569F">
            <w:bookmarkStart w:id="1671" w:name="_Toc519087331"/>
            <w:bookmarkStart w:id="1672" w:name="_Toc519087476"/>
            <w:bookmarkStart w:id="1673" w:name="_Toc519090756"/>
            <w:bookmarkStart w:id="1674" w:name="_Toc519163137"/>
            <w:bookmarkStart w:id="1675" w:name="_Toc519163450"/>
            <w:bookmarkStart w:id="1676" w:name="_Toc519164495"/>
            <w:bookmarkStart w:id="1677" w:name="_Toc520280142"/>
            <w:bookmarkStart w:id="1678" w:name="_Toc520281335"/>
            <w:bookmarkStart w:id="1679" w:name="_Toc520459416"/>
            <w:bookmarkStart w:id="1680" w:name="_Toc520461411"/>
            <w:bookmarkStart w:id="1681" w:name="_Toc520461777"/>
            <w:bookmarkStart w:id="1682" w:name="_Toc520705307"/>
            <w:bookmarkStart w:id="1683" w:name="_Toc520707665"/>
            <w:bookmarkStart w:id="1684" w:name="_Toc520716679"/>
            <w:bookmarkStart w:id="1685" w:name="_Toc520720327"/>
            <w:bookmarkStart w:id="1686" w:name="_Toc520721000"/>
            <w:bookmarkStart w:id="1687" w:name="_Toc520721578"/>
            <w:bookmarkStart w:id="1688" w:name="_Toc520724111"/>
            <w:bookmarkStart w:id="1689" w:name="_Toc520735215"/>
            <w:bookmarkStart w:id="1690" w:name="_Toc520736248"/>
            <w:bookmarkStart w:id="1691" w:name="_Toc520736667"/>
            <w:r>
              <w:t xml:space="preserve">Q. </w:t>
            </w:r>
            <w:r w:rsidR="00363A9B">
              <w:fldChar w:fldCharType="begin"/>
            </w:r>
            <w:r w:rsidR="00363A9B">
              <w:instrText xml:space="preserve"> SEQ Q. \* ARABIC </w:instrText>
            </w:r>
            <w:r w:rsidR="00363A9B">
              <w:fldChar w:fldCharType="separate"/>
            </w:r>
            <w:r w:rsidR="00AD7AD8">
              <w:rPr>
                <w:noProof/>
              </w:rPr>
              <w:t>33</w:t>
            </w:r>
            <w:r w:rsidR="00363A9B">
              <w:rPr>
                <w:noProof/>
              </w:rPr>
              <w:fldChar w:fldCharType="end"/>
            </w:r>
            <w:r>
              <w:t xml:space="preserve"> </w:t>
            </w:r>
            <w:r>
              <w:tab/>
            </w:r>
            <w:r w:rsidRPr="007F2D80">
              <w:t>What has been your experience of any compliance or enforcement activities by the Clean Energy Regulator?</w:t>
            </w:r>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p>
          <w:p w14:paraId="30E813ED" w14:textId="77777777" w:rsidR="007F2D80" w:rsidRDefault="007F2D80" w:rsidP="0073569F">
            <w:bookmarkStart w:id="1692" w:name="_Toc519087332"/>
            <w:bookmarkStart w:id="1693" w:name="_Toc519087477"/>
            <w:bookmarkStart w:id="1694" w:name="_Toc519090757"/>
            <w:bookmarkStart w:id="1695" w:name="_Toc519163138"/>
            <w:bookmarkStart w:id="1696" w:name="_Toc519163451"/>
            <w:bookmarkStart w:id="1697" w:name="_Toc519164496"/>
            <w:bookmarkStart w:id="1698" w:name="_Toc520280143"/>
            <w:bookmarkStart w:id="1699" w:name="_Toc520281336"/>
            <w:bookmarkStart w:id="1700" w:name="_Toc520459417"/>
            <w:bookmarkStart w:id="1701" w:name="_Toc520461412"/>
            <w:bookmarkStart w:id="1702" w:name="_Toc520461778"/>
            <w:bookmarkStart w:id="1703" w:name="_Toc520705308"/>
            <w:bookmarkStart w:id="1704" w:name="_Toc520707666"/>
            <w:bookmarkStart w:id="1705" w:name="_Toc520716680"/>
            <w:bookmarkStart w:id="1706" w:name="_Toc520720328"/>
            <w:bookmarkStart w:id="1707" w:name="_Toc520721001"/>
            <w:bookmarkStart w:id="1708" w:name="_Toc520721579"/>
            <w:bookmarkStart w:id="1709" w:name="_Toc520724112"/>
            <w:bookmarkStart w:id="1710" w:name="_Toc520735216"/>
            <w:bookmarkStart w:id="1711" w:name="_Toc520736249"/>
            <w:bookmarkStart w:id="1712" w:name="_Toc520736668"/>
            <w:r>
              <w:t xml:space="preserve">Q. </w:t>
            </w:r>
            <w:r w:rsidR="00363A9B">
              <w:fldChar w:fldCharType="begin"/>
            </w:r>
            <w:r w:rsidR="00363A9B">
              <w:instrText xml:space="preserve"> SEQ Q. \* ARABIC </w:instrText>
            </w:r>
            <w:r w:rsidR="00363A9B">
              <w:fldChar w:fldCharType="separate"/>
            </w:r>
            <w:r w:rsidR="00AD7AD8">
              <w:rPr>
                <w:noProof/>
              </w:rPr>
              <w:t>34</w:t>
            </w:r>
            <w:r w:rsidR="00363A9B">
              <w:rPr>
                <w:noProof/>
              </w:rPr>
              <w:fldChar w:fldCharType="end"/>
            </w:r>
            <w:r>
              <w:t xml:space="preserve"> </w:t>
            </w:r>
            <w:r>
              <w:tab/>
            </w:r>
            <w:r w:rsidRPr="007F2D80">
              <w:t>Are there any opportunities for improvements in the Clean Energy Regulator’s decision making and review process?</w:t>
            </w:r>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p>
          <w:p w14:paraId="3AF98C90" w14:textId="6591CBB5" w:rsidR="005A70DD" w:rsidRDefault="005A70DD" w:rsidP="005A70DD">
            <w:bookmarkStart w:id="1713" w:name="_Toc520716681"/>
            <w:bookmarkStart w:id="1714" w:name="_Toc520720329"/>
            <w:bookmarkStart w:id="1715" w:name="_Toc520705309"/>
            <w:bookmarkStart w:id="1716" w:name="_Toc520707667"/>
            <w:bookmarkStart w:id="1717" w:name="_Toc520721002"/>
            <w:bookmarkStart w:id="1718" w:name="_Toc520721580"/>
            <w:bookmarkStart w:id="1719" w:name="_Toc520724113"/>
            <w:bookmarkStart w:id="1720" w:name="_Toc520735217"/>
            <w:bookmarkStart w:id="1721" w:name="_Toc520736250"/>
            <w:bookmarkStart w:id="1722" w:name="_Toc520736669"/>
            <w:r>
              <w:t xml:space="preserve">Q. </w:t>
            </w:r>
            <w:r w:rsidR="00363A9B">
              <w:fldChar w:fldCharType="begin"/>
            </w:r>
            <w:r w:rsidR="00363A9B">
              <w:instrText xml:space="preserve"> SEQ Q. \* ARABIC </w:instrText>
            </w:r>
            <w:r w:rsidR="00363A9B">
              <w:fldChar w:fldCharType="separate"/>
            </w:r>
            <w:r w:rsidR="00AD7AD8">
              <w:rPr>
                <w:noProof/>
              </w:rPr>
              <w:t>35</w:t>
            </w:r>
            <w:r w:rsidR="00363A9B">
              <w:rPr>
                <w:noProof/>
              </w:rPr>
              <w:fldChar w:fldCharType="end"/>
            </w:r>
            <w:r>
              <w:t xml:space="preserve"> </w:t>
            </w:r>
            <w:r>
              <w:tab/>
            </w:r>
            <w:r w:rsidRPr="007F2D80">
              <w:t xml:space="preserve">Are there any </w:t>
            </w:r>
            <w:r>
              <w:t>other matters relevant to this review you wish to raise?</w:t>
            </w:r>
            <w:bookmarkEnd w:id="1713"/>
            <w:bookmarkEnd w:id="1714"/>
            <w:bookmarkEnd w:id="1715"/>
            <w:bookmarkEnd w:id="1716"/>
            <w:bookmarkEnd w:id="1717"/>
            <w:bookmarkEnd w:id="1718"/>
            <w:bookmarkEnd w:id="1719"/>
            <w:bookmarkEnd w:id="1720"/>
            <w:bookmarkEnd w:id="1721"/>
            <w:bookmarkEnd w:id="1722"/>
          </w:p>
        </w:tc>
      </w:tr>
    </w:tbl>
    <w:p w14:paraId="0F8A1EFC" w14:textId="77777777" w:rsidR="007F2D80" w:rsidRDefault="007F2D80" w:rsidP="007F2D80"/>
    <w:p w14:paraId="583F1C4B" w14:textId="77777777" w:rsidR="00BC72D3" w:rsidRDefault="00BC72D3" w:rsidP="006D51D1"/>
    <w:p w14:paraId="7BEBF67E" w14:textId="55654475" w:rsidR="000509A1" w:rsidRDefault="00E148EB" w:rsidP="004240E8">
      <w:pPr>
        <w:pStyle w:val="Heading1"/>
        <w:numPr>
          <w:ilvl w:val="0"/>
          <w:numId w:val="14"/>
        </w:numPr>
      </w:pPr>
      <w:bookmarkStart w:id="1723" w:name="_Toc519166200"/>
      <w:bookmarkStart w:id="1724" w:name="_Toc519240567"/>
      <w:bookmarkStart w:id="1725" w:name="_Toc519240695"/>
      <w:bookmarkStart w:id="1726" w:name="_Toc520448599"/>
      <w:bookmarkStart w:id="1727" w:name="_Toc520455275"/>
      <w:bookmarkStart w:id="1728" w:name="_Toc520459074"/>
      <w:bookmarkStart w:id="1729" w:name="_Toc520459468"/>
      <w:bookmarkStart w:id="1730" w:name="_Toc520458596"/>
      <w:bookmarkStart w:id="1731" w:name="_Toc520459550"/>
      <w:bookmarkStart w:id="1732" w:name="_Toc520461466"/>
      <w:bookmarkStart w:id="1733" w:name="_Toc520461828"/>
      <w:bookmarkStart w:id="1734" w:name="_Toc520466856"/>
      <w:bookmarkStart w:id="1735" w:name="_Toc520469893"/>
      <w:bookmarkStart w:id="1736" w:name="_Toc520705351"/>
      <w:bookmarkStart w:id="1737" w:name="_Toc520707715"/>
      <w:bookmarkStart w:id="1738" w:name="_Toc520716731"/>
      <w:bookmarkStart w:id="1739" w:name="_Toc520720377"/>
      <w:bookmarkStart w:id="1740" w:name="_Toc520721628"/>
      <w:bookmarkStart w:id="1741" w:name="_Toc520724161"/>
      <w:bookmarkStart w:id="1742" w:name="_Toc520735266"/>
      <w:bookmarkStart w:id="1743" w:name="_Toc520736299"/>
      <w:bookmarkStart w:id="1744" w:name="_Toc520736718"/>
      <w:r>
        <w:lastRenderedPageBreak/>
        <w:t>Next steps</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p>
    <w:p w14:paraId="591B89EE" w14:textId="29357EE3" w:rsidR="004E10D2" w:rsidRDefault="000509A1" w:rsidP="000509A1">
      <w:r>
        <w:t xml:space="preserve">The National Greenhouse and Energy Reporting legislation underpins important elements of Australia’s response to climate change, creating a system for Australian businesses and other entities to measure, report and manage their emissions and energy use. </w:t>
      </w:r>
    </w:p>
    <w:p w14:paraId="3AEFB880" w14:textId="0F06D943" w:rsidR="000509A1" w:rsidRDefault="004E10D2" w:rsidP="004E10D2">
      <w:r>
        <w:t xml:space="preserve">This review is an opportunity to reflect on how the legislation has been operating and identify potential improvements. It is timely to review the reporting scheme given it is </w:t>
      </w:r>
      <w:r w:rsidRPr="005112D5">
        <w:t>now a decade old</w:t>
      </w:r>
      <w:r>
        <w:t xml:space="preserve">. By contrast the safeguard </w:t>
      </w:r>
      <w:r w:rsidR="00742A4D">
        <w:t>mechanism</w:t>
      </w:r>
      <w:r>
        <w:t xml:space="preserve"> has only been in place for a couple of years.</w:t>
      </w:r>
      <w:r w:rsidR="000509A1">
        <w:t xml:space="preserve"> </w:t>
      </w:r>
    </w:p>
    <w:p w14:paraId="1985DCF8" w14:textId="6BB0CBC0" w:rsidR="000509A1" w:rsidRDefault="000509A1" w:rsidP="000509A1">
      <w:r>
        <w:t xml:space="preserve">This is also a chance to assess how the legislation can continue to deliver for governments, businesses and the Australian public as policies and expectations of companies </w:t>
      </w:r>
      <w:r w:rsidR="00BD2A51">
        <w:t xml:space="preserve">and others </w:t>
      </w:r>
      <w:r>
        <w:t xml:space="preserve">evolve. </w:t>
      </w:r>
    </w:p>
    <w:p w14:paraId="3F7AE119" w14:textId="3246DAF1" w:rsidR="000509A1" w:rsidRDefault="000509A1" w:rsidP="000509A1">
      <w:r>
        <w:t xml:space="preserve">The Climate Change Authority has identified potential areas of focus throughout this consultation paper and is also interested in any other issues stakeholders have faced in meeting their obligations under the legislation. </w:t>
      </w:r>
    </w:p>
    <w:p w14:paraId="082D500D" w14:textId="3D5B30A1" w:rsidR="00BC72D3" w:rsidRDefault="000509A1" w:rsidP="000509A1">
      <w:r>
        <w:t>The Authority will use feedback from stakeholders on this paper and other consultations to inform any recommendations for improvements to the legislation and its implementation. The Authority’s final review report is due by the end of this year.</w:t>
      </w:r>
    </w:p>
    <w:p w14:paraId="20E03830" w14:textId="77777777" w:rsidR="00263F53" w:rsidRDefault="00263F53" w:rsidP="006D51D1">
      <w:pPr>
        <w:sectPr w:rsidR="00263F53" w:rsidSect="00C12D80">
          <w:headerReference w:type="first" r:id="rId35"/>
          <w:pgSz w:w="11906" w:h="16838"/>
          <w:pgMar w:top="1418" w:right="1276" w:bottom="567" w:left="1418" w:header="425" w:footer="425" w:gutter="0"/>
          <w:cols w:space="708"/>
          <w:titlePg/>
          <w:docGrid w:linePitch="360"/>
        </w:sectPr>
      </w:pPr>
    </w:p>
    <w:p w14:paraId="4D64BE4A" w14:textId="77777777" w:rsidR="00BC72D3" w:rsidRDefault="00BC72D3" w:rsidP="006D51D1"/>
    <w:p w14:paraId="2CE5063C" w14:textId="77777777" w:rsidR="00BC72D3" w:rsidRDefault="00BC72D3" w:rsidP="006D51D1"/>
    <w:p w14:paraId="56E0E237" w14:textId="59B35785" w:rsidR="000509A1" w:rsidRDefault="00E148EB" w:rsidP="00057BBA">
      <w:pPr>
        <w:pStyle w:val="Heading1NN"/>
      </w:pPr>
      <w:bookmarkStart w:id="1745" w:name="AppendixA"/>
      <w:bookmarkStart w:id="1746" w:name="_Toc519166201"/>
      <w:bookmarkStart w:id="1747" w:name="_Toc519240568"/>
      <w:bookmarkStart w:id="1748" w:name="_Toc519240696"/>
      <w:bookmarkStart w:id="1749" w:name="_Toc520448600"/>
      <w:bookmarkStart w:id="1750" w:name="_Toc520455276"/>
      <w:bookmarkStart w:id="1751" w:name="_Toc520459075"/>
      <w:bookmarkStart w:id="1752" w:name="_Toc520459469"/>
      <w:bookmarkStart w:id="1753" w:name="_Toc520458597"/>
      <w:bookmarkStart w:id="1754" w:name="_Toc520459551"/>
      <w:bookmarkStart w:id="1755" w:name="_Toc520461467"/>
      <w:bookmarkStart w:id="1756" w:name="_Toc520461829"/>
      <w:bookmarkStart w:id="1757" w:name="_Toc520466857"/>
      <w:bookmarkStart w:id="1758" w:name="_Toc520469894"/>
      <w:bookmarkStart w:id="1759" w:name="_Toc520705352"/>
      <w:bookmarkStart w:id="1760" w:name="_Toc520707716"/>
      <w:bookmarkStart w:id="1761" w:name="_Toc520716732"/>
      <w:bookmarkStart w:id="1762" w:name="_Toc520720378"/>
      <w:bookmarkStart w:id="1763" w:name="_Toc520721629"/>
      <w:bookmarkStart w:id="1764" w:name="_Toc520724162"/>
      <w:bookmarkStart w:id="1765" w:name="_Toc520735267"/>
      <w:bookmarkStart w:id="1766" w:name="_Toc520736300"/>
      <w:bookmarkStart w:id="1767" w:name="_Toc520736719"/>
      <w:r>
        <w:lastRenderedPageBreak/>
        <w:t>Appendix A</w:t>
      </w:r>
      <w:bookmarkEnd w:id="1745"/>
      <w:r>
        <w:t xml:space="preserve">: Guiding </w:t>
      </w:r>
      <w:r w:rsidR="00D73576">
        <w:t xml:space="preserve">principles </w:t>
      </w:r>
      <w:r>
        <w:t xml:space="preserve">for this </w:t>
      </w:r>
      <w:r w:rsidR="00EC01E2">
        <w:t>review</w:t>
      </w:r>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p>
    <w:p w14:paraId="70AABFF0" w14:textId="77777777" w:rsidR="000509A1" w:rsidRDefault="000509A1" w:rsidP="000509A1">
      <w:r>
        <w:t xml:space="preserve">The principles established in the </w:t>
      </w:r>
      <w:r w:rsidRPr="00845DB5">
        <w:rPr>
          <w:i/>
        </w:rPr>
        <w:t>Climate Change Authority Act 2011</w:t>
      </w:r>
      <w:r>
        <w:t xml:space="preserve"> (Cth) guide all of the Authority’s work. These include that measures to respond to climate change should:</w:t>
      </w:r>
    </w:p>
    <w:p w14:paraId="6192554B" w14:textId="0467B0D0" w:rsidR="000509A1" w:rsidRDefault="000509A1" w:rsidP="006B5CAF">
      <w:pPr>
        <w:pStyle w:val="ListBullet"/>
        <w:numPr>
          <w:ilvl w:val="0"/>
          <w:numId w:val="11"/>
        </w:numPr>
      </w:pPr>
      <w:r>
        <w:t>be economically efficient, environmentally effective, equitable and in the public interest</w:t>
      </w:r>
    </w:p>
    <w:p w14:paraId="45DF08DE" w14:textId="7178CF0C" w:rsidR="000509A1" w:rsidRDefault="000509A1" w:rsidP="006B5CAF">
      <w:pPr>
        <w:pStyle w:val="ListBullet"/>
        <w:numPr>
          <w:ilvl w:val="0"/>
          <w:numId w:val="11"/>
        </w:numPr>
      </w:pPr>
      <w:r>
        <w:t>support the development of an effective global response to climate change, and be consistent with Australia’s foreign policy and trade objectives</w:t>
      </w:r>
    </w:p>
    <w:p w14:paraId="186418B3" w14:textId="31C8FF9D" w:rsidR="000509A1" w:rsidRDefault="000509A1" w:rsidP="006B5CAF">
      <w:pPr>
        <w:pStyle w:val="ListBullet"/>
        <w:numPr>
          <w:ilvl w:val="0"/>
          <w:numId w:val="11"/>
        </w:numPr>
      </w:pPr>
      <w:r>
        <w:t>take account of the impact on households, businesses, workers and communities.</w:t>
      </w:r>
    </w:p>
    <w:p w14:paraId="613DBC3B" w14:textId="045199D1" w:rsidR="00793DF4" w:rsidRDefault="001B2BC7" w:rsidP="000509A1">
      <w:r>
        <w:t>The Authority is required to review the operation of the National Greenhouse and Energy Reporting legislation. That legislation includes:</w:t>
      </w:r>
    </w:p>
    <w:p w14:paraId="2F8146C8" w14:textId="385C860C" w:rsidR="001B2BC7" w:rsidRDefault="001B2BC7" w:rsidP="006B5CAF">
      <w:pPr>
        <w:pStyle w:val="ListParagraph"/>
        <w:numPr>
          <w:ilvl w:val="0"/>
          <w:numId w:val="13"/>
        </w:numPr>
      </w:pPr>
      <w:r>
        <w:t xml:space="preserve">the </w:t>
      </w:r>
      <w:r w:rsidRPr="00364C9F">
        <w:rPr>
          <w:i/>
        </w:rPr>
        <w:t>National Greenhouse and Energy Reporting Act 2007</w:t>
      </w:r>
      <w:r>
        <w:t xml:space="preserve"> (Cth), which establishes the framework for the reporting scheme and safeguard</w:t>
      </w:r>
    </w:p>
    <w:p w14:paraId="101C052D" w14:textId="046C3F04" w:rsidR="001B2BC7" w:rsidRPr="00364C9F" w:rsidRDefault="001B2BC7" w:rsidP="006B5CAF">
      <w:pPr>
        <w:pStyle w:val="ListParagraph"/>
        <w:numPr>
          <w:ilvl w:val="0"/>
          <w:numId w:val="13"/>
        </w:numPr>
        <w:rPr>
          <w:i/>
        </w:rPr>
      </w:pPr>
      <w:r w:rsidRPr="001B2BC7">
        <w:t>the</w:t>
      </w:r>
      <w:r w:rsidRPr="00364C9F">
        <w:rPr>
          <w:i/>
        </w:rPr>
        <w:t xml:space="preserve"> National Greenhouse and Energy (Measurement) Determination 2008</w:t>
      </w:r>
      <w:r>
        <w:rPr>
          <w:i/>
        </w:rPr>
        <w:t xml:space="preserve"> </w:t>
      </w:r>
      <w:r>
        <w:t>(Cth), which describes how to measure greenhouse gas emissions, energy production and use</w:t>
      </w:r>
    </w:p>
    <w:p w14:paraId="53CD840C" w14:textId="4530CD19" w:rsidR="00546725" w:rsidRPr="00364C9F" w:rsidRDefault="00546725" w:rsidP="006B5CAF">
      <w:pPr>
        <w:pStyle w:val="ListParagraph"/>
        <w:numPr>
          <w:ilvl w:val="0"/>
          <w:numId w:val="13"/>
        </w:numPr>
        <w:rPr>
          <w:i/>
        </w:rPr>
      </w:pPr>
      <w:r>
        <w:t xml:space="preserve">the </w:t>
      </w:r>
      <w:r w:rsidRPr="00364C9F">
        <w:rPr>
          <w:i/>
        </w:rPr>
        <w:t xml:space="preserve">National Greenhouse and Energy Reporting Regulations 2008 </w:t>
      </w:r>
      <w:r w:rsidRPr="00546725">
        <w:t>(Cth)</w:t>
      </w:r>
      <w:r>
        <w:t>, which sets out the reporting and auditing requirements</w:t>
      </w:r>
    </w:p>
    <w:p w14:paraId="78C5C8DC" w14:textId="21D6E369" w:rsidR="001B2BC7" w:rsidRDefault="001B2BC7" w:rsidP="006B5CAF">
      <w:pPr>
        <w:pStyle w:val="ListParagraph"/>
        <w:numPr>
          <w:ilvl w:val="0"/>
          <w:numId w:val="13"/>
        </w:numPr>
      </w:pPr>
      <w:r w:rsidRPr="001B2BC7">
        <w:t>the</w:t>
      </w:r>
      <w:r w:rsidRPr="00364C9F">
        <w:rPr>
          <w:i/>
        </w:rPr>
        <w:t xml:space="preserve"> National Greenhouse and Energy Reporting (Audit) Determination</w:t>
      </w:r>
      <w:r>
        <w:t xml:space="preserve"> </w:t>
      </w:r>
      <w:r w:rsidRPr="00364C9F">
        <w:rPr>
          <w:i/>
        </w:rPr>
        <w:t>2009</w:t>
      </w:r>
      <w:r>
        <w:t xml:space="preserve"> (Cth), which sets outs the audit requirements</w:t>
      </w:r>
    </w:p>
    <w:p w14:paraId="12D06254" w14:textId="7B7FDCBD" w:rsidR="001B2BC7" w:rsidRDefault="001B2BC7" w:rsidP="006B5CAF">
      <w:pPr>
        <w:pStyle w:val="ListParagraph"/>
        <w:numPr>
          <w:ilvl w:val="0"/>
          <w:numId w:val="13"/>
        </w:numPr>
      </w:pPr>
      <w:r>
        <w:t xml:space="preserve">the </w:t>
      </w:r>
      <w:r w:rsidRPr="00364C9F">
        <w:rPr>
          <w:i/>
        </w:rPr>
        <w:t>National Greenhouse and Energy Reporting (Auditor Registration) Instrument 2017 (No. 2)</w:t>
      </w:r>
      <w:r>
        <w:t xml:space="preserve"> (Cth), which specifies the qualifications that auditors must have</w:t>
      </w:r>
    </w:p>
    <w:p w14:paraId="0B81A392" w14:textId="1E67E8FB" w:rsidR="001B2BC7" w:rsidRPr="00546725" w:rsidRDefault="001B2BC7" w:rsidP="006B5CAF">
      <w:pPr>
        <w:pStyle w:val="ListParagraph"/>
        <w:numPr>
          <w:ilvl w:val="0"/>
          <w:numId w:val="13"/>
        </w:numPr>
      </w:pPr>
      <w:r>
        <w:t xml:space="preserve">the </w:t>
      </w:r>
      <w:r w:rsidRPr="00364C9F">
        <w:rPr>
          <w:i/>
        </w:rPr>
        <w:t xml:space="preserve">National Greenhouse and Energy Reporting (Safeguard Mechanism) Rule 2015 </w:t>
      </w:r>
      <w:r w:rsidRPr="00546725">
        <w:t>(Cth)</w:t>
      </w:r>
      <w:r w:rsidR="00546725">
        <w:t>, which sets</w:t>
      </w:r>
      <w:r w:rsidR="00546725" w:rsidRPr="00364C9F">
        <w:t xml:space="preserve"> </w:t>
      </w:r>
      <w:r w:rsidR="00546725">
        <w:t xml:space="preserve">out the compliance rules and procedures for administering the safeguard. </w:t>
      </w:r>
    </w:p>
    <w:p w14:paraId="052CDA73" w14:textId="4986A81D" w:rsidR="001B2BC7" w:rsidRDefault="001B2BC7" w:rsidP="001B2BC7">
      <w:r>
        <w:t xml:space="preserve">The </w:t>
      </w:r>
      <w:r w:rsidRPr="00364C9F">
        <w:rPr>
          <w:i/>
        </w:rPr>
        <w:t xml:space="preserve">Clean Energy Regulator Act 2011 </w:t>
      </w:r>
      <w:r w:rsidRPr="00546725">
        <w:t>(Cth)</w:t>
      </w:r>
      <w:r>
        <w:t xml:space="preserve"> </w:t>
      </w:r>
      <w:r w:rsidR="00546725">
        <w:t xml:space="preserve">establishes the Clean Energy Regulator and its functions and powers in regards to administering </w:t>
      </w:r>
      <w:r w:rsidR="001E1812">
        <w:t>its</w:t>
      </w:r>
      <w:r w:rsidR="00546725">
        <w:t xml:space="preserve"> scheme</w:t>
      </w:r>
      <w:r w:rsidR="001E1812">
        <w:t>s</w:t>
      </w:r>
      <w:r w:rsidR="00546725">
        <w:t>.</w:t>
      </w:r>
    </w:p>
    <w:p w14:paraId="53143BA8" w14:textId="7A9F1B30" w:rsidR="000509A1" w:rsidRDefault="000509A1" w:rsidP="000509A1">
      <w:r>
        <w:lastRenderedPageBreak/>
        <w:t xml:space="preserve">The objects of the </w:t>
      </w:r>
      <w:r w:rsidRPr="00364C9F">
        <w:rPr>
          <w:i/>
        </w:rPr>
        <w:t>National Greenhouse and Energy Reporting Act 2007</w:t>
      </w:r>
      <w:r>
        <w:t xml:space="preserve"> (Cth) provide specific direction for this review. The first object is to introduce a single national reporting framework for the reporting and dissemination of information related to greenhouse gas emissions and projects, energy consumption and production of </w:t>
      </w:r>
      <w:r w:rsidRPr="005112D5">
        <w:t>corporations</w:t>
      </w:r>
      <w:r w:rsidR="009410C1">
        <w:t xml:space="preserve"> </w:t>
      </w:r>
      <w:r>
        <w:t>to:</w:t>
      </w:r>
    </w:p>
    <w:p w14:paraId="4A417173" w14:textId="5BD9C4A9" w:rsidR="000509A1" w:rsidRDefault="000509A1" w:rsidP="006B5CAF">
      <w:pPr>
        <w:pStyle w:val="ListBullet"/>
        <w:numPr>
          <w:ilvl w:val="0"/>
          <w:numId w:val="12"/>
        </w:numPr>
      </w:pPr>
      <w:r>
        <w:t>inform government policy formulation and the Australian public</w:t>
      </w:r>
    </w:p>
    <w:p w14:paraId="4BAA2550" w14:textId="4E5B0781" w:rsidR="000509A1" w:rsidRDefault="000509A1" w:rsidP="006B5CAF">
      <w:pPr>
        <w:pStyle w:val="ListBullet"/>
        <w:numPr>
          <w:ilvl w:val="0"/>
          <w:numId w:val="12"/>
        </w:numPr>
      </w:pPr>
      <w:r>
        <w:t>meet Australia's international reporting obligations</w:t>
      </w:r>
    </w:p>
    <w:p w14:paraId="5966546A" w14:textId="7B3178F7" w:rsidR="000509A1" w:rsidRDefault="000509A1" w:rsidP="006B5CAF">
      <w:pPr>
        <w:pStyle w:val="ListBullet"/>
        <w:numPr>
          <w:ilvl w:val="0"/>
          <w:numId w:val="12"/>
        </w:numPr>
      </w:pPr>
      <w:r>
        <w:t>assist Commonwealth, state and territory government programs and activities</w:t>
      </w:r>
    </w:p>
    <w:p w14:paraId="45C144FE" w14:textId="11B4674B" w:rsidR="000509A1" w:rsidRDefault="000509A1" w:rsidP="006B5CAF">
      <w:pPr>
        <w:pStyle w:val="ListBullet"/>
        <w:numPr>
          <w:ilvl w:val="0"/>
          <w:numId w:val="12"/>
        </w:numPr>
      </w:pPr>
      <w:r>
        <w:t>avoid the duplication of similar reporting requirements in the states and territories.</w:t>
      </w:r>
    </w:p>
    <w:p w14:paraId="22A027E9" w14:textId="2EC99703" w:rsidR="00BC72D3" w:rsidRDefault="000509A1" w:rsidP="000509A1">
      <w:r>
        <w:t>The second object is to ensure net covered emissions of greenhouse gases from the operation of a designated large facility do not exceed the baseline applicable to the facility.</w:t>
      </w:r>
    </w:p>
    <w:p w14:paraId="6D512EF9" w14:textId="3270482B" w:rsidR="00DF5683" w:rsidRDefault="00DF5683" w:rsidP="00DF5683">
      <w:pPr>
        <w:pStyle w:val="Heading1NN"/>
      </w:pPr>
      <w:bookmarkStart w:id="1768" w:name="AppendixB"/>
      <w:bookmarkStart w:id="1769" w:name="_Toc519166202"/>
      <w:bookmarkStart w:id="1770" w:name="_Toc519240569"/>
      <w:bookmarkStart w:id="1771" w:name="_Toc519240697"/>
      <w:bookmarkStart w:id="1772" w:name="_Toc520448601"/>
      <w:bookmarkStart w:id="1773" w:name="_Toc520455277"/>
      <w:bookmarkStart w:id="1774" w:name="_Toc520459076"/>
      <w:bookmarkStart w:id="1775" w:name="_Toc520459470"/>
      <w:bookmarkStart w:id="1776" w:name="_Toc520458598"/>
      <w:bookmarkStart w:id="1777" w:name="_Toc520459552"/>
      <w:bookmarkStart w:id="1778" w:name="_Toc520461468"/>
      <w:bookmarkStart w:id="1779" w:name="_Toc520461830"/>
      <w:bookmarkStart w:id="1780" w:name="_Toc520466858"/>
      <w:bookmarkStart w:id="1781" w:name="_Toc520469895"/>
      <w:bookmarkStart w:id="1782" w:name="_Toc520705353"/>
      <w:bookmarkStart w:id="1783" w:name="_Toc520707717"/>
      <w:bookmarkStart w:id="1784" w:name="_Toc520716733"/>
      <w:bookmarkStart w:id="1785" w:name="_Toc520720379"/>
      <w:bookmarkStart w:id="1786" w:name="_Toc520721630"/>
      <w:bookmarkStart w:id="1787" w:name="_Toc520724163"/>
      <w:bookmarkStart w:id="1788" w:name="_Toc520735268"/>
      <w:bookmarkStart w:id="1789" w:name="_Toc520736301"/>
      <w:bookmarkStart w:id="1790" w:name="_Toc520736720"/>
      <w:r>
        <w:lastRenderedPageBreak/>
        <w:t>Appendix B</w:t>
      </w:r>
      <w:bookmarkEnd w:id="1768"/>
      <w:r>
        <w:t>: List of consultation questions</w:t>
      </w:r>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p>
    <w:p w14:paraId="11466340" w14:textId="77777777" w:rsidR="0070154C" w:rsidRDefault="00193858" w:rsidP="00364C9F">
      <w:r>
        <w:t xml:space="preserve">The Authority invites submissions from organisations and individuals on all issues relevant to the scope of this review. Those interested in making a submission should not feel constrained by the issues or questions in this paper. </w:t>
      </w:r>
    </w:p>
    <w:p w14:paraId="5C1A9236" w14:textId="7579D6F3" w:rsidR="00C515EF" w:rsidRDefault="00193858" w:rsidP="00193858">
      <w:pPr>
        <w:rPr>
          <w:rFonts w:ascii="Verdana" w:hAnsi="Verdana" w:cs="Helvetica"/>
          <w:color w:val="333333"/>
          <w:sz w:val="20"/>
          <w:szCs w:val="20"/>
          <w:lang w:val="en"/>
        </w:rPr>
      </w:pPr>
      <w:r>
        <w:t xml:space="preserve">Submissions can be emailed to </w:t>
      </w:r>
      <w:hyperlink r:id="rId36" w:history="1">
        <w:r w:rsidR="00CE3472" w:rsidRPr="00CE3472">
          <w:rPr>
            <w:rStyle w:val="Hyperlink"/>
          </w:rPr>
          <w:t>submissions@climatechangeauthority.gov.au</w:t>
        </w:r>
      </w:hyperlink>
      <w:r w:rsidR="00CE3472">
        <w:t xml:space="preserve"> </w:t>
      </w:r>
      <w:r>
        <w:t>until 11</w:t>
      </w:r>
      <w:r w:rsidR="00C515EF">
        <w:t> </w:t>
      </w:r>
      <w:r>
        <w:t xml:space="preserve">September 2018. A coversheet for submissions can be found on the Authority’s website at: </w:t>
      </w:r>
      <w:hyperlink r:id="rId37" w:history="1">
        <w:r w:rsidR="00C515EF" w:rsidRPr="00DA0350">
          <w:rPr>
            <w:rStyle w:val="Hyperlink"/>
          </w:rPr>
          <w:t>www.climatechangeauthority.gov.au/consultations</w:t>
        </w:r>
      </w:hyperlink>
      <w:r>
        <w:t>.</w:t>
      </w:r>
      <w:r w:rsidR="00C515EF" w:rsidRPr="00C515EF">
        <w:rPr>
          <w:rFonts w:ascii="Verdana" w:hAnsi="Verdana" w:cs="Helvetica"/>
          <w:color w:val="333333"/>
          <w:sz w:val="20"/>
          <w:szCs w:val="20"/>
          <w:lang w:val="en"/>
        </w:rPr>
        <w:t xml:space="preserve"> </w:t>
      </w:r>
    </w:p>
    <w:p w14:paraId="0D5ADF22" w14:textId="00FF9C7D" w:rsidR="00193858" w:rsidRDefault="00C515EF" w:rsidP="00364C9F">
      <w:r w:rsidRPr="00364C9F">
        <w:t>While the Authority values public consultation highly and seeks to be transparent, it is under no obligation to publish submissions it receives and reserves the right not to publish submissions on its website that raise legal or other concerns.</w:t>
      </w:r>
      <w:r w:rsidRPr="00C515EF">
        <w:t xml:space="preserve"> </w:t>
      </w:r>
      <w:r w:rsidRPr="009C5C18">
        <w:t>Confidential submissions will not be published.</w:t>
      </w:r>
    </w:p>
    <w:p w14:paraId="7F1E401C" w14:textId="77777777" w:rsidR="003337A3" w:rsidRDefault="005C62D5" w:rsidP="00495697">
      <w:pPr>
        <w:pStyle w:val="TableofFigures"/>
        <w:tabs>
          <w:tab w:val="left" w:pos="880"/>
          <w:tab w:val="right" w:leader="dot" w:pos="9202"/>
        </w:tabs>
        <w:spacing w:after="100"/>
        <w:rPr>
          <w:rFonts w:asciiTheme="minorHAnsi" w:eastAsiaTheme="minorEastAsia" w:hAnsiTheme="minorHAnsi" w:cstheme="minorBidi"/>
          <w:noProof/>
          <w:lang w:eastAsia="en-AU"/>
        </w:rPr>
      </w:pPr>
      <w:r>
        <w:fldChar w:fldCharType="begin"/>
      </w:r>
      <w:r>
        <w:instrText xml:space="preserve"> TOC \n \h \z \c "Q." </w:instrText>
      </w:r>
      <w:r>
        <w:fldChar w:fldCharType="separate"/>
      </w:r>
      <w:hyperlink w:anchor="_Toc520736635" w:history="1">
        <w:r w:rsidR="003337A3" w:rsidRPr="000E2C84">
          <w:rPr>
            <w:rStyle w:val="Hyperlink"/>
            <w:noProof/>
          </w:rPr>
          <w:t xml:space="preserve">Q. 1 </w:t>
        </w:r>
        <w:r w:rsidR="003337A3">
          <w:rPr>
            <w:rFonts w:asciiTheme="minorHAnsi" w:eastAsiaTheme="minorEastAsia" w:hAnsiTheme="minorHAnsi" w:cstheme="minorBidi"/>
            <w:noProof/>
            <w:lang w:eastAsia="en-AU"/>
          </w:rPr>
          <w:tab/>
        </w:r>
        <w:r w:rsidR="003337A3" w:rsidRPr="000E2C84">
          <w:rPr>
            <w:rStyle w:val="Hyperlink"/>
            <w:noProof/>
          </w:rPr>
          <w:t>Do the National Greenhouse and Energy Reporting scheme reporting thresholds balance coverage with administrative costs? Should thresholds be increased, decreased or kept as is?</w:t>
        </w:r>
      </w:hyperlink>
    </w:p>
    <w:p w14:paraId="468E7CA4"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36" w:history="1">
        <w:r w:rsidR="003337A3" w:rsidRPr="000E2C84">
          <w:rPr>
            <w:rStyle w:val="Hyperlink"/>
            <w:noProof/>
          </w:rPr>
          <w:t xml:space="preserve">Q. 2 </w:t>
        </w:r>
        <w:r w:rsidR="003337A3">
          <w:rPr>
            <w:rFonts w:asciiTheme="minorHAnsi" w:eastAsiaTheme="minorEastAsia" w:hAnsiTheme="minorHAnsi" w:cstheme="minorBidi"/>
            <w:noProof/>
            <w:lang w:eastAsia="en-AU"/>
          </w:rPr>
          <w:tab/>
        </w:r>
        <w:r w:rsidR="003337A3" w:rsidRPr="000E2C84">
          <w:rPr>
            <w:rStyle w:val="Hyperlink"/>
            <w:noProof/>
          </w:rPr>
          <w:t>Should the scope of reporting under the National Greenhouse and Energy Reporting scheme be expanded or reduced e.g. to include or exclude certain greenhouse gases, emissions sources, inventory sectors or types of entities who report?</w:t>
        </w:r>
      </w:hyperlink>
    </w:p>
    <w:p w14:paraId="63506CD4"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37" w:history="1">
        <w:r w:rsidR="003337A3" w:rsidRPr="000E2C84">
          <w:rPr>
            <w:rStyle w:val="Hyperlink"/>
            <w:noProof/>
          </w:rPr>
          <w:t xml:space="preserve">Q. 3 </w:t>
        </w:r>
        <w:r w:rsidR="003337A3">
          <w:rPr>
            <w:rFonts w:asciiTheme="minorHAnsi" w:eastAsiaTheme="minorEastAsia" w:hAnsiTheme="minorHAnsi" w:cstheme="minorBidi"/>
            <w:noProof/>
            <w:lang w:eastAsia="en-AU"/>
          </w:rPr>
          <w:tab/>
        </w:r>
        <w:r w:rsidR="003337A3" w:rsidRPr="000E2C84">
          <w:rPr>
            <w:rStyle w:val="Hyperlink"/>
            <w:noProof/>
          </w:rPr>
          <w:t>Do you have any feedback on the annual policy and consultation process to update the measurement determination?</w:t>
        </w:r>
      </w:hyperlink>
    </w:p>
    <w:p w14:paraId="1F6BE546"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38" w:history="1">
        <w:r w:rsidR="003337A3" w:rsidRPr="000E2C84">
          <w:rPr>
            <w:rStyle w:val="Hyperlink"/>
            <w:noProof/>
          </w:rPr>
          <w:t xml:space="preserve">Q. 4 </w:t>
        </w:r>
        <w:r w:rsidR="003337A3">
          <w:rPr>
            <w:rFonts w:asciiTheme="minorHAnsi" w:eastAsiaTheme="minorEastAsia" w:hAnsiTheme="minorHAnsi" w:cstheme="minorBidi"/>
            <w:noProof/>
            <w:lang w:eastAsia="en-AU"/>
          </w:rPr>
          <w:tab/>
        </w:r>
        <w:r w:rsidR="003337A3" w:rsidRPr="000E2C84">
          <w:rPr>
            <w:rStyle w:val="Hyperlink"/>
            <w:noProof/>
          </w:rPr>
          <w:t>Are the methods for reporting emissions and energy in the measurement determination fit for purpose?</w:t>
        </w:r>
      </w:hyperlink>
    </w:p>
    <w:p w14:paraId="09476342"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39" w:history="1">
        <w:r w:rsidR="003337A3" w:rsidRPr="000E2C84">
          <w:rPr>
            <w:rStyle w:val="Hyperlink"/>
            <w:noProof/>
          </w:rPr>
          <w:t xml:space="preserve">Q. 5 </w:t>
        </w:r>
        <w:r w:rsidR="003337A3">
          <w:rPr>
            <w:rFonts w:asciiTheme="minorHAnsi" w:eastAsiaTheme="minorEastAsia" w:hAnsiTheme="minorHAnsi" w:cstheme="minorBidi"/>
            <w:noProof/>
            <w:lang w:eastAsia="en-AU"/>
          </w:rPr>
          <w:tab/>
        </w:r>
        <w:r w:rsidR="003337A3" w:rsidRPr="000E2C84">
          <w:rPr>
            <w:rStyle w:val="Hyperlink"/>
            <w:noProof/>
          </w:rPr>
          <w:t>Does the frequency and timing for reporting cause any particular issues for companies?</w:t>
        </w:r>
      </w:hyperlink>
    </w:p>
    <w:p w14:paraId="12B790A1"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40" w:history="1">
        <w:r w:rsidR="003337A3" w:rsidRPr="000E2C84">
          <w:rPr>
            <w:rStyle w:val="Hyperlink"/>
            <w:noProof/>
          </w:rPr>
          <w:t xml:space="preserve">Q. 6 </w:t>
        </w:r>
        <w:r w:rsidR="003337A3">
          <w:rPr>
            <w:rFonts w:asciiTheme="minorHAnsi" w:eastAsiaTheme="minorEastAsia" w:hAnsiTheme="minorHAnsi" w:cstheme="minorBidi"/>
            <w:noProof/>
            <w:lang w:eastAsia="en-AU"/>
          </w:rPr>
          <w:tab/>
        </w:r>
        <w:r w:rsidR="003337A3" w:rsidRPr="000E2C84">
          <w:rPr>
            <w:rStyle w:val="Hyperlink"/>
            <w:noProof/>
          </w:rPr>
          <w:t>Is the Emissions and Energy Reporting System tool easy to use and fit for purpose?</w:t>
        </w:r>
      </w:hyperlink>
    </w:p>
    <w:p w14:paraId="27342610"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41" w:history="1">
        <w:r w:rsidR="003337A3" w:rsidRPr="000E2C84">
          <w:rPr>
            <w:rStyle w:val="Hyperlink"/>
            <w:noProof/>
          </w:rPr>
          <w:t xml:space="preserve">Q. 7 </w:t>
        </w:r>
        <w:r w:rsidR="003337A3">
          <w:rPr>
            <w:rFonts w:asciiTheme="minorHAnsi" w:eastAsiaTheme="minorEastAsia" w:hAnsiTheme="minorHAnsi" w:cstheme="minorBidi"/>
            <w:noProof/>
            <w:lang w:eastAsia="en-AU"/>
          </w:rPr>
          <w:tab/>
        </w:r>
        <w:r w:rsidR="003337A3" w:rsidRPr="000E2C84">
          <w:rPr>
            <w:rStyle w:val="Hyperlink"/>
            <w:noProof/>
          </w:rPr>
          <w:t>Are there emissions and energy data that companies would like to report through the Emissions and Energy Reporting System but are currently unable to? Would the development of a voluntary tool be useful for this information?</w:t>
        </w:r>
      </w:hyperlink>
    </w:p>
    <w:p w14:paraId="16A508C9"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42" w:history="1">
        <w:r w:rsidR="003337A3" w:rsidRPr="000E2C84">
          <w:rPr>
            <w:rStyle w:val="Hyperlink"/>
            <w:noProof/>
          </w:rPr>
          <w:t xml:space="preserve">Q. 8 </w:t>
        </w:r>
        <w:r w:rsidR="003337A3">
          <w:rPr>
            <w:rFonts w:asciiTheme="minorHAnsi" w:eastAsiaTheme="minorEastAsia" w:hAnsiTheme="minorHAnsi" w:cstheme="minorBidi"/>
            <w:noProof/>
            <w:lang w:eastAsia="en-AU"/>
          </w:rPr>
          <w:tab/>
        </w:r>
        <w:r w:rsidR="003337A3" w:rsidRPr="000E2C84">
          <w:rPr>
            <w:rStyle w:val="Hyperlink"/>
            <w:noProof/>
          </w:rPr>
          <w:t>Are there opportunities to streamline emissions and energy reporting obligations under the National Greenhouse and Energy Reporting scheme and other programs?</w:t>
        </w:r>
      </w:hyperlink>
    </w:p>
    <w:p w14:paraId="544EB9BF"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43" w:history="1">
        <w:r w:rsidR="003337A3" w:rsidRPr="000E2C84">
          <w:rPr>
            <w:rStyle w:val="Hyperlink"/>
            <w:noProof/>
          </w:rPr>
          <w:t xml:space="preserve">Q. 9 </w:t>
        </w:r>
        <w:r w:rsidR="003337A3">
          <w:rPr>
            <w:rFonts w:asciiTheme="minorHAnsi" w:eastAsiaTheme="minorEastAsia" w:hAnsiTheme="minorHAnsi" w:cstheme="minorBidi"/>
            <w:noProof/>
            <w:lang w:eastAsia="en-AU"/>
          </w:rPr>
          <w:tab/>
        </w:r>
        <w:r w:rsidR="003337A3" w:rsidRPr="000E2C84">
          <w:rPr>
            <w:rStyle w:val="Hyperlink"/>
            <w:noProof/>
          </w:rPr>
          <w:t>How does the National Greenhouse and Energy Reporting scheme contribute to providing useful information for climate-related risk disclosure or other data users and are any enhancements to the reporting scheme desirable?</w:t>
        </w:r>
      </w:hyperlink>
    </w:p>
    <w:p w14:paraId="6B38AD19"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44" w:history="1">
        <w:r w:rsidR="003337A3" w:rsidRPr="000E2C84">
          <w:rPr>
            <w:rStyle w:val="Hyperlink"/>
            <w:noProof/>
          </w:rPr>
          <w:t xml:space="preserve">Q. 10 </w:t>
        </w:r>
        <w:r w:rsidR="003337A3">
          <w:rPr>
            <w:rFonts w:asciiTheme="minorHAnsi" w:eastAsiaTheme="minorEastAsia" w:hAnsiTheme="minorHAnsi" w:cstheme="minorBidi"/>
            <w:noProof/>
            <w:lang w:eastAsia="en-AU"/>
          </w:rPr>
          <w:tab/>
        </w:r>
        <w:r w:rsidR="003337A3" w:rsidRPr="000E2C84">
          <w:rPr>
            <w:rStyle w:val="Hyperlink"/>
            <w:noProof/>
          </w:rPr>
          <w:t>Is reporting of emissions and energy data meeting the needs of data users and inducing change in business operations? If so, how?</w:t>
        </w:r>
      </w:hyperlink>
    </w:p>
    <w:p w14:paraId="78559AAE"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45" w:history="1">
        <w:r w:rsidR="003337A3" w:rsidRPr="000E2C84">
          <w:rPr>
            <w:rStyle w:val="Hyperlink"/>
            <w:noProof/>
          </w:rPr>
          <w:t xml:space="preserve">Q. 11 </w:t>
        </w:r>
        <w:r w:rsidR="003337A3">
          <w:rPr>
            <w:rFonts w:asciiTheme="minorHAnsi" w:eastAsiaTheme="minorEastAsia" w:hAnsiTheme="minorHAnsi" w:cstheme="minorBidi"/>
            <w:noProof/>
            <w:lang w:eastAsia="en-AU"/>
          </w:rPr>
          <w:tab/>
        </w:r>
        <w:r w:rsidR="003337A3" w:rsidRPr="000E2C84">
          <w:rPr>
            <w:rStyle w:val="Hyperlink"/>
            <w:noProof/>
          </w:rPr>
          <w:t>Are there learnings from international emissions and energy reporting schemes that could be applied in Australia?</w:t>
        </w:r>
      </w:hyperlink>
    </w:p>
    <w:p w14:paraId="071BF622"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46" w:history="1">
        <w:r w:rsidR="003337A3" w:rsidRPr="000E2C84">
          <w:rPr>
            <w:rStyle w:val="Hyperlink"/>
            <w:noProof/>
          </w:rPr>
          <w:t xml:space="preserve">Q. 12 </w:t>
        </w:r>
        <w:r w:rsidR="003337A3">
          <w:rPr>
            <w:rFonts w:asciiTheme="minorHAnsi" w:eastAsiaTheme="minorEastAsia" w:hAnsiTheme="minorHAnsi" w:cstheme="minorBidi"/>
            <w:noProof/>
            <w:lang w:eastAsia="en-AU"/>
          </w:rPr>
          <w:tab/>
        </w:r>
        <w:r w:rsidR="003337A3" w:rsidRPr="000E2C84">
          <w:rPr>
            <w:rStyle w:val="Hyperlink"/>
            <w:noProof/>
          </w:rPr>
          <w:t>Is the safeguard mechanism delivering on its objectives and fit for purpose?</w:t>
        </w:r>
      </w:hyperlink>
    </w:p>
    <w:p w14:paraId="56BE1FA3"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47" w:history="1">
        <w:r w:rsidR="003337A3" w:rsidRPr="000E2C84">
          <w:rPr>
            <w:rStyle w:val="Hyperlink"/>
            <w:noProof/>
          </w:rPr>
          <w:t xml:space="preserve">Q. 13 </w:t>
        </w:r>
        <w:r w:rsidR="003337A3">
          <w:rPr>
            <w:rFonts w:asciiTheme="minorHAnsi" w:eastAsiaTheme="minorEastAsia" w:hAnsiTheme="minorHAnsi" w:cstheme="minorBidi"/>
            <w:noProof/>
            <w:lang w:eastAsia="en-AU"/>
          </w:rPr>
          <w:tab/>
        </w:r>
        <w:r w:rsidR="003337A3" w:rsidRPr="000E2C84">
          <w:rPr>
            <w:rStyle w:val="Hyperlink"/>
            <w:noProof/>
          </w:rPr>
          <w:t>Are the emissions thresholds under the safeguard mechanism efficient and effective or should they be changed so more or fewer emissions are covered?</w:t>
        </w:r>
      </w:hyperlink>
    </w:p>
    <w:p w14:paraId="56D08D46"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48" w:history="1">
        <w:r w:rsidR="003337A3" w:rsidRPr="000E2C84">
          <w:rPr>
            <w:rStyle w:val="Hyperlink"/>
            <w:noProof/>
          </w:rPr>
          <w:t>Q. 14</w:t>
        </w:r>
        <w:r w:rsidR="003337A3">
          <w:rPr>
            <w:rFonts w:asciiTheme="minorHAnsi" w:eastAsiaTheme="minorEastAsia" w:hAnsiTheme="minorHAnsi" w:cstheme="minorBidi"/>
            <w:noProof/>
            <w:lang w:eastAsia="en-AU"/>
          </w:rPr>
          <w:tab/>
        </w:r>
        <w:r w:rsidR="003337A3" w:rsidRPr="000E2C84">
          <w:rPr>
            <w:rStyle w:val="Hyperlink"/>
            <w:noProof/>
          </w:rPr>
          <w:t>Should the scope of the safeguard mechanism be expanded or reduced if changes are made to the emissions and energy reporting scheme?</w:t>
        </w:r>
      </w:hyperlink>
    </w:p>
    <w:p w14:paraId="19C8A733"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49" w:history="1">
        <w:r w:rsidR="003337A3" w:rsidRPr="000E2C84">
          <w:rPr>
            <w:rStyle w:val="Hyperlink"/>
            <w:noProof/>
          </w:rPr>
          <w:t xml:space="preserve">Q. 15 </w:t>
        </w:r>
        <w:r w:rsidR="003337A3">
          <w:rPr>
            <w:rFonts w:asciiTheme="minorHAnsi" w:eastAsiaTheme="minorEastAsia" w:hAnsiTheme="minorHAnsi" w:cstheme="minorBidi"/>
            <w:noProof/>
            <w:lang w:eastAsia="en-AU"/>
          </w:rPr>
          <w:tab/>
        </w:r>
        <w:r w:rsidR="003337A3" w:rsidRPr="000E2C84">
          <w:rPr>
            <w:rStyle w:val="Hyperlink"/>
            <w:noProof/>
          </w:rPr>
          <w:t>Should the provision allowing baseline variations in response to a change in global warming potentials be extended to other changes that may occur in the measurement determination?</w:t>
        </w:r>
      </w:hyperlink>
    </w:p>
    <w:p w14:paraId="41C3112A"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50" w:history="1">
        <w:r w:rsidR="003337A3" w:rsidRPr="000E2C84">
          <w:rPr>
            <w:rStyle w:val="Hyperlink"/>
            <w:noProof/>
          </w:rPr>
          <w:t xml:space="preserve">Q. 16 </w:t>
        </w:r>
        <w:r w:rsidR="003337A3">
          <w:rPr>
            <w:rFonts w:asciiTheme="minorHAnsi" w:eastAsiaTheme="minorEastAsia" w:hAnsiTheme="minorHAnsi" w:cstheme="minorBidi"/>
            <w:noProof/>
            <w:lang w:eastAsia="en-AU"/>
          </w:rPr>
          <w:tab/>
        </w:r>
        <w:r w:rsidR="003337A3" w:rsidRPr="000E2C84">
          <w:rPr>
            <w:rStyle w:val="Hyperlink"/>
            <w:noProof/>
          </w:rPr>
          <w:t>Is the single reporting rule for transport fit for purpose?</w:t>
        </w:r>
      </w:hyperlink>
    </w:p>
    <w:p w14:paraId="73765697"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51" w:history="1">
        <w:r w:rsidR="003337A3" w:rsidRPr="000E2C84">
          <w:rPr>
            <w:rStyle w:val="Hyperlink"/>
            <w:noProof/>
          </w:rPr>
          <w:t xml:space="preserve">Q. 17 </w:t>
        </w:r>
        <w:r w:rsidR="003337A3">
          <w:rPr>
            <w:rFonts w:asciiTheme="minorHAnsi" w:eastAsiaTheme="minorEastAsia" w:hAnsiTheme="minorHAnsi" w:cstheme="minorBidi"/>
            <w:noProof/>
            <w:lang w:eastAsia="en-AU"/>
          </w:rPr>
          <w:tab/>
        </w:r>
        <w:r w:rsidR="003337A3" w:rsidRPr="000E2C84">
          <w:rPr>
            <w:rStyle w:val="Hyperlink"/>
            <w:noProof/>
          </w:rPr>
          <w:t>Should facilities be able to use the same emission reductions to meet safeguard mechanism and Emissions Reduction Fund contract obligations?</w:t>
        </w:r>
      </w:hyperlink>
    </w:p>
    <w:p w14:paraId="1DE4D2FF"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52" w:history="1">
        <w:r w:rsidR="003337A3" w:rsidRPr="000E2C84">
          <w:rPr>
            <w:rStyle w:val="Hyperlink"/>
            <w:noProof/>
          </w:rPr>
          <w:t xml:space="preserve">Q. 18 </w:t>
        </w:r>
        <w:r w:rsidR="003337A3">
          <w:rPr>
            <w:rFonts w:asciiTheme="minorHAnsi" w:eastAsiaTheme="minorEastAsia" w:hAnsiTheme="minorHAnsi" w:cstheme="minorBidi"/>
            <w:noProof/>
            <w:lang w:eastAsia="en-AU"/>
          </w:rPr>
          <w:tab/>
        </w:r>
        <w:r w:rsidR="003337A3" w:rsidRPr="000E2C84">
          <w:rPr>
            <w:rStyle w:val="Hyperlink"/>
            <w:noProof/>
          </w:rPr>
          <w:t>What actions are facilities taking to meet safeguard mechanism obligations and are the options available to facilities to manage their excess emissions effective and efficient?</w:t>
        </w:r>
      </w:hyperlink>
    </w:p>
    <w:p w14:paraId="6E7F4917"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53" w:history="1">
        <w:r w:rsidR="003337A3" w:rsidRPr="000E2C84">
          <w:rPr>
            <w:rStyle w:val="Hyperlink"/>
            <w:noProof/>
          </w:rPr>
          <w:t xml:space="preserve">Q. 19 </w:t>
        </w:r>
        <w:r w:rsidR="003337A3">
          <w:rPr>
            <w:rFonts w:asciiTheme="minorHAnsi" w:eastAsiaTheme="minorEastAsia" w:hAnsiTheme="minorHAnsi" w:cstheme="minorBidi"/>
            <w:noProof/>
            <w:lang w:eastAsia="en-AU"/>
          </w:rPr>
          <w:tab/>
        </w:r>
        <w:r w:rsidR="003337A3" w:rsidRPr="000E2C84">
          <w:rPr>
            <w:rStyle w:val="Hyperlink"/>
            <w:noProof/>
          </w:rPr>
          <w:t>Are the publication thresholds set at the right level?</w:t>
        </w:r>
      </w:hyperlink>
    </w:p>
    <w:p w14:paraId="2423E9FF"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54" w:history="1">
        <w:r w:rsidR="003337A3" w:rsidRPr="000E2C84">
          <w:rPr>
            <w:rStyle w:val="Hyperlink"/>
            <w:noProof/>
          </w:rPr>
          <w:t xml:space="preserve">Q. 20 </w:t>
        </w:r>
        <w:r w:rsidR="003337A3">
          <w:rPr>
            <w:rFonts w:asciiTheme="minorHAnsi" w:eastAsiaTheme="minorEastAsia" w:hAnsiTheme="minorHAnsi" w:cstheme="minorBidi"/>
            <w:noProof/>
            <w:lang w:eastAsia="en-AU"/>
          </w:rPr>
          <w:tab/>
        </w:r>
        <w:r w:rsidR="003337A3" w:rsidRPr="000E2C84">
          <w:rPr>
            <w:rStyle w:val="Hyperlink"/>
            <w:noProof/>
          </w:rPr>
          <w:t>Are any changes required to the data reported, when it is published or how it is published?</w:t>
        </w:r>
      </w:hyperlink>
    </w:p>
    <w:p w14:paraId="10D4B22F"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55" w:history="1">
        <w:r w:rsidR="003337A3" w:rsidRPr="000E2C84">
          <w:rPr>
            <w:rStyle w:val="Hyperlink"/>
            <w:noProof/>
          </w:rPr>
          <w:t xml:space="preserve">Q. 21 </w:t>
        </w:r>
        <w:r w:rsidR="003337A3">
          <w:rPr>
            <w:rFonts w:asciiTheme="minorHAnsi" w:eastAsiaTheme="minorEastAsia" w:hAnsiTheme="minorHAnsi" w:cstheme="minorBidi"/>
            <w:noProof/>
            <w:lang w:eastAsia="en-AU"/>
          </w:rPr>
          <w:tab/>
        </w:r>
        <w:r w:rsidR="003337A3" w:rsidRPr="000E2C84">
          <w:rPr>
            <w:rStyle w:val="Hyperlink"/>
            <w:noProof/>
          </w:rPr>
          <w:t>Do the rules for data publication and sharing balance the public interest with commercial or other interests or should they be changed?</w:t>
        </w:r>
      </w:hyperlink>
    </w:p>
    <w:p w14:paraId="4AC460AF"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56" w:history="1">
        <w:r w:rsidR="003337A3" w:rsidRPr="000E2C84">
          <w:rPr>
            <w:rStyle w:val="Hyperlink"/>
            <w:noProof/>
          </w:rPr>
          <w:t xml:space="preserve">Q. 22 </w:t>
        </w:r>
        <w:r w:rsidR="003337A3">
          <w:rPr>
            <w:rFonts w:asciiTheme="minorHAnsi" w:eastAsiaTheme="minorEastAsia" w:hAnsiTheme="minorHAnsi" w:cstheme="minorBidi"/>
            <w:noProof/>
            <w:lang w:eastAsia="en-AU"/>
          </w:rPr>
          <w:tab/>
        </w:r>
        <w:r w:rsidR="003337A3" w:rsidRPr="000E2C84">
          <w:rPr>
            <w:rStyle w:val="Hyperlink"/>
            <w:noProof/>
          </w:rPr>
          <w:t>Are the processes in place for accessing National Greenhouse and Energy Reporting data efficient and user-friendly?</w:t>
        </w:r>
      </w:hyperlink>
    </w:p>
    <w:p w14:paraId="6ABDE879"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57" w:history="1">
        <w:r w:rsidR="003337A3" w:rsidRPr="000E2C84">
          <w:rPr>
            <w:rStyle w:val="Hyperlink"/>
            <w:noProof/>
          </w:rPr>
          <w:t xml:space="preserve">Q. 23 </w:t>
        </w:r>
        <w:r w:rsidR="003337A3">
          <w:rPr>
            <w:rFonts w:asciiTheme="minorHAnsi" w:eastAsiaTheme="minorEastAsia" w:hAnsiTheme="minorHAnsi" w:cstheme="minorBidi"/>
            <w:noProof/>
            <w:lang w:eastAsia="en-AU"/>
          </w:rPr>
          <w:tab/>
        </w:r>
        <w:r w:rsidR="003337A3" w:rsidRPr="000E2C84">
          <w:rPr>
            <w:rStyle w:val="Hyperlink"/>
            <w:noProof/>
          </w:rPr>
          <w:t>How do you access and use emissions and energy data published or shared under the National Greenhouse and Energy Reporting legislation and are any improvements required?</w:t>
        </w:r>
      </w:hyperlink>
    </w:p>
    <w:p w14:paraId="128C4E10"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58" w:history="1">
        <w:r w:rsidR="003337A3" w:rsidRPr="000E2C84">
          <w:rPr>
            <w:rStyle w:val="Hyperlink"/>
            <w:noProof/>
          </w:rPr>
          <w:t xml:space="preserve">Q. 24 </w:t>
        </w:r>
        <w:r w:rsidR="003337A3">
          <w:rPr>
            <w:rFonts w:asciiTheme="minorHAnsi" w:eastAsiaTheme="minorEastAsia" w:hAnsiTheme="minorHAnsi" w:cstheme="minorBidi"/>
            <w:noProof/>
            <w:lang w:eastAsia="en-AU"/>
          </w:rPr>
          <w:tab/>
        </w:r>
        <w:r w:rsidR="003337A3" w:rsidRPr="000E2C84">
          <w:rPr>
            <w:rStyle w:val="Hyperlink"/>
            <w:noProof/>
          </w:rPr>
          <w:t>How should the National Greenhouse and Energy Reporting scheme evolve over time to support changing data needs?</w:t>
        </w:r>
      </w:hyperlink>
    </w:p>
    <w:p w14:paraId="2B9B8911"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59" w:history="1">
        <w:r w:rsidR="003337A3" w:rsidRPr="000E2C84">
          <w:rPr>
            <w:rStyle w:val="Hyperlink"/>
            <w:noProof/>
          </w:rPr>
          <w:t xml:space="preserve">Q. 25 </w:t>
        </w:r>
        <w:r w:rsidR="003337A3">
          <w:rPr>
            <w:rFonts w:asciiTheme="minorHAnsi" w:eastAsiaTheme="minorEastAsia" w:hAnsiTheme="minorHAnsi" w:cstheme="minorBidi"/>
            <w:noProof/>
            <w:lang w:eastAsia="en-AU"/>
          </w:rPr>
          <w:tab/>
        </w:r>
        <w:r w:rsidR="003337A3" w:rsidRPr="000E2C84">
          <w:rPr>
            <w:rStyle w:val="Hyperlink"/>
            <w:noProof/>
          </w:rPr>
          <w:t>Is the audit framework in the National Greenhouse and Energy Reporting legislation effective and efficient at ensuring compliance?</w:t>
        </w:r>
      </w:hyperlink>
    </w:p>
    <w:p w14:paraId="08E60F12"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60" w:history="1">
        <w:r w:rsidR="003337A3" w:rsidRPr="000E2C84">
          <w:rPr>
            <w:rStyle w:val="Hyperlink"/>
            <w:noProof/>
          </w:rPr>
          <w:t xml:space="preserve">Q. 26 </w:t>
        </w:r>
        <w:r w:rsidR="003337A3">
          <w:rPr>
            <w:rFonts w:asciiTheme="minorHAnsi" w:eastAsiaTheme="minorEastAsia" w:hAnsiTheme="minorHAnsi" w:cstheme="minorBidi"/>
            <w:noProof/>
            <w:lang w:eastAsia="en-AU"/>
          </w:rPr>
          <w:tab/>
        </w:r>
        <w:r w:rsidR="003337A3" w:rsidRPr="000E2C84">
          <w:rPr>
            <w:rStyle w:val="Hyperlink"/>
            <w:noProof/>
          </w:rPr>
          <w:t>Are there opportunities for improving the audit framework such as reducing the cost of audits or making the audits more effective?</w:t>
        </w:r>
      </w:hyperlink>
    </w:p>
    <w:p w14:paraId="7CDCDA5C"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61" w:history="1">
        <w:r w:rsidR="003337A3" w:rsidRPr="000E2C84">
          <w:rPr>
            <w:rStyle w:val="Hyperlink"/>
            <w:noProof/>
          </w:rPr>
          <w:t xml:space="preserve">Q. 27 </w:t>
        </w:r>
        <w:r w:rsidR="003337A3">
          <w:rPr>
            <w:rFonts w:asciiTheme="minorHAnsi" w:eastAsiaTheme="minorEastAsia" w:hAnsiTheme="minorHAnsi" w:cstheme="minorBidi"/>
            <w:noProof/>
            <w:lang w:eastAsia="en-AU"/>
          </w:rPr>
          <w:tab/>
        </w:r>
        <w:r w:rsidR="003337A3" w:rsidRPr="000E2C84">
          <w:rPr>
            <w:rStyle w:val="Hyperlink"/>
            <w:noProof/>
          </w:rPr>
          <w:t>What other government or non-government programs use the National Greenhouse and Energy Reporting audit framework?</w:t>
        </w:r>
      </w:hyperlink>
    </w:p>
    <w:p w14:paraId="3FB1FDCC"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62" w:history="1">
        <w:r w:rsidR="003337A3" w:rsidRPr="000E2C84">
          <w:rPr>
            <w:rStyle w:val="Hyperlink"/>
            <w:noProof/>
          </w:rPr>
          <w:t xml:space="preserve">Q. 28 </w:t>
        </w:r>
        <w:r w:rsidR="003337A3">
          <w:rPr>
            <w:rFonts w:asciiTheme="minorHAnsi" w:eastAsiaTheme="minorEastAsia" w:hAnsiTheme="minorHAnsi" w:cstheme="minorBidi"/>
            <w:noProof/>
            <w:lang w:eastAsia="en-AU"/>
          </w:rPr>
          <w:tab/>
        </w:r>
        <w:r w:rsidR="003337A3" w:rsidRPr="000E2C84">
          <w:rPr>
            <w:rStyle w:val="Hyperlink"/>
            <w:noProof/>
          </w:rPr>
          <w:t>Do the requirements for auditors effectively balance the cost and quality of audits?</w:t>
        </w:r>
      </w:hyperlink>
    </w:p>
    <w:p w14:paraId="2A62570C"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63" w:history="1">
        <w:r w:rsidR="003337A3" w:rsidRPr="000E2C84">
          <w:rPr>
            <w:rStyle w:val="Hyperlink"/>
            <w:noProof/>
          </w:rPr>
          <w:t xml:space="preserve">Q. 29 </w:t>
        </w:r>
        <w:r w:rsidR="003337A3">
          <w:rPr>
            <w:rFonts w:asciiTheme="minorHAnsi" w:eastAsiaTheme="minorEastAsia" w:hAnsiTheme="minorHAnsi" w:cstheme="minorBidi"/>
            <w:noProof/>
            <w:lang w:eastAsia="en-AU"/>
          </w:rPr>
          <w:tab/>
        </w:r>
        <w:r w:rsidR="003337A3" w:rsidRPr="000E2C84">
          <w:rPr>
            <w:rStyle w:val="Hyperlink"/>
            <w:noProof/>
          </w:rPr>
          <w:t>Are there enough quality auditors available?</w:t>
        </w:r>
      </w:hyperlink>
    </w:p>
    <w:p w14:paraId="19B23C55"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64" w:history="1">
        <w:r w:rsidR="003337A3" w:rsidRPr="000E2C84">
          <w:rPr>
            <w:rStyle w:val="Hyperlink"/>
            <w:noProof/>
          </w:rPr>
          <w:t xml:space="preserve">Q. 30 </w:t>
        </w:r>
        <w:r w:rsidR="003337A3">
          <w:rPr>
            <w:rFonts w:asciiTheme="minorHAnsi" w:eastAsiaTheme="minorEastAsia" w:hAnsiTheme="minorHAnsi" w:cstheme="minorBidi"/>
            <w:noProof/>
            <w:lang w:eastAsia="en-AU"/>
          </w:rPr>
          <w:tab/>
        </w:r>
        <w:r w:rsidR="003337A3" w:rsidRPr="000E2C84">
          <w:rPr>
            <w:rStyle w:val="Hyperlink"/>
            <w:noProof/>
          </w:rPr>
          <w:t>Is the guidance provided by the Clean Energy Regulator on its website, and through other channels such as by phone or email helpful in complying with National Greenhouse and Energy Reporting legislation obligations? How (if at all) could it be improved?</w:t>
        </w:r>
      </w:hyperlink>
    </w:p>
    <w:p w14:paraId="65C13B9A"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65" w:history="1">
        <w:r w:rsidR="003337A3" w:rsidRPr="000E2C84">
          <w:rPr>
            <w:rStyle w:val="Hyperlink"/>
            <w:noProof/>
          </w:rPr>
          <w:t xml:space="preserve">Q. 31 </w:t>
        </w:r>
        <w:r w:rsidR="003337A3">
          <w:rPr>
            <w:rFonts w:asciiTheme="minorHAnsi" w:eastAsiaTheme="minorEastAsia" w:hAnsiTheme="minorHAnsi" w:cstheme="minorBidi"/>
            <w:noProof/>
            <w:lang w:eastAsia="en-AU"/>
          </w:rPr>
          <w:tab/>
        </w:r>
        <w:r w:rsidR="003337A3" w:rsidRPr="000E2C84">
          <w:rPr>
            <w:rStyle w:val="Hyperlink"/>
            <w:noProof/>
          </w:rPr>
          <w:t>Does the timing of obligations for National Greenhouse and Energy Reporting and the safeguard mechanism allow sufficient time to meet the obligations?</w:t>
        </w:r>
      </w:hyperlink>
    </w:p>
    <w:p w14:paraId="41188206"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66" w:history="1">
        <w:r w:rsidR="003337A3" w:rsidRPr="000E2C84">
          <w:rPr>
            <w:rStyle w:val="Hyperlink"/>
            <w:noProof/>
          </w:rPr>
          <w:t xml:space="preserve">Q. 32 </w:t>
        </w:r>
        <w:r w:rsidR="003337A3">
          <w:rPr>
            <w:rFonts w:asciiTheme="minorHAnsi" w:eastAsiaTheme="minorEastAsia" w:hAnsiTheme="minorHAnsi" w:cstheme="minorBidi"/>
            <w:noProof/>
            <w:lang w:eastAsia="en-AU"/>
          </w:rPr>
          <w:tab/>
        </w:r>
        <w:r w:rsidR="003337A3" w:rsidRPr="000E2C84">
          <w:rPr>
            <w:rStyle w:val="Hyperlink"/>
            <w:noProof/>
          </w:rPr>
          <w:t>Does the Clean Energy Regulator have sufficient powers to encourage compliance with the National Greenhouse and Energy Reporting legislation?</w:t>
        </w:r>
      </w:hyperlink>
    </w:p>
    <w:p w14:paraId="6440FC6A"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67" w:history="1">
        <w:r w:rsidR="003337A3" w:rsidRPr="000E2C84">
          <w:rPr>
            <w:rStyle w:val="Hyperlink"/>
            <w:noProof/>
          </w:rPr>
          <w:t xml:space="preserve">Q. 33 </w:t>
        </w:r>
        <w:r w:rsidR="003337A3">
          <w:rPr>
            <w:rFonts w:asciiTheme="minorHAnsi" w:eastAsiaTheme="minorEastAsia" w:hAnsiTheme="minorHAnsi" w:cstheme="minorBidi"/>
            <w:noProof/>
            <w:lang w:eastAsia="en-AU"/>
          </w:rPr>
          <w:tab/>
        </w:r>
        <w:r w:rsidR="003337A3" w:rsidRPr="000E2C84">
          <w:rPr>
            <w:rStyle w:val="Hyperlink"/>
            <w:noProof/>
          </w:rPr>
          <w:t>What has been your experience of any compliance or enforcement activities by the Clean Energy Regulator?</w:t>
        </w:r>
      </w:hyperlink>
    </w:p>
    <w:p w14:paraId="2C205F5A"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68" w:history="1">
        <w:r w:rsidR="003337A3" w:rsidRPr="000E2C84">
          <w:rPr>
            <w:rStyle w:val="Hyperlink"/>
            <w:noProof/>
          </w:rPr>
          <w:t xml:space="preserve">Q. 34 </w:t>
        </w:r>
        <w:r w:rsidR="003337A3">
          <w:rPr>
            <w:rFonts w:asciiTheme="minorHAnsi" w:eastAsiaTheme="minorEastAsia" w:hAnsiTheme="minorHAnsi" w:cstheme="minorBidi"/>
            <w:noProof/>
            <w:lang w:eastAsia="en-AU"/>
          </w:rPr>
          <w:tab/>
        </w:r>
        <w:r w:rsidR="003337A3" w:rsidRPr="000E2C84">
          <w:rPr>
            <w:rStyle w:val="Hyperlink"/>
            <w:noProof/>
          </w:rPr>
          <w:t>Are there any opportunities for improvements in the Clean Energy Regulator’s decision making and review process?</w:t>
        </w:r>
      </w:hyperlink>
    </w:p>
    <w:p w14:paraId="70F6C84C" w14:textId="77777777" w:rsidR="003337A3" w:rsidRDefault="00363A9B" w:rsidP="00495697">
      <w:pPr>
        <w:pStyle w:val="TableofFigures"/>
        <w:tabs>
          <w:tab w:val="left" w:pos="880"/>
          <w:tab w:val="right" w:leader="dot" w:pos="9202"/>
        </w:tabs>
        <w:spacing w:after="100"/>
        <w:rPr>
          <w:rFonts w:asciiTheme="minorHAnsi" w:eastAsiaTheme="minorEastAsia" w:hAnsiTheme="minorHAnsi" w:cstheme="minorBidi"/>
          <w:noProof/>
          <w:lang w:eastAsia="en-AU"/>
        </w:rPr>
      </w:pPr>
      <w:hyperlink w:anchor="_Toc520736669" w:history="1">
        <w:r w:rsidR="003337A3" w:rsidRPr="000E2C84">
          <w:rPr>
            <w:rStyle w:val="Hyperlink"/>
            <w:noProof/>
          </w:rPr>
          <w:t xml:space="preserve">Q. 35 </w:t>
        </w:r>
        <w:r w:rsidR="003337A3">
          <w:rPr>
            <w:rFonts w:asciiTheme="minorHAnsi" w:eastAsiaTheme="minorEastAsia" w:hAnsiTheme="minorHAnsi" w:cstheme="minorBidi"/>
            <w:noProof/>
            <w:lang w:eastAsia="en-AU"/>
          </w:rPr>
          <w:tab/>
        </w:r>
        <w:r w:rsidR="003337A3" w:rsidRPr="000E2C84">
          <w:rPr>
            <w:rStyle w:val="Hyperlink"/>
            <w:noProof/>
          </w:rPr>
          <w:t>Are there any other matters relevant to this review you wish to raise?</w:t>
        </w:r>
      </w:hyperlink>
    </w:p>
    <w:p w14:paraId="0A723B72" w14:textId="15DF57C3" w:rsidR="005C62D5" w:rsidRDefault="005C62D5" w:rsidP="00495697">
      <w:pPr>
        <w:spacing w:after="100"/>
      </w:pPr>
      <w:r>
        <w:fldChar w:fldCharType="end"/>
      </w:r>
    </w:p>
    <w:p w14:paraId="636EDC01" w14:textId="53710164" w:rsidR="001C731F" w:rsidRDefault="00BC72D3" w:rsidP="003C5D16">
      <w:pPr>
        <w:pStyle w:val="Heading1NN"/>
      </w:pPr>
      <w:bookmarkStart w:id="1791" w:name="_Toc519166203"/>
      <w:bookmarkStart w:id="1792" w:name="_Toc519240570"/>
      <w:bookmarkStart w:id="1793" w:name="_Toc519240698"/>
      <w:bookmarkStart w:id="1794" w:name="_Toc520448602"/>
      <w:bookmarkStart w:id="1795" w:name="_Toc520455278"/>
      <w:bookmarkStart w:id="1796" w:name="_Toc520459077"/>
      <w:bookmarkStart w:id="1797" w:name="_Toc520459471"/>
      <w:bookmarkStart w:id="1798" w:name="_Toc520458599"/>
      <w:bookmarkStart w:id="1799" w:name="_Toc520459553"/>
      <w:bookmarkStart w:id="1800" w:name="_Toc520461469"/>
      <w:bookmarkStart w:id="1801" w:name="_Toc520461831"/>
      <w:bookmarkStart w:id="1802" w:name="_Toc520466859"/>
      <w:bookmarkStart w:id="1803" w:name="_Toc520469896"/>
      <w:bookmarkStart w:id="1804" w:name="_Toc520705354"/>
      <w:bookmarkStart w:id="1805" w:name="_Toc520707718"/>
      <w:bookmarkStart w:id="1806" w:name="_Toc520716734"/>
      <w:bookmarkStart w:id="1807" w:name="_Toc520720380"/>
      <w:bookmarkStart w:id="1808" w:name="_Toc520721631"/>
      <w:bookmarkStart w:id="1809" w:name="_Toc520724164"/>
      <w:bookmarkStart w:id="1810" w:name="_Toc520735269"/>
      <w:bookmarkStart w:id="1811" w:name="_Toc520736302"/>
      <w:bookmarkStart w:id="1812" w:name="_Toc520736721"/>
      <w:r>
        <w:lastRenderedPageBreak/>
        <w:t>Glossary</w:t>
      </w:r>
      <w:r w:rsidR="00AE4C3F">
        <w:t xml:space="preserve"> of terms</w:t>
      </w:r>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p>
    <w:tbl>
      <w:tblPr>
        <w:tblStyle w:val="TableGrid"/>
        <w:tblW w:w="0" w:type="auto"/>
        <w:tblBorders>
          <w:top w:val="none" w:sz="0" w:space="0" w:color="auto"/>
          <w:left w:val="none" w:sz="0" w:space="0" w:color="auto"/>
          <w:bottom w:val="dotted" w:sz="8" w:space="0" w:color="auto"/>
          <w:right w:val="none" w:sz="0" w:space="0" w:color="auto"/>
          <w:insideH w:val="dotted" w:sz="8" w:space="0" w:color="auto"/>
          <w:insideV w:val="none" w:sz="0" w:space="0" w:color="auto"/>
        </w:tblBorders>
        <w:tblLook w:val="04A0" w:firstRow="1" w:lastRow="0" w:firstColumn="1" w:lastColumn="0" w:noHBand="0" w:noVBand="1"/>
      </w:tblPr>
      <w:tblGrid>
        <w:gridCol w:w="2689"/>
        <w:gridCol w:w="6513"/>
      </w:tblGrid>
      <w:tr w:rsidR="00937F7F" w14:paraId="2C92FCC9" w14:textId="77777777" w:rsidTr="0078189B">
        <w:trPr>
          <w:cnfStyle w:val="100000000000" w:firstRow="1" w:lastRow="0" w:firstColumn="0" w:lastColumn="0" w:oddVBand="0" w:evenVBand="0" w:oddHBand="0" w:evenHBand="0" w:firstRowFirstColumn="0" w:firstRowLastColumn="0" w:lastRowFirstColumn="0" w:lastRowLastColumn="0"/>
        </w:trPr>
        <w:tc>
          <w:tcPr>
            <w:tcW w:w="2689" w:type="dxa"/>
            <w:shd w:val="clear" w:color="auto" w:fill="159DCE"/>
          </w:tcPr>
          <w:p w14:paraId="189E954F" w14:textId="77777777" w:rsidR="00937F7F" w:rsidRPr="0078189B" w:rsidRDefault="00937F7F" w:rsidP="0078189B">
            <w:pPr>
              <w:spacing w:before="40" w:after="40"/>
              <w:rPr>
                <w:b/>
                <w:color w:val="FFFFFF" w:themeColor="background1"/>
                <w:sz w:val="16"/>
                <w:szCs w:val="16"/>
              </w:rPr>
            </w:pPr>
            <w:r w:rsidRPr="0078189B">
              <w:rPr>
                <w:b/>
                <w:color w:val="FFFFFF" w:themeColor="background1"/>
                <w:sz w:val="16"/>
                <w:szCs w:val="16"/>
              </w:rPr>
              <w:t>Term</w:t>
            </w:r>
          </w:p>
        </w:tc>
        <w:tc>
          <w:tcPr>
            <w:tcW w:w="6513" w:type="dxa"/>
            <w:shd w:val="clear" w:color="auto" w:fill="159DCE"/>
          </w:tcPr>
          <w:p w14:paraId="16D2B5BE" w14:textId="77777777" w:rsidR="00937F7F" w:rsidRPr="0078189B" w:rsidRDefault="00937F7F" w:rsidP="0078189B">
            <w:pPr>
              <w:spacing w:before="40" w:after="40"/>
              <w:rPr>
                <w:b/>
                <w:color w:val="FFFFFF" w:themeColor="background1"/>
                <w:sz w:val="16"/>
                <w:szCs w:val="16"/>
              </w:rPr>
            </w:pPr>
            <w:r w:rsidRPr="0078189B">
              <w:rPr>
                <w:b/>
                <w:color w:val="FFFFFF" w:themeColor="background1"/>
                <w:sz w:val="16"/>
                <w:szCs w:val="16"/>
              </w:rPr>
              <w:t>Definition used</w:t>
            </w:r>
          </w:p>
        </w:tc>
      </w:tr>
      <w:tr w:rsidR="00937F7F" w14:paraId="5FE7C876"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1DF87ECB" w14:textId="77777777" w:rsidR="00937F7F" w:rsidRPr="0078189B" w:rsidRDefault="00937F7F" w:rsidP="0078189B">
            <w:pPr>
              <w:spacing w:before="40" w:after="40"/>
              <w:rPr>
                <w:b/>
                <w:sz w:val="16"/>
                <w:szCs w:val="16"/>
              </w:rPr>
            </w:pPr>
            <w:r w:rsidRPr="0078189B">
              <w:rPr>
                <w:b/>
                <w:sz w:val="16"/>
                <w:szCs w:val="16"/>
              </w:rPr>
              <w:t>audit framework</w:t>
            </w:r>
          </w:p>
        </w:tc>
        <w:tc>
          <w:tcPr>
            <w:tcW w:w="6513" w:type="dxa"/>
          </w:tcPr>
          <w:p w14:paraId="6124E811" w14:textId="336DD268" w:rsidR="00937F7F" w:rsidRPr="0078189B" w:rsidRDefault="006422CF" w:rsidP="0078189B">
            <w:pPr>
              <w:spacing w:before="40" w:after="40"/>
              <w:rPr>
                <w:sz w:val="16"/>
                <w:szCs w:val="16"/>
              </w:rPr>
            </w:pPr>
            <w:r w:rsidRPr="0078189B">
              <w:rPr>
                <w:sz w:val="16"/>
                <w:szCs w:val="16"/>
              </w:rPr>
              <w:t xml:space="preserve">The set of rules that govern how greenhouse and energy auditors </w:t>
            </w:r>
            <w:r w:rsidR="00E47630" w:rsidRPr="0078189B">
              <w:rPr>
                <w:sz w:val="16"/>
                <w:szCs w:val="16"/>
              </w:rPr>
              <w:t xml:space="preserve">and audits </w:t>
            </w:r>
            <w:r w:rsidRPr="0078189B">
              <w:rPr>
                <w:sz w:val="16"/>
                <w:szCs w:val="16"/>
              </w:rPr>
              <w:t>are managed, including</w:t>
            </w:r>
            <w:r w:rsidR="00937F7F" w:rsidRPr="0078189B">
              <w:rPr>
                <w:sz w:val="16"/>
                <w:szCs w:val="16"/>
              </w:rPr>
              <w:t xml:space="preserve"> </w:t>
            </w:r>
            <w:r w:rsidR="00047064" w:rsidRPr="0078189B">
              <w:rPr>
                <w:sz w:val="16"/>
                <w:szCs w:val="16"/>
              </w:rPr>
              <w:t xml:space="preserve">the </w:t>
            </w:r>
            <w:r w:rsidR="00937F7F" w:rsidRPr="0078189B">
              <w:rPr>
                <w:sz w:val="16"/>
                <w:szCs w:val="16"/>
              </w:rPr>
              <w:t>qualifications auditors are required to hold and maintain.</w:t>
            </w:r>
          </w:p>
        </w:tc>
      </w:tr>
      <w:tr w:rsidR="00937F7F" w14:paraId="5F2D5941"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5A025379" w14:textId="77777777" w:rsidR="00937F7F" w:rsidRPr="0078189B" w:rsidRDefault="00937F7F" w:rsidP="0078189B">
            <w:pPr>
              <w:spacing w:before="40" w:after="40"/>
              <w:rPr>
                <w:b/>
                <w:sz w:val="16"/>
                <w:szCs w:val="16"/>
              </w:rPr>
            </w:pPr>
            <w:r w:rsidRPr="0078189B">
              <w:rPr>
                <w:b/>
                <w:sz w:val="16"/>
                <w:szCs w:val="16"/>
              </w:rPr>
              <w:t>Australia’s Paris Agreement target</w:t>
            </w:r>
          </w:p>
        </w:tc>
        <w:tc>
          <w:tcPr>
            <w:tcW w:w="6513" w:type="dxa"/>
          </w:tcPr>
          <w:p w14:paraId="2649256C" w14:textId="172DAB3D" w:rsidR="00937F7F" w:rsidRPr="0078189B" w:rsidRDefault="00937F7F" w:rsidP="0078189B">
            <w:pPr>
              <w:spacing w:before="40" w:after="40"/>
              <w:rPr>
                <w:sz w:val="16"/>
                <w:szCs w:val="16"/>
              </w:rPr>
            </w:pPr>
            <w:r w:rsidRPr="0078189B">
              <w:rPr>
                <w:sz w:val="16"/>
                <w:szCs w:val="16"/>
              </w:rPr>
              <w:t xml:space="preserve">Australia’s emissions reduction target </w:t>
            </w:r>
            <w:r w:rsidR="0078598F" w:rsidRPr="0078189B">
              <w:rPr>
                <w:sz w:val="16"/>
                <w:szCs w:val="16"/>
              </w:rPr>
              <w:t>under</w:t>
            </w:r>
            <w:r w:rsidR="00E47630" w:rsidRPr="0078189B">
              <w:rPr>
                <w:sz w:val="16"/>
                <w:szCs w:val="16"/>
              </w:rPr>
              <w:t xml:space="preserve"> the Paris Agreement </w:t>
            </w:r>
            <w:r w:rsidR="00E34B34" w:rsidRPr="0078189B">
              <w:rPr>
                <w:sz w:val="16"/>
                <w:szCs w:val="16"/>
              </w:rPr>
              <w:t xml:space="preserve">is to reduce emissions by </w:t>
            </w:r>
            <w:r w:rsidRPr="0078189B">
              <w:rPr>
                <w:sz w:val="16"/>
                <w:szCs w:val="16"/>
              </w:rPr>
              <w:t xml:space="preserve">26 to 28 per cent </w:t>
            </w:r>
            <w:r w:rsidR="00E34B34" w:rsidRPr="0078189B">
              <w:rPr>
                <w:sz w:val="16"/>
                <w:szCs w:val="16"/>
              </w:rPr>
              <w:t>on</w:t>
            </w:r>
            <w:r w:rsidRPr="0078189B">
              <w:rPr>
                <w:sz w:val="16"/>
                <w:szCs w:val="16"/>
              </w:rPr>
              <w:t xml:space="preserve"> 2005 levels by 2030.</w:t>
            </w:r>
          </w:p>
        </w:tc>
      </w:tr>
      <w:tr w:rsidR="00937F7F" w14:paraId="16873D2A"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69C5F537" w14:textId="77777777" w:rsidR="00937F7F" w:rsidRPr="0078189B" w:rsidRDefault="00937F7F" w:rsidP="0078189B">
            <w:pPr>
              <w:spacing w:before="40" w:after="40"/>
              <w:rPr>
                <w:b/>
                <w:sz w:val="16"/>
                <w:szCs w:val="16"/>
              </w:rPr>
            </w:pPr>
            <w:r w:rsidRPr="0078189B">
              <w:rPr>
                <w:b/>
                <w:sz w:val="16"/>
                <w:szCs w:val="16"/>
              </w:rPr>
              <w:t>Australian Carbon Credit Unit (ACCU)</w:t>
            </w:r>
          </w:p>
        </w:tc>
        <w:tc>
          <w:tcPr>
            <w:tcW w:w="6513" w:type="dxa"/>
          </w:tcPr>
          <w:p w14:paraId="6A5D40AE" w14:textId="7E247E1E" w:rsidR="00937F7F" w:rsidRPr="0078189B" w:rsidRDefault="00937F7F" w:rsidP="0078189B">
            <w:pPr>
              <w:spacing w:before="40" w:after="40"/>
              <w:rPr>
                <w:sz w:val="16"/>
                <w:szCs w:val="16"/>
              </w:rPr>
            </w:pPr>
            <w:r w:rsidRPr="0078189B">
              <w:rPr>
                <w:sz w:val="16"/>
                <w:szCs w:val="16"/>
              </w:rPr>
              <w:t xml:space="preserve">A unit issued for </w:t>
            </w:r>
            <w:r w:rsidRPr="0078189B" w:rsidDel="00B97FC9">
              <w:rPr>
                <w:sz w:val="16"/>
                <w:szCs w:val="16"/>
              </w:rPr>
              <w:t xml:space="preserve">verified </w:t>
            </w:r>
            <w:r w:rsidRPr="0078189B">
              <w:rPr>
                <w:sz w:val="16"/>
                <w:szCs w:val="16"/>
              </w:rPr>
              <w:t>emissions reductions under the Emissions Reduction Fund. One ACCU is equivalent to a reduction of 1 tonne CO</w:t>
            </w:r>
            <w:r w:rsidRPr="0078189B">
              <w:rPr>
                <w:sz w:val="16"/>
                <w:szCs w:val="16"/>
                <w:vertAlign w:val="subscript"/>
              </w:rPr>
              <w:t>2</w:t>
            </w:r>
            <w:r w:rsidRPr="0078189B">
              <w:rPr>
                <w:sz w:val="16"/>
                <w:szCs w:val="16"/>
              </w:rPr>
              <w:t>-e.</w:t>
            </w:r>
          </w:p>
        </w:tc>
      </w:tr>
      <w:tr w:rsidR="00937F7F" w14:paraId="64D1A072"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5D422197" w14:textId="77777777" w:rsidR="00937F7F" w:rsidRPr="0078189B" w:rsidRDefault="00937F7F" w:rsidP="0078189B">
            <w:pPr>
              <w:spacing w:before="40" w:after="40"/>
              <w:rPr>
                <w:b/>
                <w:sz w:val="16"/>
                <w:szCs w:val="16"/>
              </w:rPr>
            </w:pPr>
            <w:r w:rsidRPr="0078189B">
              <w:rPr>
                <w:b/>
                <w:sz w:val="16"/>
                <w:szCs w:val="16"/>
              </w:rPr>
              <w:t>controlling corporation</w:t>
            </w:r>
          </w:p>
        </w:tc>
        <w:tc>
          <w:tcPr>
            <w:tcW w:w="6513" w:type="dxa"/>
          </w:tcPr>
          <w:p w14:paraId="4D0F7393" w14:textId="7BE6ECC5" w:rsidR="00937F7F" w:rsidRPr="0078189B" w:rsidRDefault="00E77AC5" w:rsidP="0078189B">
            <w:pPr>
              <w:spacing w:before="40" w:after="40"/>
              <w:rPr>
                <w:sz w:val="16"/>
                <w:szCs w:val="16"/>
              </w:rPr>
            </w:pPr>
            <w:r w:rsidRPr="0078189B">
              <w:rPr>
                <w:sz w:val="16"/>
                <w:szCs w:val="16"/>
              </w:rPr>
              <w:t xml:space="preserve">A corporation usually at the top of the corporate hierarchy that does not have a holding company incorporated in Australia. </w:t>
            </w:r>
            <w:r w:rsidR="0078598F" w:rsidRPr="0078189B">
              <w:rPr>
                <w:sz w:val="16"/>
                <w:szCs w:val="16"/>
              </w:rPr>
              <w:t>R</w:t>
            </w:r>
            <w:r w:rsidRPr="0078189B">
              <w:rPr>
                <w:sz w:val="16"/>
                <w:szCs w:val="16"/>
              </w:rPr>
              <w:t xml:space="preserve">eporting obligations </w:t>
            </w:r>
            <w:r w:rsidR="0078598F" w:rsidRPr="0078189B">
              <w:rPr>
                <w:sz w:val="16"/>
                <w:szCs w:val="16"/>
              </w:rPr>
              <w:t xml:space="preserve">under the National Greenhouse and Energy Reporting legislation </w:t>
            </w:r>
            <w:r w:rsidRPr="0078189B">
              <w:rPr>
                <w:sz w:val="16"/>
                <w:szCs w:val="16"/>
              </w:rPr>
              <w:t>apply to controlling corporations.</w:t>
            </w:r>
          </w:p>
        </w:tc>
      </w:tr>
      <w:tr w:rsidR="001F48F5" w14:paraId="6F681DDA"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6B06C474" w14:textId="77777777" w:rsidR="00974DF2" w:rsidRDefault="001F48F5" w:rsidP="0078189B">
            <w:pPr>
              <w:spacing w:before="40" w:after="40"/>
              <w:rPr>
                <w:b/>
                <w:sz w:val="16"/>
                <w:szCs w:val="16"/>
              </w:rPr>
            </w:pPr>
            <w:r w:rsidRPr="0078189B">
              <w:rPr>
                <w:b/>
                <w:sz w:val="16"/>
                <w:szCs w:val="16"/>
              </w:rPr>
              <w:t>covered emissions</w:t>
            </w:r>
            <w:r w:rsidR="00974DF2">
              <w:rPr>
                <w:b/>
                <w:sz w:val="16"/>
                <w:szCs w:val="16"/>
              </w:rPr>
              <w:t xml:space="preserve"> </w:t>
            </w:r>
          </w:p>
          <w:p w14:paraId="4139CDEA" w14:textId="7DAB9597" w:rsidR="001F48F5" w:rsidRPr="0078189B" w:rsidRDefault="00974DF2" w:rsidP="0078189B">
            <w:pPr>
              <w:spacing w:before="40" w:after="40"/>
              <w:rPr>
                <w:b/>
                <w:sz w:val="16"/>
                <w:szCs w:val="16"/>
              </w:rPr>
            </w:pPr>
            <w:r>
              <w:rPr>
                <w:b/>
                <w:sz w:val="16"/>
                <w:szCs w:val="16"/>
              </w:rPr>
              <w:t>(safeguard)</w:t>
            </w:r>
          </w:p>
        </w:tc>
        <w:tc>
          <w:tcPr>
            <w:tcW w:w="6513" w:type="dxa"/>
          </w:tcPr>
          <w:p w14:paraId="619D6CE9" w14:textId="39781176" w:rsidR="001F48F5" w:rsidRPr="0078189B" w:rsidRDefault="001F48F5" w:rsidP="0078189B">
            <w:pPr>
              <w:spacing w:before="40" w:after="40"/>
              <w:rPr>
                <w:sz w:val="16"/>
                <w:szCs w:val="16"/>
              </w:rPr>
            </w:pPr>
            <w:r w:rsidRPr="0078189B">
              <w:rPr>
                <w:sz w:val="16"/>
                <w:szCs w:val="16"/>
              </w:rPr>
              <w:t xml:space="preserve">Covered emissions </w:t>
            </w:r>
            <w:r w:rsidR="0023723F" w:rsidRPr="0078189B">
              <w:rPr>
                <w:sz w:val="16"/>
                <w:szCs w:val="16"/>
              </w:rPr>
              <w:t xml:space="preserve">for the purpose of meeting the safeguard threshold </w:t>
            </w:r>
            <w:r w:rsidRPr="0078189B">
              <w:rPr>
                <w:sz w:val="16"/>
                <w:szCs w:val="16"/>
              </w:rPr>
              <w:t>are scope 1 emissions</w:t>
            </w:r>
            <w:r w:rsidR="00942D84" w:rsidRPr="0078189B">
              <w:rPr>
                <w:sz w:val="16"/>
                <w:szCs w:val="16"/>
              </w:rPr>
              <w:t xml:space="preserve"> </w:t>
            </w:r>
            <w:r w:rsidR="0023723F" w:rsidRPr="0078189B">
              <w:rPr>
                <w:sz w:val="16"/>
                <w:szCs w:val="16"/>
              </w:rPr>
              <w:t>(</w:t>
            </w:r>
            <w:r w:rsidR="00942D84" w:rsidRPr="0078189B">
              <w:rPr>
                <w:sz w:val="16"/>
                <w:szCs w:val="16"/>
              </w:rPr>
              <w:t>excluding emissions from</w:t>
            </w:r>
            <w:r w:rsidR="00DA7A1B" w:rsidRPr="0078189B">
              <w:rPr>
                <w:sz w:val="16"/>
                <w:szCs w:val="16"/>
              </w:rPr>
              <w:t>:</w:t>
            </w:r>
            <w:r w:rsidR="00942D84" w:rsidRPr="0078189B">
              <w:rPr>
                <w:sz w:val="16"/>
                <w:szCs w:val="16"/>
              </w:rPr>
              <w:t xml:space="preserve"> landfill waste deposited before 1 July 2016</w:t>
            </w:r>
            <w:r w:rsidR="00DA7A1B" w:rsidRPr="0078189B">
              <w:rPr>
                <w:sz w:val="16"/>
                <w:szCs w:val="16"/>
              </w:rPr>
              <w:t xml:space="preserve">, electricity generators </w:t>
            </w:r>
            <w:r w:rsidR="00A145DB" w:rsidRPr="0078189B">
              <w:rPr>
                <w:sz w:val="16"/>
                <w:szCs w:val="16"/>
              </w:rPr>
              <w:t>covered by the electricity sectoral baseline</w:t>
            </w:r>
            <w:r w:rsidR="00DA7A1B" w:rsidRPr="0078189B">
              <w:rPr>
                <w:sz w:val="16"/>
                <w:szCs w:val="16"/>
              </w:rPr>
              <w:t>; and the Greater Sunrise or Joint Petroleum Development Area</w:t>
            </w:r>
            <w:r w:rsidR="0023723F" w:rsidRPr="0078189B">
              <w:rPr>
                <w:sz w:val="16"/>
                <w:szCs w:val="16"/>
              </w:rPr>
              <w:t>)</w:t>
            </w:r>
            <w:r w:rsidRPr="0078189B">
              <w:rPr>
                <w:sz w:val="16"/>
                <w:szCs w:val="16"/>
              </w:rPr>
              <w:t>.</w:t>
            </w:r>
          </w:p>
        </w:tc>
      </w:tr>
      <w:tr w:rsidR="00937F7F" w14:paraId="55CF5FB9"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590531A5" w14:textId="77777777" w:rsidR="00937F7F" w:rsidRPr="0078189B" w:rsidRDefault="00937F7F" w:rsidP="0078189B">
            <w:pPr>
              <w:spacing w:before="40" w:after="40"/>
              <w:rPr>
                <w:b/>
                <w:sz w:val="16"/>
                <w:szCs w:val="16"/>
              </w:rPr>
            </w:pPr>
            <w:r w:rsidRPr="0078189B">
              <w:rPr>
                <w:b/>
                <w:sz w:val="16"/>
                <w:szCs w:val="16"/>
              </w:rPr>
              <w:t>corporate group</w:t>
            </w:r>
          </w:p>
        </w:tc>
        <w:tc>
          <w:tcPr>
            <w:tcW w:w="6513" w:type="dxa"/>
          </w:tcPr>
          <w:p w14:paraId="374E66ED" w14:textId="008859F4" w:rsidR="00937F7F" w:rsidRPr="0078189B" w:rsidRDefault="00E77AC5" w:rsidP="0078189B">
            <w:pPr>
              <w:spacing w:before="40" w:after="40"/>
              <w:rPr>
                <w:sz w:val="16"/>
                <w:szCs w:val="16"/>
              </w:rPr>
            </w:pPr>
            <w:r w:rsidRPr="0078189B">
              <w:rPr>
                <w:sz w:val="16"/>
                <w:szCs w:val="16"/>
              </w:rPr>
              <w:t>A corporate group is a group of</w:t>
            </w:r>
            <w:r w:rsidR="00CB33E1" w:rsidRPr="0078189B">
              <w:rPr>
                <w:sz w:val="16"/>
                <w:szCs w:val="16"/>
              </w:rPr>
              <w:t xml:space="preserve"> companies</w:t>
            </w:r>
            <w:r w:rsidRPr="0078189B">
              <w:rPr>
                <w:sz w:val="16"/>
                <w:szCs w:val="16"/>
              </w:rPr>
              <w:t xml:space="preserve"> </w:t>
            </w:r>
            <w:r w:rsidR="00873B80" w:rsidRPr="0078189B">
              <w:rPr>
                <w:sz w:val="16"/>
                <w:szCs w:val="16"/>
              </w:rPr>
              <w:t>owned or operated</w:t>
            </w:r>
            <w:r w:rsidRPr="0078189B">
              <w:rPr>
                <w:sz w:val="16"/>
                <w:szCs w:val="16"/>
              </w:rPr>
              <w:t xml:space="preserve"> by a single controlling corporation. It may consist of a controlling corporation only or it may include several associated </w:t>
            </w:r>
            <w:r w:rsidR="00F81826" w:rsidRPr="0078189B">
              <w:rPr>
                <w:sz w:val="16"/>
                <w:szCs w:val="16"/>
              </w:rPr>
              <w:t xml:space="preserve">subsidiary </w:t>
            </w:r>
            <w:r w:rsidRPr="0078189B">
              <w:rPr>
                <w:sz w:val="16"/>
                <w:szCs w:val="16"/>
              </w:rPr>
              <w:t xml:space="preserve">companies with </w:t>
            </w:r>
            <w:r w:rsidR="00246C77" w:rsidRPr="0078189B">
              <w:rPr>
                <w:sz w:val="16"/>
                <w:szCs w:val="16"/>
              </w:rPr>
              <w:t>National Greenhouse and Energy Reporting</w:t>
            </w:r>
            <w:r w:rsidRPr="0078189B">
              <w:rPr>
                <w:sz w:val="16"/>
                <w:szCs w:val="16"/>
              </w:rPr>
              <w:t xml:space="preserve"> obligations.</w:t>
            </w:r>
          </w:p>
        </w:tc>
      </w:tr>
      <w:tr w:rsidR="00937F7F" w14:paraId="2CC6C63D"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0F981CF1" w14:textId="77777777" w:rsidR="00937F7F" w:rsidRPr="0078189B" w:rsidRDefault="00937F7F" w:rsidP="0078189B">
            <w:pPr>
              <w:spacing w:before="40" w:after="40"/>
              <w:rPr>
                <w:b/>
                <w:sz w:val="16"/>
                <w:szCs w:val="16"/>
              </w:rPr>
            </w:pPr>
            <w:r w:rsidRPr="0078189B">
              <w:rPr>
                <w:b/>
                <w:sz w:val="16"/>
                <w:szCs w:val="16"/>
              </w:rPr>
              <w:t>Energy Security Board</w:t>
            </w:r>
          </w:p>
        </w:tc>
        <w:tc>
          <w:tcPr>
            <w:tcW w:w="6513" w:type="dxa"/>
          </w:tcPr>
          <w:p w14:paraId="599B1022" w14:textId="2DE26EAC" w:rsidR="00937F7F" w:rsidRPr="0078189B" w:rsidRDefault="00937F7F" w:rsidP="0078189B">
            <w:pPr>
              <w:spacing w:before="40" w:after="40"/>
              <w:rPr>
                <w:sz w:val="16"/>
                <w:szCs w:val="16"/>
              </w:rPr>
            </w:pPr>
            <w:r w:rsidRPr="0078189B">
              <w:rPr>
                <w:sz w:val="16"/>
                <w:szCs w:val="16"/>
              </w:rPr>
              <w:t xml:space="preserve">A board established </w:t>
            </w:r>
            <w:r w:rsidR="00873B80" w:rsidRPr="0078189B">
              <w:rPr>
                <w:sz w:val="16"/>
                <w:szCs w:val="16"/>
              </w:rPr>
              <w:t>to coordinate implementation of reforms to the National Electricity Market and provide whole of system oversight for energy security and reliability</w:t>
            </w:r>
            <w:r w:rsidR="00134C40" w:rsidRPr="0078189B">
              <w:rPr>
                <w:sz w:val="16"/>
                <w:szCs w:val="16"/>
              </w:rPr>
              <w:t>, including design of the National Energy Guarantee</w:t>
            </w:r>
            <w:r w:rsidR="00873B80" w:rsidRPr="0078189B">
              <w:rPr>
                <w:sz w:val="16"/>
                <w:szCs w:val="16"/>
              </w:rPr>
              <w:t xml:space="preserve">. </w:t>
            </w:r>
            <w:r w:rsidRPr="0078189B">
              <w:rPr>
                <w:sz w:val="16"/>
                <w:szCs w:val="16"/>
              </w:rPr>
              <w:t xml:space="preserve">The </w:t>
            </w:r>
            <w:r w:rsidR="00873B80" w:rsidRPr="0078189B">
              <w:rPr>
                <w:sz w:val="16"/>
                <w:szCs w:val="16"/>
              </w:rPr>
              <w:t>B</w:t>
            </w:r>
            <w:r w:rsidRPr="0078189B">
              <w:rPr>
                <w:sz w:val="16"/>
                <w:szCs w:val="16"/>
              </w:rPr>
              <w:t>oard reports to the Council of Australian Governments Energy Council.</w:t>
            </w:r>
          </w:p>
        </w:tc>
      </w:tr>
      <w:tr w:rsidR="00937F7F" w14:paraId="0A413983"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60AFDC7D" w14:textId="77777777" w:rsidR="00937F7F" w:rsidRPr="0078189B" w:rsidRDefault="00937F7F" w:rsidP="0078189B">
            <w:pPr>
              <w:spacing w:before="40" w:after="40"/>
              <w:rPr>
                <w:b/>
                <w:sz w:val="16"/>
                <w:szCs w:val="16"/>
              </w:rPr>
            </w:pPr>
            <w:r w:rsidRPr="0078189B">
              <w:rPr>
                <w:b/>
                <w:sz w:val="16"/>
                <w:szCs w:val="16"/>
              </w:rPr>
              <w:t>facility</w:t>
            </w:r>
          </w:p>
        </w:tc>
        <w:tc>
          <w:tcPr>
            <w:tcW w:w="6513" w:type="dxa"/>
          </w:tcPr>
          <w:p w14:paraId="55AA8871" w14:textId="77777777" w:rsidR="00937F7F" w:rsidRPr="0078189B" w:rsidRDefault="00937F7F" w:rsidP="0078189B">
            <w:pPr>
              <w:spacing w:before="40" w:after="40"/>
              <w:rPr>
                <w:sz w:val="16"/>
                <w:szCs w:val="16"/>
              </w:rPr>
            </w:pPr>
            <w:r w:rsidRPr="0078189B">
              <w:rPr>
                <w:sz w:val="16"/>
                <w:szCs w:val="16"/>
              </w:rPr>
              <w:t>A single enterprise comprised of an activity or series of activities that produce emissions or involve the production or consumption of energy.</w:t>
            </w:r>
          </w:p>
        </w:tc>
      </w:tr>
      <w:tr w:rsidR="00513665" w14:paraId="05164019"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760360F0" w14:textId="472A143A" w:rsidR="00513665" w:rsidRPr="0078189B" w:rsidRDefault="00217313" w:rsidP="0078189B">
            <w:pPr>
              <w:spacing w:before="40" w:after="40"/>
              <w:rPr>
                <w:b/>
                <w:sz w:val="16"/>
                <w:szCs w:val="16"/>
              </w:rPr>
            </w:pPr>
            <w:r>
              <w:rPr>
                <w:b/>
                <w:sz w:val="16"/>
                <w:szCs w:val="16"/>
              </w:rPr>
              <w:t>g</w:t>
            </w:r>
            <w:r w:rsidR="00513665" w:rsidRPr="0078189B">
              <w:rPr>
                <w:b/>
                <w:sz w:val="16"/>
                <w:szCs w:val="16"/>
              </w:rPr>
              <w:t>lobal warming potential</w:t>
            </w:r>
          </w:p>
        </w:tc>
        <w:tc>
          <w:tcPr>
            <w:tcW w:w="6513" w:type="dxa"/>
          </w:tcPr>
          <w:p w14:paraId="7AAACA0D" w14:textId="49975152" w:rsidR="00513665" w:rsidRPr="0078189B" w:rsidRDefault="00513665" w:rsidP="0078189B">
            <w:pPr>
              <w:spacing w:before="40" w:after="40"/>
              <w:rPr>
                <w:sz w:val="16"/>
                <w:szCs w:val="16"/>
              </w:rPr>
            </w:pPr>
            <w:r w:rsidRPr="0078189B">
              <w:rPr>
                <w:sz w:val="16"/>
                <w:szCs w:val="16"/>
              </w:rPr>
              <w:t>Global warming potentials are used to convert masses of different greenhouse gases into a single carbon dioxide</w:t>
            </w:r>
            <w:r w:rsidR="00D416FA">
              <w:rPr>
                <w:sz w:val="16"/>
                <w:szCs w:val="16"/>
              </w:rPr>
              <w:t xml:space="preserve"> </w:t>
            </w:r>
            <w:r w:rsidRPr="0078189B">
              <w:rPr>
                <w:sz w:val="16"/>
                <w:szCs w:val="16"/>
              </w:rPr>
              <w:t>equivalent metric that would produce the same warming effect as carbon dioxide over a 100 year period.</w:t>
            </w:r>
          </w:p>
        </w:tc>
      </w:tr>
      <w:tr w:rsidR="00937F7F" w14:paraId="6ED9575F"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0347FDA2" w14:textId="77777777" w:rsidR="00937F7F" w:rsidRPr="0078189B" w:rsidRDefault="00937F7F" w:rsidP="0078189B">
            <w:pPr>
              <w:spacing w:before="40" w:after="40"/>
              <w:rPr>
                <w:b/>
                <w:sz w:val="16"/>
                <w:szCs w:val="16"/>
              </w:rPr>
            </w:pPr>
            <w:r w:rsidRPr="0078189B">
              <w:rPr>
                <w:b/>
                <w:sz w:val="16"/>
                <w:szCs w:val="16"/>
              </w:rPr>
              <w:t>group member</w:t>
            </w:r>
          </w:p>
        </w:tc>
        <w:tc>
          <w:tcPr>
            <w:tcW w:w="6513" w:type="dxa"/>
          </w:tcPr>
          <w:p w14:paraId="7BD9D550" w14:textId="61BD7043" w:rsidR="00937F7F" w:rsidRPr="0078189B" w:rsidRDefault="00937F7F" w:rsidP="0078189B">
            <w:pPr>
              <w:spacing w:before="40" w:after="40"/>
              <w:rPr>
                <w:sz w:val="16"/>
                <w:szCs w:val="16"/>
              </w:rPr>
            </w:pPr>
            <w:r w:rsidRPr="0078189B">
              <w:rPr>
                <w:sz w:val="16"/>
                <w:szCs w:val="16"/>
              </w:rPr>
              <w:t>A</w:t>
            </w:r>
            <w:r w:rsidR="00453695" w:rsidRPr="0078189B">
              <w:rPr>
                <w:sz w:val="16"/>
                <w:szCs w:val="16"/>
              </w:rPr>
              <w:t xml:space="preserve"> subsidiary of a controlling corporation that </w:t>
            </w:r>
            <w:r w:rsidR="00535890" w:rsidRPr="0078189B">
              <w:rPr>
                <w:sz w:val="16"/>
                <w:szCs w:val="16"/>
              </w:rPr>
              <w:t>may have</w:t>
            </w:r>
            <w:r w:rsidR="005112D5" w:rsidRPr="0078189B">
              <w:rPr>
                <w:sz w:val="16"/>
                <w:szCs w:val="16"/>
              </w:rPr>
              <w:t xml:space="preserve"> operational control over a</w:t>
            </w:r>
            <w:r w:rsidR="00BB4247" w:rsidRPr="0078189B">
              <w:rPr>
                <w:sz w:val="16"/>
                <w:szCs w:val="16"/>
              </w:rPr>
              <w:softHyphen/>
            </w:r>
            <w:r w:rsidR="00BB4247" w:rsidRPr="0078189B">
              <w:rPr>
                <w:sz w:val="16"/>
                <w:szCs w:val="16"/>
              </w:rPr>
              <w:softHyphen/>
            </w:r>
            <w:r w:rsidR="00453695" w:rsidRPr="0078189B">
              <w:rPr>
                <w:sz w:val="16"/>
                <w:szCs w:val="16"/>
              </w:rPr>
              <w:t xml:space="preserve"> </w:t>
            </w:r>
            <w:r w:rsidR="00873B80" w:rsidRPr="0078189B">
              <w:rPr>
                <w:sz w:val="16"/>
                <w:szCs w:val="16"/>
              </w:rPr>
              <w:t>National Greenhouse and Energy Reporting</w:t>
            </w:r>
            <w:r w:rsidR="00453695" w:rsidRPr="0078189B">
              <w:rPr>
                <w:sz w:val="16"/>
                <w:szCs w:val="16"/>
              </w:rPr>
              <w:t xml:space="preserve"> facility. </w:t>
            </w:r>
          </w:p>
        </w:tc>
      </w:tr>
      <w:tr w:rsidR="00937F7F" w14:paraId="43243C94"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22F9CB47" w14:textId="5C6C4E3E" w:rsidR="00937F7F" w:rsidRPr="0078189B" w:rsidRDefault="00C81554" w:rsidP="0078189B">
            <w:pPr>
              <w:spacing w:before="40" w:after="40"/>
              <w:rPr>
                <w:b/>
                <w:sz w:val="16"/>
                <w:szCs w:val="16"/>
              </w:rPr>
            </w:pPr>
            <w:r w:rsidRPr="0078189B">
              <w:rPr>
                <w:b/>
                <w:sz w:val="16"/>
                <w:szCs w:val="16"/>
              </w:rPr>
              <w:t xml:space="preserve">hydrofluorocarbons </w:t>
            </w:r>
            <w:r w:rsidR="00937F7F" w:rsidRPr="0078189B">
              <w:rPr>
                <w:b/>
                <w:sz w:val="16"/>
                <w:szCs w:val="16"/>
              </w:rPr>
              <w:t>(HFCs)</w:t>
            </w:r>
          </w:p>
        </w:tc>
        <w:tc>
          <w:tcPr>
            <w:tcW w:w="6513" w:type="dxa"/>
          </w:tcPr>
          <w:p w14:paraId="63F82EB2" w14:textId="77777777" w:rsidR="00937F7F" w:rsidRPr="0078189B" w:rsidRDefault="00937F7F" w:rsidP="0078189B">
            <w:pPr>
              <w:spacing w:before="40" w:after="40"/>
              <w:rPr>
                <w:sz w:val="16"/>
                <w:szCs w:val="16"/>
              </w:rPr>
            </w:pPr>
            <w:r w:rsidRPr="0078189B">
              <w:rPr>
                <w:sz w:val="16"/>
                <w:szCs w:val="16"/>
              </w:rPr>
              <w:t xml:space="preserve">Synthetic greenhouse gases with very high global warming potentials. </w:t>
            </w:r>
          </w:p>
        </w:tc>
      </w:tr>
      <w:tr w:rsidR="00937F7F" w14:paraId="62C68252"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6034D267" w14:textId="77777777" w:rsidR="00937F7F" w:rsidRPr="0078189B" w:rsidRDefault="00937F7F" w:rsidP="0078189B">
            <w:pPr>
              <w:spacing w:before="40" w:after="40"/>
              <w:rPr>
                <w:b/>
                <w:sz w:val="16"/>
                <w:szCs w:val="16"/>
              </w:rPr>
            </w:pPr>
            <w:r w:rsidRPr="0078189B">
              <w:rPr>
                <w:b/>
                <w:sz w:val="16"/>
                <w:szCs w:val="16"/>
              </w:rPr>
              <w:t>measurement determination</w:t>
            </w:r>
          </w:p>
        </w:tc>
        <w:tc>
          <w:tcPr>
            <w:tcW w:w="6513" w:type="dxa"/>
          </w:tcPr>
          <w:p w14:paraId="6578B50C" w14:textId="2B7D056C" w:rsidR="00937F7F" w:rsidRPr="0078189B" w:rsidRDefault="00937F7F" w:rsidP="0078189B">
            <w:pPr>
              <w:tabs>
                <w:tab w:val="left" w:pos="975"/>
              </w:tabs>
              <w:spacing w:before="40" w:after="40"/>
              <w:rPr>
                <w:sz w:val="16"/>
                <w:szCs w:val="16"/>
              </w:rPr>
            </w:pPr>
            <w:r w:rsidRPr="0078189B">
              <w:rPr>
                <w:sz w:val="16"/>
                <w:szCs w:val="16"/>
              </w:rPr>
              <w:t xml:space="preserve">The set of methods and criteria for calculating greenhouse gas emissions and energy data under the </w:t>
            </w:r>
            <w:r w:rsidRPr="00C5358A">
              <w:rPr>
                <w:i/>
                <w:sz w:val="16"/>
                <w:szCs w:val="16"/>
              </w:rPr>
              <w:t xml:space="preserve">National Greenhouse and Energy Reporting </w:t>
            </w:r>
            <w:r w:rsidR="00F75477" w:rsidRPr="00C5358A">
              <w:rPr>
                <w:i/>
                <w:sz w:val="16"/>
                <w:szCs w:val="16"/>
              </w:rPr>
              <w:t>(Measurement) Determination 2008</w:t>
            </w:r>
            <w:r w:rsidR="00974DF2">
              <w:rPr>
                <w:sz w:val="16"/>
                <w:szCs w:val="16"/>
              </w:rPr>
              <w:t xml:space="preserve"> (Cth)</w:t>
            </w:r>
            <w:r w:rsidRPr="0078189B">
              <w:rPr>
                <w:sz w:val="16"/>
                <w:szCs w:val="16"/>
              </w:rPr>
              <w:t>.</w:t>
            </w:r>
          </w:p>
        </w:tc>
      </w:tr>
      <w:tr w:rsidR="0079636C" w14:paraId="3226C362"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2E88A995" w14:textId="6AA3B774" w:rsidR="0079636C" w:rsidRPr="0078189B" w:rsidRDefault="0079636C" w:rsidP="0078189B">
            <w:pPr>
              <w:spacing w:before="40" w:after="40"/>
              <w:rPr>
                <w:b/>
                <w:sz w:val="16"/>
                <w:szCs w:val="16"/>
              </w:rPr>
            </w:pPr>
            <w:r w:rsidRPr="0078189B">
              <w:rPr>
                <w:b/>
                <w:sz w:val="16"/>
                <w:szCs w:val="16"/>
              </w:rPr>
              <w:t>Mt CO</w:t>
            </w:r>
            <w:r w:rsidRPr="0078189B">
              <w:rPr>
                <w:b/>
                <w:sz w:val="16"/>
                <w:szCs w:val="16"/>
                <w:vertAlign w:val="subscript"/>
              </w:rPr>
              <w:t>2</w:t>
            </w:r>
            <w:r w:rsidRPr="0078189B">
              <w:rPr>
                <w:b/>
                <w:sz w:val="16"/>
                <w:szCs w:val="16"/>
              </w:rPr>
              <w:t>-e</w:t>
            </w:r>
          </w:p>
        </w:tc>
        <w:tc>
          <w:tcPr>
            <w:tcW w:w="6513" w:type="dxa"/>
          </w:tcPr>
          <w:p w14:paraId="4BDE81CF" w14:textId="042696F3" w:rsidR="0079636C" w:rsidRPr="0078189B" w:rsidRDefault="0079636C" w:rsidP="0078189B">
            <w:pPr>
              <w:tabs>
                <w:tab w:val="left" w:pos="975"/>
              </w:tabs>
              <w:spacing w:before="40" w:after="40"/>
              <w:rPr>
                <w:sz w:val="16"/>
                <w:szCs w:val="16"/>
              </w:rPr>
            </w:pPr>
            <w:r w:rsidRPr="0078189B">
              <w:rPr>
                <w:sz w:val="16"/>
                <w:szCs w:val="16"/>
              </w:rPr>
              <w:t>M</w:t>
            </w:r>
            <w:r w:rsidR="00017796" w:rsidRPr="0078189B">
              <w:rPr>
                <w:sz w:val="16"/>
                <w:szCs w:val="16"/>
              </w:rPr>
              <w:t>illion</w:t>
            </w:r>
            <w:r w:rsidRPr="0078189B">
              <w:rPr>
                <w:sz w:val="16"/>
                <w:szCs w:val="16"/>
              </w:rPr>
              <w:t xml:space="preserve"> tonnes of carbon dioxide equivalent. A measure used to compare emissions from greenhouse gases based on their global warming potential.</w:t>
            </w:r>
          </w:p>
        </w:tc>
      </w:tr>
      <w:tr w:rsidR="00937F7F" w14:paraId="619F8112"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74827261" w14:textId="77777777" w:rsidR="00937F7F" w:rsidRPr="0078189B" w:rsidRDefault="00937F7F" w:rsidP="0078189B">
            <w:pPr>
              <w:spacing w:before="40" w:after="40"/>
              <w:rPr>
                <w:b/>
                <w:sz w:val="16"/>
                <w:szCs w:val="16"/>
              </w:rPr>
            </w:pPr>
            <w:r w:rsidRPr="0078189B">
              <w:rPr>
                <w:b/>
                <w:sz w:val="16"/>
                <w:szCs w:val="16"/>
              </w:rPr>
              <w:lastRenderedPageBreak/>
              <w:t>National Greenhouse Gas Inventory</w:t>
            </w:r>
          </w:p>
        </w:tc>
        <w:tc>
          <w:tcPr>
            <w:tcW w:w="6513" w:type="dxa"/>
          </w:tcPr>
          <w:p w14:paraId="4B6AF756" w14:textId="77777777" w:rsidR="00937F7F" w:rsidRPr="0078189B" w:rsidRDefault="00937F7F" w:rsidP="0078189B">
            <w:pPr>
              <w:spacing w:before="40" w:after="40"/>
              <w:rPr>
                <w:sz w:val="16"/>
                <w:szCs w:val="16"/>
              </w:rPr>
            </w:pPr>
            <w:r w:rsidRPr="0078189B">
              <w:rPr>
                <w:sz w:val="16"/>
                <w:szCs w:val="16"/>
              </w:rPr>
              <w:t>An annual report presented to the United Nations Framework Convention on Climate Change that contains Australia’s greenhouse gas emissions data.</w:t>
            </w:r>
          </w:p>
        </w:tc>
      </w:tr>
      <w:tr w:rsidR="005837B9" w14:paraId="0F890049"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3821AE58" w14:textId="73C6A061" w:rsidR="005837B9" w:rsidRPr="0078189B" w:rsidRDefault="00981882" w:rsidP="0078189B">
            <w:pPr>
              <w:spacing w:before="40" w:after="40"/>
              <w:rPr>
                <w:b/>
                <w:sz w:val="16"/>
                <w:szCs w:val="16"/>
              </w:rPr>
            </w:pPr>
            <w:r w:rsidRPr="0078189B">
              <w:rPr>
                <w:b/>
                <w:sz w:val="16"/>
                <w:szCs w:val="16"/>
              </w:rPr>
              <w:t>n</w:t>
            </w:r>
            <w:r w:rsidR="005837B9" w:rsidRPr="0078189B">
              <w:rPr>
                <w:b/>
                <w:sz w:val="16"/>
                <w:szCs w:val="16"/>
              </w:rPr>
              <w:t>et emissions</w:t>
            </w:r>
            <w:r w:rsidR="00974DF2">
              <w:rPr>
                <w:b/>
                <w:sz w:val="16"/>
                <w:szCs w:val="16"/>
              </w:rPr>
              <w:t xml:space="preserve"> (safeguard)</w:t>
            </w:r>
          </w:p>
        </w:tc>
        <w:tc>
          <w:tcPr>
            <w:tcW w:w="6513" w:type="dxa"/>
          </w:tcPr>
          <w:p w14:paraId="7F2A298D" w14:textId="7AAC005B" w:rsidR="005837B9" w:rsidRPr="0078189B" w:rsidRDefault="005837B9" w:rsidP="0078189B">
            <w:pPr>
              <w:spacing w:before="40" w:after="40"/>
              <w:rPr>
                <w:sz w:val="16"/>
                <w:szCs w:val="16"/>
              </w:rPr>
            </w:pPr>
            <w:r w:rsidRPr="0078189B">
              <w:rPr>
                <w:sz w:val="16"/>
                <w:szCs w:val="16"/>
              </w:rPr>
              <w:t xml:space="preserve">Reported </w:t>
            </w:r>
            <w:r w:rsidR="00246C77" w:rsidRPr="0078189B">
              <w:rPr>
                <w:sz w:val="16"/>
                <w:szCs w:val="16"/>
              </w:rPr>
              <w:t xml:space="preserve">covered </w:t>
            </w:r>
            <w:r w:rsidRPr="0078189B">
              <w:rPr>
                <w:sz w:val="16"/>
                <w:szCs w:val="16"/>
              </w:rPr>
              <w:t xml:space="preserve">emissions minus </w:t>
            </w:r>
            <w:r w:rsidR="00246C77" w:rsidRPr="0078189B">
              <w:rPr>
                <w:sz w:val="16"/>
                <w:szCs w:val="16"/>
              </w:rPr>
              <w:t xml:space="preserve">eligible </w:t>
            </w:r>
            <w:r w:rsidRPr="0078189B">
              <w:rPr>
                <w:sz w:val="16"/>
                <w:szCs w:val="16"/>
              </w:rPr>
              <w:t>offsets</w:t>
            </w:r>
            <w:r w:rsidR="00246C77" w:rsidRPr="0078189B">
              <w:rPr>
                <w:sz w:val="16"/>
                <w:szCs w:val="16"/>
              </w:rPr>
              <w:t xml:space="preserve"> surrendered</w:t>
            </w:r>
            <w:r w:rsidR="00E77AC5" w:rsidRPr="0078189B">
              <w:rPr>
                <w:sz w:val="16"/>
                <w:szCs w:val="16"/>
              </w:rPr>
              <w:t xml:space="preserve"> under the safeguard.</w:t>
            </w:r>
          </w:p>
        </w:tc>
      </w:tr>
      <w:tr w:rsidR="00937F7F" w14:paraId="1699E4D6"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1D5ABF20" w14:textId="77777777" w:rsidR="00937F7F" w:rsidRPr="0078189B" w:rsidRDefault="00937F7F" w:rsidP="0078189B">
            <w:pPr>
              <w:spacing w:before="40" w:after="40"/>
              <w:rPr>
                <w:b/>
                <w:sz w:val="16"/>
                <w:szCs w:val="16"/>
                <w:highlight w:val="yellow"/>
              </w:rPr>
            </w:pPr>
            <w:r w:rsidRPr="0078189B">
              <w:rPr>
                <w:b/>
                <w:sz w:val="16"/>
                <w:szCs w:val="16"/>
              </w:rPr>
              <w:t>operational control</w:t>
            </w:r>
          </w:p>
        </w:tc>
        <w:tc>
          <w:tcPr>
            <w:tcW w:w="6513" w:type="dxa"/>
          </w:tcPr>
          <w:p w14:paraId="3D62E938" w14:textId="5B118675" w:rsidR="00937F7F" w:rsidRPr="0078189B" w:rsidRDefault="00937F7F" w:rsidP="0078189B">
            <w:pPr>
              <w:spacing w:before="40" w:after="40"/>
              <w:rPr>
                <w:sz w:val="16"/>
                <w:szCs w:val="16"/>
              </w:rPr>
            </w:pPr>
            <w:r w:rsidRPr="0078189B">
              <w:rPr>
                <w:sz w:val="16"/>
                <w:szCs w:val="16"/>
              </w:rPr>
              <w:t xml:space="preserve">A </w:t>
            </w:r>
            <w:r w:rsidR="00821E3D" w:rsidRPr="0078189B">
              <w:rPr>
                <w:sz w:val="16"/>
                <w:szCs w:val="16"/>
              </w:rPr>
              <w:t>company</w:t>
            </w:r>
            <w:r w:rsidRPr="0078189B">
              <w:rPr>
                <w:sz w:val="16"/>
                <w:szCs w:val="16"/>
              </w:rPr>
              <w:t xml:space="preserve"> has operational control o</w:t>
            </w:r>
            <w:r w:rsidR="00FD12BA" w:rsidRPr="0078189B">
              <w:rPr>
                <w:sz w:val="16"/>
                <w:szCs w:val="16"/>
              </w:rPr>
              <w:t>ver</w:t>
            </w:r>
            <w:r w:rsidRPr="0078189B">
              <w:rPr>
                <w:sz w:val="16"/>
                <w:szCs w:val="16"/>
              </w:rPr>
              <w:t xml:space="preserve"> a facility if it can introduce or implement operating, health and safety or environmental policies at a facility.</w:t>
            </w:r>
            <w:r w:rsidR="00423825" w:rsidRPr="0078189B">
              <w:rPr>
                <w:sz w:val="16"/>
                <w:szCs w:val="16"/>
              </w:rPr>
              <w:t xml:space="preserve"> </w:t>
            </w:r>
            <w:r w:rsidRPr="0078189B">
              <w:rPr>
                <w:sz w:val="16"/>
                <w:szCs w:val="16"/>
              </w:rPr>
              <w:t xml:space="preserve">The </w:t>
            </w:r>
            <w:r w:rsidR="00423825" w:rsidRPr="0078189B">
              <w:rPr>
                <w:sz w:val="16"/>
                <w:szCs w:val="16"/>
              </w:rPr>
              <w:t xml:space="preserve">company with operational control of a facility, or its </w:t>
            </w:r>
            <w:r w:rsidR="00821E3D" w:rsidRPr="0078189B">
              <w:rPr>
                <w:sz w:val="16"/>
                <w:szCs w:val="16"/>
              </w:rPr>
              <w:t>controlling corporation</w:t>
            </w:r>
            <w:r w:rsidR="00423825" w:rsidRPr="0078189B">
              <w:rPr>
                <w:sz w:val="16"/>
                <w:szCs w:val="16"/>
              </w:rPr>
              <w:t>,</w:t>
            </w:r>
            <w:r w:rsidRPr="0078189B">
              <w:rPr>
                <w:sz w:val="16"/>
                <w:szCs w:val="16"/>
              </w:rPr>
              <w:t xml:space="preserve"> is </w:t>
            </w:r>
            <w:r w:rsidR="00821E3D" w:rsidRPr="0078189B">
              <w:rPr>
                <w:sz w:val="16"/>
                <w:szCs w:val="16"/>
              </w:rPr>
              <w:t xml:space="preserve">generally </w:t>
            </w:r>
            <w:r w:rsidRPr="0078189B">
              <w:rPr>
                <w:sz w:val="16"/>
                <w:szCs w:val="16"/>
              </w:rPr>
              <w:t>responsible for ensuring the facility meets its requirements under the National Greenhouse and Energy Reporting Act.</w:t>
            </w:r>
          </w:p>
        </w:tc>
      </w:tr>
      <w:tr w:rsidR="00937F7F" w14:paraId="3CF747FB"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28EC90E7" w14:textId="77777777" w:rsidR="00937F7F" w:rsidRPr="0078189B" w:rsidRDefault="00937F7F" w:rsidP="0078189B">
            <w:pPr>
              <w:spacing w:before="40" w:after="40"/>
              <w:rPr>
                <w:b/>
                <w:sz w:val="16"/>
                <w:szCs w:val="16"/>
              </w:rPr>
            </w:pPr>
            <w:r w:rsidRPr="0078189B">
              <w:rPr>
                <w:b/>
                <w:sz w:val="16"/>
                <w:szCs w:val="16"/>
              </w:rPr>
              <w:t>Paris Agreement</w:t>
            </w:r>
          </w:p>
        </w:tc>
        <w:tc>
          <w:tcPr>
            <w:tcW w:w="6513" w:type="dxa"/>
          </w:tcPr>
          <w:p w14:paraId="167FB960" w14:textId="77777777" w:rsidR="00937F7F" w:rsidRPr="0078189B" w:rsidRDefault="00937F7F" w:rsidP="0078189B">
            <w:pPr>
              <w:spacing w:before="40" w:after="40"/>
              <w:rPr>
                <w:sz w:val="16"/>
                <w:szCs w:val="16"/>
              </w:rPr>
            </w:pPr>
            <w:r w:rsidRPr="0078189B">
              <w:rPr>
                <w:sz w:val="16"/>
                <w:szCs w:val="16"/>
              </w:rPr>
              <w:t>An international agreement adopted under the United Nations Framework Convention on Climate Change in 2015. A key outcome of the Agreement is a global goal to hold average temperature increase to well below 2°C and pursue efforts to keep warming below 1.5°C above pre-industrial levels.</w:t>
            </w:r>
          </w:p>
        </w:tc>
      </w:tr>
      <w:tr w:rsidR="00937F7F" w14:paraId="78A3EB3B"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7591332F" w14:textId="7EC7CA09" w:rsidR="00937F7F" w:rsidRPr="0078189B" w:rsidRDefault="00C81554" w:rsidP="0078189B">
            <w:pPr>
              <w:spacing w:before="40" w:after="40"/>
              <w:rPr>
                <w:b/>
                <w:sz w:val="16"/>
                <w:szCs w:val="16"/>
              </w:rPr>
            </w:pPr>
            <w:r w:rsidRPr="0078189B">
              <w:rPr>
                <w:b/>
                <w:sz w:val="16"/>
                <w:szCs w:val="16"/>
              </w:rPr>
              <w:t>p</w:t>
            </w:r>
            <w:r w:rsidR="00937F7F" w:rsidRPr="0078189B">
              <w:rPr>
                <w:b/>
                <w:sz w:val="16"/>
                <w:szCs w:val="16"/>
              </w:rPr>
              <w:t>erfluorocarbons (PFCs)</w:t>
            </w:r>
          </w:p>
        </w:tc>
        <w:tc>
          <w:tcPr>
            <w:tcW w:w="6513" w:type="dxa"/>
          </w:tcPr>
          <w:p w14:paraId="5E658B75" w14:textId="77777777" w:rsidR="00937F7F" w:rsidRPr="0078189B" w:rsidRDefault="00937F7F" w:rsidP="0078189B">
            <w:pPr>
              <w:spacing w:before="40" w:after="40"/>
              <w:rPr>
                <w:sz w:val="16"/>
                <w:szCs w:val="16"/>
              </w:rPr>
            </w:pPr>
            <w:r w:rsidRPr="0078189B">
              <w:rPr>
                <w:sz w:val="16"/>
                <w:szCs w:val="16"/>
              </w:rPr>
              <w:t>Synthetic greenhouse gases with very high global warming potentials.</w:t>
            </w:r>
          </w:p>
        </w:tc>
      </w:tr>
      <w:tr w:rsidR="001C7C95" w14:paraId="41181EB0"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33FB6DB9" w14:textId="76AC25ED" w:rsidR="001C7C95" w:rsidRPr="0078189B" w:rsidRDefault="001C7C95" w:rsidP="0078189B">
            <w:pPr>
              <w:spacing w:before="40" w:after="40"/>
              <w:rPr>
                <w:b/>
                <w:sz w:val="16"/>
                <w:szCs w:val="16"/>
              </w:rPr>
            </w:pPr>
            <w:r w:rsidRPr="0078189B">
              <w:rPr>
                <w:b/>
                <w:sz w:val="16"/>
                <w:szCs w:val="16"/>
              </w:rPr>
              <w:t>reporting scheme</w:t>
            </w:r>
          </w:p>
        </w:tc>
        <w:tc>
          <w:tcPr>
            <w:tcW w:w="6513" w:type="dxa"/>
          </w:tcPr>
          <w:p w14:paraId="4FAD2959" w14:textId="7977EADD" w:rsidR="001C7C95" w:rsidRPr="0078189B" w:rsidRDefault="001C7C95" w:rsidP="0078189B">
            <w:pPr>
              <w:spacing w:before="40" w:after="40"/>
              <w:rPr>
                <w:sz w:val="16"/>
                <w:szCs w:val="16"/>
              </w:rPr>
            </w:pPr>
            <w:r w:rsidRPr="0078189B">
              <w:rPr>
                <w:sz w:val="16"/>
                <w:szCs w:val="16"/>
              </w:rPr>
              <w:t>The National Greenhouse and Energy Reporting scheme.</w:t>
            </w:r>
          </w:p>
        </w:tc>
      </w:tr>
      <w:tr w:rsidR="00937F7F" w14:paraId="48547CD3"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43842D92" w14:textId="69C80702" w:rsidR="00937F7F" w:rsidRPr="0078189B" w:rsidRDefault="00937F7F" w:rsidP="0078189B">
            <w:pPr>
              <w:spacing w:before="40" w:after="40"/>
              <w:rPr>
                <w:b/>
                <w:sz w:val="16"/>
                <w:szCs w:val="16"/>
              </w:rPr>
            </w:pPr>
            <w:r w:rsidRPr="0078189B">
              <w:rPr>
                <w:b/>
                <w:sz w:val="16"/>
                <w:szCs w:val="16"/>
              </w:rPr>
              <w:t>reporting transfer certificate</w:t>
            </w:r>
          </w:p>
        </w:tc>
        <w:tc>
          <w:tcPr>
            <w:tcW w:w="6513" w:type="dxa"/>
          </w:tcPr>
          <w:p w14:paraId="40D50CAF" w14:textId="5A9280A9" w:rsidR="00937F7F" w:rsidRPr="0078189B" w:rsidRDefault="00937F7F" w:rsidP="0078189B">
            <w:pPr>
              <w:spacing w:before="40" w:after="40"/>
              <w:rPr>
                <w:sz w:val="16"/>
                <w:szCs w:val="16"/>
              </w:rPr>
            </w:pPr>
            <w:r w:rsidRPr="0078189B">
              <w:rPr>
                <w:sz w:val="16"/>
                <w:szCs w:val="16"/>
              </w:rPr>
              <w:t xml:space="preserve">A certificate that allows </w:t>
            </w:r>
            <w:r w:rsidR="003950B1" w:rsidRPr="0078189B">
              <w:rPr>
                <w:sz w:val="16"/>
                <w:szCs w:val="16"/>
              </w:rPr>
              <w:t xml:space="preserve">reporting obligations under the </w:t>
            </w:r>
            <w:r w:rsidRPr="0078189B">
              <w:rPr>
                <w:sz w:val="16"/>
                <w:szCs w:val="16"/>
              </w:rPr>
              <w:t xml:space="preserve">National Greenhouse and Energy Reporting </w:t>
            </w:r>
            <w:r w:rsidR="003950B1" w:rsidRPr="0078189B">
              <w:rPr>
                <w:sz w:val="16"/>
                <w:szCs w:val="16"/>
              </w:rPr>
              <w:t xml:space="preserve">scheme </w:t>
            </w:r>
            <w:r w:rsidRPr="0078189B">
              <w:rPr>
                <w:sz w:val="16"/>
                <w:szCs w:val="16"/>
              </w:rPr>
              <w:t>to transfer from a controlling corporation with operational control over the facility to the corporation that has financial control over the facility</w:t>
            </w:r>
            <w:r w:rsidR="0023723F" w:rsidRPr="0078189B">
              <w:rPr>
                <w:sz w:val="16"/>
                <w:szCs w:val="16"/>
              </w:rPr>
              <w:t>.</w:t>
            </w:r>
            <w:r w:rsidRPr="0078189B">
              <w:rPr>
                <w:sz w:val="16"/>
                <w:szCs w:val="16"/>
              </w:rPr>
              <w:t xml:space="preserve"> </w:t>
            </w:r>
          </w:p>
        </w:tc>
      </w:tr>
      <w:tr w:rsidR="00DB5B23" w14:paraId="6E4C89CB"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211100A0" w14:textId="4F351C12" w:rsidR="00DB5B23" w:rsidRPr="0078189B" w:rsidRDefault="00DB5B23" w:rsidP="0078189B">
            <w:pPr>
              <w:spacing w:before="40" w:after="40"/>
              <w:rPr>
                <w:b/>
                <w:sz w:val="16"/>
                <w:szCs w:val="16"/>
              </w:rPr>
            </w:pPr>
            <w:r w:rsidRPr="0078189B">
              <w:rPr>
                <w:b/>
                <w:sz w:val="16"/>
                <w:szCs w:val="16"/>
              </w:rPr>
              <w:t>responsible emitter</w:t>
            </w:r>
          </w:p>
        </w:tc>
        <w:tc>
          <w:tcPr>
            <w:tcW w:w="6513" w:type="dxa"/>
          </w:tcPr>
          <w:p w14:paraId="2451B9AB" w14:textId="74F94AA6" w:rsidR="00DB5B23" w:rsidRPr="0078189B" w:rsidRDefault="00DB5B23" w:rsidP="0078189B">
            <w:pPr>
              <w:spacing w:before="40" w:after="40"/>
              <w:rPr>
                <w:sz w:val="16"/>
                <w:szCs w:val="16"/>
              </w:rPr>
            </w:pPr>
            <w:r w:rsidRPr="0078189B">
              <w:rPr>
                <w:sz w:val="16"/>
                <w:szCs w:val="16"/>
              </w:rPr>
              <w:t xml:space="preserve">Person with operational control over a safeguard facility that is required to keep its net emissions at or below its </w:t>
            </w:r>
            <w:r w:rsidR="00E47630" w:rsidRPr="0078189B">
              <w:rPr>
                <w:sz w:val="16"/>
                <w:szCs w:val="16"/>
              </w:rPr>
              <w:t xml:space="preserve">safeguard </w:t>
            </w:r>
            <w:r w:rsidRPr="0078189B">
              <w:rPr>
                <w:sz w:val="16"/>
                <w:szCs w:val="16"/>
              </w:rPr>
              <w:t>baseline</w:t>
            </w:r>
            <w:r w:rsidR="00E47630" w:rsidRPr="0078189B">
              <w:rPr>
                <w:sz w:val="16"/>
                <w:szCs w:val="16"/>
              </w:rPr>
              <w:t>.</w:t>
            </w:r>
            <w:r w:rsidR="004179DE" w:rsidRPr="0078189B">
              <w:rPr>
                <w:sz w:val="16"/>
                <w:szCs w:val="16"/>
              </w:rPr>
              <w:t xml:space="preserve"> Responsible emitters may be an individual, a company</w:t>
            </w:r>
            <w:r w:rsidR="00F81826" w:rsidRPr="0078189B">
              <w:rPr>
                <w:sz w:val="16"/>
                <w:szCs w:val="16"/>
              </w:rPr>
              <w:t>, a trust</w:t>
            </w:r>
            <w:r w:rsidR="004179DE" w:rsidRPr="0078189B">
              <w:rPr>
                <w:sz w:val="16"/>
                <w:szCs w:val="16"/>
              </w:rPr>
              <w:t xml:space="preserve"> or a local council.</w:t>
            </w:r>
          </w:p>
        </w:tc>
      </w:tr>
      <w:tr w:rsidR="00937F7F" w14:paraId="51984CF7"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6C459007" w14:textId="77777777" w:rsidR="00937F7F" w:rsidRPr="0078189B" w:rsidRDefault="00937F7F" w:rsidP="0078189B">
            <w:pPr>
              <w:spacing w:before="40" w:after="40"/>
              <w:rPr>
                <w:b/>
                <w:sz w:val="16"/>
                <w:szCs w:val="16"/>
              </w:rPr>
            </w:pPr>
            <w:r w:rsidRPr="0078189B">
              <w:rPr>
                <w:b/>
                <w:sz w:val="16"/>
                <w:szCs w:val="16"/>
              </w:rPr>
              <w:t>safeguard baseline</w:t>
            </w:r>
          </w:p>
        </w:tc>
        <w:tc>
          <w:tcPr>
            <w:tcW w:w="6513" w:type="dxa"/>
          </w:tcPr>
          <w:p w14:paraId="43B35387" w14:textId="0B87103C" w:rsidR="00937F7F" w:rsidRPr="0078189B" w:rsidRDefault="00937F7F" w:rsidP="0078189B">
            <w:pPr>
              <w:spacing w:before="40" w:after="40"/>
              <w:rPr>
                <w:sz w:val="16"/>
                <w:szCs w:val="16"/>
              </w:rPr>
            </w:pPr>
            <w:r w:rsidRPr="0078189B">
              <w:rPr>
                <w:sz w:val="16"/>
                <w:szCs w:val="16"/>
              </w:rPr>
              <w:t xml:space="preserve">An emissions limit on safeguard facilities. There are different types of baselines (described in Table </w:t>
            </w:r>
            <w:r w:rsidR="0023723F" w:rsidRPr="0078189B">
              <w:rPr>
                <w:sz w:val="16"/>
                <w:szCs w:val="16"/>
              </w:rPr>
              <w:t>2</w:t>
            </w:r>
            <w:r w:rsidRPr="0078189B">
              <w:rPr>
                <w:sz w:val="16"/>
                <w:szCs w:val="16"/>
              </w:rPr>
              <w:t>).</w:t>
            </w:r>
          </w:p>
        </w:tc>
      </w:tr>
      <w:tr w:rsidR="00937F7F" w14:paraId="402C653F"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5ACD8149" w14:textId="77777777" w:rsidR="00937F7F" w:rsidRPr="0078189B" w:rsidRDefault="00937F7F" w:rsidP="0078189B">
            <w:pPr>
              <w:spacing w:before="40" w:after="40"/>
              <w:rPr>
                <w:b/>
                <w:sz w:val="16"/>
                <w:szCs w:val="16"/>
              </w:rPr>
            </w:pPr>
            <w:r w:rsidRPr="0078189B">
              <w:rPr>
                <w:b/>
                <w:sz w:val="16"/>
                <w:szCs w:val="16"/>
              </w:rPr>
              <w:t>safeguard entity</w:t>
            </w:r>
          </w:p>
        </w:tc>
        <w:tc>
          <w:tcPr>
            <w:tcW w:w="6513" w:type="dxa"/>
          </w:tcPr>
          <w:p w14:paraId="18E5BA65" w14:textId="77777777" w:rsidR="00937F7F" w:rsidRPr="0078189B" w:rsidRDefault="00937F7F" w:rsidP="0078189B">
            <w:pPr>
              <w:spacing w:before="40" w:after="40"/>
              <w:rPr>
                <w:sz w:val="16"/>
                <w:szCs w:val="16"/>
              </w:rPr>
            </w:pPr>
            <w:r w:rsidRPr="0078189B">
              <w:rPr>
                <w:sz w:val="16"/>
                <w:szCs w:val="16"/>
              </w:rPr>
              <w:t xml:space="preserve">A general term that refers to an entity with safeguard obligations. </w:t>
            </w:r>
          </w:p>
        </w:tc>
      </w:tr>
      <w:tr w:rsidR="00937F7F" w14:paraId="273DA489"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0234F057" w14:textId="77777777" w:rsidR="00937F7F" w:rsidRPr="0078189B" w:rsidRDefault="00937F7F" w:rsidP="0078189B">
            <w:pPr>
              <w:spacing w:before="40" w:after="40"/>
              <w:rPr>
                <w:b/>
                <w:sz w:val="16"/>
                <w:szCs w:val="16"/>
              </w:rPr>
            </w:pPr>
            <w:r w:rsidRPr="0078189B">
              <w:rPr>
                <w:b/>
                <w:sz w:val="16"/>
                <w:szCs w:val="16"/>
              </w:rPr>
              <w:t>safeguard facility</w:t>
            </w:r>
          </w:p>
        </w:tc>
        <w:tc>
          <w:tcPr>
            <w:tcW w:w="6513" w:type="dxa"/>
          </w:tcPr>
          <w:p w14:paraId="43F4F3E6" w14:textId="48E09574" w:rsidR="00937F7F" w:rsidRPr="0078189B" w:rsidRDefault="00E77AC5" w:rsidP="0078189B">
            <w:pPr>
              <w:spacing w:before="40" w:after="40"/>
              <w:rPr>
                <w:sz w:val="16"/>
                <w:szCs w:val="16"/>
              </w:rPr>
            </w:pPr>
            <w:r w:rsidRPr="0078189B">
              <w:rPr>
                <w:sz w:val="16"/>
                <w:szCs w:val="16"/>
              </w:rPr>
              <w:t>A facility that emits more than 100,000 tonnes of carbon dioxide equivalent per year of scope 1 covered emissions and has safeguard obligations.</w:t>
            </w:r>
          </w:p>
        </w:tc>
      </w:tr>
      <w:tr w:rsidR="00937F7F" w14:paraId="656ADADB"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02DDEE6B" w14:textId="77777777" w:rsidR="00937F7F" w:rsidRPr="0078189B" w:rsidRDefault="00937F7F" w:rsidP="0078189B">
            <w:pPr>
              <w:spacing w:before="40" w:after="40"/>
              <w:rPr>
                <w:b/>
                <w:sz w:val="16"/>
                <w:szCs w:val="16"/>
              </w:rPr>
            </w:pPr>
            <w:r w:rsidRPr="0078189B">
              <w:rPr>
                <w:b/>
                <w:sz w:val="16"/>
                <w:szCs w:val="16"/>
              </w:rPr>
              <w:t>safeguard mechanism</w:t>
            </w:r>
          </w:p>
        </w:tc>
        <w:tc>
          <w:tcPr>
            <w:tcW w:w="6513" w:type="dxa"/>
          </w:tcPr>
          <w:p w14:paraId="17103FC3" w14:textId="4DABC4DC" w:rsidR="00937F7F" w:rsidRPr="0078189B" w:rsidRDefault="00937F7F" w:rsidP="0078189B">
            <w:pPr>
              <w:spacing w:before="40" w:after="40"/>
              <w:rPr>
                <w:sz w:val="16"/>
                <w:szCs w:val="16"/>
              </w:rPr>
            </w:pPr>
            <w:r w:rsidRPr="0078189B">
              <w:rPr>
                <w:sz w:val="16"/>
                <w:szCs w:val="16"/>
              </w:rPr>
              <w:t>A mechanism that establishes regulatory emissions limits for facilities. Safeguard facilities must keep their emissions at or below their baseline.</w:t>
            </w:r>
          </w:p>
        </w:tc>
      </w:tr>
      <w:tr w:rsidR="000A5E34" w14:paraId="581AF4D9"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6A783B74" w14:textId="3B70EF42" w:rsidR="000A5E34" w:rsidRPr="0078189B" w:rsidRDefault="000A5E34" w:rsidP="0078189B">
            <w:pPr>
              <w:spacing w:before="40" w:after="40"/>
              <w:rPr>
                <w:b/>
                <w:sz w:val="16"/>
                <w:szCs w:val="16"/>
              </w:rPr>
            </w:pPr>
            <w:r w:rsidRPr="0078189B">
              <w:rPr>
                <w:b/>
                <w:sz w:val="16"/>
                <w:szCs w:val="16"/>
              </w:rPr>
              <w:t>safeguard obligations</w:t>
            </w:r>
          </w:p>
        </w:tc>
        <w:tc>
          <w:tcPr>
            <w:tcW w:w="6513" w:type="dxa"/>
          </w:tcPr>
          <w:p w14:paraId="218DCDC0" w14:textId="6A6BCB08" w:rsidR="000A5E34" w:rsidRPr="0078189B" w:rsidRDefault="00DA7A1B" w:rsidP="0078189B">
            <w:pPr>
              <w:spacing w:before="40" w:after="40"/>
              <w:rPr>
                <w:sz w:val="16"/>
                <w:szCs w:val="16"/>
              </w:rPr>
            </w:pPr>
            <w:r w:rsidRPr="0078189B">
              <w:rPr>
                <w:sz w:val="16"/>
                <w:szCs w:val="16"/>
              </w:rPr>
              <w:t xml:space="preserve">Facilities </w:t>
            </w:r>
            <w:r w:rsidR="000A5E34" w:rsidRPr="0078189B">
              <w:rPr>
                <w:sz w:val="16"/>
                <w:szCs w:val="16"/>
              </w:rPr>
              <w:t xml:space="preserve">with safeguard obligations are required to report their scope 1 emissions to the Clean Energy Regulator and keep their emissions below a </w:t>
            </w:r>
            <w:r w:rsidR="00132EAE" w:rsidRPr="0078189B">
              <w:rPr>
                <w:sz w:val="16"/>
                <w:szCs w:val="16"/>
              </w:rPr>
              <w:t xml:space="preserve">safeguard </w:t>
            </w:r>
            <w:r w:rsidR="000A5E34" w:rsidRPr="0078189B">
              <w:rPr>
                <w:sz w:val="16"/>
                <w:szCs w:val="16"/>
              </w:rPr>
              <w:t>baseline.</w:t>
            </w:r>
          </w:p>
        </w:tc>
      </w:tr>
      <w:tr w:rsidR="00937F7F" w14:paraId="2956CBD8"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4F5AEB2F" w14:textId="77777777" w:rsidR="00937F7F" w:rsidRPr="0078189B" w:rsidRDefault="00937F7F" w:rsidP="0078189B">
            <w:pPr>
              <w:spacing w:before="40" w:after="40"/>
              <w:rPr>
                <w:b/>
                <w:sz w:val="16"/>
                <w:szCs w:val="16"/>
              </w:rPr>
            </w:pPr>
            <w:r w:rsidRPr="0078189B">
              <w:rPr>
                <w:b/>
                <w:sz w:val="16"/>
                <w:szCs w:val="16"/>
              </w:rPr>
              <w:t>scope 1 emissions</w:t>
            </w:r>
          </w:p>
        </w:tc>
        <w:tc>
          <w:tcPr>
            <w:tcW w:w="6513" w:type="dxa"/>
          </w:tcPr>
          <w:p w14:paraId="6DFD4BEE" w14:textId="77777777" w:rsidR="00937F7F" w:rsidRPr="0078189B" w:rsidRDefault="00937F7F" w:rsidP="0078189B">
            <w:pPr>
              <w:spacing w:before="40" w:after="40"/>
              <w:rPr>
                <w:sz w:val="16"/>
                <w:szCs w:val="16"/>
              </w:rPr>
            </w:pPr>
            <w:r w:rsidRPr="0078189B">
              <w:rPr>
                <w:sz w:val="16"/>
                <w:szCs w:val="16"/>
              </w:rPr>
              <w:t>Emissions released as a direct result of an activity.</w:t>
            </w:r>
          </w:p>
        </w:tc>
      </w:tr>
      <w:tr w:rsidR="00937F7F" w14:paraId="682C551C"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01D6E3FB" w14:textId="77777777" w:rsidR="00937F7F" w:rsidRPr="0078189B" w:rsidRDefault="00937F7F" w:rsidP="0078189B">
            <w:pPr>
              <w:spacing w:before="40" w:after="40"/>
              <w:rPr>
                <w:b/>
                <w:sz w:val="16"/>
                <w:szCs w:val="16"/>
              </w:rPr>
            </w:pPr>
            <w:r w:rsidRPr="0078189B">
              <w:rPr>
                <w:b/>
                <w:sz w:val="16"/>
                <w:szCs w:val="16"/>
              </w:rPr>
              <w:t>scope 2 emissions</w:t>
            </w:r>
          </w:p>
        </w:tc>
        <w:tc>
          <w:tcPr>
            <w:tcW w:w="6513" w:type="dxa"/>
          </w:tcPr>
          <w:p w14:paraId="2BF4C4BD" w14:textId="74C489E1" w:rsidR="00937F7F" w:rsidRPr="0078189B" w:rsidRDefault="00937F7F" w:rsidP="0078189B">
            <w:pPr>
              <w:spacing w:before="40" w:after="40"/>
              <w:rPr>
                <w:sz w:val="16"/>
                <w:szCs w:val="16"/>
              </w:rPr>
            </w:pPr>
            <w:r w:rsidRPr="0078189B">
              <w:rPr>
                <w:sz w:val="16"/>
                <w:szCs w:val="16"/>
              </w:rPr>
              <w:t xml:space="preserve">Indirect emissions </w:t>
            </w:r>
            <w:r w:rsidR="00047064" w:rsidRPr="0078189B">
              <w:rPr>
                <w:sz w:val="16"/>
                <w:szCs w:val="16"/>
              </w:rPr>
              <w:t xml:space="preserve">that are </w:t>
            </w:r>
            <w:r w:rsidRPr="0078189B">
              <w:rPr>
                <w:sz w:val="16"/>
                <w:szCs w:val="16"/>
              </w:rPr>
              <w:t xml:space="preserve">associated with the </w:t>
            </w:r>
            <w:r w:rsidR="00D43420" w:rsidRPr="0078189B">
              <w:rPr>
                <w:sz w:val="16"/>
                <w:szCs w:val="16"/>
              </w:rPr>
              <w:t xml:space="preserve">generation </w:t>
            </w:r>
            <w:r w:rsidRPr="0078189B">
              <w:rPr>
                <w:sz w:val="16"/>
                <w:szCs w:val="16"/>
              </w:rPr>
              <w:t>of electricity used at a facility.</w:t>
            </w:r>
          </w:p>
        </w:tc>
      </w:tr>
      <w:tr w:rsidR="00937F7F" w14:paraId="5D107BB6"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Pr>
          <w:p w14:paraId="07CA0AD6" w14:textId="77777777" w:rsidR="00937F7F" w:rsidRPr="0078189B" w:rsidRDefault="00937F7F" w:rsidP="0078189B">
            <w:pPr>
              <w:spacing w:before="40" w:after="40"/>
              <w:rPr>
                <w:b/>
                <w:sz w:val="16"/>
                <w:szCs w:val="16"/>
              </w:rPr>
            </w:pPr>
            <w:r w:rsidRPr="0078189B">
              <w:rPr>
                <w:b/>
                <w:sz w:val="16"/>
                <w:szCs w:val="16"/>
              </w:rPr>
              <w:t>threshold</w:t>
            </w:r>
          </w:p>
        </w:tc>
        <w:tc>
          <w:tcPr>
            <w:tcW w:w="6513" w:type="dxa"/>
          </w:tcPr>
          <w:p w14:paraId="6D0E6A4A" w14:textId="51ABFB58" w:rsidR="00937F7F" w:rsidRPr="0078189B" w:rsidRDefault="00937F7F" w:rsidP="0078189B">
            <w:pPr>
              <w:spacing w:before="40" w:after="40"/>
              <w:rPr>
                <w:sz w:val="16"/>
                <w:szCs w:val="16"/>
              </w:rPr>
            </w:pPr>
            <w:r w:rsidRPr="0078189B">
              <w:rPr>
                <w:sz w:val="16"/>
                <w:szCs w:val="16"/>
              </w:rPr>
              <w:t>An emissions or energy limit that triggers reporting</w:t>
            </w:r>
            <w:r w:rsidR="002442B7" w:rsidRPr="0078189B">
              <w:rPr>
                <w:sz w:val="16"/>
                <w:szCs w:val="16"/>
              </w:rPr>
              <w:t>,</w:t>
            </w:r>
            <w:r w:rsidRPr="0078189B">
              <w:rPr>
                <w:sz w:val="16"/>
                <w:szCs w:val="16"/>
              </w:rPr>
              <w:t xml:space="preserve"> publication </w:t>
            </w:r>
            <w:r w:rsidR="002442B7" w:rsidRPr="0078189B">
              <w:rPr>
                <w:sz w:val="16"/>
                <w:szCs w:val="16"/>
              </w:rPr>
              <w:t xml:space="preserve">or safeguard </w:t>
            </w:r>
            <w:r w:rsidRPr="0078189B">
              <w:rPr>
                <w:sz w:val="16"/>
                <w:szCs w:val="16"/>
              </w:rPr>
              <w:t xml:space="preserve">obligations under the National Greenhouse and Energy Reporting </w:t>
            </w:r>
            <w:r w:rsidR="001C7C95" w:rsidRPr="0078189B">
              <w:rPr>
                <w:sz w:val="16"/>
                <w:szCs w:val="16"/>
              </w:rPr>
              <w:t>legislation</w:t>
            </w:r>
            <w:r w:rsidRPr="0078189B">
              <w:rPr>
                <w:sz w:val="16"/>
                <w:szCs w:val="16"/>
              </w:rPr>
              <w:t xml:space="preserve">. </w:t>
            </w:r>
          </w:p>
        </w:tc>
      </w:tr>
      <w:tr w:rsidR="00937F7F" w14:paraId="35A70370"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Pr>
          <w:p w14:paraId="5C66E56F" w14:textId="77777777" w:rsidR="00937F7F" w:rsidRPr="0078189B" w:rsidRDefault="00937F7F" w:rsidP="0078189B">
            <w:pPr>
              <w:spacing w:before="40" w:after="40"/>
              <w:rPr>
                <w:b/>
                <w:sz w:val="16"/>
                <w:szCs w:val="16"/>
              </w:rPr>
            </w:pPr>
            <w:r w:rsidRPr="0078189B">
              <w:rPr>
                <w:b/>
                <w:sz w:val="16"/>
                <w:szCs w:val="16"/>
              </w:rPr>
              <w:lastRenderedPageBreak/>
              <w:t>United Nations Framework Convention on Climate Change</w:t>
            </w:r>
          </w:p>
        </w:tc>
        <w:tc>
          <w:tcPr>
            <w:tcW w:w="6513" w:type="dxa"/>
          </w:tcPr>
          <w:p w14:paraId="727CB7E0" w14:textId="57869102" w:rsidR="00937F7F" w:rsidRPr="0078189B" w:rsidRDefault="00937F7F" w:rsidP="0078189B">
            <w:pPr>
              <w:spacing w:before="40" w:after="40"/>
              <w:rPr>
                <w:sz w:val="16"/>
                <w:szCs w:val="16"/>
              </w:rPr>
            </w:pPr>
            <w:r w:rsidRPr="0078189B">
              <w:rPr>
                <w:sz w:val="16"/>
                <w:szCs w:val="16"/>
              </w:rPr>
              <w:t>An international treaty that commits signatory countries to stabilise greenhouse gas concentrations in the atmosphere at a level that would prevent dangerous human-induced interference with the climate system.</w:t>
            </w:r>
          </w:p>
        </w:tc>
      </w:tr>
    </w:tbl>
    <w:p w14:paraId="0873BE57" w14:textId="77777777" w:rsidR="00BC72D3" w:rsidRDefault="00BC72D3" w:rsidP="006D51D1"/>
    <w:p w14:paraId="73C841A1" w14:textId="506331A1" w:rsidR="009E6C50" w:rsidRDefault="00BC72D3" w:rsidP="003C5D16">
      <w:pPr>
        <w:pStyle w:val="Heading1NN"/>
      </w:pPr>
      <w:bookmarkStart w:id="1813" w:name="_Toc519166204"/>
      <w:bookmarkStart w:id="1814" w:name="_Toc519240571"/>
      <w:bookmarkStart w:id="1815" w:name="_Toc519240699"/>
      <w:bookmarkStart w:id="1816" w:name="_Toc520448603"/>
      <w:bookmarkStart w:id="1817" w:name="_Toc520455279"/>
      <w:bookmarkStart w:id="1818" w:name="_Toc520459078"/>
      <w:bookmarkStart w:id="1819" w:name="_Toc520459472"/>
      <w:bookmarkStart w:id="1820" w:name="_Toc520458600"/>
      <w:bookmarkStart w:id="1821" w:name="_Toc520459554"/>
      <w:bookmarkStart w:id="1822" w:name="_Toc520461470"/>
      <w:bookmarkStart w:id="1823" w:name="_Toc520461832"/>
      <w:bookmarkStart w:id="1824" w:name="_Toc520466860"/>
      <w:bookmarkStart w:id="1825" w:name="_Toc520469897"/>
      <w:bookmarkStart w:id="1826" w:name="_Toc520705355"/>
      <w:bookmarkStart w:id="1827" w:name="_Toc520707719"/>
      <w:bookmarkStart w:id="1828" w:name="_Toc520716735"/>
      <w:bookmarkStart w:id="1829" w:name="_Toc520720381"/>
      <w:bookmarkStart w:id="1830" w:name="_Toc520721632"/>
      <w:bookmarkStart w:id="1831" w:name="_Toc520724165"/>
      <w:bookmarkStart w:id="1832" w:name="_Toc520735270"/>
      <w:bookmarkStart w:id="1833" w:name="_Toc520736303"/>
      <w:bookmarkStart w:id="1834" w:name="_Toc520736722"/>
      <w:r>
        <w:lastRenderedPageBreak/>
        <w:t>Abbreviations</w:t>
      </w:r>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tbl>
      <w:tblPr>
        <w:tblStyle w:val="TableGrid"/>
        <w:tblW w:w="0" w:type="auto"/>
        <w:tblBorders>
          <w:top w:val="none" w:sz="0" w:space="0" w:color="auto"/>
          <w:left w:val="none" w:sz="0" w:space="0" w:color="auto"/>
          <w:bottom w:val="none" w:sz="0" w:space="0" w:color="auto"/>
          <w:right w:val="none" w:sz="0" w:space="0" w:color="auto"/>
          <w:insideH w:val="dotted" w:sz="8" w:space="0" w:color="auto"/>
          <w:insideV w:val="none" w:sz="0" w:space="0" w:color="auto"/>
        </w:tblBorders>
        <w:tblLook w:val="04A0" w:firstRow="1" w:lastRow="0" w:firstColumn="1" w:lastColumn="0" w:noHBand="0" w:noVBand="1"/>
      </w:tblPr>
      <w:tblGrid>
        <w:gridCol w:w="2689"/>
        <w:gridCol w:w="6513"/>
      </w:tblGrid>
      <w:tr w:rsidR="00937F7F" w14:paraId="53C0AF77" w14:textId="77777777" w:rsidTr="0078189B">
        <w:trPr>
          <w:cnfStyle w:val="100000000000" w:firstRow="1" w:lastRow="0" w:firstColumn="0" w:lastColumn="0" w:oddVBand="0" w:evenVBand="0" w:oddHBand="0" w:evenHBand="0" w:firstRowFirstColumn="0" w:firstRowLastColumn="0" w:lastRowFirstColumn="0" w:lastRowLastColumn="0"/>
        </w:trPr>
        <w:tc>
          <w:tcPr>
            <w:tcW w:w="2689" w:type="dxa"/>
            <w:vAlign w:val="center"/>
          </w:tcPr>
          <w:p w14:paraId="78001238" w14:textId="77777777" w:rsidR="00937F7F" w:rsidRPr="0078189B" w:rsidRDefault="00937F7F" w:rsidP="0078189B">
            <w:pPr>
              <w:tabs>
                <w:tab w:val="left" w:pos="1365"/>
              </w:tabs>
              <w:spacing w:before="40" w:after="40"/>
              <w:rPr>
                <w:sz w:val="16"/>
                <w:szCs w:val="16"/>
              </w:rPr>
            </w:pPr>
            <w:r w:rsidRPr="0078189B">
              <w:rPr>
                <w:sz w:val="16"/>
                <w:szCs w:val="16"/>
              </w:rPr>
              <w:t>ACCU</w:t>
            </w:r>
          </w:p>
        </w:tc>
        <w:tc>
          <w:tcPr>
            <w:tcW w:w="6513" w:type="dxa"/>
            <w:vAlign w:val="center"/>
          </w:tcPr>
          <w:p w14:paraId="35C7F9A3" w14:textId="77777777" w:rsidR="00937F7F" w:rsidRPr="0078189B" w:rsidRDefault="00937F7F" w:rsidP="0078189B">
            <w:pPr>
              <w:spacing w:before="40" w:after="40"/>
              <w:rPr>
                <w:sz w:val="16"/>
                <w:szCs w:val="16"/>
              </w:rPr>
            </w:pPr>
            <w:r w:rsidRPr="0078189B">
              <w:rPr>
                <w:sz w:val="16"/>
                <w:szCs w:val="16"/>
              </w:rPr>
              <w:t>Australian Carbon Credit Unit</w:t>
            </w:r>
          </w:p>
        </w:tc>
      </w:tr>
      <w:tr w:rsidR="00A00A03" w14:paraId="0B2F52E5"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vAlign w:val="center"/>
          </w:tcPr>
          <w:p w14:paraId="6ADCB6CB" w14:textId="4DC76E6D" w:rsidR="00A00A03" w:rsidRPr="0078189B" w:rsidRDefault="00A00A03" w:rsidP="0078189B">
            <w:pPr>
              <w:tabs>
                <w:tab w:val="left" w:pos="1365"/>
              </w:tabs>
              <w:spacing w:before="40" w:after="40"/>
              <w:rPr>
                <w:sz w:val="16"/>
                <w:szCs w:val="16"/>
              </w:rPr>
            </w:pPr>
            <w:r w:rsidRPr="0078189B">
              <w:rPr>
                <w:sz w:val="16"/>
                <w:szCs w:val="16"/>
              </w:rPr>
              <w:t>APRA</w:t>
            </w:r>
          </w:p>
        </w:tc>
        <w:tc>
          <w:tcPr>
            <w:tcW w:w="6513" w:type="dxa"/>
            <w:vAlign w:val="center"/>
          </w:tcPr>
          <w:p w14:paraId="305D6D1A" w14:textId="76E42EBA" w:rsidR="00A00A03" w:rsidRPr="0078189B" w:rsidRDefault="00A00A03" w:rsidP="0078189B">
            <w:pPr>
              <w:spacing w:before="40" w:after="40"/>
              <w:rPr>
                <w:sz w:val="16"/>
                <w:szCs w:val="16"/>
              </w:rPr>
            </w:pPr>
            <w:r w:rsidRPr="0078189B">
              <w:rPr>
                <w:sz w:val="16"/>
                <w:szCs w:val="16"/>
              </w:rPr>
              <w:t>Australian Prudential Regulation Authority</w:t>
            </w:r>
          </w:p>
        </w:tc>
      </w:tr>
      <w:tr w:rsidR="005816CF" w14:paraId="0C7803D2"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vAlign w:val="center"/>
          </w:tcPr>
          <w:p w14:paraId="6C7F024E" w14:textId="38938D64" w:rsidR="005816CF" w:rsidRPr="0078189B" w:rsidRDefault="005816CF" w:rsidP="0078189B">
            <w:pPr>
              <w:tabs>
                <w:tab w:val="left" w:pos="1365"/>
              </w:tabs>
              <w:spacing w:before="40" w:after="40"/>
              <w:rPr>
                <w:sz w:val="16"/>
                <w:szCs w:val="16"/>
              </w:rPr>
            </w:pPr>
            <w:r w:rsidRPr="0078189B">
              <w:rPr>
                <w:sz w:val="16"/>
                <w:szCs w:val="16"/>
              </w:rPr>
              <w:t>ASX</w:t>
            </w:r>
          </w:p>
        </w:tc>
        <w:tc>
          <w:tcPr>
            <w:tcW w:w="6513" w:type="dxa"/>
            <w:vAlign w:val="center"/>
          </w:tcPr>
          <w:p w14:paraId="5F8856D5" w14:textId="0FA4123E" w:rsidR="005816CF" w:rsidRPr="0078189B" w:rsidRDefault="005816CF" w:rsidP="0078189B">
            <w:pPr>
              <w:spacing w:before="40" w:after="40"/>
              <w:rPr>
                <w:sz w:val="16"/>
                <w:szCs w:val="16"/>
              </w:rPr>
            </w:pPr>
            <w:r w:rsidRPr="0078189B">
              <w:rPr>
                <w:sz w:val="16"/>
                <w:szCs w:val="16"/>
              </w:rPr>
              <w:t>Australian Securities Exchange</w:t>
            </w:r>
          </w:p>
        </w:tc>
      </w:tr>
      <w:tr w:rsidR="00A00A03" w14:paraId="020F88DF"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vAlign w:val="center"/>
          </w:tcPr>
          <w:p w14:paraId="09FAD591" w14:textId="7E15484C" w:rsidR="00A00A03" w:rsidRPr="0078189B" w:rsidRDefault="00A00A03" w:rsidP="0078189B">
            <w:pPr>
              <w:tabs>
                <w:tab w:val="left" w:pos="1365"/>
              </w:tabs>
              <w:spacing w:before="40" w:after="40"/>
              <w:rPr>
                <w:sz w:val="16"/>
                <w:szCs w:val="16"/>
              </w:rPr>
            </w:pPr>
            <w:r w:rsidRPr="0078189B">
              <w:rPr>
                <w:sz w:val="16"/>
                <w:szCs w:val="16"/>
              </w:rPr>
              <w:t>Authority</w:t>
            </w:r>
          </w:p>
        </w:tc>
        <w:tc>
          <w:tcPr>
            <w:tcW w:w="6513" w:type="dxa"/>
            <w:vAlign w:val="center"/>
          </w:tcPr>
          <w:p w14:paraId="76DFC82E" w14:textId="118385E5" w:rsidR="00A00A03" w:rsidRPr="0078189B" w:rsidRDefault="00A00A03" w:rsidP="0078189B">
            <w:pPr>
              <w:spacing w:before="40" w:after="40"/>
              <w:rPr>
                <w:sz w:val="16"/>
                <w:szCs w:val="16"/>
              </w:rPr>
            </w:pPr>
            <w:r w:rsidRPr="0078189B">
              <w:rPr>
                <w:sz w:val="16"/>
                <w:szCs w:val="16"/>
              </w:rPr>
              <w:t>Climate Change Authority</w:t>
            </w:r>
          </w:p>
        </w:tc>
      </w:tr>
      <w:tr w:rsidR="00DB5077" w14:paraId="2BD5ED9A"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vAlign w:val="center"/>
          </w:tcPr>
          <w:p w14:paraId="4D2882EE" w14:textId="564AC213" w:rsidR="00DB5077" w:rsidRPr="0078189B" w:rsidRDefault="00DB5077" w:rsidP="0078189B">
            <w:pPr>
              <w:spacing w:before="40" w:after="40"/>
              <w:rPr>
                <w:sz w:val="16"/>
                <w:szCs w:val="16"/>
              </w:rPr>
            </w:pPr>
            <w:r w:rsidRPr="0078189B">
              <w:rPr>
                <w:sz w:val="16"/>
                <w:szCs w:val="16"/>
              </w:rPr>
              <w:t>CO</w:t>
            </w:r>
            <w:r w:rsidRPr="0078189B">
              <w:rPr>
                <w:sz w:val="16"/>
                <w:szCs w:val="16"/>
                <w:vertAlign w:val="subscript"/>
              </w:rPr>
              <w:t>2</w:t>
            </w:r>
            <w:r w:rsidRPr="0078189B">
              <w:rPr>
                <w:sz w:val="16"/>
                <w:szCs w:val="16"/>
              </w:rPr>
              <w:t>-e</w:t>
            </w:r>
          </w:p>
        </w:tc>
        <w:tc>
          <w:tcPr>
            <w:tcW w:w="6513" w:type="dxa"/>
            <w:vAlign w:val="center"/>
          </w:tcPr>
          <w:p w14:paraId="2633C9EA" w14:textId="684265DD" w:rsidR="00DB5077" w:rsidRPr="0078189B" w:rsidRDefault="00DB5077" w:rsidP="0078189B">
            <w:pPr>
              <w:spacing w:before="40" w:after="40"/>
              <w:rPr>
                <w:sz w:val="16"/>
                <w:szCs w:val="16"/>
              </w:rPr>
            </w:pPr>
            <w:r w:rsidRPr="0078189B">
              <w:rPr>
                <w:sz w:val="16"/>
                <w:szCs w:val="16"/>
              </w:rPr>
              <w:t xml:space="preserve">carbon dioxide equivalent </w:t>
            </w:r>
          </w:p>
        </w:tc>
      </w:tr>
      <w:tr w:rsidR="00C959A6" w14:paraId="12EC5AE8"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vAlign w:val="center"/>
          </w:tcPr>
          <w:p w14:paraId="05ABC72D" w14:textId="6AF49D04" w:rsidR="00C959A6" w:rsidRPr="0078189B" w:rsidRDefault="00C959A6" w:rsidP="0078189B">
            <w:pPr>
              <w:spacing w:before="40" w:after="40"/>
              <w:rPr>
                <w:sz w:val="16"/>
                <w:szCs w:val="16"/>
              </w:rPr>
            </w:pPr>
            <w:r w:rsidRPr="0078189B">
              <w:rPr>
                <w:sz w:val="16"/>
                <w:szCs w:val="16"/>
              </w:rPr>
              <w:t>COAG</w:t>
            </w:r>
          </w:p>
        </w:tc>
        <w:tc>
          <w:tcPr>
            <w:tcW w:w="6513" w:type="dxa"/>
            <w:vAlign w:val="center"/>
          </w:tcPr>
          <w:p w14:paraId="2A04BDA6" w14:textId="45389851" w:rsidR="00C959A6" w:rsidRPr="0078189B" w:rsidRDefault="00C959A6" w:rsidP="0078189B">
            <w:pPr>
              <w:spacing w:before="40" w:after="40"/>
              <w:rPr>
                <w:sz w:val="16"/>
                <w:szCs w:val="16"/>
              </w:rPr>
            </w:pPr>
            <w:r w:rsidRPr="0078189B">
              <w:rPr>
                <w:sz w:val="16"/>
                <w:szCs w:val="16"/>
              </w:rPr>
              <w:t>Council of Australian Governments</w:t>
            </w:r>
          </w:p>
        </w:tc>
      </w:tr>
      <w:tr w:rsidR="00C959A6" w14:paraId="70226690"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vAlign w:val="center"/>
          </w:tcPr>
          <w:p w14:paraId="6D2EF876" w14:textId="34E7B3FE" w:rsidR="00C959A6" w:rsidRPr="0078189B" w:rsidRDefault="00C959A6" w:rsidP="0078189B">
            <w:pPr>
              <w:spacing w:before="40" w:after="40"/>
              <w:rPr>
                <w:sz w:val="16"/>
                <w:szCs w:val="16"/>
              </w:rPr>
            </w:pPr>
            <w:r w:rsidRPr="0078189B">
              <w:rPr>
                <w:sz w:val="16"/>
                <w:szCs w:val="16"/>
              </w:rPr>
              <w:t>Department</w:t>
            </w:r>
          </w:p>
        </w:tc>
        <w:tc>
          <w:tcPr>
            <w:tcW w:w="6513" w:type="dxa"/>
            <w:vAlign w:val="center"/>
          </w:tcPr>
          <w:p w14:paraId="3DFEB995" w14:textId="37F0F888" w:rsidR="00C959A6" w:rsidRPr="0078189B" w:rsidRDefault="00C959A6" w:rsidP="0078189B">
            <w:pPr>
              <w:spacing w:before="40" w:after="40"/>
              <w:rPr>
                <w:sz w:val="16"/>
                <w:szCs w:val="16"/>
              </w:rPr>
            </w:pPr>
            <w:r w:rsidRPr="0078189B">
              <w:rPr>
                <w:sz w:val="16"/>
                <w:szCs w:val="16"/>
              </w:rPr>
              <w:t>Department of the Environment and Energy</w:t>
            </w:r>
          </w:p>
        </w:tc>
      </w:tr>
      <w:tr w:rsidR="00937F7F" w14:paraId="0818ABAB"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vAlign w:val="center"/>
          </w:tcPr>
          <w:p w14:paraId="0B8A2224" w14:textId="77777777" w:rsidR="00937F7F" w:rsidRPr="0078189B" w:rsidRDefault="00937F7F" w:rsidP="0078189B">
            <w:pPr>
              <w:spacing w:before="40" w:after="40"/>
              <w:rPr>
                <w:sz w:val="16"/>
                <w:szCs w:val="16"/>
              </w:rPr>
            </w:pPr>
            <w:r w:rsidRPr="0078189B">
              <w:rPr>
                <w:sz w:val="16"/>
                <w:szCs w:val="16"/>
              </w:rPr>
              <w:t>EERS</w:t>
            </w:r>
          </w:p>
        </w:tc>
        <w:tc>
          <w:tcPr>
            <w:tcW w:w="6513" w:type="dxa"/>
            <w:vAlign w:val="center"/>
          </w:tcPr>
          <w:p w14:paraId="4D4C6DAF" w14:textId="77777777" w:rsidR="00937F7F" w:rsidRPr="0078189B" w:rsidRDefault="00937F7F" w:rsidP="0078189B">
            <w:pPr>
              <w:spacing w:before="40" w:after="40"/>
              <w:rPr>
                <w:sz w:val="16"/>
                <w:szCs w:val="16"/>
              </w:rPr>
            </w:pPr>
            <w:r w:rsidRPr="0078189B">
              <w:rPr>
                <w:sz w:val="16"/>
                <w:szCs w:val="16"/>
              </w:rPr>
              <w:t>Emissions and Energy Reporting System</w:t>
            </w:r>
          </w:p>
        </w:tc>
      </w:tr>
      <w:tr w:rsidR="00DB5077" w14:paraId="4EAD2685"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vAlign w:val="center"/>
          </w:tcPr>
          <w:p w14:paraId="4EF12CA0" w14:textId="7F938CD4" w:rsidR="00DB5077" w:rsidRPr="0078189B" w:rsidRDefault="00DB5077" w:rsidP="0078189B">
            <w:pPr>
              <w:spacing w:before="40" w:after="40"/>
              <w:rPr>
                <w:sz w:val="16"/>
                <w:szCs w:val="16"/>
              </w:rPr>
            </w:pPr>
            <w:r w:rsidRPr="0078189B">
              <w:rPr>
                <w:sz w:val="16"/>
                <w:szCs w:val="16"/>
              </w:rPr>
              <w:t>kt</w:t>
            </w:r>
          </w:p>
        </w:tc>
        <w:tc>
          <w:tcPr>
            <w:tcW w:w="6513" w:type="dxa"/>
            <w:vAlign w:val="center"/>
          </w:tcPr>
          <w:p w14:paraId="1549E399" w14:textId="06477D03" w:rsidR="00DB5077" w:rsidRPr="0078189B" w:rsidRDefault="00DB5077" w:rsidP="0078189B">
            <w:pPr>
              <w:spacing w:before="40" w:after="40"/>
              <w:rPr>
                <w:sz w:val="16"/>
                <w:szCs w:val="16"/>
              </w:rPr>
            </w:pPr>
            <w:r w:rsidRPr="0078189B">
              <w:rPr>
                <w:sz w:val="16"/>
                <w:szCs w:val="16"/>
              </w:rPr>
              <w:t>kilo tonne (a thousand tonnes)</w:t>
            </w:r>
          </w:p>
        </w:tc>
      </w:tr>
      <w:tr w:rsidR="00A00A03" w14:paraId="05A3EA50"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vAlign w:val="center"/>
          </w:tcPr>
          <w:p w14:paraId="59796809" w14:textId="707652A1" w:rsidR="00A00A03" w:rsidRPr="0078189B" w:rsidRDefault="00A00A03" w:rsidP="0078189B">
            <w:pPr>
              <w:spacing w:before="40" w:after="40"/>
              <w:rPr>
                <w:sz w:val="16"/>
                <w:szCs w:val="16"/>
              </w:rPr>
            </w:pPr>
            <w:r w:rsidRPr="0078189B">
              <w:rPr>
                <w:sz w:val="16"/>
                <w:szCs w:val="16"/>
              </w:rPr>
              <w:t>LULUCF</w:t>
            </w:r>
          </w:p>
        </w:tc>
        <w:tc>
          <w:tcPr>
            <w:tcW w:w="6513" w:type="dxa"/>
            <w:vAlign w:val="center"/>
          </w:tcPr>
          <w:p w14:paraId="2199000E" w14:textId="755894AA" w:rsidR="00A00A03" w:rsidRPr="0078189B" w:rsidRDefault="00A00A03" w:rsidP="0078189B">
            <w:pPr>
              <w:spacing w:before="40" w:after="40"/>
              <w:rPr>
                <w:sz w:val="16"/>
                <w:szCs w:val="16"/>
              </w:rPr>
            </w:pPr>
            <w:r w:rsidRPr="0078189B">
              <w:rPr>
                <w:sz w:val="16"/>
                <w:szCs w:val="16"/>
              </w:rPr>
              <w:t>land use, land-use change and forestry</w:t>
            </w:r>
          </w:p>
        </w:tc>
      </w:tr>
      <w:tr w:rsidR="00DB5077" w14:paraId="53A81868"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vAlign w:val="center"/>
          </w:tcPr>
          <w:p w14:paraId="26B49A11" w14:textId="259666CD" w:rsidR="00DB5077" w:rsidRPr="0078189B" w:rsidRDefault="00DB5077" w:rsidP="0078189B">
            <w:pPr>
              <w:spacing w:before="40" w:after="40"/>
              <w:rPr>
                <w:sz w:val="16"/>
                <w:szCs w:val="16"/>
              </w:rPr>
            </w:pPr>
            <w:r w:rsidRPr="0078189B">
              <w:rPr>
                <w:sz w:val="16"/>
                <w:szCs w:val="16"/>
              </w:rPr>
              <w:t>Mt</w:t>
            </w:r>
          </w:p>
        </w:tc>
        <w:tc>
          <w:tcPr>
            <w:tcW w:w="6513" w:type="dxa"/>
            <w:vAlign w:val="center"/>
          </w:tcPr>
          <w:p w14:paraId="79873924" w14:textId="0E56736A" w:rsidR="00DB5077" w:rsidRPr="0078189B" w:rsidRDefault="00DB5077" w:rsidP="0078189B">
            <w:pPr>
              <w:spacing w:before="40" w:after="40"/>
              <w:rPr>
                <w:sz w:val="16"/>
                <w:szCs w:val="16"/>
              </w:rPr>
            </w:pPr>
            <w:r w:rsidRPr="0078189B">
              <w:rPr>
                <w:sz w:val="16"/>
                <w:szCs w:val="16"/>
              </w:rPr>
              <w:t>mega tonne (a million tonnes)</w:t>
            </w:r>
          </w:p>
        </w:tc>
      </w:tr>
      <w:tr w:rsidR="00937F7F" w14:paraId="340177AE"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vAlign w:val="center"/>
          </w:tcPr>
          <w:p w14:paraId="618E46DE" w14:textId="77777777" w:rsidR="00937F7F" w:rsidRPr="0078189B" w:rsidRDefault="00937F7F" w:rsidP="0078189B">
            <w:pPr>
              <w:spacing w:before="40" w:after="40"/>
              <w:rPr>
                <w:sz w:val="16"/>
                <w:szCs w:val="16"/>
              </w:rPr>
            </w:pPr>
            <w:r w:rsidRPr="0078189B">
              <w:rPr>
                <w:sz w:val="16"/>
                <w:szCs w:val="16"/>
              </w:rPr>
              <w:t>NEM</w:t>
            </w:r>
          </w:p>
        </w:tc>
        <w:tc>
          <w:tcPr>
            <w:tcW w:w="6513" w:type="dxa"/>
            <w:vAlign w:val="center"/>
          </w:tcPr>
          <w:p w14:paraId="2A41A91D" w14:textId="77777777" w:rsidR="00937F7F" w:rsidRPr="0078189B" w:rsidRDefault="00937F7F" w:rsidP="0078189B">
            <w:pPr>
              <w:spacing w:before="40" w:after="40"/>
              <w:rPr>
                <w:sz w:val="16"/>
                <w:szCs w:val="16"/>
              </w:rPr>
            </w:pPr>
            <w:r w:rsidRPr="0078189B">
              <w:rPr>
                <w:sz w:val="16"/>
                <w:szCs w:val="16"/>
              </w:rPr>
              <w:t>National Electricity Market</w:t>
            </w:r>
          </w:p>
        </w:tc>
      </w:tr>
      <w:tr w:rsidR="00937F7F" w14:paraId="697FAAB4"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vAlign w:val="center"/>
          </w:tcPr>
          <w:p w14:paraId="37592641" w14:textId="77777777" w:rsidR="00937F7F" w:rsidRPr="0078189B" w:rsidRDefault="00937F7F" w:rsidP="0078189B">
            <w:pPr>
              <w:spacing w:before="40" w:after="40"/>
              <w:rPr>
                <w:sz w:val="16"/>
                <w:szCs w:val="16"/>
              </w:rPr>
            </w:pPr>
            <w:r w:rsidRPr="0078189B">
              <w:rPr>
                <w:sz w:val="16"/>
                <w:szCs w:val="16"/>
              </w:rPr>
              <w:t>NGER</w:t>
            </w:r>
          </w:p>
        </w:tc>
        <w:tc>
          <w:tcPr>
            <w:tcW w:w="6513" w:type="dxa"/>
            <w:vAlign w:val="center"/>
          </w:tcPr>
          <w:p w14:paraId="721D4F7F" w14:textId="77777777" w:rsidR="00937F7F" w:rsidRPr="0078189B" w:rsidRDefault="00937F7F" w:rsidP="0078189B">
            <w:pPr>
              <w:spacing w:before="40" w:after="40"/>
              <w:rPr>
                <w:sz w:val="16"/>
                <w:szCs w:val="16"/>
              </w:rPr>
            </w:pPr>
            <w:r w:rsidRPr="0078189B">
              <w:rPr>
                <w:sz w:val="16"/>
                <w:szCs w:val="16"/>
              </w:rPr>
              <w:t xml:space="preserve">National Greenhouse and Energy Reporting </w:t>
            </w:r>
          </w:p>
        </w:tc>
      </w:tr>
      <w:tr w:rsidR="00937F7F" w14:paraId="3ED5B92D"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vAlign w:val="center"/>
          </w:tcPr>
          <w:p w14:paraId="61C4A710" w14:textId="77777777" w:rsidR="00937F7F" w:rsidRPr="0078189B" w:rsidRDefault="00937F7F" w:rsidP="0078189B">
            <w:pPr>
              <w:spacing w:before="40" w:after="40"/>
              <w:rPr>
                <w:sz w:val="16"/>
                <w:szCs w:val="16"/>
              </w:rPr>
            </w:pPr>
            <w:r w:rsidRPr="0078189B">
              <w:rPr>
                <w:sz w:val="16"/>
                <w:szCs w:val="16"/>
              </w:rPr>
              <w:t>NPI</w:t>
            </w:r>
          </w:p>
        </w:tc>
        <w:tc>
          <w:tcPr>
            <w:tcW w:w="6513" w:type="dxa"/>
            <w:vAlign w:val="center"/>
          </w:tcPr>
          <w:p w14:paraId="5049EB53" w14:textId="4458D0D7" w:rsidR="00937F7F" w:rsidRPr="0078189B" w:rsidRDefault="00937F7F" w:rsidP="0078189B">
            <w:pPr>
              <w:spacing w:before="40" w:after="40"/>
              <w:rPr>
                <w:sz w:val="16"/>
                <w:szCs w:val="16"/>
              </w:rPr>
            </w:pPr>
            <w:r w:rsidRPr="0078189B">
              <w:rPr>
                <w:sz w:val="16"/>
                <w:szCs w:val="16"/>
              </w:rPr>
              <w:t xml:space="preserve">National </w:t>
            </w:r>
            <w:r w:rsidR="00F75477" w:rsidRPr="0078189B">
              <w:rPr>
                <w:sz w:val="16"/>
                <w:szCs w:val="16"/>
              </w:rPr>
              <w:t xml:space="preserve">Pollutant </w:t>
            </w:r>
            <w:r w:rsidRPr="0078189B">
              <w:rPr>
                <w:sz w:val="16"/>
                <w:szCs w:val="16"/>
              </w:rPr>
              <w:t>Inventory</w:t>
            </w:r>
          </w:p>
        </w:tc>
      </w:tr>
      <w:tr w:rsidR="00DB5077" w14:paraId="7CA0B4B1"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vAlign w:val="center"/>
          </w:tcPr>
          <w:p w14:paraId="3ECE87FB" w14:textId="25A6E2C5" w:rsidR="00DB5077" w:rsidRPr="0078189B" w:rsidRDefault="00DB5077" w:rsidP="0078189B">
            <w:pPr>
              <w:spacing w:before="40" w:after="40"/>
              <w:rPr>
                <w:sz w:val="16"/>
                <w:szCs w:val="16"/>
              </w:rPr>
            </w:pPr>
            <w:r w:rsidRPr="0078189B">
              <w:rPr>
                <w:sz w:val="16"/>
                <w:szCs w:val="16"/>
              </w:rPr>
              <w:t>PJ</w:t>
            </w:r>
          </w:p>
        </w:tc>
        <w:tc>
          <w:tcPr>
            <w:tcW w:w="6513" w:type="dxa"/>
            <w:vAlign w:val="center"/>
          </w:tcPr>
          <w:p w14:paraId="14438061" w14:textId="7AE45BE9" w:rsidR="00DB5077" w:rsidRPr="0078189B" w:rsidRDefault="00DB5077" w:rsidP="0078189B">
            <w:pPr>
              <w:spacing w:before="40" w:after="40"/>
              <w:rPr>
                <w:sz w:val="16"/>
                <w:szCs w:val="16"/>
              </w:rPr>
            </w:pPr>
            <w:r w:rsidRPr="0078189B">
              <w:rPr>
                <w:sz w:val="16"/>
                <w:szCs w:val="16"/>
              </w:rPr>
              <w:t>petajoule (10</w:t>
            </w:r>
            <w:r w:rsidRPr="0078189B">
              <w:rPr>
                <w:sz w:val="16"/>
                <w:szCs w:val="16"/>
                <w:vertAlign w:val="superscript"/>
              </w:rPr>
              <w:t>15</w:t>
            </w:r>
            <w:r w:rsidRPr="0078189B">
              <w:rPr>
                <w:sz w:val="16"/>
                <w:szCs w:val="16"/>
              </w:rPr>
              <w:t xml:space="preserve"> joules) </w:t>
            </w:r>
          </w:p>
        </w:tc>
      </w:tr>
      <w:tr w:rsidR="00283430" w14:paraId="3F69C4DC"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vAlign w:val="center"/>
          </w:tcPr>
          <w:p w14:paraId="71833326" w14:textId="3F7F8B2A" w:rsidR="00283430" w:rsidRPr="0078189B" w:rsidRDefault="00283430" w:rsidP="0078189B">
            <w:pPr>
              <w:spacing w:before="40" w:after="40"/>
              <w:rPr>
                <w:sz w:val="16"/>
                <w:szCs w:val="16"/>
              </w:rPr>
            </w:pPr>
            <w:r w:rsidRPr="0078189B">
              <w:rPr>
                <w:sz w:val="16"/>
                <w:szCs w:val="16"/>
              </w:rPr>
              <w:t>Regulator</w:t>
            </w:r>
          </w:p>
        </w:tc>
        <w:tc>
          <w:tcPr>
            <w:tcW w:w="6513" w:type="dxa"/>
            <w:vAlign w:val="center"/>
          </w:tcPr>
          <w:p w14:paraId="514E2EE4" w14:textId="25AFD87B" w:rsidR="00283430" w:rsidRPr="0078189B" w:rsidRDefault="00283430" w:rsidP="0078189B">
            <w:pPr>
              <w:spacing w:before="40" w:after="40"/>
              <w:rPr>
                <w:sz w:val="16"/>
                <w:szCs w:val="16"/>
              </w:rPr>
            </w:pPr>
            <w:r w:rsidRPr="0078189B">
              <w:rPr>
                <w:sz w:val="16"/>
                <w:szCs w:val="16"/>
              </w:rPr>
              <w:t>Clean Energy Regulator</w:t>
            </w:r>
          </w:p>
        </w:tc>
      </w:tr>
      <w:tr w:rsidR="00A00A03" w14:paraId="169917F3"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vAlign w:val="center"/>
          </w:tcPr>
          <w:p w14:paraId="7451E67E" w14:textId="2B252E56" w:rsidR="00A00A03" w:rsidRPr="0078189B" w:rsidRDefault="00A00A03" w:rsidP="0078189B">
            <w:pPr>
              <w:spacing w:before="40" w:after="40"/>
              <w:rPr>
                <w:sz w:val="16"/>
                <w:szCs w:val="16"/>
              </w:rPr>
            </w:pPr>
            <w:r w:rsidRPr="0078189B">
              <w:rPr>
                <w:sz w:val="16"/>
                <w:szCs w:val="16"/>
              </w:rPr>
              <w:t>t</w:t>
            </w:r>
          </w:p>
        </w:tc>
        <w:tc>
          <w:tcPr>
            <w:tcW w:w="6513" w:type="dxa"/>
            <w:vAlign w:val="center"/>
          </w:tcPr>
          <w:p w14:paraId="05047214" w14:textId="4C6F6033" w:rsidR="00A00A03" w:rsidRPr="0078189B" w:rsidRDefault="00A00A03" w:rsidP="0078189B">
            <w:pPr>
              <w:spacing w:before="40" w:after="40"/>
              <w:rPr>
                <w:sz w:val="16"/>
                <w:szCs w:val="16"/>
              </w:rPr>
            </w:pPr>
            <w:r w:rsidRPr="0078189B">
              <w:rPr>
                <w:sz w:val="16"/>
                <w:szCs w:val="16"/>
              </w:rPr>
              <w:t>tonnes</w:t>
            </w:r>
          </w:p>
        </w:tc>
      </w:tr>
      <w:tr w:rsidR="00DB5077" w14:paraId="31CD4626" w14:textId="77777777" w:rsidTr="0078189B">
        <w:trPr>
          <w:cnfStyle w:val="000000100000" w:firstRow="0" w:lastRow="0" w:firstColumn="0" w:lastColumn="0" w:oddVBand="0" w:evenVBand="0" w:oddHBand="1" w:evenHBand="0" w:firstRowFirstColumn="0" w:firstRowLastColumn="0" w:lastRowFirstColumn="0" w:lastRowLastColumn="0"/>
        </w:trPr>
        <w:tc>
          <w:tcPr>
            <w:tcW w:w="2689" w:type="dxa"/>
            <w:tcBorders>
              <w:bottom w:val="dotted" w:sz="8" w:space="0" w:color="auto"/>
            </w:tcBorders>
            <w:vAlign w:val="center"/>
          </w:tcPr>
          <w:p w14:paraId="33CE0169" w14:textId="43921483" w:rsidR="00DB5077" w:rsidRPr="0078189B" w:rsidRDefault="00DB5077" w:rsidP="0078189B">
            <w:pPr>
              <w:spacing w:before="40" w:after="40"/>
              <w:rPr>
                <w:sz w:val="16"/>
                <w:szCs w:val="16"/>
              </w:rPr>
            </w:pPr>
            <w:r w:rsidRPr="0078189B">
              <w:rPr>
                <w:sz w:val="16"/>
                <w:szCs w:val="16"/>
              </w:rPr>
              <w:t>TJ</w:t>
            </w:r>
          </w:p>
        </w:tc>
        <w:tc>
          <w:tcPr>
            <w:tcW w:w="6513" w:type="dxa"/>
            <w:tcBorders>
              <w:bottom w:val="dotted" w:sz="8" w:space="0" w:color="auto"/>
            </w:tcBorders>
            <w:vAlign w:val="center"/>
          </w:tcPr>
          <w:p w14:paraId="0118DC6F" w14:textId="6A0EF213" w:rsidR="00DB5077" w:rsidRPr="0078189B" w:rsidRDefault="00DB5077" w:rsidP="0078189B">
            <w:pPr>
              <w:spacing w:before="40" w:after="40"/>
              <w:rPr>
                <w:sz w:val="16"/>
                <w:szCs w:val="16"/>
              </w:rPr>
            </w:pPr>
            <w:r w:rsidRPr="0078189B">
              <w:rPr>
                <w:sz w:val="16"/>
                <w:szCs w:val="16"/>
              </w:rPr>
              <w:t>terajoule (10</w:t>
            </w:r>
            <w:r w:rsidRPr="0078189B">
              <w:rPr>
                <w:sz w:val="16"/>
                <w:szCs w:val="16"/>
                <w:vertAlign w:val="superscript"/>
              </w:rPr>
              <w:t>12</w:t>
            </w:r>
            <w:r w:rsidRPr="0078189B">
              <w:rPr>
                <w:sz w:val="16"/>
                <w:szCs w:val="16"/>
              </w:rPr>
              <w:t xml:space="preserve"> joules)</w:t>
            </w:r>
          </w:p>
        </w:tc>
      </w:tr>
      <w:tr w:rsidR="00A00A03" w14:paraId="05F3FC97" w14:textId="77777777" w:rsidTr="0078189B">
        <w:trPr>
          <w:cnfStyle w:val="000000010000" w:firstRow="0" w:lastRow="0" w:firstColumn="0" w:lastColumn="0" w:oddVBand="0" w:evenVBand="0" w:oddHBand="0" w:evenHBand="1" w:firstRowFirstColumn="0" w:firstRowLastColumn="0" w:lastRowFirstColumn="0" w:lastRowLastColumn="0"/>
        </w:trPr>
        <w:tc>
          <w:tcPr>
            <w:tcW w:w="2689" w:type="dxa"/>
            <w:tcBorders>
              <w:top w:val="dotted" w:sz="8" w:space="0" w:color="auto"/>
              <w:bottom w:val="dotted" w:sz="8" w:space="0" w:color="auto"/>
            </w:tcBorders>
            <w:vAlign w:val="center"/>
          </w:tcPr>
          <w:p w14:paraId="5E0B8A95" w14:textId="28E59F45" w:rsidR="00A00A03" w:rsidRPr="0078189B" w:rsidRDefault="00A00A03" w:rsidP="0078189B">
            <w:pPr>
              <w:spacing w:before="40" w:after="40"/>
              <w:rPr>
                <w:sz w:val="16"/>
                <w:szCs w:val="16"/>
              </w:rPr>
            </w:pPr>
            <w:r w:rsidRPr="0078189B">
              <w:rPr>
                <w:sz w:val="16"/>
                <w:szCs w:val="16"/>
              </w:rPr>
              <w:t>UNFCCC</w:t>
            </w:r>
          </w:p>
        </w:tc>
        <w:tc>
          <w:tcPr>
            <w:tcW w:w="6513" w:type="dxa"/>
            <w:tcBorders>
              <w:top w:val="dotted" w:sz="8" w:space="0" w:color="auto"/>
              <w:bottom w:val="dotted" w:sz="8" w:space="0" w:color="auto"/>
            </w:tcBorders>
            <w:vAlign w:val="center"/>
          </w:tcPr>
          <w:p w14:paraId="7BD06D09" w14:textId="0C1BE573" w:rsidR="00A00A03" w:rsidRPr="0078189B" w:rsidRDefault="00A00A03" w:rsidP="0078189B">
            <w:pPr>
              <w:spacing w:before="40" w:after="40"/>
              <w:rPr>
                <w:sz w:val="16"/>
                <w:szCs w:val="16"/>
              </w:rPr>
            </w:pPr>
            <w:r w:rsidRPr="0078189B">
              <w:rPr>
                <w:sz w:val="16"/>
                <w:szCs w:val="16"/>
              </w:rPr>
              <w:t>United Nations Framework Convention on Climate Change</w:t>
            </w:r>
          </w:p>
        </w:tc>
      </w:tr>
    </w:tbl>
    <w:p w14:paraId="648AB718" w14:textId="77777777" w:rsidR="009E6C50" w:rsidRDefault="009E6C50" w:rsidP="006D51D1"/>
    <w:p w14:paraId="2EFB01DC" w14:textId="7DA666F2" w:rsidR="001C731F" w:rsidRDefault="009E6C50" w:rsidP="003C5D16">
      <w:pPr>
        <w:pStyle w:val="Heading1NN"/>
      </w:pPr>
      <w:bookmarkStart w:id="1835" w:name="_Toc519166205"/>
      <w:bookmarkStart w:id="1836" w:name="_Toc519240572"/>
      <w:bookmarkStart w:id="1837" w:name="_Toc519240700"/>
      <w:bookmarkStart w:id="1838" w:name="_Toc520448604"/>
      <w:bookmarkStart w:id="1839" w:name="_Toc520455280"/>
      <w:bookmarkStart w:id="1840" w:name="_Toc520459079"/>
      <w:bookmarkStart w:id="1841" w:name="_Toc520459473"/>
      <w:bookmarkStart w:id="1842" w:name="_Toc520458601"/>
      <w:bookmarkStart w:id="1843" w:name="_Toc520459555"/>
      <w:bookmarkStart w:id="1844" w:name="_Toc520461471"/>
      <w:bookmarkStart w:id="1845" w:name="_Toc520461833"/>
      <w:bookmarkStart w:id="1846" w:name="_Toc520466861"/>
      <w:bookmarkStart w:id="1847" w:name="_Toc520469898"/>
      <w:bookmarkStart w:id="1848" w:name="_Toc520705356"/>
      <w:bookmarkStart w:id="1849" w:name="_Toc520707720"/>
      <w:bookmarkStart w:id="1850" w:name="_Toc520716736"/>
      <w:bookmarkStart w:id="1851" w:name="_Toc520720382"/>
      <w:bookmarkStart w:id="1852" w:name="_Toc520721633"/>
      <w:bookmarkStart w:id="1853" w:name="_Toc520724166"/>
      <w:bookmarkStart w:id="1854" w:name="_Toc520735271"/>
      <w:bookmarkStart w:id="1855" w:name="_Toc520736304"/>
      <w:bookmarkStart w:id="1856" w:name="_Toc520736723"/>
      <w:r>
        <w:lastRenderedPageBreak/>
        <w:t>References</w:t>
      </w:r>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p>
    <w:p w14:paraId="460AA430" w14:textId="2ACCEA41" w:rsidR="008D11B4" w:rsidRDefault="00137D0E" w:rsidP="008D11B4">
      <w:r w:rsidRPr="00137D0E">
        <w:rPr>
          <w:b/>
        </w:rPr>
        <w:t>Clean Energy Regulator (</w:t>
      </w:r>
      <w:r w:rsidR="008D11B4" w:rsidRPr="00137D0E">
        <w:rPr>
          <w:b/>
        </w:rPr>
        <w:t>CER</w:t>
      </w:r>
      <w:r>
        <w:rPr>
          <w:b/>
        </w:rPr>
        <w:t>)</w:t>
      </w:r>
      <w:r w:rsidR="008D11B4" w:rsidRPr="004143D9">
        <w:rPr>
          <w:b/>
        </w:rPr>
        <w:t xml:space="preserve"> 2018</w:t>
      </w:r>
      <w:r w:rsidR="00402848">
        <w:rPr>
          <w:b/>
        </w:rPr>
        <w:t>a</w:t>
      </w:r>
      <w:r w:rsidR="008D11B4" w:rsidRPr="00263F53">
        <w:rPr>
          <w:b/>
        </w:rPr>
        <w:t>,</w:t>
      </w:r>
      <w:r w:rsidR="008D11B4">
        <w:t xml:space="preserve"> </w:t>
      </w:r>
      <w:r w:rsidR="008D11B4" w:rsidRPr="00C5358A">
        <w:rPr>
          <w:i/>
        </w:rPr>
        <w:t>2016-17 Safeguard facilities reported emissions</w:t>
      </w:r>
      <w:r w:rsidR="008D11B4" w:rsidRPr="00566568">
        <w:t xml:space="preserve">, </w:t>
      </w:r>
      <w:r w:rsidRPr="00566568">
        <w:t>CER</w:t>
      </w:r>
      <w:r>
        <w:t xml:space="preserve">, Canberra, </w:t>
      </w:r>
      <w:r w:rsidR="008D11B4" w:rsidRPr="00566568">
        <w:t>viewed</w:t>
      </w:r>
      <w:r w:rsidR="008D11B4">
        <w:t xml:space="preserve"> 26 July 2018,</w:t>
      </w:r>
      <w:r w:rsidR="00551867">
        <w:t xml:space="preserve"> </w:t>
      </w:r>
      <w:hyperlink r:id="rId38" w:history="1">
        <w:r w:rsidR="00551867">
          <w:rPr>
            <w:rStyle w:val="Hyperlink"/>
          </w:rPr>
          <w:t>http://www.cleanenergyregulator.gov.au/NGER/National%20greenhouse%20and%20energy%20reporting%20data/safeguard-facility-reported-emissions/safeguard-facility-emissions-2016-17</w:t>
        </w:r>
      </w:hyperlink>
      <w:r w:rsidR="008D11B4">
        <w:t>.</w:t>
      </w:r>
    </w:p>
    <w:p w14:paraId="21499E61" w14:textId="50862217" w:rsidR="008D11B4" w:rsidRDefault="008D11B4" w:rsidP="008D11B4">
      <w:r w:rsidRPr="00A10044">
        <w:rPr>
          <w:b/>
        </w:rPr>
        <w:t>CER 2018</w:t>
      </w:r>
      <w:r w:rsidR="00402848">
        <w:rPr>
          <w:b/>
        </w:rPr>
        <w:t>b</w:t>
      </w:r>
      <w:r w:rsidRPr="00263F53">
        <w:rPr>
          <w:b/>
        </w:rPr>
        <w:t>,</w:t>
      </w:r>
      <w:r>
        <w:t xml:space="preserve"> </w:t>
      </w:r>
      <w:r w:rsidRPr="002B7975">
        <w:rPr>
          <w:i/>
        </w:rPr>
        <w:t>2016-17 Safeguard facility data</w:t>
      </w:r>
      <w:r>
        <w:t xml:space="preserve">, </w:t>
      </w:r>
      <w:r w:rsidR="00551867">
        <w:t xml:space="preserve">viewed </w:t>
      </w:r>
      <w:r>
        <w:t>28 June 2018</w:t>
      </w:r>
      <w:r w:rsidR="00137D0E" w:rsidRPr="00566568">
        <w:t>, CER</w:t>
      </w:r>
      <w:r w:rsidR="00137D0E">
        <w:t>, Canberra</w:t>
      </w:r>
      <w:r w:rsidR="00CB21D4">
        <w:t xml:space="preserve">, </w:t>
      </w:r>
      <w:hyperlink r:id="rId39" w:history="1">
        <w:r w:rsidRPr="001971D4">
          <w:rPr>
            <w:rStyle w:val="Hyperlink"/>
          </w:rPr>
          <w:t>http://www.cleanenergyregulator.gov.au/DocumentAssets/Pages/2016-17-Safeguard-facility-data.aspx</w:t>
        </w:r>
      </w:hyperlink>
      <w:r>
        <w:t xml:space="preserve">. </w:t>
      </w:r>
    </w:p>
    <w:p w14:paraId="63702111" w14:textId="44D6B315" w:rsidR="008D11B4" w:rsidRPr="004677A3" w:rsidRDefault="008D11B4" w:rsidP="008D11B4">
      <w:r w:rsidRPr="004677A3">
        <w:rPr>
          <w:b/>
        </w:rPr>
        <w:t>CER 2018</w:t>
      </w:r>
      <w:r w:rsidR="00402848">
        <w:rPr>
          <w:b/>
        </w:rPr>
        <w:t>c</w:t>
      </w:r>
      <w:r w:rsidRPr="00263F53">
        <w:rPr>
          <w:b/>
        </w:rPr>
        <w:t>,</w:t>
      </w:r>
      <w:r>
        <w:t xml:space="preserve"> </w:t>
      </w:r>
      <w:r w:rsidRPr="00C5358A">
        <w:rPr>
          <w:i/>
        </w:rPr>
        <w:t>Baseline variation</w:t>
      </w:r>
      <w:r w:rsidR="00137D0E" w:rsidRPr="00566568">
        <w:t>, CER</w:t>
      </w:r>
      <w:r w:rsidR="00137D0E">
        <w:t>, Canberra</w:t>
      </w:r>
      <w:r w:rsidRPr="00566568">
        <w:t>, viewed</w:t>
      </w:r>
      <w:r>
        <w:t xml:space="preserve"> 6 July 2018, </w:t>
      </w:r>
      <w:hyperlink r:id="rId40" w:history="1">
        <w:r w:rsidRPr="001971D4">
          <w:rPr>
            <w:rStyle w:val="Hyperlink"/>
          </w:rPr>
          <w:t>http://www.cleanenergyregulator.gov.au/NGER/The-safeguard-mechanism/Baselines/Baseline-variation</w:t>
        </w:r>
      </w:hyperlink>
      <w:r>
        <w:t>.</w:t>
      </w:r>
    </w:p>
    <w:p w14:paraId="5FB18303" w14:textId="7BA10797" w:rsidR="008D11B4" w:rsidRDefault="008D11B4" w:rsidP="008D11B4">
      <w:r w:rsidRPr="00853E0E">
        <w:rPr>
          <w:b/>
        </w:rPr>
        <w:t>CER 2018</w:t>
      </w:r>
      <w:r w:rsidR="00402848">
        <w:rPr>
          <w:b/>
        </w:rPr>
        <w:t>d</w:t>
      </w:r>
      <w:r w:rsidRPr="00263F53">
        <w:rPr>
          <w:b/>
        </w:rPr>
        <w:t>,</w:t>
      </w:r>
      <w:r>
        <w:t xml:space="preserve"> </w:t>
      </w:r>
      <w:r w:rsidRPr="00C5358A">
        <w:rPr>
          <w:i/>
        </w:rPr>
        <w:t>Baselines</w:t>
      </w:r>
      <w:r w:rsidR="00137D0E" w:rsidRPr="00566568">
        <w:t>, CER</w:t>
      </w:r>
      <w:r w:rsidR="00137D0E">
        <w:t>, Canberra</w:t>
      </w:r>
      <w:r w:rsidRPr="00566568">
        <w:t>, viewed</w:t>
      </w:r>
      <w:r>
        <w:t xml:space="preserve"> 6 July 2017, </w:t>
      </w:r>
      <w:hyperlink r:id="rId41" w:history="1">
        <w:r w:rsidRPr="00AB01AF">
          <w:rPr>
            <w:rStyle w:val="Hyperlink"/>
          </w:rPr>
          <w:t>http://www.cleanenergyregulator.gov.au/NGER/The-safeguard-mechanism/Baselines</w:t>
        </w:r>
      </w:hyperlink>
      <w:r w:rsidRPr="00853E0E">
        <w:rPr>
          <w:rStyle w:val="Hyperlink"/>
          <w:color w:val="auto"/>
          <w:u w:val="none"/>
        </w:rPr>
        <w:t>.</w:t>
      </w:r>
    </w:p>
    <w:p w14:paraId="29B7B090" w14:textId="751AC6F6" w:rsidR="008D11B4" w:rsidRDefault="008D11B4" w:rsidP="008D11B4">
      <w:r w:rsidRPr="004143D9">
        <w:rPr>
          <w:b/>
        </w:rPr>
        <w:t>CER 2018</w:t>
      </w:r>
      <w:r w:rsidR="00402848">
        <w:rPr>
          <w:b/>
        </w:rPr>
        <w:t>e</w:t>
      </w:r>
      <w:r w:rsidRPr="00263F53">
        <w:rPr>
          <w:b/>
        </w:rPr>
        <w:t>,</w:t>
      </w:r>
      <w:r>
        <w:t xml:space="preserve"> </w:t>
      </w:r>
      <w:r w:rsidRPr="00C5358A">
        <w:rPr>
          <w:i/>
        </w:rPr>
        <w:t>Complying with NGER</w:t>
      </w:r>
      <w:r w:rsidRPr="00566568">
        <w:t>, CER</w:t>
      </w:r>
      <w:r>
        <w:t xml:space="preserve">, Canberra, viewed 26 July 2018, </w:t>
      </w:r>
      <w:hyperlink r:id="rId42" w:history="1">
        <w:r w:rsidR="00CB21D4">
          <w:rPr>
            <w:rStyle w:val="Hyperlink"/>
          </w:rPr>
          <w:t>http://www.cleanenergyregulator.gov.au/NGER/Reporting-cycle/Complying-with-NGER</w:t>
        </w:r>
      </w:hyperlink>
      <w:r>
        <w:t>.</w:t>
      </w:r>
    </w:p>
    <w:p w14:paraId="06FD5F0E" w14:textId="504A93ED" w:rsidR="008D11B4" w:rsidRDefault="008D11B4" w:rsidP="008D11B4">
      <w:r w:rsidRPr="004677A3">
        <w:rPr>
          <w:b/>
        </w:rPr>
        <w:t>CER 2018</w:t>
      </w:r>
      <w:r w:rsidR="00402848">
        <w:rPr>
          <w:b/>
        </w:rPr>
        <w:t>f</w:t>
      </w:r>
      <w:r w:rsidRPr="00263F53">
        <w:rPr>
          <w:b/>
        </w:rPr>
        <w:t>,</w:t>
      </w:r>
      <w:r>
        <w:t xml:space="preserve"> </w:t>
      </w:r>
      <w:r w:rsidRPr="00C5358A">
        <w:rPr>
          <w:i/>
        </w:rPr>
        <w:t>Current enforceable undertakings</w:t>
      </w:r>
      <w:r w:rsidR="00137D0E" w:rsidRPr="00566568">
        <w:t>, CER</w:t>
      </w:r>
      <w:r w:rsidR="00137D0E">
        <w:t>, Canberra</w:t>
      </w:r>
      <w:r w:rsidRPr="00566568">
        <w:t>, viewed</w:t>
      </w:r>
      <w:r>
        <w:t xml:space="preserve"> 6 July 2018, </w:t>
      </w:r>
      <w:hyperlink r:id="rId43" w:history="1">
        <w:r w:rsidRPr="00E5389D">
          <w:rPr>
            <w:rStyle w:val="Hyperlink"/>
          </w:rPr>
          <w:t>http://www.cleanenergyregulator.gov.au/About/Compliance-and-Enforcement/Compliance%20and%20enforcement%20action/enforceable-undertakings/Current-enforceable-undertakings</w:t>
        </w:r>
      </w:hyperlink>
    </w:p>
    <w:p w14:paraId="6679822C" w14:textId="40227B3D" w:rsidR="008D11B4" w:rsidRPr="00FC1591" w:rsidRDefault="008D11B4" w:rsidP="008D11B4">
      <w:pPr>
        <w:rPr>
          <w:color w:val="0000FF" w:themeColor="hyperlink"/>
          <w:u w:val="single"/>
        </w:rPr>
      </w:pPr>
      <w:r w:rsidRPr="00A10044">
        <w:rPr>
          <w:b/>
        </w:rPr>
        <w:t>CER 2018</w:t>
      </w:r>
      <w:r w:rsidR="00402848">
        <w:rPr>
          <w:b/>
        </w:rPr>
        <w:t>g</w:t>
      </w:r>
      <w:r w:rsidRPr="00263F53">
        <w:rPr>
          <w:b/>
        </w:rPr>
        <w:t>,</w:t>
      </w:r>
      <w:r>
        <w:t xml:space="preserve"> </w:t>
      </w:r>
      <w:r w:rsidRPr="002B7975">
        <w:rPr>
          <w:i/>
        </w:rPr>
        <w:t>Greenhouse and energy information for designated generation facilities 2016-17</w:t>
      </w:r>
      <w:r>
        <w:t xml:space="preserve">, </w:t>
      </w:r>
      <w:r w:rsidR="00CB21D4">
        <w:t xml:space="preserve">viewed </w:t>
      </w:r>
      <w:r>
        <w:t>28 February 2018</w:t>
      </w:r>
      <w:r w:rsidR="00137D0E" w:rsidRPr="00566568">
        <w:t>, CER</w:t>
      </w:r>
      <w:r w:rsidR="00137D0E">
        <w:t>, Canberra</w:t>
      </w:r>
      <w:r w:rsidR="00CB21D4">
        <w:t>,</w:t>
      </w:r>
      <w:r>
        <w:t xml:space="preserve"> </w:t>
      </w:r>
      <w:hyperlink r:id="rId44" w:history="1">
        <w:r w:rsidRPr="001971D4">
          <w:rPr>
            <w:rStyle w:val="Hyperlink"/>
          </w:rPr>
          <w:t>http://www.cleanenergyregulator.gov.au/NGER/National%20greenhouse%20and%20energy%20reporting%20data/electricity-sector-emissions-and-generation-data/electricity-sector-emissions-and-generation-data-2016-17</w:t>
        </w:r>
      </w:hyperlink>
      <w:r>
        <w:tab/>
      </w:r>
    </w:p>
    <w:p w14:paraId="5725CF7D" w14:textId="05DEA3A3" w:rsidR="008D11B4" w:rsidRDefault="008D11B4" w:rsidP="008D11B4">
      <w:r w:rsidRPr="004677A3">
        <w:rPr>
          <w:b/>
        </w:rPr>
        <w:t>CER 2018</w:t>
      </w:r>
      <w:r w:rsidR="00F23C72">
        <w:rPr>
          <w:b/>
        </w:rPr>
        <w:t>h</w:t>
      </w:r>
      <w:r w:rsidRPr="00263F53">
        <w:rPr>
          <w:b/>
        </w:rPr>
        <w:t>,</w:t>
      </w:r>
      <w:r>
        <w:t xml:space="preserve"> </w:t>
      </w:r>
      <w:r w:rsidRPr="00C5358A">
        <w:rPr>
          <w:i/>
        </w:rPr>
        <w:t>Managing excess emissions</w:t>
      </w:r>
      <w:r w:rsidR="00137D0E" w:rsidRPr="00566568">
        <w:t>, CER</w:t>
      </w:r>
      <w:r w:rsidR="00137D0E">
        <w:t>, Canberra</w:t>
      </w:r>
      <w:r w:rsidRPr="00566568">
        <w:t>, viewed</w:t>
      </w:r>
      <w:r>
        <w:t xml:space="preserve"> 6 July 2018, </w:t>
      </w:r>
      <w:hyperlink r:id="rId45" w:history="1">
        <w:r w:rsidRPr="001971D4">
          <w:rPr>
            <w:rStyle w:val="Hyperlink"/>
          </w:rPr>
          <w:t>http://www.cleanenergyregulator.gov.au/NGER/The-safeguard-mechanism/Managing-excess-emissions</w:t>
        </w:r>
      </w:hyperlink>
      <w:r>
        <w:t xml:space="preserve">. </w:t>
      </w:r>
    </w:p>
    <w:p w14:paraId="6C6FBA0F" w14:textId="49385AD6" w:rsidR="008D11B4" w:rsidRDefault="008D11B4" w:rsidP="008D11B4">
      <w:r w:rsidRPr="004677A3">
        <w:rPr>
          <w:b/>
        </w:rPr>
        <w:t>CER 2018</w:t>
      </w:r>
      <w:r w:rsidR="00F23C72">
        <w:rPr>
          <w:b/>
        </w:rPr>
        <w:t>i</w:t>
      </w:r>
      <w:r w:rsidRPr="00263F53">
        <w:rPr>
          <w:b/>
        </w:rPr>
        <w:t>,</w:t>
      </w:r>
      <w:r>
        <w:t xml:space="preserve"> </w:t>
      </w:r>
      <w:r w:rsidRPr="00C5358A">
        <w:rPr>
          <w:i/>
        </w:rPr>
        <w:t>Multi-year monitoring period</w:t>
      </w:r>
      <w:r w:rsidR="00137D0E" w:rsidRPr="00566568">
        <w:t>, CER</w:t>
      </w:r>
      <w:r w:rsidR="00137D0E">
        <w:t>, Canberra</w:t>
      </w:r>
      <w:r w:rsidRPr="00566568">
        <w:t>, viewed</w:t>
      </w:r>
      <w:r>
        <w:t xml:space="preserve"> 6 July 2018, </w:t>
      </w:r>
      <w:hyperlink r:id="rId46" w:history="1">
        <w:r w:rsidRPr="001971D4">
          <w:rPr>
            <w:rStyle w:val="Hyperlink"/>
          </w:rPr>
          <w:t>http://www.cleanenergyregulator.gov.au/NGER/The-safeguard-mechanism/Managing-excess-emissions/multi-year-monitoring-period</w:t>
        </w:r>
      </w:hyperlink>
      <w:r>
        <w:t xml:space="preserve">. </w:t>
      </w:r>
    </w:p>
    <w:p w14:paraId="1541BCE6" w14:textId="1201AD8B" w:rsidR="008D11B4" w:rsidRDefault="008D11B4" w:rsidP="008D11B4">
      <w:r w:rsidRPr="00E52BD5">
        <w:rPr>
          <w:b/>
        </w:rPr>
        <w:t>CER 2018</w:t>
      </w:r>
      <w:r w:rsidR="00F23C72">
        <w:rPr>
          <w:b/>
        </w:rPr>
        <w:t>j</w:t>
      </w:r>
      <w:r w:rsidRPr="00263F53">
        <w:rPr>
          <w:b/>
        </w:rPr>
        <w:t>,</w:t>
      </w:r>
      <w:r>
        <w:t xml:space="preserve"> personal communication, 10 July 2018. </w:t>
      </w:r>
    </w:p>
    <w:p w14:paraId="335C9DA0" w14:textId="656B7341" w:rsidR="008D11B4" w:rsidRPr="004677A3" w:rsidRDefault="008D11B4" w:rsidP="008D11B4">
      <w:r w:rsidRPr="007E05C1">
        <w:rPr>
          <w:b/>
        </w:rPr>
        <w:t>CER 2018</w:t>
      </w:r>
      <w:r w:rsidR="00F23C72">
        <w:rPr>
          <w:b/>
        </w:rPr>
        <w:t>k</w:t>
      </w:r>
      <w:r w:rsidRPr="00263F53">
        <w:rPr>
          <w:b/>
        </w:rPr>
        <w:t>,</w:t>
      </w:r>
      <w:r>
        <w:t xml:space="preserve"> p</w:t>
      </w:r>
      <w:r w:rsidRPr="004677A3">
        <w:t>ersonal communication</w:t>
      </w:r>
      <w:r>
        <w:t>, 11 May 2018.</w:t>
      </w:r>
    </w:p>
    <w:p w14:paraId="64897054" w14:textId="0F9F72B4" w:rsidR="00453F10" w:rsidRPr="004677A3" w:rsidRDefault="00453F10" w:rsidP="00453F10">
      <w:r w:rsidRPr="007E05C1">
        <w:rPr>
          <w:b/>
        </w:rPr>
        <w:t>CER 2018</w:t>
      </w:r>
      <w:r w:rsidR="00C07B1A">
        <w:rPr>
          <w:b/>
        </w:rPr>
        <w:t>l</w:t>
      </w:r>
      <w:r w:rsidRPr="00263F53">
        <w:rPr>
          <w:b/>
        </w:rPr>
        <w:t>,</w:t>
      </w:r>
      <w:r>
        <w:t xml:space="preserve"> p</w:t>
      </w:r>
      <w:r w:rsidRPr="004677A3">
        <w:t>ersonal communication</w:t>
      </w:r>
      <w:r w:rsidR="00C07B1A">
        <w:t>, 15</w:t>
      </w:r>
      <w:r>
        <w:t xml:space="preserve"> May 2018.</w:t>
      </w:r>
    </w:p>
    <w:p w14:paraId="2B158E4C" w14:textId="6F40D61E" w:rsidR="00C230BE" w:rsidRPr="004677A3" w:rsidRDefault="00C230BE" w:rsidP="00453F10">
      <w:r w:rsidRPr="00263F53">
        <w:rPr>
          <w:b/>
        </w:rPr>
        <w:lastRenderedPageBreak/>
        <w:t>CER 2018</w:t>
      </w:r>
      <w:r w:rsidR="00CB21D4" w:rsidRPr="00C5358A">
        <w:rPr>
          <w:b/>
        </w:rPr>
        <w:t>m,</w:t>
      </w:r>
      <w:r w:rsidR="00CB21D4">
        <w:t xml:space="preserve"> </w:t>
      </w:r>
      <w:r>
        <w:t>personal communication, 16 July 2018.</w:t>
      </w:r>
    </w:p>
    <w:p w14:paraId="7B9F36DD" w14:textId="797439BC" w:rsidR="00C30E85" w:rsidRDefault="00C30E85" w:rsidP="00C30E85">
      <w:r w:rsidRPr="004143D9">
        <w:rPr>
          <w:b/>
        </w:rPr>
        <w:t xml:space="preserve">CER </w:t>
      </w:r>
      <w:r w:rsidR="00CB21D4">
        <w:rPr>
          <w:b/>
        </w:rPr>
        <w:t>2018n</w:t>
      </w:r>
      <w:r w:rsidRPr="00C5358A">
        <w:rPr>
          <w:b/>
        </w:rPr>
        <w:t>,</w:t>
      </w:r>
      <w:r>
        <w:t xml:space="preserve"> </w:t>
      </w:r>
      <w:r>
        <w:rPr>
          <w:i/>
        </w:rPr>
        <w:t>Register of Greenhouse and Energy Auditors</w:t>
      </w:r>
      <w:r>
        <w:t xml:space="preserve">, </w:t>
      </w:r>
      <w:r w:rsidR="00CB21D4">
        <w:t xml:space="preserve">viewed </w:t>
      </w:r>
      <w:r>
        <w:t>21 May 2018</w:t>
      </w:r>
      <w:r w:rsidRPr="00566568">
        <w:t>, CER</w:t>
      </w:r>
      <w:r>
        <w:t>, Canberra</w:t>
      </w:r>
      <w:r w:rsidR="00CB21D4">
        <w:t>,</w:t>
      </w:r>
      <w:r>
        <w:t xml:space="preserve"> </w:t>
      </w:r>
      <w:hyperlink r:id="rId47" w:history="1">
        <w:r w:rsidRPr="00D5008D">
          <w:rPr>
            <w:rStyle w:val="Hyperlink"/>
          </w:rPr>
          <w:t>http://www.cleanenergyregulator.gov.au/DocumentAssets/Pages/Register-of-Greenhouse-and-Energy-Auditors.aspx</w:t>
        </w:r>
      </w:hyperlink>
      <w:r>
        <w:t>.</w:t>
      </w:r>
    </w:p>
    <w:p w14:paraId="4131E048" w14:textId="66F1A951" w:rsidR="008D11B4" w:rsidRDefault="008D11B4" w:rsidP="008D11B4">
      <w:r w:rsidRPr="004143D9">
        <w:rPr>
          <w:b/>
        </w:rPr>
        <w:t xml:space="preserve">CER </w:t>
      </w:r>
      <w:r w:rsidR="00CB21D4" w:rsidRPr="005855F9">
        <w:rPr>
          <w:b/>
        </w:rPr>
        <w:t>2018</w:t>
      </w:r>
      <w:r w:rsidR="00CB21D4">
        <w:rPr>
          <w:b/>
        </w:rPr>
        <w:t>o</w:t>
      </w:r>
      <w:r w:rsidRPr="00263F53">
        <w:rPr>
          <w:b/>
        </w:rPr>
        <w:t>,</w:t>
      </w:r>
      <w:r>
        <w:t xml:space="preserve"> </w:t>
      </w:r>
      <w:r w:rsidRPr="00C5358A">
        <w:rPr>
          <w:i/>
        </w:rPr>
        <w:t>Reporting thresholds</w:t>
      </w:r>
      <w:r w:rsidR="00137D0E" w:rsidRPr="00566568">
        <w:t>, CER</w:t>
      </w:r>
      <w:r w:rsidR="00137D0E">
        <w:t>, Canberra</w:t>
      </w:r>
      <w:r w:rsidRPr="00566568">
        <w:t>, viewed</w:t>
      </w:r>
      <w:r w:rsidRPr="00003CBF">
        <w:t xml:space="preserve"> 11 May</w:t>
      </w:r>
      <w:r>
        <w:t xml:space="preserve"> 2018</w:t>
      </w:r>
      <w:r w:rsidRPr="00003CBF">
        <w:t>,</w:t>
      </w:r>
      <w:r>
        <w:t xml:space="preserve"> </w:t>
      </w:r>
      <w:hyperlink r:id="rId48" w:history="1">
        <w:r w:rsidRPr="00E378DD">
          <w:rPr>
            <w:rStyle w:val="Hyperlink"/>
          </w:rPr>
          <w:t>http://www.cleanenergyregulator.gov.au/NGER/Reporting-cycle/Assess-your-obligations/Reporting-thresholds</w:t>
        </w:r>
      </w:hyperlink>
    </w:p>
    <w:p w14:paraId="31760246" w14:textId="6DE9C916" w:rsidR="008D11B4" w:rsidRDefault="008D11B4" w:rsidP="008D11B4">
      <w:r w:rsidRPr="004143D9">
        <w:rPr>
          <w:b/>
        </w:rPr>
        <w:t xml:space="preserve">CER </w:t>
      </w:r>
      <w:r w:rsidR="00CB21D4" w:rsidRPr="005855F9">
        <w:rPr>
          <w:b/>
        </w:rPr>
        <w:t>2018</w:t>
      </w:r>
      <w:r w:rsidR="00CB21D4">
        <w:rPr>
          <w:b/>
        </w:rPr>
        <w:t>p</w:t>
      </w:r>
      <w:r w:rsidRPr="00263F53">
        <w:rPr>
          <w:b/>
        </w:rPr>
        <w:t>,</w:t>
      </w:r>
      <w:r>
        <w:t xml:space="preserve"> </w:t>
      </w:r>
      <w:r w:rsidRPr="00566568">
        <w:rPr>
          <w:i/>
        </w:rPr>
        <w:t>Safeguard baselines table</w:t>
      </w:r>
      <w:r>
        <w:t xml:space="preserve">, </w:t>
      </w:r>
      <w:r w:rsidR="00CB21D4">
        <w:t xml:space="preserve">viewed </w:t>
      </w:r>
      <w:r>
        <w:t>28 June 2018</w:t>
      </w:r>
      <w:r w:rsidR="00137D0E" w:rsidRPr="00566568">
        <w:t>, CER</w:t>
      </w:r>
      <w:r w:rsidR="00137D0E">
        <w:t>, Canberra</w:t>
      </w:r>
      <w:r w:rsidR="00CB21D4">
        <w:t>,</w:t>
      </w:r>
      <w:r>
        <w:t xml:space="preserve"> </w:t>
      </w:r>
      <w:hyperlink r:id="rId49" w:history="1">
        <w:r w:rsidRPr="00E378DD">
          <w:rPr>
            <w:rStyle w:val="Hyperlink"/>
          </w:rPr>
          <w:t>http://www.cleanenergyregulator.gov.au/NGER/National%20greenhouse%20and%20energy%20reporting%20data/Safeguard-baselines-table</w:t>
        </w:r>
      </w:hyperlink>
      <w:r>
        <w:t>.</w:t>
      </w:r>
    </w:p>
    <w:p w14:paraId="17420249" w14:textId="356A3D4C" w:rsidR="008D11B4" w:rsidRDefault="008D11B4" w:rsidP="008D11B4">
      <w:r w:rsidRPr="00971C2A">
        <w:rPr>
          <w:b/>
        </w:rPr>
        <w:t>CER 2017</w:t>
      </w:r>
      <w:r w:rsidR="00402848">
        <w:rPr>
          <w:b/>
        </w:rPr>
        <w:t>a</w:t>
      </w:r>
      <w:r w:rsidRPr="00971C2A">
        <w:rPr>
          <w:b/>
        </w:rPr>
        <w:t>,</w:t>
      </w:r>
      <w:r>
        <w:t xml:space="preserve"> </w:t>
      </w:r>
      <w:r w:rsidRPr="00C5358A">
        <w:rPr>
          <w:i/>
        </w:rPr>
        <w:t>Clean Energy Regulator Client Portal - Facility Totals Report for EERS 2016-2017</w:t>
      </w:r>
      <w:r w:rsidR="00402848" w:rsidRPr="00566568">
        <w:t>, CER</w:t>
      </w:r>
      <w:r w:rsidR="00402848">
        <w:t>, Canberra,</w:t>
      </w:r>
      <w:r w:rsidRPr="00566568">
        <w:t xml:space="preserve"> viewed</w:t>
      </w:r>
      <w:r>
        <w:t xml:space="preserve"> 26 July 2018,</w:t>
      </w:r>
      <w:r w:rsidR="0083743A">
        <w:t xml:space="preserve"> </w:t>
      </w:r>
      <w:hyperlink r:id="rId50" w:history="1">
        <w:r w:rsidR="0083743A" w:rsidRPr="00FE088C">
          <w:rPr>
            <w:rStyle w:val="Hyperlink"/>
          </w:rPr>
          <w:t>http://www.cleanenergyregulator.gov.au/OSR/CP</w:t>
        </w:r>
      </w:hyperlink>
      <w:r>
        <w:t>.</w:t>
      </w:r>
    </w:p>
    <w:p w14:paraId="5A5E6F9A" w14:textId="47BE6493" w:rsidR="008D11B4" w:rsidRDefault="008D11B4" w:rsidP="008D11B4">
      <w:r w:rsidRPr="00DE0EAD">
        <w:rPr>
          <w:b/>
        </w:rPr>
        <w:t>CER 2017</w:t>
      </w:r>
      <w:r w:rsidR="00402848">
        <w:rPr>
          <w:b/>
        </w:rPr>
        <w:t>b</w:t>
      </w:r>
      <w:r w:rsidRPr="00263F53">
        <w:rPr>
          <w:b/>
        </w:rPr>
        <w:t>,</w:t>
      </w:r>
      <w:r>
        <w:t xml:space="preserve"> </w:t>
      </w:r>
      <w:r w:rsidRPr="00C5358A">
        <w:rPr>
          <w:i/>
        </w:rPr>
        <w:t>Compliance Priorities 2017</w:t>
      </w:r>
      <w:r w:rsidR="00402848" w:rsidRPr="00566568">
        <w:t>, CER</w:t>
      </w:r>
      <w:r w:rsidR="00402848">
        <w:t>, Canberra</w:t>
      </w:r>
      <w:r>
        <w:t xml:space="preserve">, viewed 6 July 2018, </w:t>
      </w:r>
      <w:hyperlink r:id="rId51" w:history="1">
        <w:r w:rsidRPr="001971D4">
          <w:rPr>
            <w:rStyle w:val="Hyperlink"/>
          </w:rPr>
          <w:t>http://www.cleanenergyregulator.gov.au/About/Compliance-and-Enforcement/compliance-priorities-2017</w:t>
        </w:r>
      </w:hyperlink>
      <w:r>
        <w:t xml:space="preserve">. </w:t>
      </w:r>
    </w:p>
    <w:p w14:paraId="30F0CA72" w14:textId="6E253EAE" w:rsidR="008D11B4" w:rsidRDefault="008D11B4" w:rsidP="008D11B4">
      <w:r w:rsidRPr="00E52BD5">
        <w:rPr>
          <w:b/>
        </w:rPr>
        <w:t>CER 2017</w:t>
      </w:r>
      <w:r w:rsidR="00402848">
        <w:rPr>
          <w:b/>
        </w:rPr>
        <w:t>c</w:t>
      </w:r>
      <w:r w:rsidRPr="00263F53">
        <w:rPr>
          <w:b/>
        </w:rPr>
        <w:t>,</w:t>
      </w:r>
      <w:r>
        <w:t xml:space="preserve"> </w:t>
      </w:r>
      <w:r w:rsidRPr="00C5358A">
        <w:rPr>
          <w:i/>
        </w:rPr>
        <w:t>Compliance, education and enforcement policy</w:t>
      </w:r>
      <w:r w:rsidR="00402848" w:rsidRPr="00566568">
        <w:t>, CER</w:t>
      </w:r>
      <w:r w:rsidR="00402848">
        <w:t>, Canberra</w:t>
      </w:r>
      <w:r w:rsidRPr="00566568">
        <w:t>, viewed</w:t>
      </w:r>
      <w:r w:rsidRPr="00E52BD5">
        <w:t xml:space="preserve"> 6 July 2017, </w:t>
      </w:r>
      <w:hyperlink r:id="rId52" w:history="1">
        <w:r w:rsidRPr="001E040A">
          <w:rPr>
            <w:rStyle w:val="Hyperlink"/>
          </w:rPr>
          <w:t>http://www.cleanenergyregulator.gov.au/About/Policies-and-publications/Compliance-education-and-enforcement-policy</w:t>
        </w:r>
      </w:hyperlink>
      <w:r w:rsidRPr="00E52BD5">
        <w:rPr>
          <w:rStyle w:val="Hyperlink"/>
          <w:color w:val="auto"/>
          <w:u w:val="none"/>
        </w:rPr>
        <w:t>.</w:t>
      </w:r>
    </w:p>
    <w:p w14:paraId="2143527D" w14:textId="25E28CE7" w:rsidR="008D11B4" w:rsidRDefault="008D11B4" w:rsidP="008D11B4">
      <w:r>
        <w:rPr>
          <w:b/>
        </w:rPr>
        <w:t>CER 2016</w:t>
      </w:r>
      <w:r w:rsidR="00402848">
        <w:rPr>
          <w:b/>
        </w:rPr>
        <w:t>a</w:t>
      </w:r>
      <w:r w:rsidRPr="00263F53">
        <w:rPr>
          <w:b/>
        </w:rPr>
        <w:t>,</w:t>
      </w:r>
      <w:r w:rsidRPr="00003CBF">
        <w:t xml:space="preserve"> </w:t>
      </w:r>
      <w:r w:rsidRPr="00C5358A">
        <w:rPr>
          <w:i/>
        </w:rPr>
        <w:t>Register and deregister</w:t>
      </w:r>
      <w:r w:rsidR="00402848" w:rsidRPr="00566568">
        <w:t>, CER</w:t>
      </w:r>
      <w:r w:rsidR="00402848">
        <w:t>, Canberra</w:t>
      </w:r>
      <w:r w:rsidRPr="00566568">
        <w:t>, viewed</w:t>
      </w:r>
      <w:r w:rsidRPr="00003CBF">
        <w:t xml:space="preserve"> 11 May</w:t>
      </w:r>
      <w:r>
        <w:t xml:space="preserve"> 2018</w:t>
      </w:r>
      <w:r w:rsidRPr="00003CBF">
        <w:t xml:space="preserve">, </w:t>
      </w:r>
      <w:hyperlink r:id="rId53" w:history="1">
        <w:r w:rsidRPr="001971D4">
          <w:rPr>
            <w:rStyle w:val="Hyperlink"/>
          </w:rPr>
          <w:t>http://www.cleanenergyregulator.gov.au/NGER/Reporting-cycle/Register-and-deregister</w:t>
        </w:r>
      </w:hyperlink>
      <w:r>
        <w:t>.</w:t>
      </w:r>
    </w:p>
    <w:p w14:paraId="2EC03B23" w14:textId="7F443EC6" w:rsidR="008D11B4" w:rsidRDefault="008D11B4" w:rsidP="008D11B4">
      <w:r w:rsidRPr="00003CBF">
        <w:rPr>
          <w:b/>
        </w:rPr>
        <w:t>CER 2016</w:t>
      </w:r>
      <w:r w:rsidR="00402848">
        <w:rPr>
          <w:b/>
        </w:rPr>
        <w:t>b</w:t>
      </w:r>
      <w:r w:rsidRPr="00263F53">
        <w:rPr>
          <w:b/>
        </w:rPr>
        <w:t>,</w:t>
      </w:r>
      <w:r w:rsidRPr="00003CBF">
        <w:t xml:space="preserve"> </w:t>
      </w:r>
      <w:r w:rsidRPr="00C5358A">
        <w:rPr>
          <w:i/>
        </w:rPr>
        <w:t>Report</w:t>
      </w:r>
      <w:r w:rsidR="00402848" w:rsidRPr="00566568">
        <w:t>, CER</w:t>
      </w:r>
      <w:r w:rsidR="00402848">
        <w:t>, Canberra</w:t>
      </w:r>
      <w:r w:rsidRPr="00566568">
        <w:t>, viewed</w:t>
      </w:r>
      <w:r w:rsidRPr="00003CBF">
        <w:t xml:space="preserve"> 13 June </w:t>
      </w:r>
      <w:r>
        <w:t xml:space="preserve">2018, </w:t>
      </w:r>
      <w:hyperlink r:id="rId54" w:history="1">
        <w:r w:rsidRPr="001971D4">
          <w:rPr>
            <w:rStyle w:val="Hyperlink"/>
          </w:rPr>
          <w:t>http://www.cleanenergyregulator.gov.au/NGER/Reporting-cycle/Report</w:t>
        </w:r>
      </w:hyperlink>
      <w:r>
        <w:t>.</w:t>
      </w:r>
    </w:p>
    <w:p w14:paraId="1FA96A42" w14:textId="78292F5B" w:rsidR="008D11B4" w:rsidRDefault="008D11B4" w:rsidP="008D11B4">
      <w:r w:rsidRPr="00365761">
        <w:rPr>
          <w:b/>
        </w:rPr>
        <w:t>CER 2015</w:t>
      </w:r>
      <w:r w:rsidRPr="00263F53">
        <w:rPr>
          <w:b/>
        </w:rPr>
        <w:t>,</w:t>
      </w:r>
      <w:r>
        <w:t xml:space="preserve"> </w:t>
      </w:r>
      <w:r w:rsidRPr="00C5358A">
        <w:rPr>
          <w:i/>
        </w:rPr>
        <w:t>Internal review of decisions</w:t>
      </w:r>
      <w:r w:rsidR="00402848" w:rsidRPr="00566568">
        <w:t>, CER</w:t>
      </w:r>
      <w:r w:rsidR="00402848">
        <w:t>, Canberra</w:t>
      </w:r>
      <w:r w:rsidRPr="00566568">
        <w:t>, viewed</w:t>
      </w:r>
      <w:r w:rsidRPr="00E52BD5">
        <w:t xml:space="preserve"> 6 July 2017, </w:t>
      </w:r>
      <w:hyperlink r:id="rId55" w:history="1">
        <w:r w:rsidRPr="001971D4">
          <w:rPr>
            <w:rStyle w:val="Hyperlink"/>
          </w:rPr>
          <w:t>http://www.cleanenergyregulator.gov.au/About/Internal-Review-of-Decisions</w:t>
        </w:r>
      </w:hyperlink>
      <w:r>
        <w:t>.</w:t>
      </w:r>
    </w:p>
    <w:p w14:paraId="1F3924C0" w14:textId="2AB3E26A" w:rsidR="008D11B4" w:rsidRDefault="008D11B4" w:rsidP="008D11B4">
      <w:r w:rsidRPr="004143D9">
        <w:rPr>
          <w:b/>
        </w:rPr>
        <w:t>CER n.d</w:t>
      </w:r>
      <w:r w:rsidRPr="005855F9">
        <w:rPr>
          <w:b/>
        </w:rPr>
        <w:t>.</w:t>
      </w:r>
      <w:r w:rsidR="00F3114D">
        <w:rPr>
          <w:b/>
        </w:rPr>
        <w:t>a</w:t>
      </w:r>
      <w:r>
        <w:rPr>
          <w:b/>
        </w:rPr>
        <w:t>,</w:t>
      </w:r>
      <w:r>
        <w:t xml:space="preserve"> </w:t>
      </w:r>
      <w:r w:rsidRPr="00566568">
        <w:rPr>
          <w:i/>
        </w:rPr>
        <w:t>Guideline: Manner and Form: Sections 19, 22G and 22X reports</w:t>
      </w:r>
      <w:r w:rsidR="00402848" w:rsidRPr="00566568">
        <w:t>, CER</w:t>
      </w:r>
      <w:r w:rsidR="00402848">
        <w:t>, Canberra</w:t>
      </w:r>
      <w:r w:rsidR="0083743A">
        <w:t xml:space="preserve">, </w:t>
      </w:r>
      <w:hyperlink r:id="rId56" w:history="1">
        <w:r w:rsidRPr="00E378DD">
          <w:rPr>
            <w:rStyle w:val="Hyperlink"/>
          </w:rPr>
          <w:t>http://www.cleanenergyregulator.gov.au/DocumentAssets/Documents/Guideline%20-%20Manner%20and%20Form%20Sections%2019%2022G%20and%2022X%20reports.pdf</w:t>
        </w:r>
      </w:hyperlink>
      <w:r>
        <w:t>.</w:t>
      </w:r>
    </w:p>
    <w:p w14:paraId="6E43A5A6" w14:textId="51AC2508" w:rsidR="008D11B4" w:rsidRPr="004677A3" w:rsidRDefault="008D11B4" w:rsidP="008D11B4">
      <w:r w:rsidRPr="002B7975">
        <w:rPr>
          <w:b/>
        </w:rPr>
        <w:t>CER n.d.</w:t>
      </w:r>
      <w:r w:rsidR="00F3114D">
        <w:rPr>
          <w:b/>
        </w:rPr>
        <w:t>b</w:t>
      </w:r>
      <w:r w:rsidRPr="00263F53">
        <w:rPr>
          <w:b/>
        </w:rPr>
        <w:t>,</w:t>
      </w:r>
      <w:r>
        <w:t xml:space="preserve"> </w:t>
      </w:r>
      <w:r w:rsidRPr="002B7975">
        <w:rPr>
          <w:i/>
        </w:rPr>
        <w:t>Safeguard mechanism workshop</w:t>
      </w:r>
      <w:r w:rsidR="00402848" w:rsidRPr="00566568">
        <w:t>, CER</w:t>
      </w:r>
      <w:r w:rsidR="00402848">
        <w:t>, Canberra</w:t>
      </w:r>
      <w:r w:rsidR="006D61B7">
        <w:t>,</w:t>
      </w:r>
      <w:r>
        <w:t xml:space="preserve"> </w:t>
      </w:r>
      <w:hyperlink r:id="rId57" w:history="1">
        <w:r w:rsidRPr="001971D4">
          <w:rPr>
            <w:rStyle w:val="Hyperlink"/>
          </w:rPr>
          <w:t>http://www.cleanenergyregulator.gov.au/DocumentAssets/Documents/Safeguard%20mechanism%20workshop%20presentation%202017.pdf</w:t>
        </w:r>
      </w:hyperlink>
      <w:r>
        <w:t xml:space="preserve">. </w:t>
      </w:r>
    </w:p>
    <w:p w14:paraId="292DC253" w14:textId="6FFAEA34" w:rsidR="008D11B4" w:rsidRDefault="008D11B4" w:rsidP="008D11B4">
      <w:r w:rsidRPr="00971C2A">
        <w:rPr>
          <w:b/>
        </w:rPr>
        <w:lastRenderedPageBreak/>
        <w:t>Climate and Clean Air Coalition (CCAC) 2016,</w:t>
      </w:r>
      <w:r>
        <w:t xml:space="preserve"> </w:t>
      </w:r>
      <w:r w:rsidRPr="00971C2A">
        <w:rPr>
          <w:i/>
        </w:rPr>
        <w:t>Marrakech Communiqu</w:t>
      </w:r>
      <w:r w:rsidRPr="00971C2A">
        <w:rPr>
          <w:rFonts w:cs="Arial"/>
          <w:i/>
        </w:rPr>
        <w:t>é</w:t>
      </w:r>
      <w:r w:rsidRPr="00971C2A">
        <w:rPr>
          <w:i/>
        </w:rPr>
        <w:t>,</w:t>
      </w:r>
      <w:r>
        <w:t xml:space="preserve"> CCAC, Marrakech</w:t>
      </w:r>
      <w:r w:rsidR="0083743A">
        <w:t>,</w:t>
      </w:r>
      <w:r w:rsidR="00E3780D">
        <w:t xml:space="preserve"> </w:t>
      </w:r>
      <w:hyperlink r:id="rId58" w:history="1">
        <w:r w:rsidR="00E3780D" w:rsidRPr="001971D4">
          <w:rPr>
            <w:rStyle w:val="Hyperlink"/>
          </w:rPr>
          <w:t>http://www.ccacoalition.org/en/resources/marrakech-communique</w:t>
        </w:r>
      </w:hyperlink>
      <w:r w:rsidR="00E3780D">
        <w:t xml:space="preserve">. </w:t>
      </w:r>
    </w:p>
    <w:p w14:paraId="470730DE" w14:textId="7F1E9C54" w:rsidR="008D11B4" w:rsidRDefault="008D11B4" w:rsidP="008D11B4">
      <w:r w:rsidRPr="004143D9">
        <w:rPr>
          <w:b/>
        </w:rPr>
        <w:t>C</w:t>
      </w:r>
      <w:r>
        <w:rPr>
          <w:b/>
        </w:rPr>
        <w:t>limate Change Authority, (C</w:t>
      </w:r>
      <w:r w:rsidRPr="004143D9">
        <w:rPr>
          <w:b/>
        </w:rPr>
        <w:t>CA</w:t>
      </w:r>
      <w:r>
        <w:rPr>
          <w:b/>
        </w:rPr>
        <w:t>)</w:t>
      </w:r>
      <w:r w:rsidRPr="004143D9">
        <w:rPr>
          <w:b/>
        </w:rPr>
        <w:t xml:space="preserve"> 2016</w:t>
      </w:r>
      <w:r w:rsidRPr="00263F53">
        <w:rPr>
          <w:b/>
        </w:rPr>
        <w:t>,</w:t>
      </w:r>
      <w:r>
        <w:t xml:space="preserve"> </w:t>
      </w:r>
      <w:r w:rsidRPr="004143D9">
        <w:rPr>
          <w:i/>
        </w:rPr>
        <w:t>Towards a climate policy toolkit: special review on Australia's climate goals and policies</w:t>
      </w:r>
      <w:r>
        <w:t xml:space="preserve">, </w:t>
      </w:r>
      <w:r w:rsidR="00402848">
        <w:t>Commonwealth of Australia, Canberra</w:t>
      </w:r>
      <w:r w:rsidR="0083743A">
        <w:t>,</w:t>
      </w:r>
      <w:r w:rsidR="00402848">
        <w:t xml:space="preserve"> </w:t>
      </w:r>
      <w:hyperlink r:id="rId59" w:history="1">
        <w:r w:rsidRPr="00E378DD">
          <w:rPr>
            <w:rStyle w:val="Hyperlink"/>
          </w:rPr>
          <w:t>http://www.climatechangeauthority.gov.au/sites/prod.climatechangeauthority.gov.au/files/files/Special%20review%20Report%203/Climate%20Change%20Authority%20Special%20Review%20Report%20Three.pdf</w:t>
        </w:r>
      </w:hyperlink>
      <w:r w:rsidR="00402848">
        <w:t>.</w:t>
      </w:r>
    </w:p>
    <w:p w14:paraId="6920DEF6" w14:textId="03D088F1" w:rsidR="002900E3" w:rsidRDefault="002900E3" w:rsidP="002900E3">
      <w:r w:rsidRPr="004143D9">
        <w:rPr>
          <w:b/>
        </w:rPr>
        <w:t xml:space="preserve">Commonwealth of </w:t>
      </w:r>
      <w:r w:rsidRPr="005855F9">
        <w:rPr>
          <w:b/>
        </w:rPr>
        <w:t>Australia</w:t>
      </w:r>
      <w:r w:rsidRPr="004143D9">
        <w:rPr>
          <w:b/>
        </w:rPr>
        <w:t xml:space="preserve"> 2014</w:t>
      </w:r>
      <w:r w:rsidRPr="00263F53">
        <w:rPr>
          <w:b/>
        </w:rPr>
        <w:t>,</w:t>
      </w:r>
      <w:r>
        <w:t xml:space="preserve"> </w:t>
      </w:r>
      <w:r w:rsidRPr="004143D9">
        <w:rPr>
          <w:i/>
        </w:rPr>
        <w:t>Emissions Reduction Fund White Paper</w:t>
      </w:r>
      <w:r>
        <w:t>, Commonwealth of Australia, Canberra</w:t>
      </w:r>
      <w:r w:rsidR="0083743A">
        <w:t>,</w:t>
      </w:r>
      <w:r w:rsidR="00E3780D">
        <w:t xml:space="preserve"> </w:t>
      </w:r>
      <w:hyperlink r:id="rId60" w:history="1">
        <w:r w:rsidR="00E3780D" w:rsidRPr="001971D4">
          <w:rPr>
            <w:rStyle w:val="Hyperlink"/>
          </w:rPr>
          <w:t>http://environment.gov.au/system/files/resources/1f98a924-5946-404c-9510-d440304280f1/files/emissions-reduction-fund-white-paper_0.pdf</w:t>
        </w:r>
      </w:hyperlink>
      <w:r w:rsidR="00E3780D">
        <w:t>.</w:t>
      </w:r>
    </w:p>
    <w:p w14:paraId="6FF29D97" w14:textId="72222624" w:rsidR="003056F4" w:rsidRDefault="003056F4" w:rsidP="003056F4">
      <w:r w:rsidRPr="00B20E2A">
        <w:rPr>
          <w:b/>
        </w:rPr>
        <w:t>COAG Energy Council 2018,</w:t>
      </w:r>
      <w:r>
        <w:t xml:space="preserve"> </w:t>
      </w:r>
      <w:r w:rsidRPr="001913BF">
        <w:rPr>
          <w:i/>
        </w:rPr>
        <w:t xml:space="preserve">Energy </w:t>
      </w:r>
      <w:r w:rsidR="00B20E2A" w:rsidRPr="001913BF">
        <w:rPr>
          <w:i/>
        </w:rPr>
        <w:t>Security</w:t>
      </w:r>
      <w:r w:rsidRPr="001913BF">
        <w:rPr>
          <w:i/>
        </w:rPr>
        <w:t xml:space="preserve"> Board National Energy Guarantee – Draft Detailed Design Consultation Paper</w:t>
      </w:r>
      <w:r>
        <w:t xml:space="preserve">, COAG Energy Council, Canberra. </w:t>
      </w:r>
    </w:p>
    <w:p w14:paraId="2376F0C4" w14:textId="749CA877" w:rsidR="00C90EAB" w:rsidRPr="00EF53FF" w:rsidRDefault="00F3114D" w:rsidP="00C90EAB">
      <w:r w:rsidRPr="00F3114D">
        <w:rPr>
          <w:b/>
        </w:rPr>
        <w:t>Department of the Environment and Energy (Do</w:t>
      </w:r>
      <w:r w:rsidR="002900E3" w:rsidRPr="00F3114D">
        <w:rPr>
          <w:b/>
        </w:rPr>
        <w:t>EE</w:t>
      </w:r>
      <w:r>
        <w:rPr>
          <w:b/>
        </w:rPr>
        <w:t>)</w:t>
      </w:r>
      <w:r w:rsidR="002900E3" w:rsidRPr="004143D9">
        <w:rPr>
          <w:b/>
        </w:rPr>
        <w:t xml:space="preserve"> </w:t>
      </w:r>
      <w:r w:rsidR="00C90EAB" w:rsidRPr="00263F53">
        <w:rPr>
          <w:b/>
        </w:rPr>
        <w:t>2018</w:t>
      </w:r>
      <w:r w:rsidR="0083743A">
        <w:rPr>
          <w:b/>
        </w:rPr>
        <w:t>a</w:t>
      </w:r>
      <w:r w:rsidR="0083743A" w:rsidRPr="00263F53">
        <w:rPr>
          <w:b/>
        </w:rPr>
        <w:t>,</w:t>
      </w:r>
      <w:r w:rsidR="0083743A">
        <w:t xml:space="preserve"> </w:t>
      </w:r>
      <w:r w:rsidR="00C90EAB" w:rsidRPr="00C90EAB">
        <w:rPr>
          <w:i/>
        </w:rPr>
        <w:t>Consultation on amendments to the National Greenhouse and Energy Reporting (Safeguard Mechanism) Rule 2015</w:t>
      </w:r>
      <w:r w:rsidR="00C90EAB">
        <w:t xml:space="preserve">, DoEE, Canberra, viewed 30 July 2018, </w:t>
      </w:r>
      <w:hyperlink r:id="rId61" w:history="1">
        <w:r w:rsidR="00C90EAB" w:rsidRPr="00FB074A">
          <w:rPr>
            <w:rStyle w:val="Hyperlink"/>
          </w:rPr>
          <w:t>http://www.environment.gov.au/climate-change/government/emissions-reduction-fund/consultation/safeguard-mechanism-legislative-amendments-2018</w:t>
        </w:r>
      </w:hyperlink>
      <w:r w:rsidR="00C90EAB">
        <w:t xml:space="preserve">. </w:t>
      </w:r>
    </w:p>
    <w:p w14:paraId="0AFD9DF5" w14:textId="2678A0A4" w:rsidR="002900E3" w:rsidRDefault="002900E3" w:rsidP="002900E3">
      <w:r w:rsidRPr="002900E3">
        <w:rPr>
          <w:b/>
        </w:rPr>
        <w:t xml:space="preserve">DoEE </w:t>
      </w:r>
      <w:r w:rsidR="0083743A" w:rsidRPr="002900E3">
        <w:rPr>
          <w:b/>
        </w:rPr>
        <w:t>2018</w:t>
      </w:r>
      <w:r w:rsidR="0083743A">
        <w:rPr>
          <w:b/>
        </w:rPr>
        <w:t>b</w:t>
      </w:r>
      <w:r w:rsidRPr="00263F53">
        <w:rPr>
          <w:b/>
        </w:rPr>
        <w:t>,</w:t>
      </w:r>
      <w:r>
        <w:t xml:space="preserve"> </w:t>
      </w:r>
      <w:r w:rsidRPr="00A51574">
        <w:rPr>
          <w:i/>
        </w:rPr>
        <w:t>National Inventory Report 2016 Volume 1</w:t>
      </w:r>
      <w:r>
        <w:t>, Commonwealth of Australia, Canberra</w:t>
      </w:r>
      <w:r w:rsidR="0083743A">
        <w:t>,</w:t>
      </w:r>
      <w:r>
        <w:t xml:space="preserve"> </w:t>
      </w:r>
      <w:r w:rsidR="00E3780D">
        <w:t xml:space="preserve"> </w:t>
      </w:r>
      <w:hyperlink r:id="rId62" w:history="1">
        <w:r w:rsidR="00E3780D" w:rsidRPr="001971D4">
          <w:rPr>
            <w:rStyle w:val="Hyperlink"/>
          </w:rPr>
          <w:t>http://www.environment.gov.au/system/files/resources/02bcfbd1-38b2-4e7c-88bd-b2b7624051da/files/national-inventory-report-2016-volume-1.pdf</w:t>
        </w:r>
      </w:hyperlink>
      <w:r w:rsidR="00E3780D">
        <w:t>.</w:t>
      </w:r>
    </w:p>
    <w:p w14:paraId="230A0896" w14:textId="4273512F" w:rsidR="002900E3" w:rsidRDefault="00F3114D" w:rsidP="002900E3">
      <w:r>
        <w:rPr>
          <w:b/>
        </w:rPr>
        <w:t>Do</w:t>
      </w:r>
      <w:r w:rsidR="002900E3" w:rsidRPr="004143D9">
        <w:rPr>
          <w:b/>
        </w:rPr>
        <w:t>EE 2017</w:t>
      </w:r>
      <w:r>
        <w:rPr>
          <w:b/>
        </w:rPr>
        <w:t>a</w:t>
      </w:r>
      <w:r w:rsidR="002900E3" w:rsidRPr="00263F53">
        <w:rPr>
          <w:b/>
        </w:rPr>
        <w:t>,</w:t>
      </w:r>
      <w:r w:rsidR="002900E3">
        <w:t xml:space="preserve"> </w:t>
      </w:r>
      <w:r w:rsidR="002900E3" w:rsidRPr="004143D9">
        <w:rPr>
          <w:i/>
        </w:rPr>
        <w:t>2017 Review of Climate Change Policies</w:t>
      </w:r>
      <w:r w:rsidR="002900E3">
        <w:t xml:space="preserve">, Commonwealth of Australia, Canberra, viewed 2 July 2018, </w:t>
      </w:r>
      <w:hyperlink r:id="rId63" w:history="1">
        <w:r w:rsidR="009C1FC3">
          <w:rPr>
            <w:rStyle w:val="Hyperlink"/>
          </w:rPr>
          <w:t>http://www.environment.gov.au/system/files/resources/18690271-59ac-43c8-aee1-92d930141f54/files/2017-review-of-climate-change-policies.pdf</w:t>
        </w:r>
      </w:hyperlink>
      <w:r w:rsidR="002900E3">
        <w:t>.</w:t>
      </w:r>
    </w:p>
    <w:p w14:paraId="6769EE5D" w14:textId="78898737" w:rsidR="00E3780D" w:rsidRDefault="002900E3" w:rsidP="002900E3">
      <w:r w:rsidRPr="00971C2A">
        <w:rPr>
          <w:b/>
        </w:rPr>
        <w:t>DoEE 2017</w:t>
      </w:r>
      <w:r w:rsidR="00F3114D">
        <w:rPr>
          <w:b/>
        </w:rPr>
        <w:t>b</w:t>
      </w:r>
      <w:r w:rsidRPr="00971C2A">
        <w:rPr>
          <w:b/>
        </w:rPr>
        <w:t>,</w:t>
      </w:r>
      <w:r>
        <w:t xml:space="preserve"> </w:t>
      </w:r>
      <w:r w:rsidR="00F3114D">
        <w:rPr>
          <w:i/>
        </w:rPr>
        <w:t>Australian Energy Update 2017</w:t>
      </w:r>
      <w:r w:rsidRPr="00971C2A">
        <w:rPr>
          <w:i/>
        </w:rPr>
        <w:t>,</w:t>
      </w:r>
      <w:r>
        <w:t xml:space="preserve"> </w:t>
      </w:r>
      <w:r w:rsidR="00E3780D">
        <w:t>Commonwealth of Australia</w:t>
      </w:r>
      <w:r>
        <w:t>, Canberra</w:t>
      </w:r>
      <w:r w:rsidR="006D61B7">
        <w:t>,</w:t>
      </w:r>
      <w:r w:rsidR="00E3780D">
        <w:t xml:space="preserve"> </w:t>
      </w:r>
      <w:hyperlink r:id="rId64" w:history="1">
        <w:r w:rsidR="00E3780D" w:rsidRPr="001971D4">
          <w:rPr>
            <w:rStyle w:val="Hyperlink"/>
          </w:rPr>
          <w:t>https://www.energy.gov.au/sites/g/files/net3411/f/energy-update-report-2017.pdf</w:t>
        </w:r>
      </w:hyperlink>
      <w:r w:rsidR="00E3780D">
        <w:t xml:space="preserve">.   </w:t>
      </w:r>
    </w:p>
    <w:p w14:paraId="797D61ED" w14:textId="7B8EE54F" w:rsidR="002900E3" w:rsidRDefault="002900E3" w:rsidP="002900E3">
      <w:r w:rsidRPr="00971C2A">
        <w:rPr>
          <w:b/>
        </w:rPr>
        <w:t>DoEE 2017</w:t>
      </w:r>
      <w:r w:rsidR="00FC1591">
        <w:rPr>
          <w:b/>
        </w:rPr>
        <w:t>c</w:t>
      </w:r>
      <w:r w:rsidRPr="00971C2A">
        <w:rPr>
          <w:b/>
        </w:rPr>
        <w:t>,</w:t>
      </w:r>
      <w:r>
        <w:t xml:space="preserve"> </w:t>
      </w:r>
      <w:r w:rsidRPr="00971C2A">
        <w:rPr>
          <w:i/>
        </w:rPr>
        <w:t>Quarterly Update of Australia's Greenhouse Gas Inventory: June 2017</w:t>
      </w:r>
      <w:r>
        <w:rPr>
          <w:i/>
        </w:rPr>
        <w:t xml:space="preserve">, </w:t>
      </w:r>
      <w:r w:rsidR="00E3780D">
        <w:t>Commonwealth of Australia</w:t>
      </w:r>
      <w:r w:rsidRPr="00971C2A">
        <w:t>, Canberra.</w:t>
      </w:r>
      <w:r w:rsidR="00E3780D">
        <w:t xml:space="preserve"> </w:t>
      </w:r>
      <w:hyperlink r:id="rId65" w:history="1">
        <w:r w:rsidR="00E3780D" w:rsidRPr="001971D4">
          <w:rPr>
            <w:rStyle w:val="Hyperlink"/>
          </w:rPr>
          <w:t>http://www.environment.gov.au/climate-change/climate-science-data/greenhouse-gas-measurement/publications/quarterly-update-australias-national-greenhouse-gas-inventory-jun-2017</w:t>
        </w:r>
      </w:hyperlink>
      <w:r w:rsidR="00E3780D">
        <w:t xml:space="preserve">. </w:t>
      </w:r>
    </w:p>
    <w:p w14:paraId="4AE7D784" w14:textId="47C55C56" w:rsidR="00F3114D" w:rsidRDefault="00F3114D" w:rsidP="002900E3">
      <w:r>
        <w:rPr>
          <w:b/>
        </w:rPr>
        <w:t>DoEE 2015</w:t>
      </w:r>
      <w:r w:rsidRPr="00263F53">
        <w:rPr>
          <w:b/>
        </w:rPr>
        <w:t>,</w:t>
      </w:r>
      <w:r w:rsidRPr="00765E88">
        <w:t xml:space="preserve"> </w:t>
      </w:r>
      <w:r w:rsidRPr="00765E88">
        <w:rPr>
          <w:i/>
        </w:rPr>
        <w:t>Safeguard mechanism design consultation paper</w:t>
      </w:r>
      <w:r w:rsidRPr="00765E88">
        <w:t xml:space="preserve">, </w:t>
      </w:r>
      <w:r>
        <w:t>Commonwealth of Australia</w:t>
      </w:r>
      <w:r w:rsidRPr="00765E88">
        <w:t>, Canberra</w:t>
      </w:r>
      <w:r>
        <w:t>,</w:t>
      </w:r>
      <w:r w:rsidRPr="00765E88">
        <w:t xml:space="preserve"> </w:t>
      </w:r>
      <w:hyperlink r:id="rId66" w:history="1">
        <w:r w:rsidRPr="001971D4">
          <w:rPr>
            <w:rStyle w:val="Hyperlink"/>
          </w:rPr>
          <w:t>http://www.environment.gov.au/system/files/pages/dbabd13c-f8f1-49cd-ab40-621f056de35a/files/safeguard-mechanism-consultation-paper.pdf</w:t>
        </w:r>
      </w:hyperlink>
      <w:r>
        <w:t>.</w:t>
      </w:r>
    </w:p>
    <w:p w14:paraId="18B7F94B" w14:textId="79742E2C" w:rsidR="002900E3" w:rsidRDefault="002900E3" w:rsidP="002900E3">
      <w:r w:rsidRPr="004677A3">
        <w:rPr>
          <w:b/>
        </w:rPr>
        <w:lastRenderedPageBreak/>
        <w:t>DoEE n.d.</w:t>
      </w:r>
      <w:r w:rsidR="00F3114D">
        <w:rPr>
          <w:b/>
        </w:rPr>
        <w:t>a</w:t>
      </w:r>
      <w:r w:rsidRPr="00263F53">
        <w:rPr>
          <w:b/>
        </w:rPr>
        <w:t>,</w:t>
      </w:r>
      <w:r>
        <w:t xml:space="preserve"> </w:t>
      </w:r>
      <w:r w:rsidRPr="00C5358A">
        <w:rPr>
          <w:i/>
        </w:rPr>
        <w:t>A better energy future for Australia</w:t>
      </w:r>
      <w:r w:rsidRPr="00566568">
        <w:t>, viewed</w:t>
      </w:r>
      <w:r>
        <w:t xml:space="preserve"> 6 July 2018, </w:t>
      </w:r>
      <w:hyperlink r:id="rId67" w:history="1">
        <w:r w:rsidRPr="001971D4">
          <w:rPr>
            <w:rStyle w:val="Hyperlink"/>
          </w:rPr>
          <w:t>https://www.energy.gov.au/government-priorities/better-energy-future-australia</w:t>
        </w:r>
      </w:hyperlink>
      <w:r>
        <w:t xml:space="preserve">. </w:t>
      </w:r>
    </w:p>
    <w:p w14:paraId="64E37B86" w14:textId="791C5381" w:rsidR="002900E3" w:rsidRDefault="002900E3" w:rsidP="002900E3">
      <w:r w:rsidRPr="00DE0EAD">
        <w:rPr>
          <w:b/>
        </w:rPr>
        <w:t>DoEE n.d.</w:t>
      </w:r>
      <w:r w:rsidR="00F3114D">
        <w:rPr>
          <w:b/>
        </w:rPr>
        <w:t>b</w:t>
      </w:r>
      <w:r w:rsidRPr="00263F53">
        <w:rPr>
          <w:b/>
        </w:rPr>
        <w:t>,</w:t>
      </w:r>
      <w:r>
        <w:t xml:space="preserve"> </w:t>
      </w:r>
      <w:r w:rsidRPr="00C5358A">
        <w:rPr>
          <w:i/>
        </w:rPr>
        <w:t>About the NPI</w:t>
      </w:r>
      <w:r w:rsidR="00EA5462" w:rsidRPr="00C5358A">
        <w:rPr>
          <w:i/>
        </w:rPr>
        <w:t>, Commonwealth of Australia</w:t>
      </w:r>
      <w:r w:rsidR="00EA5462" w:rsidRPr="00765E88">
        <w:t>, Canberra</w:t>
      </w:r>
      <w:r w:rsidR="00F3114D">
        <w:t xml:space="preserve">, </w:t>
      </w:r>
      <w:r w:rsidRPr="00566568">
        <w:t>viewed</w:t>
      </w:r>
      <w:r>
        <w:t xml:space="preserve"> 6 July 2018, </w:t>
      </w:r>
      <w:hyperlink r:id="rId68" w:history="1">
        <w:r w:rsidRPr="001971D4">
          <w:rPr>
            <w:rStyle w:val="Hyperlink"/>
          </w:rPr>
          <w:t>http://www.npi.gov.au/about-npi</w:t>
        </w:r>
      </w:hyperlink>
      <w:r>
        <w:t xml:space="preserve">. </w:t>
      </w:r>
    </w:p>
    <w:p w14:paraId="705C9A1C" w14:textId="4EBC7014" w:rsidR="002900E3" w:rsidRDefault="002900E3" w:rsidP="002900E3">
      <w:r>
        <w:t>Explanatory Memorandum,</w:t>
      </w:r>
      <w:r w:rsidRPr="00976E8D">
        <w:rPr>
          <w:i/>
        </w:rPr>
        <w:t xml:space="preserve"> </w:t>
      </w:r>
      <w:r w:rsidRPr="00F3114D">
        <w:t>National Greenhouse and Energy Reporting Bill 2007 (Cth)</w:t>
      </w:r>
      <w:r w:rsidR="00E3780D">
        <w:t>.</w:t>
      </w:r>
    </w:p>
    <w:p w14:paraId="48B6D5A3" w14:textId="2E247E9E" w:rsidR="002900E3" w:rsidRDefault="002900E3" w:rsidP="002900E3">
      <w:r>
        <w:t>Explanatory Statement,</w:t>
      </w:r>
      <w:r w:rsidDel="00222AEA">
        <w:t xml:space="preserve"> </w:t>
      </w:r>
      <w:r>
        <w:t>National Greenhouse and Energy Reporting (Measurement) Amendment Determination 2011 (No. 1) (Cth).</w:t>
      </w:r>
    </w:p>
    <w:p w14:paraId="40CEB19B" w14:textId="183C5316" w:rsidR="002900E3" w:rsidRDefault="002900E3" w:rsidP="002900E3">
      <w:r w:rsidRPr="00971C2A">
        <w:rPr>
          <w:b/>
        </w:rPr>
        <w:t>I</w:t>
      </w:r>
      <w:r>
        <w:rPr>
          <w:b/>
        </w:rPr>
        <w:t xml:space="preserve">ntergovernmental </w:t>
      </w:r>
      <w:r w:rsidRPr="00971C2A">
        <w:rPr>
          <w:b/>
        </w:rPr>
        <w:t>P</w:t>
      </w:r>
      <w:r>
        <w:rPr>
          <w:b/>
        </w:rPr>
        <w:t xml:space="preserve">anel on </w:t>
      </w:r>
      <w:r w:rsidRPr="00971C2A">
        <w:rPr>
          <w:b/>
        </w:rPr>
        <w:t>C</w:t>
      </w:r>
      <w:r>
        <w:rPr>
          <w:b/>
        </w:rPr>
        <w:t xml:space="preserve">limate </w:t>
      </w:r>
      <w:r w:rsidRPr="00971C2A">
        <w:rPr>
          <w:b/>
        </w:rPr>
        <w:t>C</w:t>
      </w:r>
      <w:r>
        <w:rPr>
          <w:b/>
        </w:rPr>
        <w:t>hange (IPCC)</w:t>
      </w:r>
      <w:r w:rsidRPr="00971C2A">
        <w:rPr>
          <w:b/>
        </w:rPr>
        <w:t xml:space="preserve"> 2006,</w:t>
      </w:r>
      <w:r>
        <w:t xml:space="preserve"> </w:t>
      </w:r>
      <w:r w:rsidRPr="00971C2A">
        <w:rPr>
          <w:i/>
        </w:rPr>
        <w:t>2006 IPCC guidelines for National Greenhouse Gas Inventories - Volume 1: General Guidance and Reporting,</w:t>
      </w:r>
      <w:r>
        <w:t xml:space="preserve"> IPCC, Geneva</w:t>
      </w:r>
      <w:r w:rsidR="006D61B7">
        <w:t>,</w:t>
      </w:r>
      <w:r w:rsidR="00E3780D">
        <w:t xml:space="preserve"> </w:t>
      </w:r>
      <w:hyperlink r:id="rId69" w:history="1">
        <w:r w:rsidR="00E3780D" w:rsidRPr="001971D4">
          <w:rPr>
            <w:rStyle w:val="Hyperlink"/>
          </w:rPr>
          <w:t>https://www.ipcc-nggip.iges.or.jp/public/2006gl/vol1.html</w:t>
        </w:r>
      </w:hyperlink>
      <w:r w:rsidR="00E3780D">
        <w:t>.</w:t>
      </w:r>
    </w:p>
    <w:p w14:paraId="16B1F76F" w14:textId="5D4C2019" w:rsidR="002900E3" w:rsidRDefault="002900E3" w:rsidP="002900E3">
      <w:r w:rsidRPr="004143D9">
        <w:rPr>
          <w:i/>
        </w:rPr>
        <w:t xml:space="preserve">National Greenhouse and Energy Reporting </w:t>
      </w:r>
      <w:r>
        <w:rPr>
          <w:i/>
        </w:rPr>
        <w:t xml:space="preserve">Act 2007 </w:t>
      </w:r>
      <w:r w:rsidRPr="004143D9">
        <w:t>(Cth)</w:t>
      </w:r>
      <w:r w:rsidR="00E3780D">
        <w:t>.</w:t>
      </w:r>
      <w:r>
        <w:t xml:space="preserve"> </w:t>
      </w:r>
      <w:r>
        <w:tab/>
      </w:r>
    </w:p>
    <w:p w14:paraId="31941717" w14:textId="4C784642" w:rsidR="0044694E" w:rsidRDefault="0044694E" w:rsidP="0044694E">
      <w:r w:rsidRPr="004143D9">
        <w:rPr>
          <w:i/>
        </w:rPr>
        <w:t>National Greenhouse and Energy Reporting (Measurement) Determination 2008</w:t>
      </w:r>
      <w:r w:rsidR="00F169B3">
        <w:t xml:space="preserve"> (Cth)</w:t>
      </w:r>
      <w:r w:rsidR="00E3780D">
        <w:t>.</w:t>
      </w:r>
    </w:p>
    <w:p w14:paraId="53BDCDC5" w14:textId="3D2C3063" w:rsidR="00DD4194" w:rsidRDefault="0044694E" w:rsidP="002900E3">
      <w:r w:rsidRPr="00F169B3">
        <w:rPr>
          <w:i/>
        </w:rPr>
        <w:t>National Greenhouse and Energy Reporting (Safeguard Mechanism) Rule 2015</w:t>
      </w:r>
      <w:r w:rsidR="00F169B3">
        <w:t xml:space="preserve"> (Cth)</w:t>
      </w:r>
      <w:r w:rsidR="00E3780D">
        <w:t>.</w:t>
      </w:r>
    </w:p>
    <w:p w14:paraId="2082F639" w14:textId="445178DC" w:rsidR="00AB6105" w:rsidRDefault="00AB6105" w:rsidP="0044694E">
      <w:pPr>
        <w:rPr>
          <w:rStyle w:val="Hyperlink"/>
        </w:rPr>
      </w:pPr>
      <w:r w:rsidRPr="00240BA0">
        <w:rPr>
          <w:b/>
        </w:rPr>
        <w:t>Price</w:t>
      </w:r>
      <w:r w:rsidR="00240BA0" w:rsidRPr="00240BA0">
        <w:rPr>
          <w:b/>
        </w:rPr>
        <w:t>, J</w:t>
      </w:r>
      <w:r w:rsidRPr="00240BA0">
        <w:rPr>
          <w:b/>
        </w:rPr>
        <w:t xml:space="preserve"> 2018</w:t>
      </w:r>
      <w:r w:rsidR="0058074B" w:rsidRPr="00263F53">
        <w:rPr>
          <w:b/>
        </w:rPr>
        <w:t>,</w:t>
      </w:r>
      <w:r w:rsidR="00240BA0">
        <w:t xml:space="preserve"> </w:t>
      </w:r>
      <w:r w:rsidRPr="00AB6105">
        <w:rPr>
          <w:i/>
          <w:iCs/>
        </w:rPr>
        <w:t>Keynote address by John Price, Commissioner, Australian Securities and Investments Commission, Centre for Policy Development: Financing a Sustainable Economy, Sydney, Australia, 18 June 2018</w:t>
      </w:r>
      <w:r w:rsidR="00E3780D">
        <w:rPr>
          <w:iCs/>
        </w:rPr>
        <w:t>,</w:t>
      </w:r>
      <w:r>
        <w:t xml:space="preserve"> </w:t>
      </w:r>
      <w:r w:rsidR="00240BA0">
        <w:t>viewed 11 July 2018</w:t>
      </w:r>
      <w:r w:rsidR="006D61B7">
        <w:t>,</w:t>
      </w:r>
      <w:r w:rsidR="00240BA0">
        <w:t xml:space="preserve"> </w:t>
      </w:r>
      <w:hyperlink r:id="rId70" w:history="1">
        <w:r w:rsidR="002B3011">
          <w:rPr>
            <w:rStyle w:val="Hyperlink"/>
          </w:rPr>
          <w:t>http://www.asic.gov.au/about-asic/media-centre/speeches/climate-change/</w:t>
        </w:r>
      </w:hyperlink>
      <w:r w:rsidR="00E3780D" w:rsidRPr="00E3780D">
        <w:rPr>
          <w:rStyle w:val="Hyperlink"/>
          <w:color w:val="auto"/>
          <w:u w:val="none"/>
        </w:rPr>
        <w:t>.</w:t>
      </w:r>
    </w:p>
    <w:p w14:paraId="185ABF8C" w14:textId="23ACDBF0" w:rsidR="009725D2" w:rsidRDefault="009725D2" w:rsidP="009725D2">
      <w:r w:rsidRPr="0058074B">
        <w:rPr>
          <w:b/>
        </w:rPr>
        <w:t>Summerhayes, G 2017</w:t>
      </w:r>
      <w:r w:rsidRPr="00263F53">
        <w:rPr>
          <w:b/>
        </w:rPr>
        <w:t>,</w:t>
      </w:r>
      <w:r w:rsidRPr="00EB7CB2">
        <w:t xml:space="preserve"> ‘Australia’s new horizon: Climate change challenges and prudential risk’, Presentation to the Insurance Council of Australia Annual Forum, Sydney, 17 February</w:t>
      </w:r>
      <w:r w:rsidR="00E3780D">
        <w:t xml:space="preserve"> 2017</w:t>
      </w:r>
      <w:r w:rsidRPr="00EB7CB2">
        <w:t>.</w:t>
      </w:r>
    </w:p>
    <w:p w14:paraId="68B67B3E" w14:textId="6E98BE11" w:rsidR="00DD5657" w:rsidRPr="00EF53FF" w:rsidRDefault="00881029" w:rsidP="0044694E">
      <w:r w:rsidRPr="00881029">
        <w:rPr>
          <w:b/>
        </w:rPr>
        <w:t>Task Force on Climate-related Financial Disclosures (TCFD) 2017</w:t>
      </w:r>
      <w:r w:rsidRPr="00263F53">
        <w:rPr>
          <w:b/>
        </w:rPr>
        <w:t>,</w:t>
      </w:r>
      <w:r>
        <w:t xml:space="preserve"> </w:t>
      </w:r>
      <w:r w:rsidRPr="00881029">
        <w:rPr>
          <w:i/>
        </w:rPr>
        <w:t>F</w:t>
      </w:r>
      <w:r w:rsidR="007150E2" w:rsidRPr="00881029">
        <w:rPr>
          <w:i/>
        </w:rPr>
        <w:t xml:space="preserve">inal </w:t>
      </w:r>
      <w:r w:rsidRPr="00881029">
        <w:rPr>
          <w:i/>
        </w:rPr>
        <w:t>Report: Recommendations of the Task Force on Climate-related Financial Disclosures (June 2017)</w:t>
      </w:r>
      <w:r>
        <w:t>, Financial Stability Board</w:t>
      </w:r>
      <w:r w:rsidR="006D61B7">
        <w:t>,</w:t>
      </w:r>
      <w:r>
        <w:t xml:space="preserve"> </w:t>
      </w:r>
      <w:hyperlink r:id="rId71" w:history="1">
        <w:r w:rsidR="00E3780D" w:rsidRPr="001971D4">
          <w:rPr>
            <w:rStyle w:val="Hyperlink"/>
          </w:rPr>
          <w:t>https://www.fsb-tcfd.org/publications/final-recommendations-report/</w:t>
        </w:r>
      </w:hyperlink>
      <w:r>
        <w:t>.</w:t>
      </w:r>
    </w:p>
    <w:sectPr w:rsidR="00DD5657" w:rsidRPr="00EF53FF" w:rsidSect="00263F53">
      <w:headerReference w:type="even" r:id="rId72"/>
      <w:headerReference w:type="default" r:id="rId73"/>
      <w:type w:val="continuous"/>
      <w:pgSz w:w="11906" w:h="16838"/>
      <w:pgMar w:top="1418" w:right="1276" w:bottom="567" w:left="1418" w:header="425" w:footer="425"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BA40E9D" w16cid:durableId="1EF5C625"/>
  <w16cid:commentId w16cid:paraId="11DBB2F7" w16cid:durableId="1EF5C698"/>
  <w16cid:commentId w16cid:paraId="7D61C549" w16cid:durableId="1EF5C687"/>
  <w16cid:commentId w16cid:paraId="7374EF21" w16cid:durableId="1EF5C6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2092F" w14:textId="77777777" w:rsidR="009B072F" w:rsidRDefault="009B072F" w:rsidP="00A60185">
      <w:pPr>
        <w:spacing w:after="0" w:line="240" w:lineRule="auto"/>
      </w:pPr>
      <w:r>
        <w:separator/>
      </w:r>
    </w:p>
    <w:p w14:paraId="53471109" w14:textId="77777777" w:rsidR="009B072F" w:rsidRDefault="009B072F"/>
    <w:p w14:paraId="6865729D" w14:textId="77777777" w:rsidR="009B072F" w:rsidRDefault="009B072F"/>
  </w:endnote>
  <w:endnote w:type="continuationSeparator" w:id="0">
    <w:p w14:paraId="4C35D9DA" w14:textId="77777777" w:rsidR="009B072F" w:rsidRDefault="009B072F" w:rsidP="00A60185">
      <w:pPr>
        <w:spacing w:after="0" w:line="240" w:lineRule="auto"/>
      </w:pPr>
      <w:r>
        <w:continuationSeparator/>
      </w:r>
    </w:p>
    <w:p w14:paraId="48F35E3B" w14:textId="77777777" w:rsidR="009B072F" w:rsidRDefault="009B072F"/>
    <w:p w14:paraId="3B72D5B3" w14:textId="77777777" w:rsidR="009B072F" w:rsidRDefault="009B072F"/>
  </w:endnote>
  <w:endnote w:type="continuationNotice" w:id="1">
    <w:p w14:paraId="3B619122" w14:textId="77777777" w:rsidR="009B072F" w:rsidRDefault="009B072F">
      <w:pPr>
        <w:spacing w:after="0" w:line="240" w:lineRule="auto"/>
      </w:pPr>
    </w:p>
    <w:p w14:paraId="29098BB6" w14:textId="77777777" w:rsidR="009B072F" w:rsidRDefault="009B072F"/>
    <w:p w14:paraId="6E418E18" w14:textId="77777777" w:rsidR="009B072F" w:rsidRDefault="009B07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2D6A3D" w14:textId="28847EB3" w:rsidR="009B072F" w:rsidRDefault="009B07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3C273A" w14:textId="77777777" w:rsidR="009B072F" w:rsidRDefault="009B072F" w:rsidP="00B8032D">
      <w:r>
        <w:separator/>
      </w:r>
    </w:p>
  </w:footnote>
  <w:footnote w:type="continuationSeparator" w:id="0">
    <w:p w14:paraId="6B3B82FD" w14:textId="575AD9AE" w:rsidR="009B072F" w:rsidRDefault="009B072F">
      <w:r>
        <w:continuationSeparator/>
      </w:r>
    </w:p>
    <w:p w14:paraId="5CA01F7F" w14:textId="78AE7210" w:rsidR="009B072F" w:rsidRDefault="009B072F" w:rsidP="00A60185">
      <w:pPr>
        <w:spacing w:after="0" w:line="240" w:lineRule="auto"/>
      </w:pPr>
    </w:p>
  </w:footnote>
  <w:footnote w:type="continuationNotice" w:id="1">
    <w:p w14:paraId="62D8D64C" w14:textId="77777777" w:rsidR="009B072F" w:rsidRDefault="009B072F"/>
    <w:p w14:paraId="05E9C698" w14:textId="77777777" w:rsidR="009B072F" w:rsidRDefault="009B072F" w:rsidP="00CB536C">
      <w:pPr>
        <w:pStyle w:val="Footer"/>
      </w:pPr>
    </w:p>
  </w:footnote>
  <w:footnote w:id="2">
    <w:p w14:paraId="102B8D75" w14:textId="50953817" w:rsidR="009B072F" w:rsidRDefault="009B072F" w:rsidP="0099062D">
      <w:pPr>
        <w:pStyle w:val="FootnoteText"/>
        <w:spacing w:before="0" w:after="0"/>
      </w:pPr>
      <w:r>
        <w:rPr>
          <w:rStyle w:val="FootnoteReference"/>
        </w:rPr>
        <w:footnoteRef/>
      </w:r>
      <w:r>
        <w:t xml:space="preserve"> G</w:t>
      </w:r>
      <w:r w:rsidRPr="0003286F">
        <w:t xml:space="preserve">rid-connected electricity generators </w:t>
      </w:r>
      <w:r>
        <w:t>would</w:t>
      </w:r>
      <w:r w:rsidRPr="0003286F">
        <w:t xml:space="preserve"> only </w:t>
      </w:r>
      <w:r>
        <w:t xml:space="preserve">be </w:t>
      </w:r>
      <w:r w:rsidRPr="0003286F">
        <w:t xml:space="preserve">subject to </w:t>
      </w:r>
      <w:r>
        <w:t xml:space="preserve">individual </w:t>
      </w:r>
      <w:r w:rsidRPr="0003286F">
        <w:t>safeguard emissions</w:t>
      </w:r>
      <w:r w:rsidRPr="006D5283">
        <w:t xml:space="preserve"> limits</w:t>
      </w:r>
      <w:r w:rsidRPr="0003286F">
        <w:t xml:space="preserve"> if the sectoral baseline is breached</w:t>
      </w:r>
      <w:r w:rsidRPr="006D5283">
        <w:t>.</w:t>
      </w:r>
      <w:r>
        <w:t xml:space="preserve"> The </w:t>
      </w:r>
      <w:r w:rsidRPr="006D5283">
        <w:t xml:space="preserve">sectoral baseline has not been breached since the safeguard was implemented. If the sectoral baseline is breached, </w:t>
      </w:r>
      <w:r>
        <w:t xml:space="preserve">those </w:t>
      </w:r>
      <w:r w:rsidRPr="00894915">
        <w:t xml:space="preserve">grid-connected electricity generators </w:t>
      </w:r>
      <w:r>
        <w:t>with emissions above 100,000 t CO</w:t>
      </w:r>
      <w:r w:rsidRPr="0058211F">
        <w:rPr>
          <w:vertAlign w:val="subscript"/>
        </w:rPr>
        <w:t>2</w:t>
      </w:r>
      <w:r>
        <w:t>-e</w:t>
      </w:r>
      <w:r w:rsidRPr="0058211F">
        <w:t xml:space="preserve"> </w:t>
      </w:r>
      <w:r>
        <w:t>would be</w:t>
      </w:r>
      <w:r w:rsidRPr="00894915">
        <w:t xml:space="preserve"> </w:t>
      </w:r>
      <w:r w:rsidRPr="0003286F">
        <w:t xml:space="preserve">subject to </w:t>
      </w:r>
      <w:r w:rsidRPr="00894915">
        <w:t xml:space="preserve">individual baselines. </w:t>
      </w:r>
      <w:r>
        <w:t>58</w:t>
      </w:r>
      <w:r w:rsidRPr="00894915">
        <w:t xml:space="preserve"> of the </w:t>
      </w:r>
      <w:r>
        <w:t>288 grid-connected electricity generators had emissions above 100,000 t CO</w:t>
      </w:r>
      <w:r w:rsidRPr="0058211F">
        <w:rPr>
          <w:vertAlign w:val="subscript"/>
        </w:rPr>
        <w:t>2</w:t>
      </w:r>
      <w:r>
        <w:t>-e in 2016</w:t>
      </w:r>
      <w:r>
        <w:noBreakHyphen/>
        <w:t>17</w:t>
      </w:r>
      <w:r w:rsidRPr="0058211F">
        <w:t>.</w:t>
      </w:r>
      <w:r>
        <w:t xml:space="preserve"> For a further explanation of the treatment of grid-connected electricity generators under the safeguard see Section </w:t>
      </w:r>
      <w:r>
        <w:fldChar w:fldCharType="begin"/>
      </w:r>
      <w:r>
        <w:instrText xml:space="preserve"> REF _Ref520715320 \r \h </w:instrText>
      </w:r>
      <w:r>
        <w:fldChar w:fldCharType="separate"/>
      </w:r>
      <w:r>
        <w:t>3.3.2</w:t>
      </w:r>
      <w:r>
        <w:fldChar w:fldCharType="end"/>
      </w:r>
      <w:r>
        <w:t>.</w:t>
      </w:r>
    </w:p>
  </w:footnote>
  <w:footnote w:id="3">
    <w:p w14:paraId="2ED2D0AF" w14:textId="2093DBCF" w:rsidR="009B072F" w:rsidRDefault="009B072F" w:rsidP="00FB280E">
      <w:pPr>
        <w:pStyle w:val="FootnoteText"/>
        <w:spacing w:before="0" w:after="0"/>
      </w:pPr>
      <w:r>
        <w:rPr>
          <w:rStyle w:val="FootnoteReference"/>
        </w:rPr>
        <w:footnoteRef/>
      </w:r>
      <w:r>
        <w:t xml:space="preserve"> There are fewer facilities with baselines (357) than there are safeguard facilities in total (491). One of the reasons for this is that </w:t>
      </w:r>
      <w:r w:rsidRPr="005112D5">
        <w:t>electricity generators that are</w:t>
      </w:r>
      <w:r w:rsidRPr="005112D5" w:rsidDel="00C31109">
        <w:t xml:space="preserve"> </w:t>
      </w:r>
      <w:r w:rsidRPr="005112D5">
        <w:t>part of the sectoral baseline do not have individual baselines</w:t>
      </w:r>
      <w:r w:rsidRPr="00E6710A">
        <w:t xml:space="preserve"> </w:t>
      </w:r>
      <w:r>
        <w:t>if they have</w:t>
      </w:r>
      <w:r w:rsidRPr="00713FAE">
        <w:t xml:space="preserve"> emissions below the 100,000 t CO</w:t>
      </w:r>
      <w:r w:rsidRPr="00713FAE">
        <w:rPr>
          <w:vertAlign w:val="subscript"/>
        </w:rPr>
        <w:t>2</w:t>
      </w:r>
      <w:r w:rsidRPr="00713FAE">
        <w:t>-e safeguard threshold</w:t>
      </w:r>
      <w:r>
        <w:t xml:space="preserve">. There are also some facilities that have baselines (as they previously exceeded the 100,000 </w:t>
      </w:r>
      <w:r w:rsidRPr="00713FAE">
        <w:t>t CO</w:t>
      </w:r>
      <w:r w:rsidRPr="00713FAE">
        <w:rPr>
          <w:vertAlign w:val="subscript"/>
        </w:rPr>
        <w:t>2</w:t>
      </w:r>
      <w:r w:rsidRPr="00713FAE">
        <w:t xml:space="preserve">-e </w:t>
      </w:r>
      <w:r>
        <w:t>threshold) but are no longer safeguard facilities because they now emit below the safeguard level.</w:t>
      </w:r>
    </w:p>
  </w:footnote>
  <w:footnote w:id="4">
    <w:p w14:paraId="6FB0AEB5" w14:textId="5EF2DBA5" w:rsidR="009B072F" w:rsidRDefault="009B072F" w:rsidP="00FB280E">
      <w:pPr>
        <w:pStyle w:val="FootnoteText"/>
        <w:spacing w:before="0" w:after="0"/>
      </w:pPr>
      <w:r w:rsidRPr="00C5358A">
        <w:rPr>
          <w:vertAlign w:val="superscript"/>
        </w:rPr>
        <w:footnoteRef/>
      </w:r>
      <w:r>
        <w:t xml:space="preserve"> T</w:t>
      </w:r>
      <w:r w:rsidRPr="00513665">
        <w:t xml:space="preserve">he Regulator </w:t>
      </w:r>
      <w:r>
        <w:t xml:space="preserve">may amend </w:t>
      </w:r>
      <w:r w:rsidRPr="00513665">
        <w:t>baseline</w:t>
      </w:r>
      <w:r>
        <w:t>s</w:t>
      </w:r>
      <w:r w:rsidRPr="00513665">
        <w:t xml:space="preserve"> to account</w:t>
      </w:r>
      <w:r>
        <w:t xml:space="preserve"> for</w:t>
      </w:r>
      <w:r w:rsidRPr="00513665">
        <w:t xml:space="preserve"> updates </w:t>
      </w:r>
      <w:r>
        <w:t xml:space="preserve">to </w:t>
      </w:r>
      <w:r w:rsidRPr="00513665">
        <w:t xml:space="preserve">global warming potentials </w:t>
      </w:r>
      <w:r>
        <w:t xml:space="preserve">(GWPs) </w:t>
      </w:r>
      <w:r w:rsidRPr="00513665">
        <w:t xml:space="preserve">specified in the </w:t>
      </w:r>
      <w:r w:rsidRPr="00845DB5">
        <w:rPr>
          <w:i/>
        </w:rPr>
        <w:t>National Greenhouse and Energy Reporting Regulations 2008</w:t>
      </w:r>
      <w:r w:rsidRPr="00513665">
        <w:t xml:space="preserve"> </w:t>
      </w:r>
      <w:r>
        <w:t>(Cth)</w:t>
      </w:r>
      <w:r w:rsidRPr="00513665">
        <w:t xml:space="preserve"> (</w:t>
      </w:r>
      <w:r>
        <w:t>section</w:t>
      </w:r>
      <w:r w:rsidRPr="00513665">
        <w:t xml:space="preserve"> </w:t>
      </w:r>
      <w:r>
        <w:t>56</w:t>
      </w:r>
      <w:r w:rsidRPr="00513665">
        <w:t xml:space="preserve"> of the Safeguard Rule</w:t>
      </w:r>
      <w:r>
        <w:t xml:space="preserve">). GWPs </w:t>
      </w:r>
      <w:r w:rsidRPr="00513665">
        <w:t>convert different greenhouse gas</w:t>
      </w:r>
      <w:r>
        <w:t xml:space="preserve"> emissions</w:t>
      </w:r>
      <w:r w:rsidRPr="00513665">
        <w:t xml:space="preserve"> into a single carbon dioxide</w:t>
      </w:r>
      <w:r>
        <w:t xml:space="preserve"> </w:t>
      </w:r>
      <w:r w:rsidRPr="00513665">
        <w:t>equivalent metric (CO</w:t>
      </w:r>
      <w:r w:rsidRPr="00513665">
        <w:rPr>
          <w:vertAlign w:val="subscript"/>
        </w:rPr>
        <w:t>2</w:t>
      </w:r>
      <w:r w:rsidRPr="00513665">
        <w:t>-e)</w:t>
      </w:r>
      <w:r>
        <w:t xml:space="preserve"> </w:t>
      </w:r>
      <w:r w:rsidRPr="00513665">
        <w:t xml:space="preserve">that would produce the same warming effect </w:t>
      </w:r>
      <w:r>
        <w:t>as CO</w:t>
      </w:r>
      <w:r w:rsidRPr="00513665">
        <w:rPr>
          <w:vertAlign w:val="subscript"/>
        </w:rPr>
        <w:t>2</w:t>
      </w:r>
      <w:r>
        <w:t xml:space="preserve"> </w:t>
      </w:r>
      <w:r w:rsidRPr="00513665">
        <w:t>over a 100 year period.</w:t>
      </w:r>
      <w:r>
        <w:t xml:space="preserve"> </w:t>
      </w:r>
      <w:r w:rsidRPr="00513665">
        <w:t xml:space="preserve">GWPs </w:t>
      </w:r>
      <w:r>
        <w:t xml:space="preserve">may be updated from time to time as the science improves </w:t>
      </w:r>
      <w:r w:rsidRPr="00513665">
        <w:t>based on the findings of the Intergovernmental Panel on Climate Change</w:t>
      </w:r>
      <w:r>
        <w:t xml:space="preserve">. </w:t>
      </w:r>
    </w:p>
  </w:footnote>
  <w:footnote w:id="5">
    <w:p w14:paraId="4CF45E1F" w14:textId="6AEF4C5C" w:rsidR="009B072F" w:rsidRDefault="009B072F" w:rsidP="00A00E4B">
      <w:pPr>
        <w:pStyle w:val="FootnoteText"/>
        <w:spacing w:before="0" w:after="0"/>
      </w:pPr>
      <w:r>
        <w:rPr>
          <w:rStyle w:val="FootnoteReference"/>
        </w:rPr>
        <w:footnoteRef/>
      </w:r>
      <w:r>
        <w:t xml:space="preserve"> The facility has to acquit the first multi-year monitoring period before commencing a further multi-year monitoring period.</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BDB38" w14:textId="046F5608" w:rsidR="009B072F" w:rsidRPr="002C4303" w:rsidRDefault="009B072F" w:rsidP="00081C2D">
    <w:pPr>
      <w:pStyle w:val="Header"/>
      <w:jc w:val="right"/>
      <w:rPr>
        <w:caps/>
        <w:color w:val="159DCE"/>
        <w:sz w:val="12"/>
        <w:szCs w:val="12"/>
      </w:rPr>
    </w:pPr>
    <w:r w:rsidRPr="002C4303">
      <w:rPr>
        <w:caps/>
        <w:color w:val="159DCE"/>
        <w:sz w:val="12"/>
        <w:szCs w:val="12"/>
      </w:rPr>
      <w:fldChar w:fldCharType="begin"/>
    </w:r>
    <w:r w:rsidRPr="002C4303">
      <w:rPr>
        <w:caps/>
        <w:color w:val="159DCE"/>
        <w:sz w:val="12"/>
        <w:szCs w:val="12"/>
      </w:rPr>
      <w:instrText xml:space="preserve"> TITLE  \* Upper  \* MERGEFORMAT </w:instrText>
    </w:r>
    <w:r w:rsidRPr="002C4303">
      <w:rPr>
        <w:caps/>
        <w:color w:val="159DCE"/>
        <w:sz w:val="12"/>
        <w:szCs w:val="12"/>
      </w:rPr>
      <w:fldChar w:fldCharType="separate"/>
    </w:r>
    <w:r w:rsidRPr="002C4303">
      <w:rPr>
        <w:color w:val="159DCE"/>
        <w:sz w:val="12"/>
        <w:szCs w:val="12"/>
      </w:rPr>
      <w:t>REVIEW OF THE NATIONAL GREENHOUSE AND ENERGY REPORTING LEGISLATION – A CONSULTATION PAPER</w:t>
    </w:r>
    <w:r w:rsidRPr="002C4303">
      <w:rPr>
        <w:caps/>
        <w:color w:val="159DCE"/>
        <w:sz w:val="12"/>
        <w:szCs w:val="12"/>
      </w:rPr>
      <w:fldChar w:fldCharType="end"/>
    </w:r>
    <w:r w:rsidRPr="002C4303">
      <w:rPr>
        <w:caps/>
        <w:color w:val="159DCE"/>
        <w:sz w:val="12"/>
        <w:szCs w:val="12"/>
      </w:rPr>
      <w:t xml:space="preserve">   </w:t>
    </w:r>
    <w:r w:rsidRPr="002C4303">
      <w:rPr>
        <w:caps/>
        <w:color w:val="159DCE"/>
        <w:sz w:val="12"/>
        <w:szCs w:val="12"/>
      </w:rPr>
      <w:fldChar w:fldCharType="begin"/>
    </w:r>
    <w:r w:rsidRPr="002C4303">
      <w:rPr>
        <w:caps/>
        <w:color w:val="159DCE"/>
        <w:sz w:val="12"/>
        <w:szCs w:val="12"/>
      </w:rPr>
      <w:instrText xml:space="preserve"> PAGE   \* MERGEFORMAT </w:instrText>
    </w:r>
    <w:r w:rsidRPr="002C4303">
      <w:rPr>
        <w:caps/>
        <w:color w:val="159DCE"/>
        <w:sz w:val="12"/>
        <w:szCs w:val="12"/>
      </w:rPr>
      <w:fldChar w:fldCharType="separate"/>
    </w:r>
    <w:r w:rsidR="00363A9B">
      <w:rPr>
        <w:caps/>
        <w:noProof/>
        <w:color w:val="159DCE"/>
        <w:sz w:val="12"/>
        <w:szCs w:val="12"/>
      </w:rPr>
      <w:t>2</w:t>
    </w:r>
    <w:r w:rsidRPr="002C4303">
      <w:rPr>
        <w:caps/>
        <w:noProof/>
        <w:color w:val="159DCE"/>
        <w:sz w:val="12"/>
        <w:szCs w:val="12"/>
      </w:rPr>
      <w:fldChar w:fldCharType="end"/>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B87B1F" w14:textId="0ED58716" w:rsidR="009B072F" w:rsidRPr="002C4303" w:rsidRDefault="009B072F" w:rsidP="00BA3FE5">
    <w:pPr>
      <w:pStyle w:val="Header"/>
      <w:rPr>
        <w:color w:val="159DCE"/>
        <w:sz w:val="12"/>
        <w:szCs w:val="12"/>
      </w:rPr>
    </w:pPr>
    <w:r w:rsidRPr="002C4303">
      <w:rPr>
        <w:color w:val="159DCE"/>
        <w:sz w:val="12"/>
        <w:szCs w:val="12"/>
      </w:rPr>
      <w:fldChar w:fldCharType="begin"/>
    </w:r>
    <w:r w:rsidRPr="002C4303">
      <w:rPr>
        <w:color w:val="159DCE"/>
        <w:sz w:val="12"/>
        <w:szCs w:val="12"/>
      </w:rPr>
      <w:instrText xml:space="preserve"> PAGE   \* MERGEFORMAT </w:instrText>
    </w:r>
    <w:r w:rsidRPr="002C4303">
      <w:rPr>
        <w:color w:val="159DCE"/>
        <w:sz w:val="12"/>
        <w:szCs w:val="12"/>
      </w:rPr>
      <w:fldChar w:fldCharType="separate"/>
    </w:r>
    <w:r w:rsidR="00363A9B">
      <w:rPr>
        <w:noProof/>
        <w:color w:val="159DCE"/>
        <w:sz w:val="12"/>
        <w:szCs w:val="12"/>
      </w:rPr>
      <w:t>43</w:t>
    </w:r>
    <w:r w:rsidRPr="002C4303">
      <w:rPr>
        <w:noProof/>
        <w:color w:val="159DCE"/>
        <w:sz w:val="12"/>
        <w:szCs w:val="12"/>
      </w:rPr>
      <w:fldChar w:fldCharType="end"/>
    </w:r>
    <w:r w:rsidRPr="002C4303">
      <w:rPr>
        <w:noProof/>
        <w:color w:val="159DCE"/>
        <w:sz w:val="12"/>
        <w:szCs w:val="12"/>
      </w:rPr>
      <w:t xml:space="preserve">   </w:t>
    </w:r>
    <w:r w:rsidRPr="002C4303">
      <w:rPr>
        <w:caps/>
        <w:noProof/>
        <w:color w:val="159DCE"/>
        <w:sz w:val="12"/>
        <w:szCs w:val="12"/>
      </w:rPr>
      <w:fldChar w:fldCharType="begin"/>
    </w:r>
    <w:r w:rsidRPr="002C4303">
      <w:rPr>
        <w:caps/>
        <w:noProof/>
        <w:color w:val="159DCE"/>
        <w:sz w:val="12"/>
        <w:szCs w:val="12"/>
      </w:rPr>
      <w:instrText xml:space="preserve"> STYLEREF  "Heading 1 NN"  \* MERGEFORMAT </w:instrText>
    </w:r>
    <w:r w:rsidRPr="002C4303">
      <w:rPr>
        <w:caps/>
        <w:noProof/>
        <w:color w:val="159DCE"/>
        <w:sz w:val="12"/>
        <w:szCs w:val="12"/>
      </w:rPr>
      <w:fldChar w:fldCharType="separate"/>
    </w:r>
    <w:r w:rsidR="00363A9B">
      <w:rPr>
        <w:caps/>
        <w:noProof/>
        <w:color w:val="159DCE"/>
        <w:sz w:val="12"/>
        <w:szCs w:val="12"/>
      </w:rPr>
      <w:t>References</w:t>
    </w:r>
    <w:r w:rsidRPr="002C4303">
      <w:rPr>
        <w:caps/>
        <w:noProof/>
        <w:color w:val="159DCE"/>
        <w:sz w:val="12"/>
        <w:szCs w:val="1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62DAC" w14:textId="01DAE549" w:rsidR="009B072F" w:rsidRPr="002C4303" w:rsidRDefault="009B072F" w:rsidP="00BA3FE5">
    <w:pPr>
      <w:pStyle w:val="Header"/>
      <w:rPr>
        <w:color w:val="159DCE"/>
        <w:sz w:val="12"/>
        <w:szCs w:val="12"/>
      </w:rPr>
    </w:pPr>
    <w:r w:rsidRPr="002C4303">
      <w:rPr>
        <w:color w:val="159DCE"/>
        <w:sz w:val="12"/>
        <w:szCs w:val="12"/>
      </w:rPr>
      <w:fldChar w:fldCharType="begin"/>
    </w:r>
    <w:r w:rsidRPr="002C4303">
      <w:rPr>
        <w:color w:val="159DCE"/>
        <w:sz w:val="12"/>
        <w:szCs w:val="12"/>
      </w:rPr>
      <w:instrText xml:space="preserve"> PAGE   \* MERGEFORMAT </w:instrText>
    </w:r>
    <w:r w:rsidRPr="002C4303">
      <w:rPr>
        <w:color w:val="159DCE"/>
        <w:sz w:val="12"/>
        <w:szCs w:val="12"/>
      </w:rPr>
      <w:fldChar w:fldCharType="separate"/>
    </w:r>
    <w:r w:rsidR="00363A9B">
      <w:rPr>
        <w:noProof/>
        <w:color w:val="159DCE"/>
        <w:sz w:val="12"/>
        <w:szCs w:val="12"/>
      </w:rPr>
      <w:t>1</w:t>
    </w:r>
    <w:r w:rsidRPr="002C4303">
      <w:rPr>
        <w:noProof/>
        <w:color w:val="159DCE"/>
        <w:sz w:val="12"/>
        <w:szCs w:val="12"/>
      </w:rPr>
      <w:fldChar w:fldCharType="end"/>
    </w:r>
    <w:r w:rsidRPr="002C4303">
      <w:rPr>
        <w:noProof/>
        <w:color w:val="159DCE"/>
        <w:sz w:val="12"/>
        <w:szCs w:val="1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06FFCA" w14:textId="676C0FFC" w:rsidR="009B072F" w:rsidRPr="002C4303" w:rsidRDefault="009B072F" w:rsidP="00B8032D">
    <w:pPr>
      <w:pStyle w:val="Header"/>
      <w:jc w:val="right"/>
      <w:rPr>
        <w:color w:val="159DCE"/>
        <w:sz w:val="12"/>
        <w:szCs w:val="12"/>
      </w:rPr>
    </w:pPr>
    <w:r w:rsidRPr="002C4303">
      <w:rPr>
        <w:caps/>
        <w:color w:val="159DCE"/>
        <w:sz w:val="12"/>
        <w:szCs w:val="12"/>
      </w:rPr>
      <w:fldChar w:fldCharType="begin"/>
    </w:r>
    <w:r w:rsidRPr="002C4303">
      <w:rPr>
        <w:caps/>
        <w:color w:val="159DCE"/>
        <w:sz w:val="12"/>
        <w:szCs w:val="12"/>
      </w:rPr>
      <w:instrText xml:space="preserve"> TITLE  \* Upper  \* MERGEFORMAT </w:instrText>
    </w:r>
    <w:r w:rsidRPr="002C4303">
      <w:rPr>
        <w:caps/>
        <w:color w:val="159DCE"/>
        <w:sz w:val="12"/>
        <w:szCs w:val="12"/>
      </w:rPr>
      <w:fldChar w:fldCharType="separate"/>
    </w:r>
    <w:r w:rsidRPr="002C4303">
      <w:rPr>
        <w:color w:val="159DCE"/>
        <w:sz w:val="12"/>
        <w:szCs w:val="12"/>
      </w:rPr>
      <w:t>REVIEW OF THE NATIONAL GREENHOUSE AND ENERGY REPORTING LEGISLATION – A CONSULTATION PAPER</w:t>
    </w:r>
    <w:r w:rsidRPr="002C4303">
      <w:rPr>
        <w:caps/>
        <w:color w:val="159DCE"/>
        <w:sz w:val="12"/>
        <w:szCs w:val="12"/>
      </w:rPr>
      <w:fldChar w:fldCharType="end"/>
    </w:r>
    <w:r w:rsidRPr="002C4303">
      <w:rPr>
        <w:caps/>
        <w:color w:val="159DCE"/>
        <w:sz w:val="12"/>
        <w:szCs w:val="12"/>
      </w:rPr>
      <w:t xml:space="preserve">   </w:t>
    </w:r>
    <w:r w:rsidRPr="002C4303">
      <w:rPr>
        <w:color w:val="159DCE"/>
        <w:sz w:val="12"/>
        <w:szCs w:val="12"/>
      </w:rPr>
      <w:fldChar w:fldCharType="begin"/>
    </w:r>
    <w:r w:rsidRPr="002C4303">
      <w:rPr>
        <w:color w:val="159DCE"/>
        <w:sz w:val="12"/>
        <w:szCs w:val="12"/>
      </w:rPr>
      <w:instrText xml:space="preserve"> PAGE   \* MERGEFORMAT </w:instrText>
    </w:r>
    <w:r w:rsidRPr="002C4303">
      <w:rPr>
        <w:color w:val="159DCE"/>
        <w:sz w:val="12"/>
        <w:szCs w:val="12"/>
      </w:rPr>
      <w:fldChar w:fldCharType="separate"/>
    </w:r>
    <w:r w:rsidR="00363A9B">
      <w:rPr>
        <w:noProof/>
        <w:color w:val="159DCE"/>
        <w:sz w:val="12"/>
        <w:szCs w:val="12"/>
      </w:rPr>
      <w:t>18</w:t>
    </w:r>
    <w:r w:rsidRPr="002C4303">
      <w:rPr>
        <w:noProof/>
        <w:color w:val="159DCE"/>
        <w:sz w:val="12"/>
        <w:szCs w:val="12"/>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B9386" w14:textId="5A4B9169" w:rsidR="009B072F" w:rsidRPr="002C4303" w:rsidRDefault="009B072F" w:rsidP="00BA3FE5">
    <w:pPr>
      <w:pStyle w:val="Header"/>
      <w:rPr>
        <w:color w:val="159DCE"/>
        <w:sz w:val="12"/>
        <w:szCs w:val="12"/>
      </w:rPr>
    </w:pPr>
    <w:r w:rsidRPr="002C4303">
      <w:rPr>
        <w:color w:val="159DCE"/>
        <w:sz w:val="12"/>
        <w:szCs w:val="12"/>
      </w:rPr>
      <w:fldChar w:fldCharType="begin"/>
    </w:r>
    <w:r w:rsidRPr="002C4303">
      <w:rPr>
        <w:color w:val="159DCE"/>
        <w:sz w:val="12"/>
        <w:szCs w:val="12"/>
      </w:rPr>
      <w:instrText xml:space="preserve"> PAGE   \* MERGEFORMAT </w:instrText>
    </w:r>
    <w:r w:rsidRPr="002C4303">
      <w:rPr>
        <w:color w:val="159DCE"/>
        <w:sz w:val="12"/>
        <w:szCs w:val="12"/>
      </w:rPr>
      <w:fldChar w:fldCharType="separate"/>
    </w:r>
    <w:r w:rsidR="00363A9B">
      <w:rPr>
        <w:noProof/>
        <w:color w:val="159DCE"/>
        <w:sz w:val="12"/>
        <w:szCs w:val="12"/>
      </w:rPr>
      <w:t>5</w:t>
    </w:r>
    <w:r w:rsidRPr="002C4303">
      <w:rPr>
        <w:noProof/>
        <w:color w:val="159DCE"/>
        <w:sz w:val="12"/>
        <w:szCs w:val="12"/>
      </w:rPr>
      <w:fldChar w:fldCharType="end"/>
    </w:r>
    <w:r w:rsidRPr="002C4303">
      <w:rPr>
        <w:noProof/>
        <w:color w:val="159DCE"/>
        <w:sz w:val="12"/>
        <w:szCs w:val="12"/>
      </w:rPr>
      <w:t xml:space="preserve">   </w:t>
    </w:r>
    <w:r w:rsidRPr="002C4303">
      <w:rPr>
        <w:caps/>
        <w:noProof/>
        <w:color w:val="159DCE"/>
        <w:sz w:val="12"/>
        <w:szCs w:val="12"/>
      </w:rPr>
      <w:fldChar w:fldCharType="begin"/>
    </w:r>
    <w:r w:rsidRPr="002C4303">
      <w:rPr>
        <w:caps/>
        <w:noProof/>
        <w:color w:val="159DCE"/>
        <w:sz w:val="12"/>
        <w:szCs w:val="12"/>
      </w:rPr>
      <w:instrText xml:space="preserve"> STYLEREF  "Heading 1 NN"  \* MERGEFORMAT </w:instrText>
    </w:r>
    <w:r w:rsidRPr="002C4303">
      <w:rPr>
        <w:caps/>
        <w:noProof/>
        <w:color w:val="159DCE"/>
        <w:sz w:val="12"/>
        <w:szCs w:val="12"/>
      </w:rPr>
      <w:fldChar w:fldCharType="separate"/>
    </w:r>
    <w:r w:rsidR="00363A9B">
      <w:rPr>
        <w:caps/>
        <w:noProof/>
        <w:color w:val="159DCE"/>
        <w:sz w:val="12"/>
        <w:szCs w:val="12"/>
      </w:rPr>
      <w:t>Chair’s foreword</w:t>
    </w:r>
    <w:r w:rsidRPr="002C4303">
      <w:rPr>
        <w:caps/>
        <w:noProof/>
        <w:color w:val="159DCE"/>
        <w:sz w:val="12"/>
        <w:szCs w:val="12"/>
      </w:rPr>
      <w:fldChar w:fldCharType="end"/>
    </w:r>
    <w:r w:rsidRPr="002C4303">
      <w:rPr>
        <w:caps/>
        <w:noProof/>
        <w:color w:val="159DCE"/>
        <w:sz w:val="12"/>
        <w:szCs w:val="12"/>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3B121E" w14:textId="22D65DC3" w:rsidR="009B072F" w:rsidRPr="002C4303" w:rsidRDefault="009B072F" w:rsidP="009F2127">
    <w:pPr>
      <w:pStyle w:val="Header"/>
      <w:rPr>
        <w:color w:val="159DCE"/>
        <w:sz w:val="12"/>
        <w:szCs w:val="12"/>
      </w:rPr>
    </w:pPr>
    <w:r w:rsidRPr="002C4303">
      <w:rPr>
        <w:color w:val="159DCE"/>
        <w:sz w:val="12"/>
        <w:szCs w:val="12"/>
      </w:rPr>
      <w:fldChar w:fldCharType="begin"/>
    </w:r>
    <w:r w:rsidRPr="002C4303">
      <w:rPr>
        <w:color w:val="159DCE"/>
        <w:sz w:val="12"/>
        <w:szCs w:val="12"/>
      </w:rPr>
      <w:instrText xml:space="preserve"> PAGE   \* MERGEFORMAT </w:instrText>
    </w:r>
    <w:r w:rsidRPr="002C4303">
      <w:rPr>
        <w:color w:val="159DCE"/>
        <w:sz w:val="12"/>
        <w:szCs w:val="12"/>
      </w:rPr>
      <w:fldChar w:fldCharType="separate"/>
    </w:r>
    <w:r w:rsidR="00363A9B">
      <w:rPr>
        <w:noProof/>
        <w:color w:val="159DCE"/>
        <w:sz w:val="12"/>
        <w:szCs w:val="12"/>
      </w:rPr>
      <w:t>3</w:t>
    </w:r>
    <w:r w:rsidRPr="002C4303">
      <w:rPr>
        <w:noProof/>
        <w:color w:val="159DCE"/>
        <w:sz w:val="12"/>
        <w:szCs w:val="12"/>
      </w:rPr>
      <w:fldChar w:fldCharType="end"/>
    </w:r>
    <w:r w:rsidRPr="002C4303">
      <w:rPr>
        <w:noProof/>
        <w:color w:val="159DCE"/>
        <w:sz w:val="12"/>
        <w:szCs w:val="12"/>
      </w:rPr>
      <w:t xml:space="preserve">   </w:t>
    </w:r>
    <w:r w:rsidRPr="002C4303">
      <w:rPr>
        <w:caps/>
        <w:noProof/>
        <w:color w:val="159DCE"/>
        <w:sz w:val="12"/>
        <w:szCs w:val="12"/>
      </w:rPr>
      <w:fldChar w:fldCharType="begin"/>
    </w:r>
    <w:r w:rsidRPr="002C4303">
      <w:rPr>
        <w:caps/>
        <w:noProof/>
        <w:color w:val="159DCE"/>
        <w:sz w:val="12"/>
        <w:szCs w:val="12"/>
      </w:rPr>
      <w:instrText xml:space="preserve"> STYLEREF  "Heading 1 NN"  \* MERGEFORMAT </w:instrText>
    </w:r>
    <w:r w:rsidRPr="002C4303">
      <w:rPr>
        <w:caps/>
        <w:noProof/>
        <w:color w:val="159DCE"/>
        <w:sz w:val="12"/>
        <w:szCs w:val="12"/>
      </w:rPr>
      <w:fldChar w:fldCharType="separate"/>
    </w:r>
    <w:r w:rsidR="00363A9B">
      <w:rPr>
        <w:caps/>
        <w:noProof/>
        <w:color w:val="159DCE"/>
        <w:sz w:val="12"/>
        <w:szCs w:val="12"/>
      </w:rPr>
      <w:t>Contents</w:t>
    </w:r>
    <w:r w:rsidRPr="002C4303">
      <w:rPr>
        <w:caps/>
        <w:noProof/>
        <w:color w:val="159DCE"/>
        <w:sz w:val="12"/>
        <w:szCs w:val="12"/>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9D185" w14:textId="44EEF7DB" w:rsidR="009B072F" w:rsidRPr="002C4303" w:rsidRDefault="009B072F" w:rsidP="00BA3FE5">
    <w:pPr>
      <w:pStyle w:val="Header"/>
      <w:rPr>
        <w:color w:val="159DCE"/>
        <w:sz w:val="12"/>
        <w:szCs w:val="12"/>
      </w:rPr>
    </w:pPr>
    <w:r w:rsidRPr="002C4303">
      <w:rPr>
        <w:color w:val="159DCE"/>
        <w:sz w:val="12"/>
        <w:szCs w:val="12"/>
      </w:rPr>
      <w:fldChar w:fldCharType="begin"/>
    </w:r>
    <w:r w:rsidRPr="002C4303">
      <w:rPr>
        <w:color w:val="159DCE"/>
        <w:sz w:val="12"/>
        <w:szCs w:val="12"/>
      </w:rPr>
      <w:instrText xml:space="preserve"> PAGE   \* MERGEFORMAT </w:instrText>
    </w:r>
    <w:r w:rsidRPr="002C4303">
      <w:rPr>
        <w:color w:val="159DCE"/>
        <w:sz w:val="12"/>
        <w:szCs w:val="12"/>
      </w:rPr>
      <w:fldChar w:fldCharType="separate"/>
    </w:r>
    <w:r w:rsidR="00363A9B">
      <w:rPr>
        <w:noProof/>
        <w:color w:val="159DCE"/>
        <w:sz w:val="12"/>
        <w:szCs w:val="12"/>
      </w:rPr>
      <w:t>17</w:t>
    </w:r>
    <w:r w:rsidRPr="002C4303">
      <w:rPr>
        <w:noProof/>
        <w:color w:val="159DCE"/>
        <w:sz w:val="12"/>
        <w:szCs w:val="12"/>
      </w:rPr>
      <w:fldChar w:fldCharType="end"/>
    </w:r>
    <w:r w:rsidRPr="002C4303">
      <w:rPr>
        <w:noProof/>
        <w:color w:val="159DCE"/>
        <w:sz w:val="12"/>
        <w:szCs w:val="12"/>
      </w:rPr>
      <w:t xml:space="preserve">   </w:t>
    </w:r>
    <w:r w:rsidRPr="002C4303">
      <w:rPr>
        <w:caps/>
        <w:noProof/>
        <w:color w:val="159DCE"/>
        <w:sz w:val="12"/>
        <w:szCs w:val="12"/>
      </w:rPr>
      <w:fldChar w:fldCharType="begin"/>
    </w:r>
    <w:r w:rsidRPr="002C4303">
      <w:rPr>
        <w:caps/>
        <w:noProof/>
        <w:color w:val="159DCE"/>
        <w:sz w:val="12"/>
        <w:szCs w:val="12"/>
      </w:rPr>
      <w:instrText xml:space="preserve"> STYLEREF  "Heading 1"  \* MERGEFORMAT </w:instrText>
    </w:r>
    <w:r w:rsidRPr="002C4303">
      <w:rPr>
        <w:caps/>
        <w:noProof/>
        <w:color w:val="159DCE"/>
        <w:sz w:val="12"/>
        <w:szCs w:val="12"/>
      </w:rPr>
      <w:fldChar w:fldCharType="separate"/>
    </w:r>
    <w:r w:rsidR="00363A9B">
      <w:rPr>
        <w:caps/>
        <w:noProof/>
        <w:color w:val="159DCE"/>
        <w:sz w:val="12"/>
        <w:szCs w:val="12"/>
      </w:rPr>
      <w:t>Safeguard mechanism</w:t>
    </w:r>
    <w:r w:rsidRPr="002C4303">
      <w:rPr>
        <w:caps/>
        <w:noProof/>
        <w:color w:val="159DCE"/>
        <w:sz w:val="12"/>
        <w:szCs w:val="12"/>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853361" w14:textId="412F249E" w:rsidR="009B072F" w:rsidRPr="002C4303" w:rsidRDefault="009B072F" w:rsidP="00BA3FE5">
    <w:pPr>
      <w:pStyle w:val="Header"/>
      <w:rPr>
        <w:color w:val="159DCE"/>
        <w:sz w:val="12"/>
        <w:szCs w:val="12"/>
      </w:rPr>
    </w:pPr>
    <w:r w:rsidRPr="002C4303">
      <w:rPr>
        <w:color w:val="159DCE"/>
        <w:sz w:val="12"/>
        <w:szCs w:val="12"/>
      </w:rPr>
      <w:fldChar w:fldCharType="begin"/>
    </w:r>
    <w:r w:rsidRPr="002C4303">
      <w:rPr>
        <w:color w:val="159DCE"/>
        <w:sz w:val="12"/>
        <w:szCs w:val="12"/>
      </w:rPr>
      <w:instrText xml:space="preserve"> PAGE   \* MERGEFORMAT </w:instrText>
    </w:r>
    <w:r w:rsidRPr="002C4303">
      <w:rPr>
        <w:color w:val="159DCE"/>
        <w:sz w:val="12"/>
        <w:szCs w:val="12"/>
      </w:rPr>
      <w:fldChar w:fldCharType="separate"/>
    </w:r>
    <w:r w:rsidR="00363A9B">
      <w:rPr>
        <w:noProof/>
        <w:color w:val="159DCE"/>
        <w:sz w:val="12"/>
        <w:szCs w:val="12"/>
      </w:rPr>
      <w:t>19</w:t>
    </w:r>
    <w:r w:rsidRPr="002C4303">
      <w:rPr>
        <w:noProof/>
        <w:color w:val="159DCE"/>
        <w:sz w:val="12"/>
        <w:szCs w:val="12"/>
      </w:rPr>
      <w:fldChar w:fldCharType="end"/>
    </w:r>
    <w:r w:rsidRPr="002C4303">
      <w:rPr>
        <w:noProof/>
        <w:color w:val="159DCE"/>
        <w:sz w:val="12"/>
        <w:szCs w:val="12"/>
      </w:rPr>
      <w:t xml:space="preserve">   </w:t>
    </w:r>
    <w:r w:rsidRPr="002C4303">
      <w:rPr>
        <w:caps/>
        <w:noProof/>
        <w:color w:val="159DCE"/>
        <w:sz w:val="12"/>
        <w:szCs w:val="12"/>
      </w:rPr>
      <w:fldChar w:fldCharType="begin"/>
    </w:r>
    <w:r w:rsidRPr="002C4303">
      <w:rPr>
        <w:caps/>
        <w:noProof/>
        <w:color w:val="159DCE"/>
        <w:sz w:val="12"/>
        <w:szCs w:val="12"/>
      </w:rPr>
      <w:instrText xml:space="preserve"> STYLEREF  "Heading 1"  \* MERGEFORMAT </w:instrText>
    </w:r>
    <w:r w:rsidRPr="002C4303">
      <w:rPr>
        <w:caps/>
        <w:noProof/>
        <w:color w:val="159DCE"/>
        <w:sz w:val="12"/>
        <w:szCs w:val="12"/>
      </w:rPr>
      <w:fldChar w:fldCharType="separate"/>
    </w:r>
    <w:r w:rsidR="00363A9B">
      <w:rPr>
        <w:caps/>
        <w:noProof/>
        <w:color w:val="159DCE"/>
        <w:sz w:val="12"/>
        <w:szCs w:val="12"/>
      </w:rPr>
      <w:t>Safeguard mechanism</w:t>
    </w:r>
    <w:r w:rsidRPr="002C4303">
      <w:rPr>
        <w:caps/>
        <w:noProof/>
        <w:color w:val="159DCE"/>
        <w:sz w:val="12"/>
        <w:szCs w:val="12"/>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F61A0" w14:textId="2DDD316F" w:rsidR="009B072F" w:rsidRPr="002C4303" w:rsidRDefault="009B072F" w:rsidP="00BA3FE5">
    <w:pPr>
      <w:pStyle w:val="Header"/>
      <w:jc w:val="right"/>
      <w:rPr>
        <w:color w:val="159DCE"/>
        <w:sz w:val="12"/>
        <w:szCs w:val="12"/>
      </w:rPr>
    </w:pPr>
    <w:r w:rsidRPr="002C4303">
      <w:rPr>
        <w:caps/>
        <w:color w:val="159DCE"/>
        <w:sz w:val="12"/>
        <w:szCs w:val="12"/>
      </w:rPr>
      <w:fldChar w:fldCharType="begin"/>
    </w:r>
    <w:r w:rsidRPr="002C4303">
      <w:rPr>
        <w:caps/>
        <w:color w:val="159DCE"/>
        <w:sz w:val="12"/>
        <w:szCs w:val="12"/>
      </w:rPr>
      <w:instrText xml:space="preserve"> TITLE  \* Upper  \* MERGEFORMAT </w:instrText>
    </w:r>
    <w:r w:rsidRPr="002C4303">
      <w:rPr>
        <w:caps/>
        <w:color w:val="159DCE"/>
        <w:sz w:val="12"/>
        <w:szCs w:val="12"/>
      </w:rPr>
      <w:fldChar w:fldCharType="separate"/>
    </w:r>
    <w:r w:rsidRPr="002C4303">
      <w:rPr>
        <w:color w:val="159DCE"/>
        <w:sz w:val="12"/>
        <w:szCs w:val="12"/>
      </w:rPr>
      <w:t>REVIEW OF THE NATIONAL GREENHOUSE AND ENERGY REPORTING LEGISLATION – A CONSULTATION PAPER</w:t>
    </w:r>
    <w:r w:rsidRPr="002C4303">
      <w:rPr>
        <w:caps/>
        <w:color w:val="159DCE"/>
        <w:sz w:val="12"/>
        <w:szCs w:val="12"/>
      </w:rPr>
      <w:fldChar w:fldCharType="end"/>
    </w:r>
    <w:r w:rsidRPr="002C4303">
      <w:rPr>
        <w:caps/>
        <w:color w:val="159DCE"/>
        <w:sz w:val="12"/>
        <w:szCs w:val="12"/>
      </w:rPr>
      <w:t xml:space="preserve">   </w:t>
    </w:r>
    <w:r w:rsidRPr="002C4303">
      <w:rPr>
        <w:color w:val="159DCE"/>
        <w:sz w:val="12"/>
        <w:szCs w:val="12"/>
      </w:rPr>
      <w:fldChar w:fldCharType="begin"/>
    </w:r>
    <w:r w:rsidRPr="002C4303">
      <w:rPr>
        <w:color w:val="159DCE"/>
        <w:sz w:val="12"/>
        <w:szCs w:val="12"/>
      </w:rPr>
      <w:instrText xml:space="preserve"> PAGE   \* MERGEFORMAT </w:instrText>
    </w:r>
    <w:r w:rsidRPr="002C4303">
      <w:rPr>
        <w:color w:val="159DCE"/>
        <w:sz w:val="12"/>
        <w:szCs w:val="12"/>
      </w:rPr>
      <w:fldChar w:fldCharType="separate"/>
    </w:r>
    <w:r w:rsidR="00363A9B">
      <w:rPr>
        <w:noProof/>
        <w:color w:val="159DCE"/>
        <w:sz w:val="12"/>
        <w:szCs w:val="12"/>
      </w:rPr>
      <w:t>20</w:t>
    </w:r>
    <w:r w:rsidRPr="002C4303">
      <w:rPr>
        <w:noProof/>
        <w:color w:val="159DCE"/>
        <w:sz w:val="12"/>
        <w:szCs w:val="12"/>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1E6584" w14:textId="19BE4DE3" w:rsidR="009B072F" w:rsidRPr="002C4303" w:rsidRDefault="009B072F" w:rsidP="00AE4FE6">
    <w:pPr>
      <w:pStyle w:val="Header"/>
      <w:jc w:val="right"/>
      <w:rPr>
        <w:color w:val="159DCE"/>
        <w:sz w:val="12"/>
        <w:szCs w:val="12"/>
      </w:rPr>
    </w:pPr>
    <w:r w:rsidRPr="002C4303">
      <w:rPr>
        <w:caps/>
        <w:color w:val="159DCE"/>
        <w:sz w:val="12"/>
        <w:szCs w:val="12"/>
      </w:rPr>
      <w:fldChar w:fldCharType="begin"/>
    </w:r>
    <w:r w:rsidRPr="002C4303">
      <w:rPr>
        <w:caps/>
        <w:color w:val="159DCE"/>
        <w:sz w:val="12"/>
        <w:szCs w:val="12"/>
      </w:rPr>
      <w:instrText xml:space="preserve"> TITLE  \* Upper  \* MERGEFORMAT </w:instrText>
    </w:r>
    <w:r w:rsidRPr="002C4303">
      <w:rPr>
        <w:caps/>
        <w:color w:val="159DCE"/>
        <w:sz w:val="12"/>
        <w:szCs w:val="12"/>
      </w:rPr>
      <w:fldChar w:fldCharType="separate"/>
    </w:r>
    <w:r w:rsidRPr="002C4303">
      <w:rPr>
        <w:color w:val="159DCE"/>
        <w:sz w:val="12"/>
        <w:szCs w:val="12"/>
      </w:rPr>
      <w:t>REVIEW OF THE NATIONAL GREENHOUSE AND ENERGY REPORTING LEGISLATION – A CONSULTATION PAPER</w:t>
    </w:r>
    <w:r w:rsidRPr="002C4303">
      <w:rPr>
        <w:caps/>
        <w:color w:val="159DCE"/>
        <w:sz w:val="12"/>
        <w:szCs w:val="12"/>
      </w:rPr>
      <w:fldChar w:fldCharType="end"/>
    </w:r>
    <w:r w:rsidRPr="002C4303">
      <w:rPr>
        <w:caps/>
        <w:color w:val="159DCE"/>
        <w:sz w:val="12"/>
        <w:szCs w:val="12"/>
      </w:rPr>
      <w:t xml:space="preserve">   </w:t>
    </w:r>
    <w:r w:rsidRPr="002C4303">
      <w:rPr>
        <w:color w:val="159DCE"/>
        <w:sz w:val="12"/>
        <w:szCs w:val="12"/>
      </w:rPr>
      <w:fldChar w:fldCharType="begin"/>
    </w:r>
    <w:r w:rsidRPr="002C4303">
      <w:rPr>
        <w:color w:val="159DCE"/>
        <w:sz w:val="12"/>
        <w:szCs w:val="12"/>
      </w:rPr>
      <w:instrText xml:space="preserve"> PAGE   \* MERGEFORMAT </w:instrText>
    </w:r>
    <w:r w:rsidRPr="002C4303">
      <w:rPr>
        <w:color w:val="159DCE"/>
        <w:sz w:val="12"/>
        <w:szCs w:val="12"/>
      </w:rPr>
      <w:fldChar w:fldCharType="separate"/>
    </w:r>
    <w:r w:rsidR="00363A9B">
      <w:rPr>
        <w:noProof/>
        <w:color w:val="159DCE"/>
        <w:sz w:val="12"/>
        <w:szCs w:val="12"/>
      </w:rPr>
      <w:t>44</w:t>
    </w:r>
    <w:r w:rsidRPr="002C4303">
      <w:rPr>
        <w:noProof/>
        <w:color w:val="159DCE"/>
        <w:sz w:val="12"/>
        <w:szCs w:val="12"/>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32DB9"/>
    <w:multiLevelType w:val="multilevel"/>
    <w:tmpl w:val="E5E89F92"/>
    <w:styleLink w:val="BulletList"/>
    <w:lvl w:ilvl="0">
      <w:start w:val="1"/>
      <w:numFmt w:val="bullet"/>
      <w:lvlText w:val=""/>
      <w:lvlJc w:val="left"/>
      <w:pPr>
        <w:ind w:left="369" w:hanging="369"/>
      </w:pPr>
      <w:rPr>
        <w:rFonts w:ascii="Symbol" w:hAnsi="Symbol"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color w:val="auto"/>
      </w:rPr>
    </w:lvl>
    <w:lvl w:ilvl="4">
      <w:start w:val="1"/>
      <w:numFmt w:val="none"/>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19D40E4E"/>
    <w:multiLevelType w:val="hybridMultilevel"/>
    <w:tmpl w:val="E9A28BC0"/>
    <w:lvl w:ilvl="0" w:tplc="E3A4B9AC">
      <w:start w:val="1"/>
      <w:numFmt w:val="bullet"/>
      <w:lvlText w:val=""/>
      <w:lvlJc w:val="left"/>
      <w:pPr>
        <w:ind w:left="720" w:hanging="360"/>
      </w:pPr>
      <w:rPr>
        <w:rFonts w:ascii="Symbol" w:hAnsi="Symbol" w:hint="default"/>
        <w:color w:val="0C9FC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745BC2"/>
    <w:multiLevelType w:val="multilevel"/>
    <w:tmpl w:val="E5E89F92"/>
    <w:numStyleLink w:val="BulletList"/>
  </w:abstractNum>
  <w:abstractNum w:abstractNumId="3"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37C2465A"/>
    <w:multiLevelType w:val="hybridMultilevel"/>
    <w:tmpl w:val="5F1E642E"/>
    <w:lvl w:ilvl="0" w:tplc="AA2038B8">
      <w:start w:val="1"/>
      <w:numFmt w:val="bullet"/>
      <w:lvlText w:val=""/>
      <w:lvlJc w:val="left"/>
      <w:pPr>
        <w:ind w:left="720" w:hanging="360"/>
      </w:pPr>
      <w:rPr>
        <w:rFonts w:ascii="Symbol" w:hAnsi="Symbol" w:hint="default"/>
        <w:color w:val="0C9FC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33C3BA5"/>
    <w:multiLevelType w:val="multilevel"/>
    <w:tmpl w:val="ED2E8858"/>
    <w:lvl w:ilvl="0">
      <w:start w:val="1"/>
      <w:numFmt w:val="bullet"/>
      <w:lvlText w:val=""/>
      <w:lvlJc w:val="left"/>
      <w:pPr>
        <w:ind w:left="369" w:hanging="369"/>
      </w:pPr>
      <w:rPr>
        <w:rFonts w:ascii="Symbol" w:hAnsi="Symbol" w:hint="default"/>
        <w:color w:val="0C9FCD"/>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7" w15:restartNumberingAfterBreak="0">
    <w:nsid w:val="635E5383"/>
    <w:multiLevelType w:val="multilevel"/>
    <w:tmpl w:val="1870D964"/>
    <w:lvl w:ilvl="0">
      <w:start w:val="1"/>
      <w:numFmt w:val="bullet"/>
      <w:lvlText w:val=""/>
      <w:lvlJc w:val="left"/>
      <w:pPr>
        <w:ind w:left="369" w:hanging="369"/>
      </w:pPr>
      <w:rPr>
        <w:rFonts w:ascii="Symbol" w:hAnsi="Symbol" w:hint="default"/>
        <w:color w:val="0C9FCD"/>
        <w:sz w:val="22"/>
      </w:rPr>
    </w:lvl>
    <w:lvl w:ilvl="1">
      <w:start w:val="1"/>
      <w:numFmt w:val="bullet"/>
      <w:lvlText w:val="–"/>
      <w:lvlJc w:val="left"/>
      <w:pPr>
        <w:ind w:left="738" w:hanging="369"/>
      </w:pPr>
      <w:rPr>
        <w:rFonts w:ascii="Arial" w:hAnsi="Arial" w:hint="default"/>
        <w:color w:val="0C9FCD"/>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8" w15:restartNumberingAfterBreak="0">
    <w:nsid w:val="648E6CBA"/>
    <w:multiLevelType w:val="multilevel"/>
    <w:tmpl w:val="B9E4068C"/>
    <w:styleLink w:val="ListBulletmaster"/>
    <w:lvl w:ilvl="0">
      <w:start w:val="1"/>
      <w:numFmt w:val="bullet"/>
      <w:lvlText w:val=""/>
      <w:lvlJc w:val="left"/>
      <w:pPr>
        <w:ind w:left="530" w:hanging="360"/>
      </w:pPr>
      <w:rPr>
        <w:rFonts w:ascii="Symbol" w:hAnsi="Symbol" w:hint="default"/>
        <w:color w:val="9BBB59" w:themeColor="accent3"/>
        <w:sz w:val="18"/>
      </w:rPr>
    </w:lvl>
    <w:lvl w:ilvl="1">
      <w:start w:val="1"/>
      <w:numFmt w:val="bullet"/>
      <w:lvlText w:val=""/>
      <w:lvlJc w:val="left"/>
      <w:pPr>
        <w:ind w:left="714" w:hanging="357"/>
      </w:pPr>
      <w:rPr>
        <w:rFonts w:ascii="Symbol" w:hAnsi="Symbol" w:hint="default"/>
        <w:color w:val="0C9FCD"/>
      </w:rPr>
    </w:lvl>
    <w:lvl w:ilvl="2">
      <w:start w:val="1"/>
      <w:numFmt w:val="bullet"/>
      <w:lvlText w:val=""/>
      <w:lvlJc w:val="left"/>
      <w:pPr>
        <w:ind w:left="1072" w:hanging="358"/>
      </w:pPr>
      <w:rPr>
        <w:rFonts w:ascii="Symbol" w:hAnsi="Symbol" w:hint="default"/>
        <w:color w:val="0C9FCD"/>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5456429"/>
    <w:multiLevelType w:val="multilevel"/>
    <w:tmpl w:val="E898CC72"/>
    <w:numStyleLink w:val="KeyPoints"/>
  </w:abstractNum>
  <w:abstractNum w:abstractNumId="10" w15:restartNumberingAfterBreak="0">
    <w:nsid w:val="6AEF1F83"/>
    <w:multiLevelType w:val="multilevel"/>
    <w:tmpl w:val="8FC290FE"/>
    <w:lvl w:ilvl="0">
      <w:start w:val="1"/>
      <w:numFmt w:val="decimal"/>
      <w:lvlText w:val="Chapter %1."/>
      <w:lvlJc w:val="left"/>
      <w:pPr>
        <w:ind w:left="0" w:firstLine="0"/>
      </w:pPr>
      <w:rPr>
        <w:rFonts w:hint="default"/>
        <w:b/>
        <w:i w:val="0"/>
        <w:caps/>
        <w:strike w:val="0"/>
        <w:dstrike w:val="0"/>
        <w:vanish w:val="0"/>
        <w:color w:val="159DCE"/>
        <w:sz w:val="34"/>
        <w:vertAlign w:val="baseline"/>
      </w:rPr>
    </w:lvl>
    <w:lvl w:ilvl="1">
      <w:start w:val="1"/>
      <w:numFmt w:val="decimal"/>
      <w:pStyle w:val="Heading2"/>
      <w:lvlText w:val="%1.%2"/>
      <w:lvlJc w:val="left"/>
      <w:pPr>
        <w:ind w:left="0" w:firstLine="0"/>
      </w:pPr>
      <w:rPr>
        <w:rFonts w:hint="default"/>
        <w:b/>
        <w:i w:val="0"/>
        <w:strike w:val="0"/>
        <w:dstrike w:val="0"/>
        <w:vanish w:val="0"/>
        <w:color w:val="159DCE"/>
        <w:sz w:val="22"/>
        <w:vertAlign w:val="baseline"/>
      </w:rPr>
    </w:lvl>
    <w:lvl w:ilvl="2">
      <w:start w:val="1"/>
      <w:numFmt w:val="decimal"/>
      <w:pStyle w:val="Heading3"/>
      <w:lvlText w:val="%1.%2.%3"/>
      <w:lvlJc w:val="left"/>
      <w:pPr>
        <w:ind w:left="0" w:firstLine="0"/>
      </w:pPr>
      <w:rPr>
        <w:rFonts w:hint="default"/>
        <w:strike w:val="0"/>
        <w:dstrike w:val="0"/>
        <w:vanish w:val="0"/>
        <w:color w:val="159DCE"/>
        <w:sz w:val="22"/>
        <w:vertAlign w:val="baseline"/>
      </w:rPr>
    </w:lvl>
    <w:lvl w:ilvl="3">
      <w:start w:val="1"/>
      <w:numFmt w:val="decimal"/>
      <w:pStyle w:val="Heading4"/>
      <w:lvlText w:val="%1.%2.%3.%4"/>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723413C5"/>
    <w:multiLevelType w:val="multilevel"/>
    <w:tmpl w:val="8266E9DA"/>
    <w:styleLink w:val="ListRecommendationsMaster"/>
    <w:lvl w:ilvl="0">
      <w:start w:val="1"/>
      <w:numFmt w:val="decimal"/>
      <w:lvlText w:val="R.%1."/>
      <w:lvlJc w:val="left"/>
      <w:pPr>
        <w:ind w:left="714" w:hanging="714"/>
      </w:pPr>
      <w:rPr>
        <w:rFonts w:hint="default"/>
      </w:rPr>
    </w:lvl>
    <w:lvl w:ilvl="1">
      <w:start w:val="1"/>
      <w:numFmt w:val="lowerLetter"/>
      <w:lvlText w:val="%2."/>
      <w:lvlJc w:val="left"/>
      <w:pPr>
        <w:ind w:left="357" w:hanging="357"/>
      </w:pPr>
      <w:rPr>
        <w:rFonts w:hint="default"/>
      </w:rPr>
    </w:lvl>
    <w:lvl w:ilvl="2">
      <w:start w:val="1"/>
      <w:numFmt w:val="lowerRoman"/>
      <w:lvlText w:val="%3."/>
      <w:lvlJc w:val="right"/>
      <w:pPr>
        <w:ind w:left="357" w:hanging="357"/>
      </w:pPr>
      <w:rPr>
        <w:rFonts w:hint="default"/>
      </w:rPr>
    </w:lvl>
    <w:lvl w:ilvl="3">
      <w:start w:val="1"/>
      <w:numFmt w:val="decimal"/>
      <w:lvlText w:val="%4."/>
      <w:lvlJc w:val="left"/>
      <w:pPr>
        <w:ind w:left="357" w:hanging="357"/>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57" w:hanging="357"/>
      </w:pPr>
      <w:rPr>
        <w:rFonts w:hint="default"/>
      </w:rPr>
    </w:lvl>
    <w:lvl w:ilvl="6">
      <w:start w:val="1"/>
      <w:numFmt w:val="decimal"/>
      <w:lvlText w:val="%7."/>
      <w:lvlJc w:val="left"/>
      <w:pPr>
        <w:ind w:left="357" w:hanging="357"/>
      </w:pPr>
      <w:rPr>
        <w:rFonts w:hint="default"/>
      </w:rPr>
    </w:lvl>
    <w:lvl w:ilvl="7">
      <w:start w:val="1"/>
      <w:numFmt w:val="lowerLetter"/>
      <w:lvlText w:val="%8."/>
      <w:lvlJc w:val="left"/>
      <w:pPr>
        <w:ind w:left="357" w:hanging="357"/>
      </w:pPr>
      <w:rPr>
        <w:rFonts w:hint="default"/>
      </w:rPr>
    </w:lvl>
    <w:lvl w:ilvl="8">
      <w:start w:val="1"/>
      <w:numFmt w:val="lowerRoman"/>
      <w:lvlText w:val="%9."/>
      <w:lvlJc w:val="right"/>
      <w:pPr>
        <w:ind w:left="357" w:hanging="357"/>
      </w:pPr>
      <w:rPr>
        <w:rFonts w:hint="default"/>
      </w:rPr>
    </w:lvl>
  </w:abstractNum>
  <w:abstractNum w:abstractNumId="12"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none"/>
      <w:lvlText w:val="%4"/>
      <w:lvlJc w:val="left"/>
      <w:pPr>
        <w:ind w:left="1476" w:hanging="369"/>
      </w:pPr>
      <w:rPr>
        <w:rFonts w:hint="default"/>
      </w:rPr>
    </w:lvl>
    <w:lvl w:ilvl="4">
      <w:start w:val="1"/>
      <w:numFmt w:val="none"/>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3" w15:restartNumberingAfterBreak="0">
    <w:nsid w:val="7C133A20"/>
    <w:multiLevelType w:val="hybridMultilevel"/>
    <w:tmpl w:val="1A1CE7DC"/>
    <w:lvl w:ilvl="0" w:tplc="943A119E">
      <w:start w:val="1"/>
      <w:numFmt w:val="bullet"/>
      <w:lvlText w:val=""/>
      <w:lvlJc w:val="left"/>
      <w:pPr>
        <w:ind w:left="720" w:hanging="360"/>
      </w:pPr>
      <w:rPr>
        <w:rFonts w:ascii="Symbol" w:hAnsi="Symbol" w:hint="default"/>
        <w:color w:val="0C9FCD"/>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4"/>
  </w:num>
  <w:num w:numId="4">
    <w:abstractNumId w:val="3"/>
  </w:num>
  <w:num w:numId="5">
    <w:abstractNumId w:val="9"/>
  </w:num>
  <w:num w:numId="6">
    <w:abstractNumId w:val="2"/>
  </w:num>
  <w:num w:numId="7">
    <w:abstractNumId w:val="8"/>
  </w:num>
  <w:num w:numId="8">
    <w:abstractNumId w:val="11"/>
  </w:num>
  <w:num w:numId="9">
    <w:abstractNumId w:val="6"/>
  </w:num>
  <w:num w:numId="10">
    <w:abstractNumId w:val="7"/>
  </w:num>
  <w:num w:numId="11">
    <w:abstractNumId w:val="5"/>
  </w:num>
  <w:num w:numId="12">
    <w:abstractNumId w:val="13"/>
  </w:num>
  <w:num w:numId="13">
    <w:abstractNumId w:val="1"/>
  </w:num>
  <w:num w:numId="14">
    <w:abstractNumId w:val="10"/>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drawingGridHorizontalSpacing w:val="110"/>
  <w:displayHorizontalDrawingGridEvery w:val="2"/>
  <w:displayVerticalDrawingGridEvery w:val="2"/>
  <w:characterSpacingControl w:val="doNotCompress"/>
  <w:hdrShapeDefaults>
    <o:shapedefaults v:ext="edit" spidmax="1228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curityClassificationInHeader" w:val="False"/>
  </w:docVars>
  <w:rsids>
    <w:rsidRoot w:val="006D51D1"/>
    <w:rsid w:val="000005F8"/>
    <w:rsid w:val="00000777"/>
    <w:rsid w:val="00000915"/>
    <w:rsid w:val="00002111"/>
    <w:rsid w:val="00002E56"/>
    <w:rsid w:val="00003CBF"/>
    <w:rsid w:val="000045D0"/>
    <w:rsid w:val="00004AEE"/>
    <w:rsid w:val="0000513C"/>
    <w:rsid w:val="00005CAA"/>
    <w:rsid w:val="00005E9B"/>
    <w:rsid w:val="00006282"/>
    <w:rsid w:val="00006E6B"/>
    <w:rsid w:val="000079EE"/>
    <w:rsid w:val="00010210"/>
    <w:rsid w:val="00011E91"/>
    <w:rsid w:val="00011FB3"/>
    <w:rsid w:val="00012D66"/>
    <w:rsid w:val="000131D8"/>
    <w:rsid w:val="00013D76"/>
    <w:rsid w:val="00014F6C"/>
    <w:rsid w:val="000152FF"/>
    <w:rsid w:val="0001531D"/>
    <w:rsid w:val="00015ADA"/>
    <w:rsid w:val="00016422"/>
    <w:rsid w:val="00017274"/>
    <w:rsid w:val="00017796"/>
    <w:rsid w:val="000177BE"/>
    <w:rsid w:val="00017CC5"/>
    <w:rsid w:val="00017DE8"/>
    <w:rsid w:val="000200B1"/>
    <w:rsid w:val="00020C99"/>
    <w:rsid w:val="00020CD8"/>
    <w:rsid w:val="00022849"/>
    <w:rsid w:val="00022A97"/>
    <w:rsid w:val="00022B2D"/>
    <w:rsid w:val="00023E72"/>
    <w:rsid w:val="00023F65"/>
    <w:rsid w:val="000243D9"/>
    <w:rsid w:val="000245AB"/>
    <w:rsid w:val="00024F14"/>
    <w:rsid w:val="000252EF"/>
    <w:rsid w:val="0002707B"/>
    <w:rsid w:val="00027679"/>
    <w:rsid w:val="00030142"/>
    <w:rsid w:val="00031C75"/>
    <w:rsid w:val="00031FCF"/>
    <w:rsid w:val="00032347"/>
    <w:rsid w:val="0003286F"/>
    <w:rsid w:val="00033A23"/>
    <w:rsid w:val="0003466A"/>
    <w:rsid w:val="00035D52"/>
    <w:rsid w:val="00036614"/>
    <w:rsid w:val="00036EC6"/>
    <w:rsid w:val="00037749"/>
    <w:rsid w:val="00037B9D"/>
    <w:rsid w:val="00037EB3"/>
    <w:rsid w:val="000403C6"/>
    <w:rsid w:val="000409E5"/>
    <w:rsid w:val="0004220F"/>
    <w:rsid w:val="000425AA"/>
    <w:rsid w:val="000431AC"/>
    <w:rsid w:val="0004369E"/>
    <w:rsid w:val="0004384A"/>
    <w:rsid w:val="000441C1"/>
    <w:rsid w:val="00044246"/>
    <w:rsid w:val="00044401"/>
    <w:rsid w:val="00044E12"/>
    <w:rsid w:val="000454F2"/>
    <w:rsid w:val="00047064"/>
    <w:rsid w:val="000503E7"/>
    <w:rsid w:val="00050579"/>
    <w:rsid w:val="00050843"/>
    <w:rsid w:val="000509A1"/>
    <w:rsid w:val="0005148E"/>
    <w:rsid w:val="00051736"/>
    <w:rsid w:val="00052415"/>
    <w:rsid w:val="00053683"/>
    <w:rsid w:val="000536D0"/>
    <w:rsid w:val="00053CEB"/>
    <w:rsid w:val="0005537B"/>
    <w:rsid w:val="00056D6B"/>
    <w:rsid w:val="00057033"/>
    <w:rsid w:val="00057BBA"/>
    <w:rsid w:val="000608F6"/>
    <w:rsid w:val="00061B21"/>
    <w:rsid w:val="00063EEF"/>
    <w:rsid w:val="000646E0"/>
    <w:rsid w:val="00064C46"/>
    <w:rsid w:val="00064F0E"/>
    <w:rsid w:val="00064F70"/>
    <w:rsid w:val="00064F90"/>
    <w:rsid w:val="00065913"/>
    <w:rsid w:val="00066519"/>
    <w:rsid w:val="00067331"/>
    <w:rsid w:val="00067735"/>
    <w:rsid w:val="00067CC7"/>
    <w:rsid w:val="0007066E"/>
    <w:rsid w:val="0007086E"/>
    <w:rsid w:val="00070BE6"/>
    <w:rsid w:val="00070F17"/>
    <w:rsid w:val="00072C5A"/>
    <w:rsid w:val="00075652"/>
    <w:rsid w:val="000759E5"/>
    <w:rsid w:val="00077B88"/>
    <w:rsid w:val="00080EC6"/>
    <w:rsid w:val="0008142E"/>
    <w:rsid w:val="0008184B"/>
    <w:rsid w:val="00081C2D"/>
    <w:rsid w:val="00082592"/>
    <w:rsid w:val="00082B68"/>
    <w:rsid w:val="000830A0"/>
    <w:rsid w:val="00084151"/>
    <w:rsid w:val="00084244"/>
    <w:rsid w:val="00084AC6"/>
    <w:rsid w:val="00085EAA"/>
    <w:rsid w:val="000862BD"/>
    <w:rsid w:val="00086A45"/>
    <w:rsid w:val="000876DB"/>
    <w:rsid w:val="000904BC"/>
    <w:rsid w:val="000913EE"/>
    <w:rsid w:val="00091608"/>
    <w:rsid w:val="000919BF"/>
    <w:rsid w:val="0009333C"/>
    <w:rsid w:val="00094635"/>
    <w:rsid w:val="00094DDC"/>
    <w:rsid w:val="000951CD"/>
    <w:rsid w:val="00096004"/>
    <w:rsid w:val="00096758"/>
    <w:rsid w:val="0009704F"/>
    <w:rsid w:val="000A029E"/>
    <w:rsid w:val="000A081D"/>
    <w:rsid w:val="000A089D"/>
    <w:rsid w:val="000A0F11"/>
    <w:rsid w:val="000A125A"/>
    <w:rsid w:val="000A1359"/>
    <w:rsid w:val="000A17B7"/>
    <w:rsid w:val="000A1962"/>
    <w:rsid w:val="000A2120"/>
    <w:rsid w:val="000A2DD8"/>
    <w:rsid w:val="000A35AF"/>
    <w:rsid w:val="000A3C4D"/>
    <w:rsid w:val="000A4FA5"/>
    <w:rsid w:val="000A4FC9"/>
    <w:rsid w:val="000A5238"/>
    <w:rsid w:val="000A57CD"/>
    <w:rsid w:val="000A5E34"/>
    <w:rsid w:val="000A61F6"/>
    <w:rsid w:val="000A7221"/>
    <w:rsid w:val="000A78DD"/>
    <w:rsid w:val="000A7A8C"/>
    <w:rsid w:val="000A7C63"/>
    <w:rsid w:val="000B088A"/>
    <w:rsid w:val="000B09C2"/>
    <w:rsid w:val="000B1351"/>
    <w:rsid w:val="000B147F"/>
    <w:rsid w:val="000B1DB9"/>
    <w:rsid w:val="000B24AF"/>
    <w:rsid w:val="000B2CDE"/>
    <w:rsid w:val="000B3758"/>
    <w:rsid w:val="000B390A"/>
    <w:rsid w:val="000B4ED3"/>
    <w:rsid w:val="000B5FF6"/>
    <w:rsid w:val="000B7548"/>
    <w:rsid w:val="000B7681"/>
    <w:rsid w:val="000B7B42"/>
    <w:rsid w:val="000B7C6D"/>
    <w:rsid w:val="000C02B7"/>
    <w:rsid w:val="000C02FC"/>
    <w:rsid w:val="000C1606"/>
    <w:rsid w:val="000C1EC6"/>
    <w:rsid w:val="000C2756"/>
    <w:rsid w:val="000C2874"/>
    <w:rsid w:val="000C2F57"/>
    <w:rsid w:val="000C373D"/>
    <w:rsid w:val="000C3930"/>
    <w:rsid w:val="000C42F3"/>
    <w:rsid w:val="000C5100"/>
    <w:rsid w:val="000C52E3"/>
    <w:rsid w:val="000C5342"/>
    <w:rsid w:val="000C53AF"/>
    <w:rsid w:val="000C5651"/>
    <w:rsid w:val="000C6AFE"/>
    <w:rsid w:val="000C706A"/>
    <w:rsid w:val="000C7226"/>
    <w:rsid w:val="000C7976"/>
    <w:rsid w:val="000C7CC6"/>
    <w:rsid w:val="000D004B"/>
    <w:rsid w:val="000D00AC"/>
    <w:rsid w:val="000D2887"/>
    <w:rsid w:val="000D5437"/>
    <w:rsid w:val="000D65BF"/>
    <w:rsid w:val="000D6D63"/>
    <w:rsid w:val="000D7ABC"/>
    <w:rsid w:val="000E0081"/>
    <w:rsid w:val="000E012E"/>
    <w:rsid w:val="000E07CF"/>
    <w:rsid w:val="000E2EA8"/>
    <w:rsid w:val="000E304D"/>
    <w:rsid w:val="000E31C1"/>
    <w:rsid w:val="000E39EA"/>
    <w:rsid w:val="000E3EDB"/>
    <w:rsid w:val="000E78B3"/>
    <w:rsid w:val="000E7E2E"/>
    <w:rsid w:val="000E7F24"/>
    <w:rsid w:val="000F0B24"/>
    <w:rsid w:val="000F0B6E"/>
    <w:rsid w:val="000F1306"/>
    <w:rsid w:val="000F2CF2"/>
    <w:rsid w:val="000F2EE5"/>
    <w:rsid w:val="000F35A5"/>
    <w:rsid w:val="000F3B38"/>
    <w:rsid w:val="000F3DF4"/>
    <w:rsid w:val="000F45CD"/>
    <w:rsid w:val="000F4A0C"/>
    <w:rsid w:val="000F4DD7"/>
    <w:rsid w:val="000F6A09"/>
    <w:rsid w:val="000F6E76"/>
    <w:rsid w:val="000F70EA"/>
    <w:rsid w:val="000F7D30"/>
    <w:rsid w:val="00100BEF"/>
    <w:rsid w:val="00100EC6"/>
    <w:rsid w:val="00102794"/>
    <w:rsid w:val="00105FEF"/>
    <w:rsid w:val="00107BCD"/>
    <w:rsid w:val="00111262"/>
    <w:rsid w:val="00111326"/>
    <w:rsid w:val="001125AF"/>
    <w:rsid w:val="0011419B"/>
    <w:rsid w:val="0011498E"/>
    <w:rsid w:val="001157EE"/>
    <w:rsid w:val="00116299"/>
    <w:rsid w:val="0011772E"/>
    <w:rsid w:val="00117A45"/>
    <w:rsid w:val="00120A2B"/>
    <w:rsid w:val="00121B60"/>
    <w:rsid w:val="001220CE"/>
    <w:rsid w:val="001224AE"/>
    <w:rsid w:val="00123718"/>
    <w:rsid w:val="00124383"/>
    <w:rsid w:val="001267FE"/>
    <w:rsid w:val="00126B04"/>
    <w:rsid w:val="001278C7"/>
    <w:rsid w:val="0013060C"/>
    <w:rsid w:val="00130A5C"/>
    <w:rsid w:val="00130FB5"/>
    <w:rsid w:val="0013110B"/>
    <w:rsid w:val="001312C6"/>
    <w:rsid w:val="00132EAE"/>
    <w:rsid w:val="001337D4"/>
    <w:rsid w:val="00133B00"/>
    <w:rsid w:val="001341EF"/>
    <w:rsid w:val="0013427C"/>
    <w:rsid w:val="00134608"/>
    <w:rsid w:val="00134C40"/>
    <w:rsid w:val="00135B62"/>
    <w:rsid w:val="00136AF0"/>
    <w:rsid w:val="00137D0E"/>
    <w:rsid w:val="00140B58"/>
    <w:rsid w:val="00142BB9"/>
    <w:rsid w:val="00143273"/>
    <w:rsid w:val="001441F5"/>
    <w:rsid w:val="00144E4D"/>
    <w:rsid w:val="00145C98"/>
    <w:rsid w:val="001462E8"/>
    <w:rsid w:val="00147C12"/>
    <w:rsid w:val="001502D0"/>
    <w:rsid w:val="00151B1F"/>
    <w:rsid w:val="00151DA2"/>
    <w:rsid w:val="00151EB7"/>
    <w:rsid w:val="001527A1"/>
    <w:rsid w:val="001527BE"/>
    <w:rsid w:val="00152CA8"/>
    <w:rsid w:val="001530DC"/>
    <w:rsid w:val="001541B2"/>
    <w:rsid w:val="0015461D"/>
    <w:rsid w:val="00154989"/>
    <w:rsid w:val="00155541"/>
    <w:rsid w:val="00155A9F"/>
    <w:rsid w:val="00156160"/>
    <w:rsid w:val="00157BFD"/>
    <w:rsid w:val="00157C9B"/>
    <w:rsid w:val="00160053"/>
    <w:rsid w:val="00160262"/>
    <w:rsid w:val="00160B12"/>
    <w:rsid w:val="00160E47"/>
    <w:rsid w:val="00161A73"/>
    <w:rsid w:val="00161F02"/>
    <w:rsid w:val="00163D05"/>
    <w:rsid w:val="0016618C"/>
    <w:rsid w:val="0016664D"/>
    <w:rsid w:val="00167052"/>
    <w:rsid w:val="0016780A"/>
    <w:rsid w:val="001706D5"/>
    <w:rsid w:val="00170808"/>
    <w:rsid w:val="001713FA"/>
    <w:rsid w:val="001714CA"/>
    <w:rsid w:val="00171607"/>
    <w:rsid w:val="00172014"/>
    <w:rsid w:val="00172225"/>
    <w:rsid w:val="00172258"/>
    <w:rsid w:val="00172AD6"/>
    <w:rsid w:val="00172B36"/>
    <w:rsid w:val="00173AC3"/>
    <w:rsid w:val="00173EBF"/>
    <w:rsid w:val="001759E0"/>
    <w:rsid w:val="00175ED3"/>
    <w:rsid w:val="00176EBD"/>
    <w:rsid w:val="00177D7A"/>
    <w:rsid w:val="00177E4C"/>
    <w:rsid w:val="0018091B"/>
    <w:rsid w:val="00181143"/>
    <w:rsid w:val="001842A2"/>
    <w:rsid w:val="00184A72"/>
    <w:rsid w:val="00185DF4"/>
    <w:rsid w:val="0018734A"/>
    <w:rsid w:val="0018748C"/>
    <w:rsid w:val="001876AC"/>
    <w:rsid w:val="00187C71"/>
    <w:rsid w:val="00187FA8"/>
    <w:rsid w:val="00190113"/>
    <w:rsid w:val="001908BF"/>
    <w:rsid w:val="001913BF"/>
    <w:rsid w:val="00191A57"/>
    <w:rsid w:val="001923C2"/>
    <w:rsid w:val="00192626"/>
    <w:rsid w:val="00192F5E"/>
    <w:rsid w:val="00193858"/>
    <w:rsid w:val="00193A7B"/>
    <w:rsid w:val="00193AA3"/>
    <w:rsid w:val="00193DA5"/>
    <w:rsid w:val="00194BC6"/>
    <w:rsid w:val="00195466"/>
    <w:rsid w:val="00195CDD"/>
    <w:rsid w:val="00196288"/>
    <w:rsid w:val="00196588"/>
    <w:rsid w:val="00196DC1"/>
    <w:rsid w:val="00197772"/>
    <w:rsid w:val="001A094D"/>
    <w:rsid w:val="001A0BD2"/>
    <w:rsid w:val="001A225E"/>
    <w:rsid w:val="001A2E3E"/>
    <w:rsid w:val="001A3BA1"/>
    <w:rsid w:val="001A4038"/>
    <w:rsid w:val="001A467C"/>
    <w:rsid w:val="001A4DA7"/>
    <w:rsid w:val="001A51C8"/>
    <w:rsid w:val="001A57A2"/>
    <w:rsid w:val="001A5E21"/>
    <w:rsid w:val="001A629E"/>
    <w:rsid w:val="001A6629"/>
    <w:rsid w:val="001A7BC5"/>
    <w:rsid w:val="001A7F2B"/>
    <w:rsid w:val="001B2265"/>
    <w:rsid w:val="001B2B74"/>
    <w:rsid w:val="001B2BC7"/>
    <w:rsid w:val="001B4CA8"/>
    <w:rsid w:val="001B584C"/>
    <w:rsid w:val="001B5EA1"/>
    <w:rsid w:val="001B6422"/>
    <w:rsid w:val="001B774E"/>
    <w:rsid w:val="001C0ECF"/>
    <w:rsid w:val="001C1694"/>
    <w:rsid w:val="001C17AD"/>
    <w:rsid w:val="001C237A"/>
    <w:rsid w:val="001C30E6"/>
    <w:rsid w:val="001C377E"/>
    <w:rsid w:val="001C43F0"/>
    <w:rsid w:val="001C4F3D"/>
    <w:rsid w:val="001C5558"/>
    <w:rsid w:val="001C5866"/>
    <w:rsid w:val="001C58B9"/>
    <w:rsid w:val="001C5AE1"/>
    <w:rsid w:val="001C6B19"/>
    <w:rsid w:val="001C724B"/>
    <w:rsid w:val="001C731F"/>
    <w:rsid w:val="001C7413"/>
    <w:rsid w:val="001C7C95"/>
    <w:rsid w:val="001D0605"/>
    <w:rsid w:val="001D070E"/>
    <w:rsid w:val="001D0CDC"/>
    <w:rsid w:val="001D1849"/>
    <w:rsid w:val="001D19AA"/>
    <w:rsid w:val="001D1A8E"/>
    <w:rsid w:val="001D1D82"/>
    <w:rsid w:val="001D25FD"/>
    <w:rsid w:val="001D4A8B"/>
    <w:rsid w:val="001D5663"/>
    <w:rsid w:val="001D62F9"/>
    <w:rsid w:val="001D6438"/>
    <w:rsid w:val="001D6D4E"/>
    <w:rsid w:val="001D6D6B"/>
    <w:rsid w:val="001D7242"/>
    <w:rsid w:val="001D7575"/>
    <w:rsid w:val="001D75D4"/>
    <w:rsid w:val="001D7A2A"/>
    <w:rsid w:val="001D7F92"/>
    <w:rsid w:val="001E01AF"/>
    <w:rsid w:val="001E0B54"/>
    <w:rsid w:val="001E1182"/>
    <w:rsid w:val="001E1229"/>
    <w:rsid w:val="001E1738"/>
    <w:rsid w:val="001E1812"/>
    <w:rsid w:val="001E1AE2"/>
    <w:rsid w:val="001E3302"/>
    <w:rsid w:val="001E356B"/>
    <w:rsid w:val="001E391B"/>
    <w:rsid w:val="001E3DE0"/>
    <w:rsid w:val="001E6BDE"/>
    <w:rsid w:val="001F13E3"/>
    <w:rsid w:val="001F2E13"/>
    <w:rsid w:val="001F31CC"/>
    <w:rsid w:val="001F3EFF"/>
    <w:rsid w:val="001F48F5"/>
    <w:rsid w:val="001F5032"/>
    <w:rsid w:val="001F728E"/>
    <w:rsid w:val="001F752F"/>
    <w:rsid w:val="001F7686"/>
    <w:rsid w:val="00200225"/>
    <w:rsid w:val="002003D6"/>
    <w:rsid w:val="00200E4A"/>
    <w:rsid w:val="00201722"/>
    <w:rsid w:val="00201981"/>
    <w:rsid w:val="00202C90"/>
    <w:rsid w:val="00203B99"/>
    <w:rsid w:val="00204F7D"/>
    <w:rsid w:val="0020595F"/>
    <w:rsid w:val="00206F7B"/>
    <w:rsid w:val="00207315"/>
    <w:rsid w:val="0021024E"/>
    <w:rsid w:val="00210E87"/>
    <w:rsid w:val="00210EAE"/>
    <w:rsid w:val="00212C99"/>
    <w:rsid w:val="00213040"/>
    <w:rsid w:val="00213334"/>
    <w:rsid w:val="00213DE8"/>
    <w:rsid w:val="002154A5"/>
    <w:rsid w:val="00215CFB"/>
    <w:rsid w:val="00216118"/>
    <w:rsid w:val="0021629F"/>
    <w:rsid w:val="002168E5"/>
    <w:rsid w:val="00216EBF"/>
    <w:rsid w:val="0021720E"/>
    <w:rsid w:val="002172C7"/>
    <w:rsid w:val="00217313"/>
    <w:rsid w:val="002175DB"/>
    <w:rsid w:val="00220255"/>
    <w:rsid w:val="00220809"/>
    <w:rsid w:val="002209AB"/>
    <w:rsid w:val="00220CCF"/>
    <w:rsid w:val="002211DE"/>
    <w:rsid w:val="00222AEA"/>
    <w:rsid w:val="00223857"/>
    <w:rsid w:val="00224CC0"/>
    <w:rsid w:val="002251E3"/>
    <w:rsid w:val="00227A95"/>
    <w:rsid w:val="002301E3"/>
    <w:rsid w:val="00230704"/>
    <w:rsid w:val="00231454"/>
    <w:rsid w:val="002314A9"/>
    <w:rsid w:val="002316BD"/>
    <w:rsid w:val="00231B6D"/>
    <w:rsid w:val="00232F6F"/>
    <w:rsid w:val="0023444B"/>
    <w:rsid w:val="00234DA2"/>
    <w:rsid w:val="0023502C"/>
    <w:rsid w:val="002365ED"/>
    <w:rsid w:val="0023672F"/>
    <w:rsid w:val="0023723F"/>
    <w:rsid w:val="002374A0"/>
    <w:rsid w:val="0023775D"/>
    <w:rsid w:val="002379EF"/>
    <w:rsid w:val="00240BA0"/>
    <w:rsid w:val="00240F19"/>
    <w:rsid w:val="002414AD"/>
    <w:rsid w:val="00243E4C"/>
    <w:rsid w:val="002442B7"/>
    <w:rsid w:val="00244322"/>
    <w:rsid w:val="00244516"/>
    <w:rsid w:val="002447F6"/>
    <w:rsid w:val="00244B2F"/>
    <w:rsid w:val="00244CB2"/>
    <w:rsid w:val="00245685"/>
    <w:rsid w:val="00246C77"/>
    <w:rsid w:val="002473FC"/>
    <w:rsid w:val="00250807"/>
    <w:rsid w:val="00250E64"/>
    <w:rsid w:val="00251B87"/>
    <w:rsid w:val="002525F6"/>
    <w:rsid w:val="00252E3C"/>
    <w:rsid w:val="00252ECE"/>
    <w:rsid w:val="00253798"/>
    <w:rsid w:val="002539A7"/>
    <w:rsid w:val="00253B5E"/>
    <w:rsid w:val="002547DB"/>
    <w:rsid w:val="00254A15"/>
    <w:rsid w:val="0025574A"/>
    <w:rsid w:val="002558FE"/>
    <w:rsid w:val="00256F43"/>
    <w:rsid w:val="00257AE8"/>
    <w:rsid w:val="00260D1D"/>
    <w:rsid w:val="00260F33"/>
    <w:rsid w:val="00262198"/>
    <w:rsid w:val="002630C8"/>
    <w:rsid w:val="00263E04"/>
    <w:rsid w:val="00263E42"/>
    <w:rsid w:val="00263F53"/>
    <w:rsid w:val="0026455B"/>
    <w:rsid w:val="00264722"/>
    <w:rsid w:val="00264DEB"/>
    <w:rsid w:val="00265293"/>
    <w:rsid w:val="00265963"/>
    <w:rsid w:val="002678EE"/>
    <w:rsid w:val="00267B07"/>
    <w:rsid w:val="00271E98"/>
    <w:rsid w:val="00271F52"/>
    <w:rsid w:val="00271F8C"/>
    <w:rsid w:val="00274754"/>
    <w:rsid w:val="002749DC"/>
    <w:rsid w:val="0027552A"/>
    <w:rsid w:val="002756B2"/>
    <w:rsid w:val="00275F14"/>
    <w:rsid w:val="002767F9"/>
    <w:rsid w:val="00277055"/>
    <w:rsid w:val="002802B5"/>
    <w:rsid w:val="00280470"/>
    <w:rsid w:val="00280FFA"/>
    <w:rsid w:val="0028130D"/>
    <w:rsid w:val="0028201D"/>
    <w:rsid w:val="00283430"/>
    <w:rsid w:val="00283C40"/>
    <w:rsid w:val="00283E8A"/>
    <w:rsid w:val="0028486C"/>
    <w:rsid w:val="0028523E"/>
    <w:rsid w:val="00285F1B"/>
    <w:rsid w:val="002860E8"/>
    <w:rsid w:val="00287468"/>
    <w:rsid w:val="002900E3"/>
    <w:rsid w:val="00290309"/>
    <w:rsid w:val="0029032D"/>
    <w:rsid w:val="002903EF"/>
    <w:rsid w:val="00290B19"/>
    <w:rsid w:val="002910E8"/>
    <w:rsid w:val="002911FF"/>
    <w:rsid w:val="002916BE"/>
    <w:rsid w:val="002922EF"/>
    <w:rsid w:val="0029233F"/>
    <w:rsid w:val="00292748"/>
    <w:rsid w:val="002928C6"/>
    <w:rsid w:val="00292B81"/>
    <w:rsid w:val="00294D9A"/>
    <w:rsid w:val="00295FF7"/>
    <w:rsid w:val="002A07A7"/>
    <w:rsid w:val="002A0A43"/>
    <w:rsid w:val="002A1475"/>
    <w:rsid w:val="002A1889"/>
    <w:rsid w:val="002A2D8F"/>
    <w:rsid w:val="002A4BFD"/>
    <w:rsid w:val="002A4E35"/>
    <w:rsid w:val="002A548E"/>
    <w:rsid w:val="002A558E"/>
    <w:rsid w:val="002A5A57"/>
    <w:rsid w:val="002A6FAB"/>
    <w:rsid w:val="002A72DC"/>
    <w:rsid w:val="002A7367"/>
    <w:rsid w:val="002B18AE"/>
    <w:rsid w:val="002B1B8F"/>
    <w:rsid w:val="002B2542"/>
    <w:rsid w:val="002B2793"/>
    <w:rsid w:val="002B3011"/>
    <w:rsid w:val="002B3453"/>
    <w:rsid w:val="002B3654"/>
    <w:rsid w:val="002B41BB"/>
    <w:rsid w:val="002B4730"/>
    <w:rsid w:val="002B4A3B"/>
    <w:rsid w:val="002B5B90"/>
    <w:rsid w:val="002B5B91"/>
    <w:rsid w:val="002B6575"/>
    <w:rsid w:val="002B684C"/>
    <w:rsid w:val="002B765B"/>
    <w:rsid w:val="002B7975"/>
    <w:rsid w:val="002C017A"/>
    <w:rsid w:val="002C16C9"/>
    <w:rsid w:val="002C1C93"/>
    <w:rsid w:val="002C2E8D"/>
    <w:rsid w:val="002C35AD"/>
    <w:rsid w:val="002C388F"/>
    <w:rsid w:val="002C4303"/>
    <w:rsid w:val="002C4458"/>
    <w:rsid w:val="002C469C"/>
    <w:rsid w:val="002C5066"/>
    <w:rsid w:val="002C5813"/>
    <w:rsid w:val="002C609C"/>
    <w:rsid w:val="002C62E8"/>
    <w:rsid w:val="002C67D8"/>
    <w:rsid w:val="002C6B30"/>
    <w:rsid w:val="002C6C8B"/>
    <w:rsid w:val="002D0053"/>
    <w:rsid w:val="002D06E1"/>
    <w:rsid w:val="002D1980"/>
    <w:rsid w:val="002D268E"/>
    <w:rsid w:val="002D3363"/>
    <w:rsid w:val="002D36DA"/>
    <w:rsid w:val="002D4563"/>
    <w:rsid w:val="002D4AAC"/>
    <w:rsid w:val="002D6950"/>
    <w:rsid w:val="002D6B37"/>
    <w:rsid w:val="002D7B6F"/>
    <w:rsid w:val="002E0E51"/>
    <w:rsid w:val="002E1749"/>
    <w:rsid w:val="002E19F5"/>
    <w:rsid w:val="002E1DE7"/>
    <w:rsid w:val="002E2292"/>
    <w:rsid w:val="002E2E5E"/>
    <w:rsid w:val="002E34BA"/>
    <w:rsid w:val="002E3A6B"/>
    <w:rsid w:val="002E3C6E"/>
    <w:rsid w:val="002E450C"/>
    <w:rsid w:val="002E47EA"/>
    <w:rsid w:val="002E495C"/>
    <w:rsid w:val="002E58F6"/>
    <w:rsid w:val="002E5A9C"/>
    <w:rsid w:val="002E6817"/>
    <w:rsid w:val="002E6A5A"/>
    <w:rsid w:val="002E6AAD"/>
    <w:rsid w:val="002E7D7E"/>
    <w:rsid w:val="002F0221"/>
    <w:rsid w:val="002F045A"/>
    <w:rsid w:val="002F1DD4"/>
    <w:rsid w:val="002F25E3"/>
    <w:rsid w:val="002F26DA"/>
    <w:rsid w:val="002F3388"/>
    <w:rsid w:val="002F3F85"/>
    <w:rsid w:val="002F4063"/>
    <w:rsid w:val="002F52F3"/>
    <w:rsid w:val="002F5300"/>
    <w:rsid w:val="002F572A"/>
    <w:rsid w:val="002F66C0"/>
    <w:rsid w:val="002F6F3C"/>
    <w:rsid w:val="002F7127"/>
    <w:rsid w:val="002F7316"/>
    <w:rsid w:val="002F75AE"/>
    <w:rsid w:val="0030039D"/>
    <w:rsid w:val="003004DD"/>
    <w:rsid w:val="003011E8"/>
    <w:rsid w:val="00302587"/>
    <w:rsid w:val="00303232"/>
    <w:rsid w:val="0030326F"/>
    <w:rsid w:val="00303777"/>
    <w:rsid w:val="00303CFE"/>
    <w:rsid w:val="00303F4C"/>
    <w:rsid w:val="003056F4"/>
    <w:rsid w:val="00310701"/>
    <w:rsid w:val="00311AFE"/>
    <w:rsid w:val="00312151"/>
    <w:rsid w:val="00312275"/>
    <w:rsid w:val="00312CA5"/>
    <w:rsid w:val="00313236"/>
    <w:rsid w:val="003150C6"/>
    <w:rsid w:val="00315980"/>
    <w:rsid w:val="00316173"/>
    <w:rsid w:val="00316900"/>
    <w:rsid w:val="00316B61"/>
    <w:rsid w:val="00316F7F"/>
    <w:rsid w:val="00317791"/>
    <w:rsid w:val="00317BB2"/>
    <w:rsid w:val="003209D1"/>
    <w:rsid w:val="003218E8"/>
    <w:rsid w:val="00322E36"/>
    <w:rsid w:val="00323C3C"/>
    <w:rsid w:val="00324BA2"/>
    <w:rsid w:val="00325E34"/>
    <w:rsid w:val="00327704"/>
    <w:rsid w:val="00330D9E"/>
    <w:rsid w:val="00330DCE"/>
    <w:rsid w:val="003311FB"/>
    <w:rsid w:val="00331622"/>
    <w:rsid w:val="00331E11"/>
    <w:rsid w:val="003329B5"/>
    <w:rsid w:val="003337A3"/>
    <w:rsid w:val="00334384"/>
    <w:rsid w:val="00334761"/>
    <w:rsid w:val="0033631C"/>
    <w:rsid w:val="00337856"/>
    <w:rsid w:val="00337EBC"/>
    <w:rsid w:val="00340AE3"/>
    <w:rsid w:val="00341DCD"/>
    <w:rsid w:val="00342846"/>
    <w:rsid w:val="00342FC5"/>
    <w:rsid w:val="00345149"/>
    <w:rsid w:val="0034544A"/>
    <w:rsid w:val="00345576"/>
    <w:rsid w:val="0034563E"/>
    <w:rsid w:val="0034593D"/>
    <w:rsid w:val="0034608E"/>
    <w:rsid w:val="003464F7"/>
    <w:rsid w:val="0034653E"/>
    <w:rsid w:val="00346A93"/>
    <w:rsid w:val="0034772E"/>
    <w:rsid w:val="00347CD4"/>
    <w:rsid w:val="00347EBD"/>
    <w:rsid w:val="00350F51"/>
    <w:rsid w:val="00351541"/>
    <w:rsid w:val="003518D6"/>
    <w:rsid w:val="00351F4B"/>
    <w:rsid w:val="00351F77"/>
    <w:rsid w:val="003523E4"/>
    <w:rsid w:val="003528B0"/>
    <w:rsid w:val="003533DE"/>
    <w:rsid w:val="00354499"/>
    <w:rsid w:val="0035460C"/>
    <w:rsid w:val="00354824"/>
    <w:rsid w:val="003549AB"/>
    <w:rsid w:val="003556BD"/>
    <w:rsid w:val="003567E7"/>
    <w:rsid w:val="003575BA"/>
    <w:rsid w:val="003613DD"/>
    <w:rsid w:val="0036169A"/>
    <w:rsid w:val="00361D80"/>
    <w:rsid w:val="00361F07"/>
    <w:rsid w:val="00362D52"/>
    <w:rsid w:val="00362F71"/>
    <w:rsid w:val="00363A9B"/>
    <w:rsid w:val="00364156"/>
    <w:rsid w:val="0036445E"/>
    <w:rsid w:val="00364C9F"/>
    <w:rsid w:val="00365009"/>
    <w:rsid w:val="00365147"/>
    <w:rsid w:val="00365761"/>
    <w:rsid w:val="00365ED5"/>
    <w:rsid w:val="003664D5"/>
    <w:rsid w:val="0037016E"/>
    <w:rsid w:val="00370AAA"/>
    <w:rsid w:val="0037199D"/>
    <w:rsid w:val="00371CE4"/>
    <w:rsid w:val="00371EA1"/>
    <w:rsid w:val="00372908"/>
    <w:rsid w:val="00372EFE"/>
    <w:rsid w:val="00373B78"/>
    <w:rsid w:val="00373DA2"/>
    <w:rsid w:val="00374797"/>
    <w:rsid w:val="00374E07"/>
    <w:rsid w:val="00375CB2"/>
    <w:rsid w:val="00377602"/>
    <w:rsid w:val="003802F5"/>
    <w:rsid w:val="003804D3"/>
    <w:rsid w:val="00380735"/>
    <w:rsid w:val="0038138D"/>
    <w:rsid w:val="00381627"/>
    <w:rsid w:val="00383020"/>
    <w:rsid w:val="00384092"/>
    <w:rsid w:val="00385024"/>
    <w:rsid w:val="00386B5B"/>
    <w:rsid w:val="00386CAC"/>
    <w:rsid w:val="0039222D"/>
    <w:rsid w:val="003923BD"/>
    <w:rsid w:val="00392B0B"/>
    <w:rsid w:val="00393B9E"/>
    <w:rsid w:val="00393F75"/>
    <w:rsid w:val="00394D7E"/>
    <w:rsid w:val="003950B1"/>
    <w:rsid w:val="00395AA8"/>
    <w:rsid w:val="0039628C"/>
    <w:rsid w:val="00396749"/>
    <w:rsid w:val="003974CD"/>
    <w:rsid w:val="003975FD"/>
    <w:rsid w:val="003A0D73"/>
    <w:rsid w:val="003A210B"/>
    <w:rsid w:val="003A2DA7"/>
    <w:rsid w:val="003A3389"/>
    <w:rsid w:val="003A5206"/>
    <w:rsid w:val="003A5657"/>
    <w:rsid w:val="003A7B56"/>
    <w:rsid w:val="003B057D"/>
    <w:rsid w:val="003B065C"/>
    <w:rsid w:val="003B0E66"/>
    <w:rsid w:val="003B176C"/>
    <w:rsid w:val="003B29E3"/>
    <w:rsid w:val="003B2D42"/>
    <w:rsid w:val="003B4640"/>
    <w:rsid w:val="003B4A07"/>
    <w:rsid w:val="003B60CC"/>
    <w:rsid w:val="003B6945"/>
    <w:rsid w:val="003B74A0"/>
    <w:rsid w:val="003B75E8"/>
    <w:rsid w:val="003B7982"/>
    <w:rsid w:val="003C05A5"/>
    <w:rsid w:val="003C0ACF"/>
    <w:rsid w:val="003C1086"/>
    <w:rsid w:val="003C1B25"/>
    <w:rsid w:val="003C2366"/>
    <w:rsid w:val="003C2443"/>
    <w:rsid w:val="003C36EC"/>
    <w:rsid w:val="003C44DE"/>
    <w:rsid w:val="003C56FF"/>
    <w:rsid w:val="003C5D16"/>
    <w:rsid w:val="003C5DA3"/>
    <w:rsid w:val="003C633B"/>
    <w:rsid w:val="003C74EA"/>
    <w:rsid w:val="003C7872"/>
    <w:rsid w:val="003D005C"/>
    <w:rsid w:val="003D0E5C"/>
    <w:rsid w:val="003D178A"/>
    <w:rsid w:val="003D2AA3"/>
    <w:rsid w:val="003D2DAB"/>
    <w:rsid w:val="003D338C"/>
    <w:rsid w:val="003D47E8"/>
    <w:rsid w:val="003D4BCD"/>
    <w:rsid w:val="003D684E"/>
    <w:rsid w:val="003D6C2B"/>
    <w:rsid w:val="003D7136"/>
    <w:rsid w:val="003D7522"/>
    <w:rsid w:val="003D77D8"/>
    <w:rsid w:val="003D7AAA"/>
    <w:rsid w:val="003E01D8"/>
    <w:rsid w:val="003E0BF2"/>
    <w:rsid w:val="003E1723"/>
    <w:rsid w:val="003E1DB5"/>
    <w:rsid w:val="003E2100"/>
    <w:rsid w:val="003E2534"/>
    <w:rsid w:val="003E2B85"/>
    <w:rsid w:val="003E3906"/>
    <w:rsid w:val="003E3B19"/>
    <w:rsid w:val="003E489D"/>
    <w:rsid w:val="003E5085"/>
    <w:rsid w:val="003E5AF4"/>
    <w:rsid w:val="003E6943"/>
    <w:rsid w:val="003E6C06"/>
    <w:rsid w:val="003E7B97"/>
    <w:rsid w:val="003E7DA4"/>
    <w:rsid w:val="003F1E8B"/>
    <w:rsid w:val="003F20E9"/>
    <w:rsid w:val="003F215D"/>
    <w:rsid w:val="003F2E38"/>
    <w:rsid w:val="003F317A"/>
    <w:rsid w:val="003F4E01"/>
    <w:rsid w:val="003F5E77"/>
    <w:rsid w:val="003F615B"/>
    <w:rsid w:val="003F6F5B"/>
    <w:rsid w:val="00400952"/>
    <w:rsid w:val="00400A32"/>
    <w:rsid w:val="00401194"/>
    <w:rsid w:val="004017AE"/>
    <w:rsid w:val="004021F5"/>
    <w:rsid w:val="00402848"/>
    <w:rsid w:val="004028BF"/>
    <w:rsid w:val="00403001"/>
    <w:rsid w:val="0040342D"/>
    <w:rsid w:val="0040478B"/>
    <w:rsid w:val="00404AED"/>
    <w:rsid w:val="00404C0F"/>
    <w:rsid w:val="00405A62"/>
    <w:rsid w:val="00407061"/>
    <w:rsid w:val="004071AF"/>
    <w:rsid w:val="004075DA"/>
    <w:rsid w:val="00410E6D"/>
    <w:rsid w:val="0041192D"/>
    <w:rsid w:val="004131C0"/>
    <w:rsid w:val="00413353"/>
    <w:rsid w:val="00413B97"/>
    <w:rsid w:val="00413EE1"/>
    <w:rsid w:val="004143D9"/>
    <w:rsid w:val="0041451D"/>
    <w:rsid w:val="00414BAF"/>
    <w:rsid w:val="00414D14"/>
    <w:rsid w:val="00414D43"/>
    <w:rsid w:val="00415151"/>
    <w:rsid w:val="00415436"/>
    <w:rsid w:val="004159C5"/>
    <w:rsid w:val="00416047"/>
    <w:rsid w:val="0041655C"/>
    <w:rsid w:val="00416F55"/>
    <w:rsid w:val="0041748E"/>
    <w:rsid w:val="004179DE"/>
    <w:rsid w:val="00417BD7"/>
    <w:rsid w:val="004208B9"/>
    <w:rsid w:val="00420C54"/>
    <w:rsid w:val="0042128E"/>
    <w:rsid w:val="004212BE"/>
    <w:rsid w:val="004215A8"/>
    <w:rsid w:val="00421D0B"/>
    <w:rsid w:val="004226FB"/>
    <w:rsid w:val="00422842"/>
    <w:rsid w:val="00423825"/>
    <w:rsid w:val="00423E40"/>
    <w:rsid w:val="004240E8"/>
    <w:rsid w:val="00424179"/>
    <w:rsid w:val="00425C29"/>
    <w:rsid w:val="0042708F"/>
    <w:rsid w:val="00427253"/>
    <w:rsid w:val="00427410"/>
    <w:rsid w:val="00430E26"/>
    <w:rsid w:val="00432B60"/>
    <w:rsid w:val="004333F4"/>
    <w:rsid w:val="00433E66"/>
    <w:rsid w:val="00434384"/>
    <w:rsid w:val="004343AC"/>
    <w:rsid w:val="00434F9F"/>
    <w:rsid w:val="00435D0E"/>
    <w:rsid w:val="0043707E"/>
    <w:rsid w:val="004376A1"/>
    <w:rsid w:val="00440698"/>
    <w:rsid w:val="004412BC"/>
    <w:rsid w:val="00441E93"/>
    <w:rsid w:val="004434A1"/>
    <w:rsid w:val="004434EF"/>
    <w:rsid w:val="0044378B"/>
    <w:rsid w:val="00445340"/>
    <w:rsid w:val="004454AD"/>
    <w:rsid w:val="00445753"/>
    <w:rsid w:val="00446924"/>
    <w:rsid w:val="0044694E"/>
    <w:rsid w:val="004473B6"/>
    <w:rsid w:val="00450CF6"/>
    <w:rsid w:val="0045106F"/>
    <w:rsid w:val="004512AD"/>
    <w:rsid w:val="004512C6"/>
    <w:rsid w:val="00451D7C"/>
    <w:rsid w:val="00452A5E"/>
    <w:rsid w:val="004534E8"/>
    <w:rsid w:val="00453695"/>
    <w:rsid w:val="00453780"/>
    <w:rsid w:val="00453D30"/>
    <w:rsid w:val="00453F10"/>
    <w:rsid w:val="00453FC1"/>
    <w:rsid w:val="004540E2"/>
    <w:rsid w:val="00454454"/>
    <w:rsid w:val="00454905"/>
    <w:rsid w:val="00455964"/>
    <w:rsid w:val="00455B06"/>
    <w:rsid w:val="004573AF"/>
    <w:rsid w:val="00461EEE"/>
    <w:rsid w:val="00462CB8"/>
    <w:rsid w:val="00463246"/>
    <w:rsid w:val="00463865"/>
    <w:rsid w:val="004651AD"/>
    <w:rsid w:val="00465889"/>
    <w:rsid w:val="004659BB"/>
    <w:rsid w:val="00466104"/>
    <w:rsid w:val="004677A3"/>
    <w:rsid w:val="00467924"/>
    <w:rsid w:val="004706AF"/>
    <w:rsid w:val="004712A5"/>
    <w:rsid w:val="00471BDC"/>
    <w:rsid w:val="0047220F"/>
    <w:rsid w:val="0047266F"/>
    <w:rsid w:val="0047412F"/>
    <w:rsid w:val="00474930"/>
    <w:rsid w:val="0047546D"/>
    <w:rsid w:val="004763FF"/>
    <w:rsid w:val="00476D6B"/>
    <w:rsid w:val="00477B0D"/>
    <w:rsid w:val="00480349"/>
    <w:rsid w:val="00480738"/>
    <w:rsid w:val="00481D4C"/>
    <w:rsid w:val="00482EAF"/>
    <w:rsid w:val="00483893"/>
    <w:rsid w:val="004839CD"/>
    <w:rsid w:val="00483AE6"/>
    <w:rsid w:val="004841B0"/>
    <w:rsid w:val="00484485"/>
    <w:rsid w:val="004844B0"/>
    <w:rsid w:val="004848E4"/>
    <w:rsid w:val="00485C0A"/>
    <w:rsid w:val="0049209E"/>
    <w:rsid w:val="00492C16"/>
    <w:rsid w:val="004939C1"/>
    <w:rsid w:val="00495697"/>
    <w:rsid w:val="00495C79"/>
    <w:rsid w:val="00496198"/>
    <w:rsid w:val="00496E61"/>
    <w:rsid w:val="00497877"/>
    <w:rsid w:val="00497ACA"/>
    <w:rsid w:val="00497BA8"/>
    <w:rsid w:val="004A0678"/>
    <w:rsid w:val="004A0ABE"/>
    <w:rsid w:val="004A1BAA"/>
    <w:rsid w:val="004A1CCA"/>
    <w:rsid w:val="004A2535"/>
    <w:rsid w:val="004A2B5E"/>
    <w:rsid w:val="004A3BCB"/>
    <w:rsid w:val="004A3BF3"/>
    <w:rsid w:val="004A48A3"/>
    <w:rsid w:val="004A4ECE"/>
    <w:rsid w:val="004A6357"/>
    <w:rsid w:val="004A6D65"/>
    <w:rsid w:val="004A6FCC"/>
    <w:rsid w:val="004A7650"/>
    <w:rsid w:val="004B09DC"/>
    <w:rsid w:val="004B0D92"/>
    <w:rsid w:val="004B0EC0"/>
    <w:rsid w:val="004B106D"/>
    <w:rsid w:val="004B3B41"/>
    <w:rsid w:val="004B4256"/>
    <w:rsid w:val="004B45B9"/>
    <w:rsid w:val="004B5765"/>
    <w:rsid w:val="004B66F1"/>
    <w:rsid w:val="004B7008"/>
    <w:rsid w:val="004B713B"/>
    <w:rsid w:val="004B72B9"/>
    <w:rsid w:val="004C0936"/>
    <w:rsid w:val="004C11F6"/>
    <w:rsid w:val="004C1FCE"/>
    <w:rsid w:val="004C2324"/>
    <w:rsid w:val="004C2B4A"/>
    <w:rsid w:val="004C3EA0"/>
    <w:rsid w:val="004C4FFB"/>
    <w:rsid w:val="004D00C0"/>
    <w:rsid w:val="004D0663"/>
    <w:rsid w:val="004D0A6C"/>
    <w:rsid w:val="004D14F5"/>
    <w:rsid w:val="004D1596"/>
    <w:rsid w:val="004D2530"/>
    <w:rsid w:val="004D40A9"/>
    <w:rsid w:val="004D48CC"/>
    <w:rsid w:val="004D49E8"/>
    <w:rsid w:val="004D4DF0"/>
    <w:rsid w:val="004D5B79"/>
    <w:rsid w:val="004D5D5D"/>
    <w:rsid w:val="004D6F01"/>
    <w:rsid w:val="004D7AA0"/>
    <w:rsid w:val="004E04F0"/>
    <w:rsid w:val="004E0544"/>
    <w:rsid w:val="004E0BAA"/>
    <w:rsid w:val="004E0C98"/>
    <w:rsid w:val="004E10D2"/>
    <w:rsid w:val="004E433C"/>
    <w:rsid w:val="004E4705"/>
    <w:rsid w:val="004E6B1E"/>
    <w:rsid w:val="004E7EFB"/>
    <w:rsid w:val="004F0296"/>
    <w:rsid w:val="004F1531"/>
    <w:rsid w:val="004F16F9"/>
    <w:rsid w:val="004F1961"/>
    <w:rsid w:val="004F2714"/>
    <w:rsid w:val="004F3C0D"/>
    <w:rsid w:val="004F3E36"/>
    <w:rsid w:val="004F3F5E"/>
    <w:rsid w:val="004F447E"/>
    <w:rsid w:val="004F51CA"/>
    <w:rsid w:val="004F7169"/>
    <w:rsid w:val="004F77D7"/>
    <w:rsid w:val="00500344"/>
    <w:rsid w:val="00500479"/>
    <w:rsid w:val="005005EF"/>
    <w:rsid w:val="00500D66"/>
    <w:rsid w:val="00500F94"/>
    <w:rsid w:val="00501123"/>
    <w:rsid w:val="00501B56"/>
    <w:rsid w:val="005027BE"/>
    <w:rsid w:val="00505E6B"/>
    <w:rsid w:val="005072CA"/>
    <w:rsid w:val="005105EA"/>
    <w:rsid w:val="005111C9"/>
    <w:rsid w:val="005112D5"/>
    <w:rsid w:val="005115C2"/>
    <w:rsid w:val="0051255B"/>
    <w:rsid w:val="005126E3"/>
    <w:rsid w:val="0051319F"/>
    <w:rsid w:val="00513665"/>
    <w:rsid w:val="00514C8E"/>
    <w:rsid w:val="0051569E"/>
    <w:rsid w:val="00516538"/>
    <w:rsid w:val="00516C27"/>
    <w:rsid w:val="0051741D"/>
    <w:rsid w:val="00517DE6"/>
    <w:rsid w:val="00520574"/>
    <w:rsid w:val="0052072E"/>
    <w:rsid w:val="00521105"/>
    <w:rsid w:val="005218D7"/>
    <w:rsid w:val="00521BF6"/>
    <w:rsid w:val="00522616"/>
    <w:rsid w:val="00523D6A"/>
    <w:rsid w:val="00523D91"/>
    <w:rsid w:val="00524B08"/>
    <w:rsid w:val="005250DF"/>
    <w:rsid w:val="005258EC"/>
    <w:rsid w:val="00525CDD"/>
    <w:rsid w:val="00526455"/>
    <w:rsid w:val="0053005B"/>
    <w:rsid w:val="00530671"/>
    <w:rsid w:val="00530AE7"/>
    <w:rsid w:val="00530D10"/>
    <w:rsid w:val="005311A4"/>
    <w:rsid w:val="00531DBF"/>
    <w:rsid w:val="005327CF"/>
    <w:rsid w:val="00534575"/>
    <w:rsid w:val="00535890"/>
    <w:rsid w:val="005359C2"/>
    <w:rsid w:val="0053682A"/>
    <w:rsid w:val="00536D79"/>
    <w:rsid w:val="00540290"/>
    <w:rsid w:val="00540B3F"/>
    <w:rsid w:val="00540DF8"/>
    <w:rsid w:val="00540FBC"/>
    <w:rsid w:val="00541FBD"/>
    <w:rsid w:val="00542325"/>
    <w:rsid w:val="005427F7"/>
    <w:rsid w:val="005442D1"/>
    <w:rsid w:val="0054491A"/>
    <w:rsid w:val="00545759"/>
    <w:rsid w:val="00545BE0"/>
    <w:rsid w:val="00545D46"/>
    <w:rsid w:val="00546725"/>
    <w:rsid w:val="00546894"/>
    <w:rsid w:val="00546930"/>
    <w:rsid w:val="00546942"/>
    <w:rsid w:val="00547612"/>
    <w:rsid w:val="00547E5D"/>
    <w:rsid w:val="00547E8D"/>
    <w:rsid w:val="005500B6"/>
    <w:rsid w:val="00550490"/>
    <w:rsid w:val="00550AE0"/>
    <w:rsid w:val="00550E2C"/>
    <w:rsid w:val="00551867"/>
    <w:rsid w:val="0055210D"/>
    <w:rsid w:val="0055405E"/>
    <w:rsid w:val="00554C6A"/>
    <w:rsid w:val="00554DA8"/>
    <w:rsid w:val="005556BD"/>
    <w:rsid w:val="0055654A"/>
    <w:rsid w:val="0055661B"/>
    <w:rsid w:val="00556CCE"/>
    <w:rsid w:val="0055772D"/>
    <w:rsid w:val="00557E93"/>
    <w:rsid w:val="005610D8"/>
    <w:rsid w:val="00561D17"/>
    <w:rsid w:val="0056214D"/>
    <w:rsid w:val="00562C5D"/>
    <w:rsid w:val="00562E85"/>
    <w:rsid w:val="0056332F"/>
    <w:rsid w:val="00564429"/>
    <w:rsid w:val="00564722"/>
    <w:rsid w:val="00566568"/>
    <w:rsid w:val="00567DAB"/>
    <w:rsid w:val="0057118A"/>
    <w:rsid w:val="005719B3"/>
    <w:rsid w:val="00571A16"/>
    <w:rsid w:val="00571B6B"/>
    <w:rsid w:val="00571C19"/>
    <w:rsid w:val="0057295E"/>
    <w:rsid w:val="00572F50"/>
    <w:rsid w:val="00573476"/>
    <w:rsid w:val="00573E39"/>
    <w:rsid w:val="005748E6"/>
    <w:rsid w:val="00574B8F"/>
    <w:rsid w:val="00580339"/>
    <w:rsid w:val="0058074B"/>
    <w:rsid w:val="005816CF"/>
    <w:rsid w:val="0058193F"/>
    <w:rsid w:val="00581C39"/>
    <w:rsid w:val="0058211F"/>
    <w:rsid w:val="00582208"/>
    <w:rsid w:val="0058284C"/>
    <w:rsid w:val="00582B2F"/>
    <w:rsid w:val="00582F84"/>
    <w:rsid w:val="005837B9"/>
    <w:rsid w:val="0058416F"/>
    <w:rsid w:val="00584E20"/>
    <w:rsid w:val="005855F9"/>
    <w:rsid w:val="00585AF0"/>
    <w:rsid w:val="0058640B"/>
    <w:rsid w:val="00587731"/>
    <w:rsid w:val="005903B6"/>
    <w:rsid w:val="00590C35"/>
    <w:rsid w:val="00590C9E"/>
    <w:rsid w:val="00591CE2"/>
    <w:rsid w:val="005961CA"/>
    <w:rsid w:val="005968B5"/>
    <w:rsid w:val="005977C7"/>
    <w:rsid w:val="005A0247"/>
    <w:rsid w:val="005A0AA5"/>
    <w:rsid w:val="005A0C36"/>
    <w:rsid w:val="005A126E"/>
    <w:rsid w:val="005A128E"/>
    <w:rsid w:val="005A12DF"/>
    <w:rsid w:val="005A173A"/>
    <w:rsid w:val="005A24F1"/>
    <w:rsid w:val="005A35C0"/>
    <w:rsid w:val="005A3E17"/>
    <w:rsid w:val="005A452F"/>
    <w:rsid w:val="005A51EC"/>
    <w:rsid w:val="005A641D"/>
    <w:rsid w:val="005A65F4"/>
    <w:rsid w:val="005A6A45"/>
    <w:rsid w:val="005A70DD"/>
    <w:rsid w:val="005A7F6D"/>
    <w:rsid w:val="005B0FBF"/>
    <w:rsid w:val="005B126A"/>
    <w:rsid w:val="005B140D"/>
    <w:rsid w:val="005B1504"/>
    <w:rsid w:val="005B214A"/>
    <w:rsid w:val="005B25F0"/>
    <w:rsid w:val="005B2DC3"/>
    <w:rsid w:val="005B3810"/>
    <w:rsid w:val="005B5BAA"/>
    <w:rsid w:val="005C02C8"/>
    <w:rsid w:val="005C1FEA"/>
    <w:rsid w:val="005C2138"/>
    <w:rsid w:val="005C3495"/>
    <w:rsid w:val="005C3922"/>
    <w:rsid w:val="005C57DC"/>
    <w:rsid w:val="005C5A5A"/>
    <w:rsid w:val="005C5B3B"/>
    <w:rsid w:val="005C62D5"/>
    <w:rsid w:val="005D04AC"/>
    <w:rsid w:val="005D0E2F"/>
    <w:rsid w:val="005D15DA"/>
    <w:rsid w:val="005D1D51"/>
    <w:rsid w:val="005D1E99"/>
    <w:rsid w:val="005D1FFD"/>
    <w:rsid w:val="005D259A"/>
    <w:rsid w:val="005D2F13"/>
    <w:rsid w:val="005D36EC"/>
    <w:rsid w:val="005D4593"/>
    <w:rsid w:val="005E075E"/>
    <w:rsid w:val="005E0D89"/>
    <w:rsid w:val="005E1582"/>
    <w:rsid w:val="005E1F3F"/>
    <w:rsid w:val="005E371D"/>
    <w:rsid w:val="005E3BF5"/>
    <w:rsid w:val="005E3DFC"/>
    <w:rsid w:val="005E40C1"/>
    <w:rsid w:val="005E45BC"/>
    <w:rsid w:val="005E55DA"/>
    <w:rsid w:val="005E5942"/>
    <w:rsid w:val="005E60AF"/>
    <w:rsid w:val="005E65EA"/>
    <w:rsid w:val="005E68F3"/>
    <w:rsid w:val="005E6DB4"/>
    <w:rsid w:val="005E7927"/>
    <w:rsid w:val="005E7A98"/>
    <w:rsid w:val="005F011A"/>
    <w:rsid w:val="005F1998"/>
    <w:rsid w:val="005F1AA7"/>
    <w:rsid w:val="005F1B38"/>
    <w:rsid w:val="005F1DEA"/>
    <w:rsid w:val="005F28CF"/>
    <w:rsid w:val="005F3009"/>
    <w:rsid w:val="005F37AA"/>
    <w:rsid w:val="005F39CF"/>
    <w:rsid w:val="005F48A1"/>
    <w:rsid w:val="005F4A83"/>
    <w:rsid w:val="005F4CA0"/>
    <w:rsid w:val="005F56E1"/>
    <w:rsid w:val="005F7461"/>
    <w:rsid w:val="005F7E38"/>
    <w:rsid w:val="00600192"/>
    <w:rsid w:val="00600495"/>
    <w:rsid w:val="0060106E"/>
    <w:rsid w:val="00602427"/>
    <w:rsid w:val="00603D3E"/>
    <w:rsid w:val="006050CE"/>
    <w:rsid w:val="00607EDD"/>
    <w:rsid w:val="00607FC9"/>
    <w:rsid w:val="006100AA"/>
    <w:rsid w:val="0061060C"/>
    <w:rsid w:val="00610F4D"/>
    <w:rsid w:val="0061270D"/>
    <w:rsid w:val="0061276E"/>
    <w:rsid w:val="006129C3"/>
    <w:rsid w:val="006129E0"/>
    <w:rsid w:val="0061363B"/>
    <w:rsid w:val="0061415E"/>
    <w:rsid w:val="006142DA"/>
    <w:rsid w:val="0061471D"/>
    <w:rsid w:val="00614AC4"/>
    <w:rsid w:val="00614EAF"/>
    <w:rsid w:val="00615448"/>
    <w:rsid w:val="00617027"/>
    <w:rsid w:val="00617287"/>
    <w:rsid w:val="00617B47"/>
    <w:rsid w:val="006201D5"/>
    <w:rsid w:val="006202F9"/>
    <w:rsid w:val="006213CA"/>
    <w:rsid w:val="00621A5F"/>
    <w:rsid w:val="0062235F"/>
    <w:rsid w:val="00622A2C"/>
    <w:rsid w:val="00622FE1"/>
    <w:rsid w:val="0062361B"/>
    <w:rsid w:val="00623768"/>
    <w:rsid w:val="006237F9"/>
    <w:rsid w:val="00623ED5"/>
    <w:rsid w:val="00624EE0"/>
    <w:rsid w:val="0062512B"/>
    <w:rsid w:val="0062521C"/>
    <w:rsid w:val="00625A35"/>
    <w:rsid w:val="00626DA0"/>
    <w:rsid w:val="006274CE"/>
    <w:rsid w:val="00630A2B"/>
    <w:rsid w:val="0063106A"/>
    <w:rsid w:val="006310DD"/>
    <w:rsid w:val="006313D6"/>
    <w:rsid w:val="00631651"/>
    <w:rsid w:val="00632608"/>
    <w:rsid w:val="00632862"/>
    <w:rsid w:val="00632B16"/>
    <w:rsid w:val="00632DC7"/>
    <w:rsid w:val="00635384"/>
    <w:rsid w:val="006357FB"/>
    <w:rsid w:val="006361A0"/>
    <w:rsid w:val="00637449"/>
    <w:rsid w:val="0063772F"/>
    <w:rsid w:val="006402E6"/>
    <w:rsid w:val="00640472"/>
    <w:rsid w:val="006406FC"/>
    <w:rsid w:val="006407CA"/>
    <w:rsid w:val="00640E57"/>
    <w:rsid w:val="0064107C"/>
    <w:rsid w:val="00641C35"/>
    <w:rsid w:val="006422CF"/>
    <w:rsid w:val="006422DA"/>
    <w:rsid w:val="006453BF"/>
    <w:rsid w:val="00645FFE"/>
    <w:rsid w:val="00646122"/>
    <w:rsid w:val="00646167"/>
    <w:rsid w:val="00646981"/>
    <w:rsid w:val="00646C3D"/>
    <w:rsid w:val="00647C71"/>
    <w:rsid w:val="006520DA"/>
    <w:rsid w:val="00652A7C"/>
    <w:rsid w:val="00653A46"/>
    <w:rsid w:val="00653D16"/>
    <w:rsid w:val="00653E16"/>
    <w:rsid w:val="00654254"/>
    <w:rsid w:val="006546F6"/>
    <w:rsid w:val="00654EC7"/>
    <w:rsid w:val="0065508F"/>
    <w:rsid w:val="0065661A"/>
    <w:rsid w:val="0065664D"/>
    <w:rsid w:val="00656E57"/>
    <w:rsid w:val="00657220"/>
    <w:rsid w:val="00657362"/>
    <w:rsid w:val="00660A98"/>
    <w:rsid w:val="0066104B"/>
    <w:rsid w:val="006622B4"/>
    <w:rsid w:val="00662828"/>
    <w:rsid w:val="00662DFC"/>
    <w:rsid w:val="006638D9"/>
    <w:rsid w:val="00663A67"/>
    <w:rsid w:val="006644DE"/>
    <w:rsid w:val="00664CD1"/>
    <w:rsid w:val="006655EE"/>
    <w:rsid w:val="0066568D"/>
    <w:rsid w:val="00665E32"/>
    <w:rsid w:val="00666164"/>
    <w:rsid w:val="00666236"/>
    <w:rsid w:val="006668A6"/>
    <w:rsid w:val="00667460"/>
    <w:rsid w:val="00667C10"/>
    <w:rsid w:val="00667D38"/>
    <w:rsid w:val="00667EF4"/>
    <w:rsid w:val="0067055A"/>
    <w:rsid w:val="00672015"/>
    <w:rsid w:val="006736CA"/>
    <w:rsid w:val="0067473E"/>
    <w:rsid w:val="00675BE4"/>
    <w:rsid w:val="0067692C"/>
    <w:rsid w:val="00676ACE"/>
    <w:rsid w:val="00676FCA"/>
    <w:rsid w:val="00677177"/>
    <w:rsid w:val="00677EFD"/>
    <w:rsid w:val="00680A27"/>
    <w:rsid w:val="00681A7B"/>
    <w:rsid w:val="0068314E"/>
    <w:rsid w:val="00685EC0"/>
    <w:rsid w:val="00686064"/>
    <w:rsid w:val="0068612E"/>
    <w:rsid w:val="006861DB"/>
    <w:rsid w:val="00686D1D"/>
    <w:rsid w:val="00687053"/>
    <w:rsid w:val="006872F5"/>
    <w:rsid w:val="00687672"/>
    <w:rsid w:val="00687C92"/>
    <w:rsid w:val="00692A46"/>
    <w:rsid w:val="00694440"/>
    <w:rsid w:val="00694BA3"/>
    <w:rsid w:val="0069534E"/>
    <w:rsid w:val="00695CA4"/>
    <w:rsid w:val="0069669C"/>
    <w:rsid w:val="00697311"/>
    <w:rsid w:val="006A1200"/>
    <w:rsid w:val="006A178F"/>
    <w:rsid w:val="006A1867"/>
    <w:rsid w:val="006A1EC7"/>
    <w:rsid w:val="006A35A2"/>
    <w:rsid w:val="006A3700"/>
    <w:rsid w:val="006A436D"/>
    <w:rsid w:val="006A43A2"/>
    <w:rsid w:val="006A4655"/>
    <w:rsid w:val="006A476F"/>
    <w:rsid w:val="006A4855"/>
    <w:rsid w:val="006A4CA1"/>
    <w:rsid w:val="006A4F4E"/>
    <w:rsid w:val="006A57DF"/>
    <w:rsid w:val="006A63D8"/>
    <w:rsid w:val="006A6C23"/>
    <w:rsid w:val="006A6DE4"/>
    <w:rsid w:val="006A78BA"/>
    <w:rsid w:val="006A7A5B"/>
    <w:rsid w:val="006B0AA0"/>
    <w:rsid w:val="006B0EF5"/>
    <w:rsid w:val="006B129E"/>
    <w:rsid w:val="006B14DB"/>
    <w:rsid w:val="006B21C4"/>
    <w:rsid w:val="006B231F"/>
    <w:rsid w:val="006B25F3"/>
    <w:rsid w:val="006B2DDB"/>
    <w:rsid w:val="006B3553"/>
    <w:rsid w:val="006B5C2F"/>
    <w:rsid w:val="006B5CAF"/>
    <w:rsid w:val="006B5DC5"/>
    <w:rsid w:val="006B687F"/>
    <w:rsid w:val="006C03B4"/>
    <w:rsid w:val="006C0CF3"/>
    <w:rsid w:val="006C338F"/>
    <w:rsid w:val="006C36D3"/>
    <w:rsid w:val="006C3DCC"/>
    <w:rsid w:val="006C4A1A"/>
    <w:rsid w:val="006C4AD6"/>
    <w:rsid w:val="006C5A92"/>
    <w:rsid w:val="006C6695"/>
    <w:rsid w:val="006C6BEB"/>
    <w:rsid w:val="006D01C2"/>
    <w:rsid w:val="006D0211"/>
    <w:rsid w:val="006D0393"/>
    <w:rsid w:val="006D1A83"/>
    <w:rsid w:val="006D2558"/>
    <w:rsid w:val="006D3E37"/>
    <w:rsid w:val="006D3F81"/>
    <w:rsid w:val="006D4D17"/>
    <w:rsid w:val="006D51D1"/>
    <w:rsid w:val="006D554A"/>
    <w:rsid w:val="006D57DC"/>
    <w:rsid w:val="006D5AF0"/>
    <w:rsid w:val="006D61B7"/>
    <w:rsid w:val="006D73D4"/>
    <w:rsid w:val="006D7452"/>
    <w:rsid w:val="006E0212"/>
    <w:rsid w:val="006E1CC1"/>
    <w:rsid w:val="006E1CD3"/>
    <w:rsid w:val="006E1CFE"/>
    <w:rsid w:val="006E24AB"/>
    <w:rsid w:val="006E2528"/>
    <w:rsid w:val="006E33B6"/>
    <w:rsid w:val="006E37AC"/>
    <w:rsid w:val="006E4A94"/>
    <w:rsid w:val="006E6537"/>
    <w:rsid w:val="006E7156"/>
    <w:rsid w:val="006E7CAC"/>
    <w:rsid w:val="006F10C4"/>
    <w:rsid w:val="006F117E"/>
    <w:rsid w:val="006F2E76"/>
    <w:rsid w:val="006F3046"/>
    <w:rsid w:val="006F304A"/>
    <w:rsid w:val="006F40E9"/>
    <w:rsid w:val="006F47FA"/>
    <w:rsid w:val="006F497D"/>
    <w:rsid w:val="006F5603"/>
    <w:rsid w:val="006F63F1"/>
    <w:rsid w:val="006F68AD"/>
    <w:rsid w:val="006F7B87"/>
    <w:rsid w:val="00700FA4"/>
    <w:rsid w:val="00701400"/>
    <w:rsid w:val="0070154C"/>
    <w:rsid w:val="0070169B"/>
    <w:rsid w:val="00701E9E"/>
    <w:rsid w:val="007037CF"/>
    <w:rsid w:val="007046F0"/>
    <w:rsid w:val="007061A6"/>
    <w:rsid w:val="00706281"/>
    <w:rsid w:val="00706747"/>
    <w:rsid w:val="007068EB"/>
    <w:rsid w:val="007075B0"/>
    <w:rsid w:val="00707C83"/>
    <w:rsid w:val="00707D75"/>
    <w:rsid w:val="007113D3"/>
    <w:rsid w:val="00711616"/>
    <w:rsid w:val="00711BAF"/>
    <w:rsid w:val="00711C27"/>
    <w:rsid w:val="00713044"/>
    <w:rsid w:val="00714B38"/>
    <w:rsid w:val="007150E2"/>
    <w:rsid w:val="00715A5E"/>
    <w:rsid w:val="007167C0"/>
    <w:rsid w:val="007173E4"/>
    <w:rsid w:val="0071741A"/>
    <w:rsid w:val="00720481"/>
    <w:rsid w:val="007214CB"/>
    <w:rsid w:val="0072174B"/>
    <w:rsid w:val="00721E55"/>
    <w:rsid w:val="00721EE8"/>
    <w:rsid w:val="00722213"/>
    <w:rsid w:val="00723595"/>
    <w:rsid w:val="0072360F"/>
    <w:rsid w:val="00723967"/>
    <w:rsid w:val="007239AE"/>
    <w:rsid w:val="00723C23"/>
    <w:rsid w:val="00723F8F"/>
    <w:rsid w:val="00730C95"/>
    <w:rsid w:val="00731498"/>
    <w:rsid w:val="007320D4"/>
    <w:rsid w:val="007327B9"/>
    <w:rsid w:val="00732CC0"/>
    <w:rsid w:val="00733193"/>
    <w:rsid w:val="007334AF"/>
    <w:rsid w:val="00733774"/>
    <w:rsid w:val="00733A7A"/>
    <w:rsid w:val="00735561"/>
    <w:rsid w:val="0073569F"/>
    <w:rsid w:val="007363F8"/>
    <w:rsid w:val="00736805"/>
    <w:rsid w:val="007412F8"/>
    <w:rsid w:val="00742A4D"/>
    <w:rsid w:val="007437C0"/>
    <w:rsid w:val="00743F13"/>
    <w:rsid w:val="00744DDA"/>
    <w:rsid w:val="00745028"/>
    <w:rsid w:val="0074524A"/>
    <w:rsid w:val="00745897"/>
    <w:rsid w:val="00745E03"/>
    <w:rsid w:val="007467C8"/>
    <w:rsid w:val="0074730B"/>
    <w:rsid w:val="007474AD"/>
    <w:rsid w:val="00747FC2"/>
    <w:rsid w:val="0075013B"/>
    <w:rsid w:val="00750E93"/>
    <w:rsid w:val="0075239E"/>
    <w:rsid w:val="0075269B"/>
    <w:rsid w:val="00753308"/>
    <w:rsid w:val="00753E95"/>
    <w:rsid w:val="00754343"/>
    <w:rsid w:val="00754FB6"/>
    <w:rsid w:val="00755705"/>
    <w:rsid w:val="007567BC"/>
    <w:rsid w:val="007567E1"/>
    <w:rsid w:val="0075732A"/>
    <w:rsid w:val="007574E9"/>
    <w:rsid w:val="007600F8"/>
    <w:rsid w:val="0076022E"/>
    <w:rsid w:val="00760262"/>
    <w:rsid w:val="007605FB"/>
    <w:rsid w:val="00760717"/>
    <w:rsid w:val="007610F0"/>
    <w:rsid w:val="007618B4"/>
    <w:rsid w:val="00762BA8"/>
    <w:rsid w:val="0076310C"/>
    <w:rsid w:val="00765926"/>
    <w:rsid w:val="00765E42"/>
    <w:rsid w:val="00765E88"/>
    <w:rsid w:val="0076744F"/>
    <w:rsid w:val="0076764F"/>
    <w:rsid w:val="00767BCE"/>
    <w:rsid w:val="00767EFC"/>
    <w:rsid w:val="007707DE"/>
    <w:rsid w:val="00770B5D"/>
    <w:rsid w:val="00770C05"/>
    <w:rsid w:val="007719EB"/>
    <w:rsid w:val="00771A0B"/>
    <w:rsid w:val="00771FAD"/>
    <w:rsid w:val="00773F81"/>
    <w:rsid w:val="007752F1"/>
    <w:rsid w:val="00775481"/>
    <w:rsid w:val="00775639"/>
    <w:rsid w:val="00776768"/>
    <w:rsid w:val="00776A81"/>
    <w:rsid w:val="00780376"/>
    <w:rsid w:val="00780B8E"/>
    <w:rsid w:val="0078187A"/>
    <w:rsid w:val="0078189B"/>
    <w:rsid w:val="00783AE8"/>
    <w:rsid w:val="007841E7"/>
    <w:rsid w:val="00784312"/>
    <w:rsid w:val="007857F0"/>
    <w:rsid w:val="0078598F"/>
    <w:rsid w:val="00785F48"/>
    <w:rsid w:val="00786C00"/>
    <w:rsid w:val="00790121"/>
    <w:rsid w:val="00790B19"/>
    <w:rsid w:val="0079142C"/>
    <w:rsid w:val="00791A99"/>
    <w:rsid w:val="00791D67"/>
    <w:rsid w:val="0079230E"/>
    <w:rsid w:val="0079362E"/>
    <w:rsid w:val="00793DF4"/>
    <w:rsid w:val="00794A4A"/>
    <w:rsid w:val="00794ED8"/>
    <w:rsid w:val="0079533A"/>
    <w:rsid w:val="0079636C"/>
    <w:rsid w:val="00797DE3"/>
    <w:rsid w:val="007A0041"/>
    <w:rsid w:val="007A0A65"/>
    <w:rsid w:val="007A0A87"/>
    <w:rsid w:val="007A0B92"/>
    <w:rsid w:val="007A0FAC"/>
    <w:rsid w:val="007A11EB"/>
    <w:rsid w:val="007A2573"/>
    <w:rsid w:val="007A3006"/>
    <w:rsid w:val="007A6318"/>
    <w:rsid w:val="007A6ADA"/>
    <w:rsid w:val="007B106C"/>
    <w:rsid w:val="007B1816"/>
    <w:rsid w:val="007B1A4E"/>
    <w:rsid w:val="007B1D75"/>
    <w:rsid w:val="007B2F75"/>
    <w:rsid w:val="007B3D05"/>
    <w:rsid w:val="007B4348"/>
    <w:rsid w:val="007B4716"/>
    <w:rsid w:val="007B5503"/>
    <w:rsid w:val="007B6596"/>
    <w:rsid w:val="007B66F2"/>
    <w:rsid w:val="007B6BB2"/>
    <w:rsid w:val="007B7B1B"/>
    <w:rsid w:val="007B7D93"/>
    <w:rsid w:val="007C09FB"/>
    <w:rsid w:val="007C157E"/>
    <w:rsid w:val="007C179C"/>
    <w:rsid w:val="007C18AC"/>
    <w:rsid w:val="007C1BBC"/>
    <w:rsid w:val="007C1D8B"/>
    <w:rsid w:val="007C3715"/>
    <w:rsid w:val="007C3A40"/>
    <w:rsid w:val="007C5F44"/>
    <w:rsid w:val="007C6BB3"/>
    <w:rsid w:val="007D01F7"/>
    <w:rsid w:val="007D04D0"/>
    <w:rsid w:val="007D09F0"/>
    <w:rsid w:val="007D14B4"/>
    <w:rsid w:val="007D27AA"/>
    <w:rsid w:val="007D3AD7"/>
    <w:rsid w:val="007D655B"/>
    <w:rsid w:val="007E05C1"/>
    <w:rsid w:val="007E0CB7"/>
    <w:rsid w:val="007E0F10"/>
    <w:rsid w:val="007E2292"/>
    <w:rsid w:val="007E237D"/>
    <w:rsid w:val="007E2489"/>
    <w:rsid w:val="007E24F6"/>
    <w:rsid w:val="007E297D"/>
    <w:rsid w:val="007E2C87"/>
    <w:rsid w:val="007E345A"/>
    <w:rsid w:val="007E3BDE"/>
    <w:rsid w:val="007E3D20"/>
    <w:rsid w:val="007E4095"/>
    <w:rsid w:val="007E5CC0"/>
    <w:rsid w:val="007E6EC1"/>
    <w:rsid w:val="007E6F1A"/>
    <w:rsid w:val="007F1500"/>
    <w:rsid w:val="007F2D80"/>
    <w:rsid w:val="007F48DA"/>
    <w:rsid w:val="007F51C2"/>
    <w:rsid w:val="007F57DD"/>
    <w:rsid w:val="007F597E"/>
    <w:rsid w:val="007F65A2"/>
    <w:rsid w:val="007F675F"/>
    <w:rsid w:val="00800578"/>
    <w:rsid w:val="00800F64"/>
    <w:rsid w:val="00801050"/>
    <w:rsid w:val="00801613"/>
    <w:rsid w:val="00802705"/>
    <w:rsid w:val="0080279A"/>
    <w:rsid w:val="00802811"/>
    <w:rsid w:val="00802E5D"/>
    <w:rsid w:val="00802F0B"/>
    <w:rsid w:val="00803475"/>
    <w:rsid w:val="00803631"/>
    <w:rsid w:val="00803DF1"/>
    <w:rsid w:val="008048EE"/>
    <w:rsid w:val="00806139"/>
    <w:rsid w:val="00806CB8"/>
    <w:rsid w:val="00810A67"/>
    <w:rsid w:val="00810E41"/>
    <w:rsid w:val="0081110E"/>
    <w:rsid w:val="00811547"/>
    <w:rsid w:val="008116DA"/>
    <w:rsid w:val="008119B2"/>
    <w:rsid w:val="00811A4E"/>
    <w:rsid w:val="00811B9C"/>
    <w:rsid w:val="008127B6"/>
    <w:rsid w:val="00812D15"/>
    <w:rsid w:val="00812DFD"/>
    <w:rsid w:val="00813B78"/>
    <w:rsid w:val="00814C2B"/>
    <w:rsid w:val="008151D0"/>
    <w:rsid w:val="00815A9F"/>
    <w:rsid w:val="00816E31"/>
    <w:rsid w:val="00817537"/>
    <w:rsid w:val="0081775A"/>
    <w:rsid w:val="00820EAD"/>
    <w:rsid w:val="00821E3D"/>
    <w:rsid w:val="0082215A"/>
    <w:rsid w:val="00822492"/>
    <w:rsid w:val="00822848"/>
    <w:rsid w:val="0082309E"/>
    <w:rsid w:val="00823CAD"/>
    <w:rsid w:val="00824FC7"/>
    <w:rsid w:val="00825D03"/>
    <w:rsid w:val="00826062"/>
    <w:rsid w:val="00826853"/>
    <w:rsid w:val="008269D7"/>
    <w:rsid w:val="00826E1B"/>
    <w:rsid w:val="008275D7"/>
    <w:rsid w:val="008278D8"/>
    <w:rsid w:val="00827F9D"/>
    <w:rsid w:val="0083033F"/>
    <w:rsid w:val="00830A8C"/>
    <w:rsid w:val="00830D0E"/>
    <w:rsid w:val="00830DD0"/>
    <w:rsid w:val="00831560"/>
    <w:rsid w:val="0083303B"/>
    <w:rsid w:val="00833AD4"/>
    <w:rsid w:val="00833CF7"/>
    <w:rsid w:val="00834CDE"/>
    <w:rsid w:val="00834F0F"/>
    <w:rsid w:val="00835237"/>
    <w:rsid w:val="00836038"/>
    <w:rsid w:val="00836187"/>
    <w:rsid w:val="00837436"/>
    <w:rsid w:val="0083743A"/>
    <w:rsid w:val="008405E2"/>
    <w:rsid w:val="00840CEE"/>
    <w:rsid w:val="00840FCF"/>
    <w:rsid w:val="00842464"/>
    <w:rsid w:val="008445AF"/>
    <w:rsid w:val="00844EDE"/>
    <w:rsid w:val="00845601"/>
    <w:rsid w:val="00845DB5"/>
    <w:rsid w:val="00846746"/>
    <w:rsid w:val="00846DAE"/>
    <w:rsid w:val="00846FE8"/>
    <w:rsid w:val="00847D0C"/>
    <w:rsid w:val="00850B90"/>
    <w:rsid w:val="00850F13"/>
    <w:rsid w:val="0085134F"/>
    <w:rsid w:val="0085170B"/>
    <w:rsid w:val="00852049"/>
    <w:rsid w:val="00852531"/>
    <w:rsid w:val="00853E0E"/>
    <w:rsid w:val="00854366"/>
    <w:rsid w:val="00854C42"/>
    <w:rsid w:val="00854D21"/>
    <w:rsid w:val="008552E5"/>
    <w:rsid w:val="00855429"/>
    <w:rsid w:val="00855C5C"/>
    <w:rsid w:val="0085658D"/>
    <w:rsid w:val="008576AA"/>
    <w:rsid w:val="0085792F"/>
    <w:rsid w:val="00857F03"/>
    <w:rsid w:val="00860A4A"/>
    <w:rsid w:val="00860BC2"/>
    <w:rsid w:val="00860CAA"/>
    <w:rsid w:val="008615B6"/>
    <w:rsid w:val="00861F01"/>
    <w:rsid w:val="00862340"/>
    <w:rsid w:val="008637E6"/>
    <w:rsid w:val="008641D0"/>
    <w:rsid w:val="00865CA1"/>
    <w:rsid w:val="00865F96"/>
    <w:rsid w:val="0086645A"/>
    <w:rsid w:val="008667D6"/>
    <w:rsid w:val="0086699C"/>
    <w:rsid w:val="008674C6"/>
    <w:rsid w:val="0087038D"/>
    <w:rsid w:val="00870A78"/>
    <w:rsid w:val="00870B06"/>
    <w:rsid w:val="00870E60"/>
    <w:rsid w:val="00871EDE"/>
    <w:rsid w:val="0087263A"/>
    <w:rsid w:val="00873AB6"/>
    <w:rsid w:val="00873B80"/>
    <w:rsid w:val="008744E9"/>
    <w:rsid w:val="008758E3"/>
    <w:rsid w:val="00875C49"/>
    <w:rsid w:val="0087634B"/>
    <w:rsid w:val="008767FB"/>
    <w:rsid w:val="00876B85"/>
    <w:rsid w:val="00876CD2"/>
    <w:rsid w:val="00880287"/>
    <w:rsid w:val="008805C3"/>
    <w:rsid w:val="00881029"/>
    <w:rsid w:val="008822F6"/>
    <w:rsid w:val="00883094"/>
    <w:rsid w:val="008833AB"/>
    <w:rsid w:val="008833AC"/>
    <w:rsid w:val="00883825"/>
    <w:rsid w:val="00884269"/>
    <w:rsid w:val="00885DEE"/>
    <w:rsid w:val="0088789F"/>
    <w:rsid w:val="00887911"/>
    <w:rsid w:val="00892569"/>
    <w:rsid w:val="00892B9E"/>
    <w:rsid w:val="00893004"/>
    <w:rsid w:val="0089311A"/>
    <w:rsid w:val="00894915"/>
    <w:rsid w:val="00894DE1"/>
    <w:rsid w:val="00897FC6"/>
    <w:rsid w:val="008A1075"/>
    <w:rsid w:val="008A2543"/>
    <w:rsid w:val="008A292E"/>
    <w:rsid w:val="008A2E4D"/>
    <w:rsid w:val="008A32BD"/>
    <w:rsid w:val="008A3C96"/>
    <w:rsid w:val="008A46B2"/>
    <w:rsid w:val="008A46E0"/>
    <w:rsid w:val="008A4FA3"/>
    <w:rsid w:val="008A5934"/>
    <w:rsid w:val="008A750A"/>
    <w:rsid w:val="008A7827"/>
    <w:rsid w:val="008A79F2"/>
    <w:rsid w:val="008B0401"/>
    <w:rsid w:val="008B1980"/>
    <w:rsid w:val="008B1EA1"/>
    <w:rsid w:val="008B25AD"/>
    <w:rsid w:val="008B36BD"/>
    <w:rsid w:val="008B3A35"/>
    <w:rsid w:val="008B3C87"/>
    <w:rsid w:val="008B4019"/>
    <w:rsid w:val="008B445B"/>
    <w:rsid w:val="008B466D"/>
    <w:rsid w:val="008B53B9"/>
    <w:rsid w:val="008B56F0"/>
    <w:rsid w:val="008B6094"/>
    <w:rsid w:val="008B65C9"/>
    <w:rsid w:val="008B79D1"/>
    <w:rsid w:val="008B7DD4"/>
    <w:rsid w:val="008C058E"/>
    <w:rsid w:val="008C1286"/>
    <w:rsid w:val="008C15CE"/>
    <w:rsid w:val="008C206B"/>
    <w:rsid w:val="008C28D2"/>
    <w:rsid w:val="008C2D4A"/>
    <w:rsid w:val="008C447D"/>
    <w:rsid w:val="008C5307"/>
    <w:rsid w:val="008C6D0A"/>
    <w:rsid w:val="008C7A19"/>
    <w:rsid w:val="008C7D17"/>
    <w:rsid w:val="008D11B4"/>
    <w:rsid w:val="008D1F5E"/>
    <w:rsid w:val="008D23E1"/>
    <w:rsid w:val="008D2846"/>
    <w:rsid w:val="008D2C86"/>
    <w:rsid w:val="008D2D47"/>
    <w:rsid w:val="008D322D"/>
    <w:rsid w:val="008D38D0"/>
    <w:rsid w:val="008D3900"/>
    <w:rsid w:val="008D41CC"/>
    <w:rsid w:val="008D48CC"/>
    <w:rsid w:val="008D4BC5"/>
    <w:rsid w:val="008D5B03"/>
    <w:rsid w:val="008D6E1D"/>
    <w:rsid w:val="008D7232"/>
    <w:rsid w:val="008E17DA"/>
    <w:rsid w:val="008E1F16"/>
    <w:rsid w:val="008E2211"/>
    <w:rsid w:val="008E2304"/>
    <w:rsid w:val="008E3250"/>
    <w:rsid w:val="008E379D"/>
    <w:rsid w:val="008E4E3B"/>
    <w:rsid w:val="008E5339"/>
    <w:rsid w:val="008E5436"/>
    <w:rsid w:val="008E5A2A"/>
    <w:rsid w:val="008F0A3B"/>
    <w:rsid w:val="008F1180"/>
    <w:rsid w:val="008F1337"/>
    <w:rsid w:val="008F1C53"/>
    <w:rsid w:val="008F288B"/>
    <w:rsid w:val="008F2AEC"/>
    <w:rsid w:val="008F39B4"/>
    <w:rsid w:val="008F3E8A"/>
    <w:rsid w:val="008F4162"/>
    <w:rsid w:val="008F4216"/>
    <w:rsid w:val="008F5598"/>
    <w:rsid w:val="008F607D"/>
    <w:rsid w:val="008F71C9"/>
    <w:rsid w:val="009008E6"/>
    <w:rsid w:val="0090096A"/>
    <w:rsid w:val="00900A33"/>
    <w:rsid w:val="00900F37"/>
    <w:rsid w:val="009021C8"/>
    <w:rsid w:val="00902B2C"/>
    <w:rsid w:val="00902CFD"/>
    <w:rsid w:val="00903E02"/>
    <w:rsid w:val="00903F38"/>
    <w:rsid w:val="0090445A"/>
    <w:rsid w:val="00905770"/>
    <w:rsid w:val="00906330"/>
    <w:rsid w:val="00906D07"/>
    <w:rsid w:val="009117A3"/>
    <w:rsid w:val="00911F23"/>
    <w:rsid w:val="00912543"/>
    <w:rsid w:val="0091287C"/>
    <w:rsid w:val="00913175"/>
    <w:rsid w:val="00914C7B"/>
    <w:rsid w:val="00914C8D"/>
    <w:rsid w:val="009156D0"/>
    <w:rsid w:val="009157CD"/>
    <w:rsid w:val="0091677F"/>
    <w:rsid w:val="00916AC7"/>
    <w:rsid w:val="00916EDB"/>
    <w:rsid w:val="00920861"/>
    <w:rsid w:val="0092108A"/>
    <w:rsid w:val="00921733"/>
    <w:rsid w:val="0092205A"/>
    <w:rsid w:val="00922B13"/>
    <w:rsid w:val="00923EA1"/>
    <w:rsid w:val="009242EF"/>
    <w:rsid w:val="009243E1"/>
    <w:rsid w:val="00925C47"/>
    <w:rsid w:val="00925C9C"/>
    <w:rsid w:val="009279BA"/>
    <w:rsid w:val="00930867"/>
    <w:rsid w:val="00931729"/>
    <w:rsid w:val="00931A7D"/>
    <w:rsid w:val="00932291"/>
    <w:rsid w:val="00932331"/>
    <w:rsid w:val="00932861"/>
    <w:rsid w:val="0093388A"/>
    <w:rsid w:val="00933A92"/>
    <w:rsid w:val="00933AE9"/>
    <w:rsid w:val="0093408E"/>
    <w:rsid w:val="00934924"/>
    <w:rsid w:val="009368AF"/>
    <w:rsid w:val="00937F7F"/>
    <w:rsid w:val="00940CE0"/>
    <w:rsid w:val="009410C1"/>
    <w:rsid w:val="00942A07"/>
    <w:rsid w:val="00942D84"/>
    <w:rsid w:val="00943976"/>
    <w:rsid w:val="00943A34"/>
    <w:rsid w:val="00943E96"/>
    <w:rsid w:val="00943EAA"/>
    <w:rsid w:val="00944003"/>
    <w:rsid w:val="009447FB"/>
    <w:rsid w:val="0094480D"/>
    <w:rsid w:val="00945379"/>
    <w:rsid w:val="0094540A"/>
    <w:rsid w:val="00945A7E"/>
    <w:rsid w:val="00946AE6"/>
    <w:rsid w:val="00947529"/>
    <w:rsid w:val="009477C3"/>
    <w:rsid w:val="00947A62"/>
    <w:rsid w:val="00947AFA"/>
    <w:rsid w:val="00947DE9"/>
    <w:rsid w:val="0095002D"/>
    <w:rsid w:val="0095167D"/>
    <w:rsid w:val="00951F37"/>
    <w:rsid w:val="00952DDF"/>
    <w:rsid w:val="00953A63"/>
    <w:rsid w:val="00954552"/>
    <w:rsid w:val="009548DC"/>
    <w:rsid w:val="00954E33"/>
    <w:rsid w:val="009567F7"/>
    <w:rsid w:val="00957630"/>
    <w:rsid w:val="009610A3"/>
    <w:rsid w:val="0096121B"/>
    <w:rsid w:val="00961798"/>
    <w:rsid w:val="0096201D"/>
    <w:rsid w:val="00962527"/>
    <w:rsid w:val="00962EF5"/>
    <w:rsid w:val="00963A6C"/>
    <w:rsid w:val="00963A9F"/>
    <w:rsid w:val="00963B6A"/>
    <w:rsid w:val="00965BA1"/>
    <w:rsid w:val="009661BD"/>
    <w:rsid w:val="00966A29"/>
    <w:rsid w:val="00967694"/>
    <w:rsid w:val="009703B3"/>
    <w:rsid w:val="00970950"/>
    <w:rsid w:val="00970F55"/>
    <w:rsid w:val="009725D2"/>
    <w:rsid w:val="00972A86"/>
    <w:rsid w:val="00972C5D"/>
    <w:rsid w:val="00972C63"/>
    <w:rsid w:val="00974DF2"/>
    <w:rsid w:val="0097545B"/>
    <w:rsid w:val="00975C2E"/>
    <w:rsid w:val="00976066"/>
    <w:rsid w:val="009765F9"/>
    <w:rsid w:val="00976E8D"/>
    <w:rsid w:val="009778F7"/>
    <w:rsid w:val="009812D4"/>
    <w:rsid w:val="00981882"/>
    <w:rsid w:val="00981C57"/>
    <w:rsid w:val="00986484"/>
    <w:rsid w:val="00986926"/>
    <w:rsid w:val="00987730"/>
    <w:rsid w:val="00987DC7"/>
    <w:rsid w:val="0099062D"/>
    <w:rsid w:val="00990CC6"/>
    <w:rsid w:val="009920D8"/>
    <w:rsid w:val="00994B91"/>
    <w:rsid w:val="009952F5"/>
    <w:rsid w:val="00997090"/>
    <w:rsid w:val="009A130B"/>
    <w:rsid w:val="009A1B6B"/>
    <w:rsid w:val="009A63DE"/>
    <w:rsid w:val="009A65C0"/>
    <w:rsid w:val="009A6927"/>
    <w:rsid w:val="009A69CD"/>
    <w:rsid w:val="009A6C83"/>
    <w:rsid w:val="009A6DB7"/>
    <w:rsid w:val="009A7D6F"/>
    <w:rsid w:val="009A7EAB"/>
    <w:rsid w:val="009B055B"/>
    <w:rsid w:val="009B072F"/>
    <w:rsid w:val="009B0E6E"/>
    <w:rsid w:val="009B0FEF"/>
    <w:rsid w:val="009B15A7"/>
    <w:rsid w:val="009B2171"/>
    <w:rsid w:val="009B30EA"/>
    <w:rsid w:val="009B38BE"/>
    <w:rsid w:val="009B494C"/>
    <w:rsid w:val="009B57C2"/>
    <w:rsid w:val="009B5E7E"/>
    <w:rsid w:val="009B75A8"/>
    <w:rsid w:val="009B79D2"/>
    <w:rsid w:val="009C1FC3"/>
    <w:rsid w:val="009C3505"/>
    <w:rsid w:val="009C3D0F"/>
    <w:rsid w:val="009C45B4"/>
    <w:rsid w:val="009C461E"/>
    <w:rsid w:val="009C5052"/>
    <w:rsid w:val="009C666E"/>
    <w:rsid w:val="009C7815"/>
    <w:rsid w:val="009D13BD"/>
    <w:rsid w:val="009D29A8"/>
    <w:rsid w:val="009D357C"/>
    <w:rsid w:val="009D3B25"/>
    <w:rsid w:val="009D669D"/>
    <w:rsid w:val="009D7B08"/>
    <w:rsid w:val="009D7D6A"/>
    <w:rsid w:val="009E052F"/>
    <w:rsid w:val="009E128F"/>
    <w:rsid w:val="009E17C4"/>
    <w:rsid w:val="009E1AA0"/>
    <w:rsid w:val="009E1B19"/>
    <w:rsid w:val="009E218E"/>
    <w:rsid w:val="009E239C"/>
    <w:rsid w:val="009E2C13"/>
    <w:rsid w:val="009E332E"/>
    <w:rsid w:val="009E673F"/>
    <w:rsid w:val="009E6B10"/>
    <w:rsid w:val="009E6C50"/>
    <w:rsid w:val="009E75DC"/>
    <w:rsid w:val="009F0568"/>
    <w:rsid w:val="009F145E"/>
    <w:rsid w:val="009F1EDB"/>
    <w:rsid w:val="009F2127"/>
    <w:rsid w:val="009F2E22"/>
    <w:rsid w:val="009F3419"/>
    <w:rsid w:val="009F35E2"/>
    <w:rsid w:val="009F37F0"/>
    <w:rsid w:val="009F3BE4"/>
    <w:rsid w:val="009F50C9"/>
    <w:rsid w:val="009F58B8"/>
    <w:rsid w:val="009F65F9"/>
    <w:rsid w:val="009F67AE"/>
    <w:rsid w:val="009F6857"/>
    <w:rsid w:val="009F68BA"/>
    <w:rsid w:val="009F74F3"/>
    <w:rsid w:val="00A0035A"/>
    <w:rsid w:val="00A00427"/>
    <w:rsid w:val="00A00A03"/>
    <w:rsid w:val="00A00E4B"/>
    <w:rsid w:val="00A00E92"/>
    <w:rsid w:val="00A017C3"/>
    <w:rsid w:val="00A02E09"/>
    <w:rsid w:val="00A02E13"/>
    <w:rsid w:val="00A04989"/>
    <w:rsid w:val="00A05AD1"/>
    <w:rsid w:val="00A06277"/>
    <w:rsid w:val="00A063AD"/>
    <w:rsid w:val="00A079DC"/>
    <w:rsid w:val="00A07CEA"/>
    <w:rsid w:val="00A10044"/>
    <w:rsid w:val="00A108A6"/>
    <w:rsid w:val="00A111C2"/>
    <w:rsid w:val="00A11222"/>
    <w:rsid w:val="00A11D29"/>
    <w:rsid w:val="00A11D91"/>
    <w:rsid w:val="00A13649"/>
    <w:rsid w:val="00A1373B"/>
    <w:rsid w:val="00A145DB"/>
    <w:rsid w:val="00A163CE"/>
    <w:rsid w:val="00A1690B"/>
    <w:rsid w:val="00A16F14"/>
    <w:rsid w:val="00A17A08"/>
    <w:rsid w:val="00A203A9"/>
    <w:rsid w:val="00A239A8"/>
    <w:rsid w:val="00A24AB2"/>
    <w:rsid w:val="00A24D5A"/>
    <w:rsid w:val="00A24F23"/>
    <w:rsid w:val="00A257F9"/>
    <w:rsid w:val="00A266A4"/>
    <w:rsid w:val="00A30035"/>
    <w:rsid w:val="00A305E8"/>
    <w:rsid w:val="00A30B70"/>
    <w:rsid w:val="00A31ABF"/>
    <w:rsid w:val="00A3208B"/>
    <w:rsid w:val="00A323D5"/>
    <w:rsid w:val="00A332CD"/>
    <w:rsid w:val="00A338E7"/>
    <w:rsid w:val="00A347F9"/>
    <w:rsid w:val="00A35CAA"/>
    <w:rsid w:val="00A36B2D"/>
    <w:rsid w:val="00A36E7F"/>
    <w:rsid w:val="00A372F6"/>
    <w:rsid w:val="00A37E95"/>
    <w:rsid w:val="00A4041F"/>
    <w:rsid w:val="00A40C7E"/>
    <w:rsid w:val="00A41016"/>
    <w:rsid w:val="00A41910"/>
    <w:rsid w:val="00A41E65"/>
    <w:rsid w:val="00A434BE"/>
    <w:rsid w:val="00A43758"/>
    <w:rsid w:val="00A43E0A"/>
    <w:rsid w:val="00A44D88"/>
    <w:rsid w:val="00A451F5"/>
    <w:rsid w:val="00A45FD4"/>
    <w:rsid w:val="00A465ED"/>
    <w:rsid w:val="00A5040D"/>
    <w:rsid w:val="00A511B0"/>
    <w:rsid w:val="00A51574"/>
    <w:rsid w:val="00A51620"/>
    <w:rsid w:val="00A517DE"/>
    <w:rsid w:val="00A52418"/>
    <w:rsid w:val="00A52484"/>
    <w:rsid w:val="00A527D1"/>
    <w:rsid w:val="00A530C7"/>
    <w:rsid w:val="00A534E5"/>
    <w:rsid w:val="00A545F7"/>
    <w:rsid w:val="00A54B43"/>
    <w:rsid w:val="00A556B1"/>
    <w:rsid w:val="00A55F5B"/>
    <w:rsid w:val="00A5640D"/>
    <w:rsid w:val="00A56C90"/>
    <w:rsid w:val="00A57730"/>
    <w:rsid w:val="00A57A2E"/>
    <w:rsid w:val="00A57B9A"/>
    <w:rsid w:val="00A60185"/>
    <w:rsid w:val="00A604C5"/>
    <w:rsid w:val="00A60FF7"/>
    <w:rsid w:val="00A62375"/>
    <w:rsid w:val="00A628D1"/>
    <w:rsid w:val="00A630AA"/>
    <w:rsid w:val="00A6613C"/>
    <w:rsid w:val="00A661EA"/>
    <w:rsid w:val="00A67CDA"/>
    <w:rsid w:val="00A7037C"/>
    <w:rsid w:val="00A70840"/>
    <w:rsid w:val="00A70984"/>
    <w:rsid w:val="00A71220"/>
    <w:rsid w:val="00A72BD3"/>
    <w:rsid w:val="00A736C7"/>
    <w:rsid w:val="00A73E1D"/>
    <w:rsid w:val="00A74795"/>
    <w:rsid w:val="00A753AF"/>
    <w:rsid w:val="00A7576E"/>
    <w:rsid w:val="00A757A6"/>
    <w:rsid w:val="00A757C6"/>
    <w:rsid w:val="00A76F60"/>
    <w:rsid w:val="00A77530"/>
    <w:rsid w:val="00A775B5"/>
    <w:rsid w:val="00A77DA7"/>
    <w:rsid w:val="00A77E65"/>
    <w:rsid w:val="00A80053"/>
    <w:rsid w:val="00A80BEA"/>
    <w:rsid w:val="00A82216"/>
    <w:rsid w:val="00A826DD"/>
    <w:rsid w:val="00A82814"/>
    <w:rsid w:val="00A830E5"/>
    <w:rsid w:val="00A838F8"/>
    <w:rsid w:val="00A84892"/>
    <w:rsid w:val="00A84924"/>
    <w:rsid w:val="00A861B6"/>
    <w:rsid w:val="00A8647A"/>
    <w:rsid w:val="00A87135"/>
    <w:rsid w:val="00A87C8B"/>
    <w:rsid w:val="00A912CC"/>
    <w:rsid w:val="00A9240E"/>
    <w:rsid w:val="00A92BC2"/>
    <w:rsid w:val="00A92E94"/>
    <w:rsid w:val="00A92EC3"/>
    <w:rsid w:val="00A9317E"/>
    <w:rsid w:val="00A93280"/>
    <w:rsid w:val="00A932BD"/>
    <w:rsid w:val="00A951EA"/>
    <w:rsid w:val="00A954FE"/>
    <w:rsid w:val="00A965F0"/>
    <w:rsid w:val="00A9723D"/>
    <w:rsid w:val="00AA0178"/>
    <w:rsid w:val="00AA1482"/>
    <w:rsid w:val="00AA2146"/>
    <w:rsid w:val="00AA2548"/>
    <w:rsid w:val="00AA3E2E"/>
    <w:rsid w:val="00AA47F3"/>
    <w:rsid w:val="00AA4954"/>
    <w:rsid w:val="00AA4CD0"/>
    <w:rsid w:val="00AA5716"/>
    <w:rsid w:val="00AA58C4"/>
    <w:rsid w:val="00AA60FA"/>
    <w:rsid w:val="00AA6BD4"/>
    <w:rsid w:val="00AA7003"/>
    <w:rsid w:val="00AA749C"/>
    <w:rsid w:val="00AA7AFF"/>
    <w:rsid w:val="00AA7DD1"/>
    <w:rsid w:val="00AB0EAA"/>
    <w:rsid w:val="00AB11C8"/>
    <w:rsid w:val="00AB16F6"/>
    <w:rsid w:val="00AB1DE9"/>
    <w:rsid w:val="00AB1FC6"/>
    <w:rsid w:val="00AB2277"/>
    <w:rsid w:val="00AB24AB"/>
    <w:rsid w:val="00AB2AA6"/>
    <w:rsid w:val="00AB3030"/>
    <w:rsid w:val="00AB3039"/>
    <w:rsid w:val="00AB3226"/>
    <w:rsid w:val="00AB3734"/>
    <w:rsid w:val="00AB41C8"/>
    <w:rsid w:val="00AB530E"/>
    <w:rsid w:val="00AB5696"/>
    <w:rsid w:val="00AB6105"/>
    <w:rsid w:val="00AB614B"/>
    <w:rsid w:val="00AB6C82"/>
    <w:rsid w:val="00AB7895"/>
    <w:rsid w:val="00AC0213"/>
    <w:rsid w:val="00AC08A8"/>
    <w:rsid w:val="00AC16B9"/>
    <w:rsid w:val="00AC1DA4"/>
    <w:rsid w:val="00AC219F"/>
    <w:rsid w:val="00AC2688"/>
    <w:rsid w:val="00AC496E"/>
    <w:rsid w:val="00AC5126"/>
    <w:rsid w:val="00AC62BE"/>
    <w:rsid w:val="00AC69EA"/>
    <w:rsid w:val="00AC6CF8"/>
    <w:rsid w:val="00AC7D8D"/>
    <w:rsid w:val="00AD0040"/>
    <w:rsid w:val="00AD0443"/>
    <w:rsid w:val="00AD11C3"/>
    <w:rsid w:val="00AD2583"/>
    <w:rsid w:val="00AD2A74"/>
    <w:rsid w:val="00AD2F00"/>
    <w:rsid w:val="00AD3206"/>
    <w:rsid w:val="00AD518C"/>
    <w:rsid w:val="00AD56C8"/>
    <w:rsid w:val="00AD58F2"/>
    <w:rsid w:val="00AD5AF0"/>
    <w:rsid w:val="00AD78B6"/>
    <w:rsid w:val="00AD7AD8"/>
    <w:rsid w:val="00AD7EA1"/>
    <w:rsid w:val="00AE1ED5"/>
    <w:rsid w:val="00AE2D24"/>
    <w:rsid w:val="00AE386A"/>
    <w:rsid w:val="00AE3FA5"/>
    <w:rsid w:val="00AE4BDB"/>
    <w:rsid w:val="00AE4C3F"/>
    <w:rsid w:val="00AE4FE6"/>
    <w:rsid w:val="00AE65AC"/>
    <w:rsid w:val="00AE67FD"/>
    <w:rsid w:val="00AE6BC5"/>
    <w:rsid w:val="00AE78BE"/>
    <w:rsid w:val="00AF014A"/>
    <w:rsid w:val="00AF06BF"/>
    <w:rsid w:val="00AF0C3F"/>
    <w:rsid w:val="00AF113C"/>
    <w:rsid w:val="00AF11D3"/>
    <w:rsid w:val="00AF13BB"/>
    <w:rsid w:val="00AF176F"/>
    <w:rsid w:val="00AF1BC4"/>
    <w:rsid w:val="00AF286E"/>
    <w:rsid w:val="00AF2E70"/>
    <w:rsid w:val="00AF3676"/>
    <w:rsid w:val="00AF4BB4"/>
    <w:rsid w:val="00AF531F"/>
    <w:rsid w:val="00AF53CC"/>
    <w:rsid w:val="00AF53F4"/>
    <w:rsid w:val="00AF5965"/>
    <w:rsid w:val="00AF5B4B"/>
    <w:rsid w:val="00AF5D58"/>
    <w:rsid w:val="00AF5F6E"/>
    <w:rsid w:val="00AF608A"/>
    <w:rsid w:val="00AF659B"/>
    <w:rsid w:val="00AF7927"/>
    <w:rsid w:val="00B01202"/>
    <w:rsid w:val="00B01846"/>
    <w:rsid w:val="00B0199F"/>
    <w:rsid w:val="00B01D55"/>
    <w:rsid w:val="00B020E5"/>
    <w:rsid w:val="00B0221B"/>
    <w:rsid w:val="00B030D9"/>
    <w:rsid w:val="00B0351B"/>
    <w:rsid w:val="00B04C13"/>
    <w:rsid w:val="00B04DCC"/>
    <w:rsid w:val="00B05054"/>
    <w:rsid w:val="00B0512A"/>
    <w:rsid w:val="00B0529F"/>
    <w:rsid w:val="00B0673D"/>
    <w:rsid w:val="00B06740"/>
    <w:rsid w:val="00B06D85"/>
    <w:rsid w:val="00B07F28"/>
    <w:rsid w:val="00B114D2"/>
    <w:rsid w:val="00B11D59"/>
    <w:rsid w:val="00B120FA"/>
    <w:rsid w:val="00B12EFC"/>
    <w:rsid w:val="00B139A6"/>
    <w:rsid w:val="00B1418B"/>
    <w:rsid w:val="00B151BC"/>
    <w:rsid w:val="00B1560C"/>
    <w:rsid w:val="00B1595A"/>
    <w:rsid w:val="00B15C90"/>
    <w:rsid w:val="00B17452"/>
    <w:rsid w:val="00B20E2A"/>
    <w:rsid w:val="00B21195"/>
    <w:rsid w:val="00B223E5"/>
    <w:rsid w:val="00B236CD"/>
    <w:rsid w:val="00B2468C"/>
    <w:rsid w:val="00B2475E"/>
    <w:rsid w:val="00B24B22"/>
    <w:rsid w:val="00B25310"/>
    <w:rsid w:val="00B259EB"/>
    <w:rsid w:val="00B262FB"/>
    <w:rsid w:val="00B26403"/>
    <w:rsid w:val="00B317B0"/>
    <w:rsid w:val="00B31F19"/>
    <w:rsid w:val="00B32F82"/>
    <w:rsid w:val="00B32F8F"/>
    <w:rsid w:val="00B332A1"/>
    <w:rsid w:val="00B33FFD"/>
    <w:rsid w:val="00B3492A"/>
    <w:rsid w:val="00B35DC1"/>
    <w:rsid w:val="00B37AAF"/>
    <w:rsid w:val="00B37B0A"/>
    <w:rsid w:val="00B37F65"/>
    <w:rsid w:val="00B41D61"/>
    <w:rsid w:val="00B424EE"/>
    <w:rsid w:val="00B42BC4"/>
    <w:rsid w:val="00B43773"/>
    <w:rsid w:val="00B43B89"/>
    <w:rsid w:val="00B501DE"/>
    <w:rsid w:val="00B510CE"/>
    <w:rsid w:val="00B529AF"/>
    <w:rsid w:val="00B54781"/>
    <w:rsid w:val="00B5485A"/>
    <w:rsid w:val="00B54DE9"/>
    <w:rsid w:val="00B553EC"/>
    <w:rsid w:val="00B55E3F"/>
    <w:rsid w:val="00B57028"/>
    <w:rsid w:val="00B60A54"/>
    <w:rsid w:val="00B60DA0"/>
    <w:rsid w:val="00B61A38"/>
    <w:rsid w:val="00B62B8E"/>
    <w:rsid w:val="00B63605"/>
    <w:rsid w:val="00B63C1E"/>
    <w:rsid w:val="00B64206"/>
    <w:rsid w:val="00B654E5"/>
    <w:rsid w:val="00B65F69"/>
    <w:rsid w:val="00B6624D"/>
    <w:rsid w:val="00B672EC"/>
    <w:rsid w:val="00B6743E"/>
    <w:rsid w:val="00B7151D"/>
    <w:rsid w:val="00B715A0"/>
    <w:rsid w:val="00B71B32"/>
    <w:rsid w:val="00B71DF2"/>
    <w:rsid w:val="00B73BAA"/>
    <w:rsid w:val="00B745BB"/>
    <w:rsid w:val="00B753E5"/>
    <w:rsid w:val="00B75498"/>
    <w:rsid w:val="00B76E0F"/>
    <w:rsid w:val="00B76E50"/>
    <w:rsid w:val="00B775D8"/>
    <w:rsid w:val="00B77740"/>
    <w:rsid w:val="00B77CBC"/>
    <w:rsid w:val="00B77E9B"/>
    <w:rsid w:val="00B8032D"/>
    <w:rsid w:val="00B80735"/>
    <w:rsid w:val="00B82694"/>
    <w:rsid w:val="00B82C03"/>
    <w:rsid w:val="00B83199"/>
    <w:rsid w:val="00B84330"/>
    <w:rsid w:val="00B85095"/>
    <w:rsid w:val="00B870E7"/>
    <w:rsid w:val="00B8774B"/>
    <w:rsid w:val="00B9092F"/>
    <w:rsid w:val="00B915A7"/>
    <w:rsid w:val="00B91DB8"/>
    <w:rsid w:val="00B926DC"/>
    <w:rsid w:val="00B930FF"/>
    <w:rsid w:val="00B937BB"/>
    <w:rsid w:val="00B93CDA"/>
    <w:rsid w:val="00B93DD0"/>
    <w:rsid w:val="00B95EF4"/>
    <w:rsid w:val="00B96EA5"/>
    <w:rsid w:val="00B97732"/>
    <w:rsid w:val="00B97FC9"/>
    <w:rsid w:val="00BA22A3"/>
    <w:rsid w:val="00BA25C4"/>
    <w:rsid w:val="00BA2A32"/>
    <w:rsid w:val="00BA396C"/>
    <w:rsid w:val="00BA3FE5"/>
    <w:rsid w:val="00BA44BA"/>
    <w:rsid w:val="00BA5A93"/>
    <w:rsid w:val="00BA65A8"/>
    <w:rsid w:val="00BA6A6A"/>
    <w:rsid w:val="00BA6D19"/>
    <w:rsid w:val="00BA7283"/>
    <w:rsid w:val="00BA7461"/>
    <w:rsid w:val="00BA77F7"/>
    <w:rsid w:val="00BA7DA9"/>
    <w:rsid w:val="00BB1E2D"/>
    <w:rsid w:val="00BB1F3A"/>
    <w:rsid w:val="00BB23FD"/>
    <w:rsid w:val="00BB297A"/>
    <w:rsid w:val="00BB4247"/>
    <w:rsid w:val="00BB4A6F"/>
    <w:rsid w:val="00BB4E77"/>
    <w:rsid w:val="00BB5B09"/>
    <w:rsid w:val="00BB6154"/>
    <w:rsid w:val="00BB69C4"/>
    <w:rsid w:val="00BB6C7D"/>
    <w:rsid w:val="00BB7966"/>
    <w:rsid w:val="00BC0BD2"/>
    <w:rsid w:val="00BC2201"/>
    <w:rsid w:val="00BC25D7"/>
    <w:rsid w:val="00BC2B56"/>
    <w:rsid w:val="00BC3559"/>
    <w:rsid w:val="00BC370C"/>
    <w:rsid w:val="00BC3E5F"/>
    <w:rsid w:val="00BC4215"/>
    <w:rsid w:val="00BC4AA2"/>
    <w:rsid w:val="00BC543C"/>
    <w:rsid w:val="00BC5AC0"/>
    <w:rsid w:val="00BC6027"/>
    <w:rsid w:val="00BC697A"/>
    <w:rsid w:val="00BC72D3"/>
    <w:rsid w:val="00BC73B7"/>
    <w:rsid w:val="00BD007A"/>
    <w:rsid w:val="00BD08A4"/>
    <w:rsid w:val="00BD1243"/>
    <w:rsid w:val="00BD1A6F"/>
    <w:rsid w:val="00BD1A9A"/>
    <w:rsid w:val="00BD1E27"/>
    <w:rsid w:val="00BD1EBC"/>
    <w:rsid w:val="00BD2356"/>
    <w:rsid w:val="00BD26D9"/>
    <w:rsid w:val="00BD2A51"/>
    <w:rsid w:val="00BD3426"/>
    <w:rsid w:val="00BD574A"/>
    <w:rsid w:val="00BD6740"/>
    <w:rsid w:val="00BD687D"/>
    <w:rsid w:val="00BD6C32"/>
    <w:rsid w:val="00BD7D93"/>
    <w:rsid w:val="00BE0208"/>
    <w:rsid w:val="00BE17BB"/>
    <w:rsid w:val="00BE1C9D"/>
    <w:rsid w:val="00BE2431"/>
    <w:rsid w:val="00BE261B"/>
    <w:rsid w:val="00BE2FA6"/>
    <w:rsid w:val="00BE2FAB"/>
    <w:rsid w:val="00BE3653"/>
    <w:rsid w:val="00BE4AE8"/>
    <w:rsid w:val="00BE4ED9"/>
    <w:rsid w:val="00BE5EE1"/>
    <w:rsid w:val="00BE6D3C"/>
    <w:rsid w:val="00BE7111"/>
    <w:rsid w:val="00BE7672"/>
    <w:rsid w:val="00BE7852"/>
    <w:rsid w:val="00BE7949"/>
    <w:rsid w:val="00BF1CDF"/>
    <w:rsid w:val="00BF2779"/>
    <w:rsid w:val="00BF4EFF"/>
    <w:rsid w:val="00BF637E"/>
    <w:rsid w:val="00BF6C63"/>
    <w:rsid w:val="00BF7338"/>
    <w:rsid w:val="00BF7A91"/>
    <w:rsid w:val="00BF7CEE"/>
    <w:rsid w:val="00BF7E41"/>
    <w:rsid w:val="00C00C1A"/>
    <w:rsid w:val="00C015FA"/>
    <w:rsid w:val="00C01F15"/>
    <w:rsid w:val="00C02673"/>
    <w:rsid w:val="00C037FB"/>
    <w:rsid w:val="00C03880"/>
    <w:rsid w:val="00C042E5"/>
    <w:rsid w:val="00C04673"/>
    <w:rsid w:val="00C0714E"/>
    <w:rsid w:val="00C07B1A"/>
    <w:rsid w:val="00C07DF3"/>
    <w:rsid w:val="00C11B44"/>
    <w:rsid w:val="00C12025"/>
    <w:rsid w:val="00C1279B"/>
    <w:rsid w:val="00C129C2"/>
    <w:rsid w:val="00C12D80"/>
    <w:rsid w:val="00C135CF"/>
    <w:rsid w:val="00C13993"/>
    <w:rsid w:val="00C1399D"/>
    <w:rsid w:val="00C13DDC"/>
    <w:rsid w:val="00C14321"/>
    <w:rsid w:val="00C146E6"/>
    <w:rsid w:val="00C14A64"/>
    <w:rsid w:val="00C21365"/>
    <w:rsid w:val="00C217F5"/>
    <w:rsid w:val="00C21C8F"/>
    <w:rsid w:val="00C21D28"/>
    <w:rsid w:val="00C230BE"/>
    <w:rsid w:val="00C2312C"/>
    <w:rsid w:val="00C2329E"/>
    <w:rsid w:val="00C23F9E"/>
    <w:rsid w:val="00C26584"/>
    <w:rsid w:val="00C2683F"/>
    <w:rsid w:val="00C2746F"/>
    <w:rsid w:val="00C2781F"/>
    <w:rsid w:val="00C278EF"/>
    <w:rsid w:val="00C30E85"/>
    <w:rsid w:val="00C31109"/>
    <w:rsid w:val="00C3184D"/>
    <w:rsid w:val="00C33316"/>
    <w:rsid w:val="00C3378D"/>
    <w:rsid w:val="00C35A21"/>
    <w:rsid w:val="00C366B8"/>
    <w:rsid w:val="00C40B79"/>
    <w:rsid w:val="00C40BF4"/>
    <w:rsid w:val="00C411E1"/>
    <w:rsid w:val="00C420C6"/>
    <w:rsid w:val="00C420DF"/>
    <w:rsid w:val="00C43670"/>
    <w:rsid w:val="00C4481E"/>
    <w:rsid w:val="00C448A9"/>
    <w:rsid w:val="00C44BA8"/>
    <w:rsid w:val="00C44C92"/>
    <w:rsid w:val="00C44D03"/>
    <w:rsid w:val="00C44E9C"/>
    <w:rsid w:val="00C4595B"/>
    <w:rsid w:val="00C45E18"/>
    <w:rsid w:val="00C4714E"/>
    <w:rsid w:val="00C47ADF"/>
    <w:rsid w:val="00C515EF"/>
    <w:rsid w:val="00C51CCA"/>
    <w:rsid w:val="00C531B0"/>
    <w:rsid w:val="00C532A1"/>
    <w:rsid w:val="00C5358A"/>
    <w:rsid w:val="00C53F05"/>
    <w:rsid w:val="00C54AE0"/>
    <w:rsid w:val="00C5504F"/>
    <w:rsid w:val="00C5549C"/>
    <w:rsid w:val="00C57421"/>
    <w:rsid w:val="00C57B55"/>
    <w:rsid w:val="00C57D0A"/>
    <w:rsid w:val="00C602DA"/>
    <w:rsid w:val="00C60692"/>
    <w:rsid w:val="00C61C24"/>
    <w:rsid w:val="00C63365"/>
    <w:rsid w:val="00C63376"/>
    <w:rsid w:val="00C63C4F"/>
    <w:rsid w:val="00C63FFB"/>
    <w:rsid w:val="00C65653"/>
    <w:rsid w:val="00C656E0"/>
    <w:rsid w:val="00C6572D"/>
    <w:rsid w:val="00C674E7"/>
    <w:rsid w:val="00C700B7"/>
    <w:rsid w:val="00C70806"/>
    <w:rsid w:val="00C70880"/>
    <w:rsid w:val="00C70BC3"/>
    <w:rsid w:val="00C70F47"/>
    <w:rsid w:val="00C71567"/>
    <w:rsid w:val="00C71A80"/>
    <w:rsid w:val="00C727B5"/>
    <w:rsid w:val="00C72CA8"/>
    <w:rsid w:val="00C73729"/>
    <w:rsid w:val="00C743AA"/>
    <w:rsid w:val="00C74593"/>
    <w:rsid w:val="00C74F97"/>
    <w:rsid w:val="00C75FE5"/>
    <w:rsid w:val="00C7614C"/>
    <w:rsid w:val="00C76481"/>
    <w:rsid w:val="00C770E4"/>
    <w:rsid w:val="00C77170"/>
    <w:rsid w:val="00C80FD4"/>
    <w:rsid w:val="00C81554"/>
    <w:rsid w:val="00C8164E"/>
    <w:rsid w:val="00C82014"/>
    <w:rsid w:val="00C820B1"/>
    <w:rsid w:val="00C8276E"/>
    <w:rsid w:val="00C842AC"/>
    <w:rsid w:val="00C845BB"/>
    <w:rsid w:val="00C855A5"/>
    <w:rsid w:val="00C85637"/>
    <w:rsid w:val="00C86266"/>
    <w:rsid w:val="00C86358"/>
    <w:rsid w:val="00C86CF6"/>
    <w:rsid w:val="00C905E0"/>
    <w:rsid w:val="00C90EAB"/>
    <w:rsid w:val="00C91243"/>
    <w:rsid w:val="00C914FF"/>
    <w:rsid w:val="00C9256D"/>
    <w:rsid w:val="00C9333D"/>
    <w:rsid w:val="00C940EF"/>
    <w:rsid w:val="00C94563"/>
    <w:rsid w:val="00C959A6"/>
    <w:rsid w:val="00C964B4"/>
    <w:rsid w:val="00C96688"/>
    <w:rsid w:val="00C96E29"/>
    <w:rsid w:val="00CA0723"/>
    <w:rsid w:val="00CA1FCA"/>
    <w:rsid w:val="00CA2D88"/>
    <w:rsid w:val="00CA33B9"/>
    <w:rsid w:val="00CA3BCE"/>
    <w:rsid w:val="00CA48AA"/>
    <w:rsid w:val="00CA5FD7"/>
    <w:rsid w:val="00CA7016"/>
    <w:rsid w:val="00CA7C8E"/>
    <w:rsid w:val="00CA7F32"/>
    <w:rsid w:val="00CB00E2"/>
    <w:rsid w:val="00CB1690"/>
    <w:rsid w:val="00CB2190"/>
    <w:rsid w:val="00CB21D4"/>
    <w:rsid w:val="00CB269D"/>
    <w:rsid w:val="00CB2A48"/>
    <w:rsid w:val="00CB33E1"/>
    <w:rsid w:val="00CB396D"/>
    <w:rsid w:val="00CB3BEC"/>
    <w:rsid w:val="00CB534C"/>
    <w:rsid w:val="00CB536C"/>
    <w:rsid w:val="00CB55DC"/>
    <w:rsid w:val="00CB645B"/>
    <w:rsid w:val="00CC05B1"/>
    <w:rsid w:val="00CC0FE9"/>
    <w:rsid w:val="00CC279F"/>
    <w:rsid w:val="00CC2955"/>
    <w:rsid w:val="00CC3B48"/>
    <w:rsid w:val="00CC3E84"/>
    <w:rsid w:val="00CC4365"/>
    <w:rsid w:val="00CC5315"/>
    <w:rsid w:val="00CC5E30"/>
    <w:rsid w:val="00CC629E"/>
    <w:rsid w:val="00CC6672"/>
    <w:rsid w:val="00CC7C79"/>
    <w:rsid w:val="00CC7F9C"/>
    <w:rsid w:val="00CD0755"/>
    <w:rsid w:val="00CD0AC1"/>
    <w:rsid w:val="00CD11B0"/>
    <w:rsid w:val="00CD11F5"/>
    <w:rsid w:val="00CD221B"/>
    <w:rsid w:val="00CD3179"/>
    <w:rsid w:val="00CD3D71"/>
    <w:rsid w:val="00CD4CCF"/>
    <w:rsid w:val="00CD61E3"/>
    <w:rsid w:val="00CD62A4"/>
    <w:rsid w:val="00CD67C3"/>
    <w:rsid w:val="00CD6F96"/>
    <w:rsid w:val="00CD7898"/>
    <w:rsid w:val="00CD7BAB"/>
    <w:rsid w:val="00CE15B3"/>
    <w:rsid w:val="00CE1740"/>
    <w:rsid w:val="00CE1D92"/>
    <w:rsid w:val="00CE2A69"/>
    <w:rsid w:val="00CE3472"/>
    <w:rsid w:val="00CE6EC9"/>
    <w:rsid w:val="00CE71C2"/>
    <w:rsid w:val="00CF05EA"/>
    <w:rsid w:val="00CF061A"/>
    <w:rsid w:val="00CF0903"/>
    <w:rsid w:val="00CF186E"/>
    <w:rsid w:val="00CF28E3"/>
    <w:rsid w:val="00CF2942"/>
    <w:rsid w:val="00CF34E9"/>
    <w:rsid w:val="00CF42D5"/>
    <w:rsid w:val="00CF4826"/>
    <w:rsid w:val="00CF4EDA"/>
    <w:rsid w:val="00CF6FC0"/>
    <w:rsid w:val="00D0024A"/>
    <w:rsid w:val="00D00F97"/>
    <w:rsid w:val="00D011D7"/>
    <w:rsid w:val="00D01612"/>
    <w:rsid w:val="00D021CB"/>
    <w:rsid w:val="00D023B9"/>
    <w:rsid w:val="00D03029"/>
    <w:rsid w:val="00D03928"/>
    <w:rsid w:val="00D04524"/>
    <w:rsid w:val="00D04689"/>
    <w:rsid w:val="00D05C7B"/>
    <w:rsid w:val="00D066CC"/>
    <w:rsid w:val="00D0690E"/>
    <w:rsid w:val="00D070B3"/>
    <w:rsid w:val="00D10F1A"/>
    <w:rsid w:val="00D116F8"/>
    <w:rsid w:val="00D11EA7"/>
    <w:rsid w:val="00D1208C"/>
    <w:rsid w:val="00D12093"/>
    <w:rsid w:val="00D12946"/>
    <w:rsid w:val="00D12BF2"/>
    <w:rsid w:val="00D12F69"/>
    <w:rsid w:val="00D13758"/>
    <w:rsid w:val="00D13FE7"/>
    <w:rsid w:val="00D14236"/>
    <w:rsid w:val="00D14FB6"/>
    <w:rsid w:val="00D17596"/>
    <w:rsid w:val="00D200C2"/>
    <w:rsid w:val="00D20369"/>
    <w:rsid w:val="00D20C52"/>
    <w:rsid w:val="00D21C23"/>
    <w:rsid w:val="00D21D54"/>
    <w:rsid w:val="00D22640"/>
    <w:rsid w:val="00D234A2"/>
    <w:rsid w:val="00D23E73"/>
    <w:rsid w:val="00D254E1"/>
    <w:rsid w:val="00D258AB"/>
    <w:rsid w:val="00D25E56"/>
    <w:rsid w:val="00D26347"/>
    <w:rsid w:val="00D2675A"/>
    <w:rsid w:val="00D26D3A"/>
    <w:rsid w:val="00D27502"/>
    <w:rsid w:val="00D30150"/>
    <w:rsid w:val="00D30887"/>
    <w:rsid w:val="00D308C9"/>
    <w:rsid w:val="00D30A60"/>
    <w:rsid w:val="00D30BDD"/>
    <w:rsid w:val="00D314BA"/>
    <w:rsid w:val="00D31E30"/>
    <w:rsid w:val="00D328A2"/>
    <w:rsid w:val="00D3319F"/>
    <w:rsid w:val="00D33BBB"/>
    <w:rsid w:val="00D34789"/>
    <w:rsid w:val="00D34D2D"/>
    <w:rsid w:val="00D36370"/>
    <w:rsid w:val="00D36E3C"/>
    <w:rsid w:val="00D37260"/>
    <w:rsid w:val="00D37644"/>
    <w:rsid w:val="00D4017E"/>
    <w:rsid w:val="00D40546"/>
    <w:rsid w:val="00D4077E"/>
    <w:rsid w:val="00D416FA"/>
    <w:rsid w:val="00D41D07"/>
    <w:rsid w:val="00D4256F"/>
    <w:rsid w:val="00D42944"/>
    <w:rsid w:val="00D42C8B"/>
    <w:rsid w:val="00D43248"/>
    <w:rsid w:val="00D43420"/>
    <w:rsid w:val="00D43B55"/>
    <w:rsid w:val="00D4499E"/>
    <w:rsid w:val="00D44C24"/>
    <w:rsid w:val="00D45115"/>
    <w:rsid w:val="00D45640"/>
    <w:rsid w:val="00D45EE3"/>
    <w:rsid w:val="00D47917"/>
    <w:rsid w:val="00D50033"/>
    <w:rsid w:val="00D503B2"/>
    <w:rsid w:val="00D50618"/>
    <w:rsid w:val="00D509E9"/>
    <w:rsid w:val="00D52707"/>
    <w:rsid w:val="00D53AE2"/>
    <w:rsid w:val="00D53B1C"/>
    <w:rsid w:val="00D54C9A"/>
    <w:rsid w:val="00D5543F"/>
    <w:rsid w:val="00D564BF"/>
    <w:rsid w:val="00D5680A"/>
    <w:rsid w:val="00D56EDA"/>
    <w:rsid w:val="00D570F7"/>
    <w:rsid w:val="00D60016"/>
    <w:rsid w:val="00D619BE"/>
    <w:rsid w:val="00D61A41"/>
    <w:rsid w:val="00D62824"/>
    <w:rsid w:val="00D63156"/>
    <w:rsid w:val="00D637EF"/>
    <w:rsid w:val="00D63A48"/>
    <w:rsid w:val="00D65419"/>
    <w:rsid w:val="00D65E35"/>
    <w:rsid w:val="00D67022"/>
    <w:rsid w:val="00D6787C"/>
    <w:rsid w:val="00D67C6C"/>
    <w:rsid w:val="00D7072E"/>
    <w:rsid w:val="00D710E2"/>
    <w:rsid w:val="00D7232B"/>
    <w:rsid w:val="00D723CB"/>
    <w:rsid w:val="00D72609"/>
    <w:rsid w:val="00D72863"/>
    <w:rsid w:val="00D72DC2"/>
    <w:rsid w:val="00D73576"/>
    <w:rsid w:val="00D766D8"/>
    <w:rsid w:val="00D76AE3"/>
    <w:rsid w:val="00D76CDF"/>
    <w:rsid w:val="00D77EED"/>
    <w:rsid w:val="00D8009B"/>
    <w:rsid w:val="00D80BC0"/>
    <w:rsid w:val="00D80C44"/>
    <w:rsid w:val="00D80F70"/>
    <w:rsid w:val="00D81575"/>
    <w:rsid w:val="00D82747"/>
    <w:rsid w:val="00D82856"/>
    <w:rsid w:val="00D82C99"/>
    <w:rsid w:val="00D83AC2"/>
    <w:rsid w:val="00D83E77"/>
    <w:rsid w:val="00D84366"/>
    <w:rsid w:val="00D85272"/>
    <w:rsid w:val="00D85E0C"/>
    <w:rsid w:val="00D85F67"/>
    <w:rsid w:val="00D87851"/>
    <w:rsid w:val="00D87CD7"/>
    <w:rsid w:val="00D87D13"/>
    <w:rsid w:val="00D91AA4"/>
    <w:rsid w:val="00D91B0B"/>
    <w:rsid w:val="00D92D20"/>
    <w:rsid w:val="00D93AAD"/>
    <w:rsid w:val="00D93B5F"/>
    <w:rsid w:val="00D940CA"/>
    <w:rsid w:val="00D942D6"/>
    <w:rsid w:val="00D9462C"/>
    <w:rsid w:val="00D94838"/>
    <w:rsid w:val="00D94D21"/>
    <w:rsid w:val="00D951D5"/>
    <w:rsid w:val="00D96E09"/>
    <w:rsid w:val="00D974BF"/>
    <w:rsid w:val="00D97780"/>
    <w:rsid w:val="00DA0E99"/>
    <w:rsid w:val="00DA1572"/>
    <w:rsid w:val="00DA1B12"/>
    <w:rsid w:val="00DA21D4"/>
    <w:rsid w:val="00DA2DB6"/>
    <w:rsid w:val="00DA3C60"/>
    <w:rsid w:val="00DA4091"/>
    <w:rsid w:val="00DA4E21"/>
    <w:rsid w:val="00DA54C9"/>
    <w:rsid w:val="00DA5732"/>
    <w:rsid w:val="00DA6739"/>
    <w:rsid w:val="00DA6CAE"/>
    <w:rsid w:val="00DA795F"/>
    <w:rsid w:val="00DA7A1B"/>
    <w:rsid w:val="00DB091C"/>
    <w:rsid w:val="00DB0F33"/>
    <w:rsid w:val="00DB150C"/>
    <w:rsid w:val="00DB1674"/>
    <w:rsid w:val="00DB1A9E"/>
    <w:rsid w:val="00DB1EF6"/>
    <w:rsid w:val="00DB2631"/>
    <w:rsid w:val="00DB27E3"/>
    <w:rsid w:val="00DB2C95"/>
    <w:rsid w:val="00DB31D6"/>
    <w:rsid w:val="00DB371F"/>
    <w:rsid w:val="00DB3F3A"/>
    <w:rsid w:val="00DB4005"/>
    <w:rsid w:val="00DB4779"/>
    <w:rsid w:val="00DB5077"/>
    <w:rsid w:val="00DB573B"/>
    <w:rsid w:val="00DB5B23"/>
    <w:rsid w:val="00DB5C98"/>
    <w:rsid w:val="00DB6F5E"/>
    <w:rsid w:val="00DC2424"/>
    <w:rsid w:val="00DC2BDD"/>
    <w:rsid w:val="00DC34EB"/>
    <w:rsid w:val="00DC3A81"/>
    <w:rsid w:val="00DC3B87"/>
    <w:rsid w:val="00DC41B8"/>
    <w:rsid w:val="00DC4935"/>
    <w:rsid w:val="00DC6FDA"/>
    <w:rsid w:val="00DC7813"/>
    <w:rsid w:val="00DC79DA"/>
    <w:rsid w:val="00DD02F9"/>
    <w:rsid w:val="00DD04D9"/>
    <w:rsid w:val="00DD0ADE"/>
    <w:rsid w:val="00DD0E62"/>
    <w:rsid w:val="00DD1449"/>
    <w:rsid w:val="00DD2686"/>
    <w:rsid w:val="00DD28C7"/>
    <w:rsid w:val="00DD3018"/>
    <w:rsid w:val="00DD317B"/>
    <w:rsid w:val="00DD3B39"/>
    <w:rsid w:val="00DD4194"/>
    <w:rsid w:val="00DD5657"/>
    <w:rsid w:val="00DD58C0"/>
    <w:rsid w:val="00DD60BA"/>
    <w:rsid w:val="00DD653A"/>
    <w:rsid w:val="00DD6834"/>
    <w:rsid w:val="00DD7363"/>
    <w:rsid w:val="00DD7920"/>
    <w:rsid w:val="00DE0EAD"/>
    <w:rsid w:val="00DE1B05"/>
    <w:rsid w:val="00DE1DCD"/>
    <w:rsid w:val="00DE349C"/>
    <w:rsid w:val="00DE4E42"/>
    <w:rsid w:val="00DE6373"/>
    <w:rsid w:val="00DE63AB"/>
    <w:rsid w:val="00DE6D55"/>
    <w:rsid w:val="00DF06A0"/>
    <w:rsid w:val="00DF10E3"/>
    <w:rsid w:val="00DF1E5B"/>
    <w:rsid w:val="00DF2145"/>
    <w:rsid w:val="00DF2275"/>
    <w:rsid w:val="00DF25B3"/>
    <w:rsid w:val="00DF3F5E"/>
    <w:rsid w:val="00DF5653"/>
    <w:rsid w:val="00DF5683"/>
    <w:rsid w:val="00DF6EE8"/>
    <w:rsid w:val="00DF7236"/>
    <w:rsid w:val="00E00411"/>
    <w:rsid w:val="00E00FEC"/>
    <w:rsid w:val="00E01E59"/>
    <w:rsid w:val="00E030C5"/>
    <w:rsid w:val="00E0339B"/>
    <w:rsid w:val="00E035B9"/>
    <w:rsid w:val="00E03C7B"/>
    <w:rsid w:val="00E0596E"/>
    <w:rsid w:val="00E06F66"/>
    <w:rsid w:val="00E07B35"/>
    <w:rsid w:val="00E107F4"/>
    <w:rsid w:val="00E10F39"/>
    <w:rsid w:val="00E10FC7"/>
    <w:rsid w:val="00E12F9A"/>
    <w:rsid w:val="00E13F37"/>
    <w:rsid w:val="00E148EB"/>
    <w:rsid w:val="00E17A5B"/>
    <w:rsid w:val="00E20360"/>
    <w:rsid w:val="00E208EA"/>
    <w:rsid w:val="00E21EEC"/>
    <w:rsid w:val="00E220F2"/>
    <w:rsid w:val="00E22EC2"/>
    <w:rsid w:val="00E236E1"/>
    <w:rsid w:val="00E23EDF"/>
    <w:rsid w:val="00E24273"/>
    <w:rsid w:val="00E24D9F"/>
    <w:rsid w:val="00E24EA6"/>
    <w:rsid w:val="00E24EDD"/>
    <w:rsid w:val="00E2575A"/>
    <w:rsid w:val="00E25BB0"/>
    <w:rsid w:val="00E26355"/>
    <w:rsid w:val="00E26607"/>
    <w:rsid w:val="00E26EF5"/>
    <w:rsid w:val="00E2711E"/>
    <w:rsid w:val="00E274D2"/>
    <w:rsid w:val="00E27C10"/>
    <w:rsid w:val="00E30960"/>
    <w:rsid w:val="00E30B76"/>
    <w:rsid w:val="00E30D4F"/>
    <w:rsid w:val="00E31958"/>
    <w:rsid w:val="00E32994"/>
    <w:rsid w:val="00E34A05"/>
    <w:rsid w:val="00E34B34"/>
    <w:rsid w:val="00E352CE"/>
    <w:rsid w:val="00E35495"/>
    <w:rsid w:val="00E356E5"/>
    <w:rsid w:val="00E3587D"/>
    <w:rsid w:val="00E363AC"/>
    <w:rsid w:val="00E36B3A"/>
    <w:rsid w:val="00E36F5F"/>
    <w:rsid w:val="00E36F81"/>
    <w:rsid w:val="00E3780D"/>
    <w:rsid w:val="00E37B4C"/>
    <w:rsid w:val="00E401E2"/>
    <w:rsid w:val="00E40D3E"/>
    <w:rsid w:val="00E41119"/>
    <w:rsid w:val="00E43566"/>
    <w:rsid w:val="00E436BC"/>
    <w:rsid w:val="00E43933"/>
    <w:rsid w:val="00E43A55"/>
    <w:rsid w:val="00E440E8"/>
    <w:rsid w:val="00E44171"/>
    <w:rsid w:val="00E45765"/>
    <w:rsid w:val="00E464F4"/>
    <w:rsid w:val="00E469AE"/>
    <w:rsid w:val="00E47630"/>
    <w:rsid w:val="00E5098C"/>
    <w:rsid w:val="00E50A4F"/>
    <w:rsid w:val="00E50EF4"/>
    <w:rsid w:val="00E52BD5"/>
    <w:rsid w:val="00E5347F"/>
    <w:rsid w:val="00E5379A"/>
    <w:rsid w:val="00E54B5C"/>
    <w:rsid w:val="00E55888"/>
    <w:rsid w:val="00E5625C"/>
    <w:rsid w:val="00E56289"/>
    <w:rsid w:val="00E56971"/>
    <w:rsid w:val="00E571DE"/>
    <w:rsid w:val="00E57497"/>
    <w:rsid w:val="00E57CBC"/>
    <w:rsid w:val="00E57E9C"/>
    <w:rsid w:val="00E57FBF"/>
    <w:rsid w:val="00E60213"/>
    <w:rsid w:val="00E6066D"/>
    <w:rsid w:val="00E60F62"/>
    <w:rsid w:val="00E633E3"/>
    <w:rsid w:val="00E63A4A"/>
    <w:rsid w:val="00E643E6"/>
    <w:rsid w:val="00E647EE"/>
    <w:rsid w:val="00E661B2"/>
    <w:rsid w:val="00E6710A"/>
    <w:rsid w:val="00E702CB"/>
    <w:rsid w:val="00E710CD"/>
    <w:rsid w:val="00E711D1"/>
    <w:rsid w:val="00E7210E"/>
    <w:rsid w:val="00E7266A"/>
    <w:rsid w:val="00E7389A"/>
    <w:rsid w:val="00E74B3F"/>
    <w:rsid w:val="00E74D29"/>
    <w:rsid w:val="00E76CAB"/>
    <w:rsid w:val="00E770E7"/>
    <w:rsid w:val="00E7757A"/>
    <w:rsid w:val="00E77AC5"/>
    <w:rsid w:val="00E77FA4"/>
    <w:rsid w:val="00E80FBA"/>
    <w:rsid w:val="00E8110A"/>
    <w:rsid w:val="00E818A9"/>
    <w:rsid w:val="00E8237B"/>
    <w:rsid w:val="00E82F0F"/>
    <w:rsid w:val="00E838EF"/>
    <w:rsid w:val="00E83C74"/>
    <w:rsid w:val="00E83CEE"/>
    <w:rsid w:val="00E83E02"/>
    <w:rsid w:val="00E85CA2"/>
    <w:rsid w:val="00E91126"/>
    <w:rsid w:val="00E9165C"/>
    <w:rsid w:val="00E91F18"/>
    <w:rsid w:val="00E9226D"/>
    <w:rsid w:val="00E923A2"/>
    <w:rsid w:val="00E92A06"/>
    <w:rsid w:val="00E93B0A"/>
    <w:rsid w:val="00E94630"/>
    <w:rsid w:val="00E94B99"/>
    <w:rsid w:val="00E96CC1"/>
    <w:rsid w:val="00E978D7"/>
    <w:rsid w:val="00EA01DB"/>
    <w:rsid w:val="00EA0FFA"/>
    <w:rsid w:val="00EA1A92"/>
    <w:rsid w:val="00EA246B"/>
    <w:rsid w:val="00EA25B3"/>
    <w:rsid w:val="00EA2987"/>
    <w:rsid w:val="00EA3FB3"/>
    <w:rsid w:val="00EA416C"/>
    <w:rsid w:val="00EA4582"/>
    <w:rsid w:val="00EA5462"/>
    <w:rsid w:val="00EA5941"/>
    <w:rsid w:val="00EA666E"/>
    <w:rsid w:val="00EA6F6D"/>
    <w:rsid w:val="00EB0BE4"/>
    <w:rsid w:val="00EB1705"/>
    <w:rsid w:val="00EB22D6"/>
    <w:rsid w:val="00EB3480"/>
    <w:rsid w:val="00EB3C6B"/>
    <w:rsid w:val="00EB42DD"/>
    <w:rsid w:val="00EB4C9A"/>
    <w:rsid w:val="00EB60CE"/>
    <w:rsid w:val="00EB7306"/>
    <w:rsid w:val="00EB739E"/>
    <w:rsid w:val="00EB74CD"/>
    <w:rsid w:val="00EB7A6A"/>
    <w:rsid w:val="00EB7CB2"/>
    <w:rsid w:val="00EB7D53"/>
    <w:rsid w:val="00EC01E2"/>
    <w:rsid w:val="00EC1289"/>
    <w:rsid w:val="00EC1F59"/>
    <w:rsid w:val="00EC201D"/>
    <w:rsid w:val="00EC33C4"/>
    <w:rsid w:val="00EC4F1B"/>
    <w:rsid w:val="00EC5D6F"/>
    <w:rsid w:val="00EC5E5C"/>
    <w:rsid w:val="00EC6587"/>
    <w:rsid w:val="00EC7A92"/>
    <w:rsid w:val="00ED046E"/>
    <w:rsid w:val="00ED0CF6"/>
    <w:rsid w:val="00ED1789"/>
    <w:rsid w:val="00ED27D9"/>
    <w:rsid w:val="00ED2995"/>
    <w:rsid w:val="00ED3863"/>
    <w:rsid w:val="00ED38D7"/>
    <w:rsid w:val="00ED40E0"/>
    <w:rsid w:val="00ED4433"/>
    <w:rsid w:val="00ED6A1A"/>
    <w:rsid w:val="00ED6C16"/>
    <w:rsid w:val="00ED7625"/>
    <w:rsid w:val="00ED7688"/>
    <w:rsid w:val="00ED7897"/>
    <w:rsid w:val="00EE0258"/>
    <w:rsid w:val="00EE047E"/>
    <w:rsid w:val="00EE07AF"/>
    <w:rsid w:val="00EE0B07"/>
    <w:rsid w:val="00EE0BC8"/>
    <w:rsid w:val="00EE1F5A"/>
    <w:rsid w:val="00EE29C8"/>
    <w:rsid w:val="00EE3146"/>
    <w:rsid w:val="00EE4840"/>
    <w:rsid w:val="00EE4DBA"/>
    <w:rsid w:val="00EE52F5"/>
    <w:rsid w:val="00EE594E"/>
    <w:rsid w:val="00EE6174"/>
    <w:rsid w:val="00EF05BF"/>
    <w:rsid w:val="00EF1202"/>
    <w:rsid w:val="00EF4333"/>
    <w:rsid w:val="00EF4BC3"/>
    <w:rsid w:val="00EF50BB"/>
    <w:rsid w:val="00EF512C"/>
    <w:rsid w:val="00EF53FF"/>
    <w:rsid w:val="00EF573E"/>
    <w:rsid w:val="00EF6ED8"/>
    <w:rsid w:val="00F00192"/>
    <w:rsid w:val="00F01DF6"/>
    <w:rsid w:val="00F02176"/>
    <w:rsid w:val="00F02235"/>
    <w:rsid w:val="00F0314A"/>
    <w:rsid w:val="00F0340D"/>
    <w:rsid w:val="00F03991"/>
    <w:rsid w:val="00F0406F"/>
    <w:rsid w:val="00F0535C"/>
    <w:rsid w:val="00F059A6"/>
    <w:rsid w:val="00F05FC3"/>
    <w:rsid w:val="00F06A16"/>
    <w:rsid w:val="00F071BD"/>
    <w:rsid w:val="00F101CF"/>
    <w:rsid w:val="00F10664"/>
    <w:rsid w:val="00F10D8B"/>
    <w:rsid w:val="00F10E79"/>
    <w:rsid w:val="00F1204D"/>
    <w:rsid w:val="00F1216F"/>
    <w:rsid w:val="00F12418"/>
    <w:rsid w:val="00F129D7"/>
    <w:rsid w:val="00F12DC8"/>
    <w:rsid w:val="00F12E58"/>
    <w:rsid w:val="00F13E50"/>
    <w:rsid w:val="00F14097"/>
    <w:rsid w:val="00F15224"/>
    <w:rsid w:val="00F169B3"/>
    <w:rsid w:val="00F16BFF"/>
    <w:rsid w:val="00F17572"/>
    <w:rsid w:val="00F17B12"/>
    <w:rsid w:val="00F205E1"/>
    <w:rsid w:val="00F20C4B"/>
    <w:rsid w:val="00F22349"/>
    <w:rsid w:val="00F23276"/>
    <w:rsid w:val="00F23756"/>
    <w:rsid w:val="00F23C72"/>
    <w:rsid w:val="00F24D8A"/>
    <w:rsid w:val="00F24F10"/>
    <w:rsid w:val="00F2523A"/>
    <w:rsid w:val="00F25366"/>
    <w:rsid w:val="00F2547D"/>
    <w:rsid w:val="00F257B3"/>
    <w:rsid w:val="00F2582F"/>
    <w:rsid w:val="00F25FFA"/>
    <w:rsid w:val="00F27121"/>
    <w:rsid w:val="00F279D0"/>
    <w:rsid w:val="00F3024D"/>
    <w:rsid w:val="00F30A8D"/>
    <w:rsid w:val="00F30F77"/>
    <w:rsid w:val="00F310D2"/>
    <w:rsid w:val="00F3114D"/>
    <w:rsid w:val="00F318B5"/>
    <w:rsid w:val="00F33A14"/>
    <w:rsid w:val="00F33ED3"/>
    <w:rsid w:val="00F346DE"/>
    <w:rsid w:val="00F34854"/>
    <w:rsid w:val="00F34901"/>
    <w:rsid w:val="00F34C98"/>
    <w:rsid w:val="00F34E18"/>
    <w:rsid w:val="00F3556D"/>
    <w:rsid w:val="00F35615"/>
    <w:rsid w:val="00F366FC"/>
    <w:rsid w:val="00F36AA5"/>
    <w:rsid w:val="00F36F3D"/>
    <w:rsid w:val="00F37FA8"/>
    <w:rsid w:val="00F41069"/>
    <w:rsid w:val="00F41B67"/>
    <w:rsid w:val="00F44C16"/>
    <w:rsid w:val="00F45096"/>
    <w:rsid w:val="00F4570B"/>
    <w:rsid w:val="00F45B8E"/>
    <w:rsid w:val="00F477BD"/>
    <w:rsid w:val="00F505EF"/>
    <w:rsid w:val="00F5104B"/>
    <w:rsid w:val="00F5108C"/>
    <w:rsid w:val="00F512B6"/>
    <w:rsid w:val="00F53491"/>
    <w:rsid w:val="00F53B93"/>
    <w:rsid w:val="00F54555"/>
    <w:rsid w:val="00F547D9"/>
    <w:rsid w:val="00F5482D"/>
    <w:rsid w:val="00F54A27"/>
    <w:rsid w:val="00F54C52"/>
    <w:rsid w:val="00F54C8A"/>
    <w:rsid w:val="00F5546D"/>
    <w:rsid w:val="00F5583D"/>
    <w:rsid w:val="00F55B83"/>
    <w:rsid w:val="00F55C95"/>
    <w:rsid w:val="00F578E9"/>
    <w:rsid w:val="00F57A5E"/>
    <w:rsid w:val="00F60492"/>
    <w:rsid w:val="00F6274A"/>
    <w:rsid w:val="00F62902"/>
    <w:rsid w:val="00F6391A"/>
    <w:rsid w:val="00F63B99"/>
    <w:rsid w:val="00F6411A"/>
    <w:rsid w:val="00F64A7F"/>
    <w:rsid w:val="00F65A1C"/>
    <w:rsid w:val="00F66F50"/>
    <w:rsid w:val="00F70D16"/>
    <w:rsid w:val="00F72AF0"/>
    <w:rsid w:val="00F73563"/>
    <w:rsid w:val="00F7399D"/>
    <w:rsid w:val="00F73A6F"/>
    <w:rsid w:val="00F73E8F"/>
    <w:rsid w:val="00F74B50"/>
    <w:rsid w:val="00F75477"/>
    <w:rsid w:val="00F76ED2"/>
    <w:rsid w:val="00F77D87"/>
    <w:rsid w:val="00F81826"/>
    <w:rsid w:val="00F820EC"/>
    <w:rsid w:val="00F82423"/>
    <w:rsid w:val="00F82CA7"/>
    <w:rsid w:val="00F82FF8"/>
    <w:rsid w:val="00F8330D"/>
    <w:rsid w:val="00F833FD"/>
    <w:rsid w:val="00F83B10"/>
    <w:rsid w:val="00F84305"/>
    <w:rsid w:val="00F8485C"/>
    <w:rsid w:val="00F8677D"/>
    <w:rsid w:val="00F86C2B"/>
    <w:rsid w:val="00F87149"/>
    <w:rsid w:val="00F87700"/>
    <w:rsid w:val="00F87A51"/>
    <w:rsid w:val="00F87FFE"/>
    <w:rsid w:val="00F900CE"/>
    <w:rsid w:val="00F90299"/>
    <w:rsid w:val="00F90E46"/>
    <w:rsid w:val="00F91BDE"/>
    <w:rsid w:val="00F938CB"/>
    <w:rsid w:val="00F93CB0"/>
    <w:rsid w:val="00F93E5C"/>
    <w:rsid w:val="00F94086"/>
    <w:rsid w:val="00F9418F"/>
    <w:rsid w:val="00F954C9"/>
    <w:rsid w:val="00F95804"/>
    <w:rsid w:val="00F95C8C"/>
    <w:rsid w:val="00F96A92"/>
    <w:rsid w:val="00FA1465"/>
    <w:rsid w:val="00FA2043"/>
    <w:rsid w:val="00FA21A8"/>
    <w:rsid w:val="00FA3031"/>
    <w:rsid w:val="00FA3234"/>
    <w:rsid w:val="00FA3357"/>
    <w:rsid w:val="00FA3707"/>
    <w:rsid w:val="00FA3781"/>
    <w:rsid w:val="00FA3B7B"/>
    <w:rsid w:val="00FA4CF0"/>
    <w:rsid w:val="00FA5CD7"/>
    <w:rsid w:val="00FA5E9A"/>
    <w:rsid w:val="00FA6108"/>
    <w:rsid w:val="00FA61AA"/>
    <w:rsid w:val="00FA6830"/>
    <w:rsid w:val="00FA69A4"/>
    <w:rsid w:val="00FA7BCC"/>
    <w:rsid w:val="00FB0F35"/>
    <w:rsid w:val="00FB1279"/>
    <w:rsid w:val="00FB1495"/>
    <w:rsid w:val="00FB18DC"/>
    <w:rsid w:val="00FB1AFF"/>
    <w:rsid w:val="00FB1D4E"/>
    <w:rsid w:val="00FB280E"/>
    <w:rsid w:val="00FB312E"/>
    <w:rsid w:val="00FB3692"/>
    <w:rsid w:val="00FB3858"/>
    <w:rsid w:val="00FB3BB4"/>
    <w:rsid w:val="00FB3E2A"/>
    <w:rsid w:val="00FB3F18"/>
    <w:rsid w:val="00FB49F0"/>
    <w:rsid w:val="00FB6480"/>
    <w:rsid w:val="00FB6BED"/>
    <w:rsid w:val="00FB75CC"/>
    <w:rsid w:val="00FB7846"/>
    <w:rsid w:val="00FC1288"/>
    <w:rsid w:val="00FC1591"/>
    <w:rsid w:val="00FC239A"/>
    <w:rsid w:val="00FC29DE"/>
    <w:rsid w:val="00FC315F"/>
    <w:rsid w:val="00FC38F0"/>
    <w:rsid w:val="00FC3F4F"/>
    <w:rsid w:val="00FC4403"/>
    <w:rsid w:val="00FC45EA"/>
    <w:rsid w:val="00FC56F6"/>
    <w:rsid w:val="00FC575A"/>
    <w:rsid w:val="00FC5CF9"/>
    <w:rsid w:val="00FC6DEC"/>
    <w:rsid w:val="00FD0126"/>
    <w:rsid w:val="00FD097B"/>
    <w:rsid w:val="00FD12BA"/>
    <w:rsid w:val="00FD1694"/>
    <w:rsid w:val="00FD18BE"/>
    <w:rsid w:val="00FD1EA0"/>
    <w:rsid w:val="00FD20B3"/>
    <w:rsid w:val="00FD25C4"/>
    <w:rsid w:val="00FD2F6E"/>
    <w:rsid w:val="00FD3DB2"/>
    <w:rsid w:val="00FD3EB3"/>
    <w:rsid w:val="00FD5713"/>
    <w:rsid w:val="00FD594E"/>
    <w:rsid w:val="00FD6062"/>
    <w:rsid w:val="00FD64DD"/>
    <w:rsid w:val="00FD751F"/>
    <w:rsid w:val="00FD7636"/>
    <w:rsid w:val="00FE088C"/>
    <w:rsid w:val="00FE1C68"/>
    <w:rsid w:val="00FE1F71"/>
    <w:rsid w:val="00FE3229"/>
    <w:rsid w:val="00FE3477"/>
    <w:rsid w:val="00FE72F8"/>
    <w:rsid w:val="00FE74C3"/>
    <w:rsid w:val="00FE779C"/>
    <w:rsid w:val="00FE7CD8"/>
    <w:rsid w:val="00FF00FD"/>
    <w:rsid w:val="00FF0167"/>
    <w:rsid w:val="00FF0744"/>
    <w:rsid w:val="00FF1250"/>
    <w:rsid w:val="00FF215C"/>
    <w:rsid w:val="00FF3434"/>
    <w:rsid w:val="00FF3447"/>
    <w:rsid w:val="00FF46B5"/>
    <w:rsid w:val="00FF49E8"/>
    <w:rsid w:val="00FF4CA2"/>
    <w:rsid w:val="00FF6084"/>
    <w:rsid w:val="00FF60BC"/>
    <w:rsid w:val="00FF618D"/>
    <w:rsid w:val="00FF672F"/>
    <w:rsid w:val="00FF6B4E"/>
    <w:rsid w:val="00FF6F68"/>
    <w:rsid w:val="00FF7AFF"/>
    <w:rsid w:val="00FF7C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14:docId w14:val="1E347FD6"/>
  <w15:chartTrackingRefBased/>
  <w15:docId w15:val="{FA3B5DF5-BD41-43BA-B7E1-9AEF6C7B9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6894"/>
    <w:pPr>
      <w:spacing w:after="200" w:line="276" w:lineRule="auto"/>
    </w:pPr>
    <w:rPr>
      <w:sz w:val="22"/>
      <w:szCs w:val="22"/>
      <w:lang w:eastAsia="en-US"/>
    </w:rPr>
  </w:style>
  <w:style w:type="paragraph" w:styleId="Heading1">
    <w:name w:val="heading 1"/>
    <w:basedOn w:val="Normal"/>
    <w:next w:val="Normal"/>
    <w:link w:val="Heading1Char"/>
    <w:uiPriority w:val="9"/>
    <w:qFormat/>
    <w:rsid w:val="003C5D16"/>
    <w:pPr>
      <w:keepNext/>
      <w:pageBreakBefore/>
      <w:ind w:left="432" w:hanging="432"/>
      <w:outlineLvl w:val="0"/>
    </w:pPr>
    <w:rPr>
      <w:rFonts w:ascii="Arial Bold" w:hAnsi="Arial Bold" w:cs="Arial"/>
      <w:b/>
      <w:caps/>
      <w:color w:val="159DCE"/>
      <w:sz w:val="34"/>
    </w:rPr>
  </w:style>
  <w:style w:type="paragraph" w:styleId="Heading2">
    <w:name w:val="heading 2"/>
    <w:basedOn w:val="Heading1"/>
    <w:next w:val="Normal"/>
    <w:link w:val="Heading2Char"/>
    <w:uiPriority w:val="9"/>
    <w:qFormat/>
    <w:rsid w:val="00903F38"/>
    <w:pPr>
      <w:pageBreakBefore w:val="0"/>
      <w:numPr>
        <w:ilvl w:val="1"/>
        <w:numId w:val="14"/>
      </w:numPr>
      <w:outlineLvl w:val="1"/>
    </w:pPr>
    <w:rPr>
      <w:sz w:val="22"/>
      <w:szCs w:val="28"/>
    </w:rPr>
  </w:style>
  <w:style w:type="paragraph" w:styleId="Heading3">
    <w:name w:val="heading 3"/>
    <w:basedOn w:val="Heading2"/>
    <w:next w:val="Normal"/>
    <w:link w:val="Heading3Char"/>
    <w:uiPriority w:val="9"/>
    <w:qFormat/>
    <w:rsid w:val="003C5D16"/>
    <w:pPr>
      <w:numPr>
        <w:ilvl w:val="2"/>
      </w:numPr>
      <w:outlineLvl w:val="2"/>
    </w:pPr>
    <w:rPr>
      <w:rFonts w:ascii="Arial" w:hAnsi="Arial"/>
      <w:b w:val="0"/>
    </w:rPr>
  </w:style>
  <w:style w:type="paragraph" w:styleId="Heading4">
    <w:name w:val="heading 4"/>
    <w:basedOn w:val="Normal"/>
    <w:next w:val="Normal"/>
    <w:link w:val="Heading4Char"/>
    <w:uiPriority w:val="9"/>
    <w:qFormat/>
    <w:rsid w:val="000E31C1"/>
    <w:pPr>
      <w:keepNext/>
      <w:numPr>
        <w:ilvl w:val="3"/>
        <w:numId w:val="14"/>
      </w:numPr>
      <w:outlineLvl w:val="3"/>
    </w:pPr>
    <w:rPr>
      <w:rFonts w:cs="Arial"/>
      <w:i/>
    </w:rPr>
  </w:style>
  <w:style w:type="paragraph" w:styleId="Heading5">
    <w:name w:val="heading 5"/>
    <w:basedOn w:val="Normal"/>
    <w:next w:val="Normal"/>
    <w:link w:val="Heading5Char"/>
    <w:uiPriority w:val="9"/>
    <w:semiHidden/>
    <w:unhideWhenUsed/>
    <w:rsid w:val="0039628C"/>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9628C"/>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9628C"/>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9628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628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pPr>
      <w:spacing w:line="240" w:lineRule="auto"/>
    </w:pPr>
    <w:rPr>
      <w:rFonts w:eastAsia="Times New Roman"/>
      <w:szCs w:val="20"/>
      <w:lang w:eastAsia="en-AU"/>
    </w:rPr>
  </w:style>
  <w:style w:type="character" w:customStyle="1" w:styleId="Heading1Char">
    <w:name w:val="Heading 1 Char"/>
    <w:basedOn w:val="DefaultParagraphFont"/>
    <w:link w:val="Heading1"/>
    <w:uiPriority w:val="9"/>
    <w:rsid w:val="003C5D16"/>
    <w:rPr>
      <w:rFonts w:ascii="Arial Bold" w:hAnsi="Arial Bold" w:cs="Arial"/>
      <w:b/>
      <w:caps/>
      <w:color w:val="159DCE"/>
      <w:sz w:val="34"/>
      <w:szCs w:val="22"/>
      <w:lang w:eastAsia="en-US"/>
    </w:rPr>
  </w:style>
  <w:style w:type="character" w:customStyle="1" w:styleId="Heading2Char">
    <w:name w:val="Heading 2 Char"/>
    <w:basedOn w:val="DefaultParagraphFont"/>
    <w:link w:val="Heading2"/>
    <w:uiPriority w:val="9"/>
    <w:rsid w:val="00903F38"/>
    <w:rPr>
      <w:rFonts w:ascii="Arial Bold" w:hAnsi="Arial Bold" w:cs="Arial"/>
      <w:b/>
      <w:caps/>
      <w:color w:val="159DCE"/>
      <w:sz w:val="22"/>
      <w:szCs w:val="28"/>
      <w:lang w:eastAsia="en-US"/>
    </w:rPr>
  </w:style>
  <w:style w:type="character" w:customStyle="1" w:styleId="Heading3Char">
    <w:name w:val="Heading 3 Char"/>
    <w:basedOn w:val="DefaultParagraphFont"/>
    <w:link w:val="Heading3"/>
    <w:uiPriority w:val="9"/>
    <w:rsid w:val="003C5D16"/>
    <w:rPr>
      <w:rFonts w:cs="Arial"/>
      <w:caps/>
      <w:color w:val="159DCE"/>
      <w:sz w:val="22"/>
      <w:szCs w:val="28"/>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ind w:left="369" w:hanging="369"/>
    </w:pPr>
  </w:style>
  <w:style w:type="paragraph" w:styleId="ListBullet2">
    <w:name w:val="List Bullet 2"/>
    <w:basedOn w:val="Normal"/>
    <w:uiPriority w:val="99"/>
    <w:unhideWhenUsed/>
    <w:rsid w:val="00091608"/>
    <w:pPr>
      <w:ind w:left="737" w:hanging="368"/>
    </w:pPr>
  </w:style>
  <w:style w:type="paragraph" w:styleId="ListBullet3">
    <w:name w:val="List Bullet 3"/>
    <w:basedOn w:val="Normal"/>
    <w:uiPriority w:val="99"/>
    <w:unhideWhenUsed/>
    <w:rsid w:val="00091608"/>
    <w:pPr>
      <w:ind w:left="1106" w:hanging="369"/>
    </w:pPr>
  </w:style>
  <w:style w:type="paragraph" w:styleId="ListBullet4">
    <w:name w:val="List Bullet 4"/>
    <w:basedOn w:val="Normal"/>
    <w:uiPriority w:val="99"/>
    <w:unhideWhenUsed/>
    <w:rsid w:val="00091608"/>
    <w:pPr>
      <w:ind w:left="1474" w:hanging="368"/>
    </w:pPr>
  </w:style>
  <w:style w:type="paragraph" w:styleId="ListBullet5">
    <w:name w:val="List Bullet 5"/>
    <w:basedOn w:val="Normal"/>
    <w:uiPriority w:val="99"/>
    <w:unhideWhenUsed/>
    <w:rsid w:val="00091608"/>
    <w:pPr>
      <w:ind w:left="1800" w:hanging="360"/>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eastAsia="Times New Roman"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ind w:left="738" w:hanging="369"/>
    </w:pPr>
  </w:style>
  <w:style w:type="paragraph" w:styleId="ListNumber3">
    <w:name w:val="List Number 3"/>
    <w:basedOn w:val="Normal"/>
    <w:uiPriority w:val="99"/>
    <w:rsid w:val="00005CAA"/>
    <w:pPr>
      <w:ind w:left="1107" w:hanging="369"/>
    </w:pPr>
  </w:style>
  <w:style w:type="paragraph" w:styleId="ListNumber4">
    <w:name w:val="List Number 4"/>
    <w:basedOn w:val="Normal"/>
    <w:uiPriority w:val="99"/>
    <w:rsid w:val="00005CAA"/>
    <w:pPr>
      <w:ind w:left="1476" w:hanging="369"/>
    </w:pPr>
  </w:style>
  <w:style w:type="paragraph" w:styleId="ListNumber5">
    <w:name w:val="List Number 5"/>
    <w:basedOn w:val="Normal"/>
    <w:uiPriority w:val="99"/>
    <w:rsid w:val="00005CAA"/>
    <w:pPr>
      <w:ind w:left="1845" w:hanging="369"/>
    </w:pPr>
  </w:style>
  <w:style w:type="paragraph" w:customStyle="1" w:styleId="Footerclassification">
    <w:name w:val="Footer classification"/>
    <w:basedOn w:val="Classification"/>
    <w:rsid w:val="00D021CB"/>
    <w:pPr>
      <w:spacing w:before="240" w:after="0"/>
    </w:pPr>
  </w:style>
  <w:style w:type="table" w:styleId="TableGrid">
    <w:name w:val="Table Grid"/>
    <w:aliases w:val="Table 1,Table Layout"/>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pPr>
      <w:spacing w:after="0"/>
    </w:pPr>
  </w:style>
  <w:style w:type="paragraph" w:customStyle="1" w:styleId="Classificationsensitivity">
    <w:name w:val="Classification sensitivity"/>
    <w:basedOn w:val="Classification"/>
    <w:rsid w:val="002C5813"/>
    <w:rPr>
      <w:sz w:val="22"/>
    </w:rPr>
  </w:style>
  <w:style w:type="numbering" w:customStyle="1" w:styleId="ListBulletmaster">
    <w:name w:val="List Bullet (master)"/>
    <w:rsid w:val="006D51D1"/>
    <w:pPr>
      <w:numPr>
        <w:numId w:val="7"/>
      </w:numPr>
    </w:pPr>
  </w:style>
  <w:style w:type="paragraph" w:customStyle="1" w:styleId="Bodytext">
    <w:name w:val="Bodytext"/>
    <w:basedOn w:val="BodyText0"/>
    <w:link w:val="BodytextChar"/>
    <w:qFormat/>
    <w:rsid w:val="006D51D1"/>
    <w:pPr>
      <w:spacing w:after="200"/>
    </w:pPr>
    <w:rPr>
      <w:rFonts w:eastAsiaTheme="minorHAnsi" w:cstheme="minorBidi"/>
      <w:sz w:val="21"/>
      <w:szCs w:val="21"/>
    </w:rPr>
  </w:style>
  <w:style w:type="character" w:customStyle="1" w:styleId="BodytextChar">
    <w:name w:val="Bodytext Char"/>
    <w:basedOn w:val="BodyTextChar0"/>
    <w:link w:val="Bodytext"/>
    <w:rsid w:val="006D51D1"/>
    <w:rPr>
      <w:rFonts w:eastAsiaTheme="minorHAnsi" w:cstheme="minorBidi"/>
      <w:sz w:val="21"/>
      <w:szCs w:val="21"/>
      <w:lang w:eastAsia="en-US"/>
    </w:rPr>
  </w:style>
  <w:style w:type="paragraph" w:styleId="BodyText0">
    <w:name w:val="Body Text"/>
    <w:basedOn w:val="Normal"/>
    <w:link w:val="BodyTextChar0"/>
    <w:uiPriority w:val="1"/>
    <w:unhideWhenUsed/>
    <w:rsid w:val="006D51D1"/>
    <w:pPr>
      <w:spacing w:after="120"/>
    </w:pPr>
  </w:style>
  <w:style w:type="character" w:customStyle="1" w:styleId="BodyTextChar0">
    <w:name w:val="Body Text Char"/>
    <w:basedOn w:val="DefaultParagraphFont"/>
    <w:link w:val="BodyText0"/>
    <w:uiPriority w:val="1"/>
    <w:rsid w:val="006D51D1"/>
    <w:rPr>
      <w:sz w:val="22"/>
      <w:szCs w:val="22"/>
      <w:lang w:eastAsia="en-US"/>
    </w:rPr>
  </w:style>
  <w:style w:type="paragraph" w:customStyle="1" w:styleId="TableHeading">
    <w:name w:val="Table Heading"/>
    <w:basedOn w:val="Normal"/>
    <w:uiPriority w:val="11"/>
    <w:qFormat/>
    <w:rsid w:val="006D51D1"/>
    <w:pPr>
      <w:keepNext/>
      <w:spacing w:before="60" w:after="60" w:line="240" w:lineRule="auto"/>
    </w:pPr>
    <w:rPr>
      <w:rFonts w:ascii="Arial Bold" w:eastAsia="Times New Roman" w:hAnsi="Arial Bold"/>
      <w:b/>
      <w:bCs/>
      <w:color w:val="FFFFFF" w:themeColor="background1"/>
      <w:spacing w:val="6"/>
      <w:sz w:val="20"/>
      <w:szCs w:val="24"/>
      <w:lang w:eastAsia="en-GB"/>
    </w:rPr>
  </w:style>
  <w:style w:type="table" w:customStyle="1" w:styleId="MediumShading1-Accent121">
    <w:name w:val="Medium Shading 1 - Accent 121"/>
    <w:basedOn w:val="TableNormal"/>
    <w:next w:val="MediumShading1-Accent1"/>
    <w:uiPriority w:val="63"/>
    <w:unhideWhenUsed/>
    <w:locked/>
    <w:rsid w:val="006D51D1"/>
    <w:rPr>
      <w:rFonts w:eastAsia="Arial"/>
      <w:sz w:val="22"/>
      <w:szCs w:val="22"/>
      <w:lang w:val="en-US" w:eastAsia="en-US"/>
    </w:rPr>
    <w:tblPr>
      <w:tblStyleRowBandSize w:val="1"/>
      <w:tblStyleColBandSize w:val="1"/>
      <w:tblBorders>
        <w:top w:val="single" w:sz="8" w:space="0" w:color="60B6D9"/>
        <w:left w:val="single" w:sz="8" w:space="0" w:color="60B6D9"/>
        <w:bottom w:val="single" w:sz="8" w:space="0" w:color="60B6D9"/>
        <w:right w:val="single" w:sz="8" w:space="0" w:color="60B6D9"/>
        <w:insideH w:val="single" w:sz="8" w:space="0" w:color="60B6D9"/>
      </w:tblBorders>
    </w:tblPr>
    <w:tblStylePr w:type="firstRow">
      <w:pPr>
        <w:spacing w:before="0" w:after="0" w:line="240" w:lineRule="auto"/>
      </w:pPr>
      <w:rPr>
        <w:b/>
        <w:bCs/>
        <w:color w:val="FFFFFF"/>
      </w:rPr>
      <w:tblPr/>
      <w:tcPr>
        <w:tcBorders>
          <w:top w:val="single" w:sz="8" w:space="0" w:color="60B6D9"/>
          <w:left w:val="single" w:sz="8" w:space="0" w:color="60B6D9"/>
          <w:bottom w:val="single" w:sz="8" w:space="0" w:color="60B6D9"/>
          <w:right w:val="single" w:sz="8" w:space="0" w:color="60B6D9"/>
          <w:insideH w:val="nil"/>
          <w:insideV w:val="nil"/>
        </w:tcBorders>
        <w:shd w:val="clear" w:color="auto" w:fill="309CC8"/>
      </w:tcPr>
    </w:tblStylePr>
    <w:tblStylePr w:type="lastRow">
      <w:pPr>
        <w:spacing w:before="0" w:after="0" w:line="240" w:lineRule="auto"/>
      </w:pPr>
      <w:rPr>
        <w:b/>
        <w:bCs/>
      </w:rPr>
      <w:tblPr/>
      <w:tcPr>
        <w:tcBorders>
          <w:top w:val="double" w:sz="6" w:space="0" w:color="60B6D9"/>
          <w:left w:val="single" w:sz="8" w:space="0" w:color="60B6D9"/>
          <w:bottom w:val="single" w:sz="8" w:space="0" w:color="60B6D9"/>
          <w:right w:val="single" w:sz="8" w:space="0" w:color="60B6D9"/>
          <w:insideH w:val="nil"/>
          <w:insideV w:val="nil"/>
        </w:tcBorders>
      </w:tcPr>
    </w:tblStylePr>
    <w:tblStylePr w:type="firstCol">
      <w:rPr>
        <w:b/>
        <w:bCs/>
      </w:rPr>
    </w:tblStylePr>
    <w:tblStylePr w:type="lastCol">
      <w:rPr>
        <w:b/>
        <w:bCs/>
      </w:rPr>
    </w:tblStylePr>
    <w:tblStylePr w:type="band1Vert">
      <w:tblPr/>
      <w:tcPr>
        <w:shd w:val="clear" w:color="auto" w:fill="CAE6F2"/>
      </w:tcPr>
    </w:tblStylePr>
    <w:tblStylePr w:type="band1Horz">
      <w:tblPr/>
      <w:tcPr>
        <w:tcBorders>
          <w:insideH w:val="nil"/>
          <w:insideV w:val="nil"/>
        </w:tcBorders>
        <w:shd w:val="clear" w:color="auto" w:fill="CAE6F2"/>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D51D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C129C2"/>
    <w:rPr>
      <w:sz w:val="16"/>
      <w:szCs w:val="16"/>
    </w:rPr>
  </w:style>
  <w:style w:type="paragraph" w:styleId="CommentText">
    <w:name w:val="annotation text"/>
    <w:basedOn w:val="Normal"/>
    <w:link w:val="CommentTextChar"/>
    <w:uiPriority w:val="99"/>
    <w:unhideWhenUsed/>
    <w:rsid w:val="00C129C2"/>
    <w:pPr>
      <w:spacing w:line="240" w:lineRule="auto"/>
    </w:pPr>
    <w:rPr>
      <w:sz w:val="20"/>
      <w:szCs w:val="20"/>
    </w:rPr>
  </w:style>
  <w:style w:type="character" w:customStyle="1" w:styleId="CommentTextChar">
    <w:name w:val="Comment Text Char"/>
    <w:basedOn w:val="DefaultParagraphFont"/>
    <w:link w:val="CommentText"/>
    <w:uiPriority w:val="99"/>
    <w:rsid w:val="00C129C2"/>
    <w:rPr>
      <w:lang w:eastAsia="en-US"/>
    </w:rPr>
  </w:style>
  <w:style w:type="paragraph" w:styleId="CommentSubject">
    <w:name w:val="annotation subject"/>
    <w:basedOn w:val="CommentText"/>
    <w:next w:val="CommentText"/>
    <w:link w:val="CommentSubjectChar"/>
    <w:uiPriority w:val="99"/>
    <w:semiHidden/>
    <w:unhideWhenUsed/>
    <w:rsid w:val="00C129C2"/>
    <w:rPr>
      <w:b/>
      <w:bCs/>
    </w:rPr>
  </w:style>
  <w:style w:type="character" w:customStyle="1" w:styleId="CommentSubjectChar">
    <w:name w:val="Comment Subject Char"/>
    <w:basedOn w:val="CommentTextChar"/>
    <w:link w:val="CommentSubject"/>
    <w:uiPriority w:val="99"/>
    <w:semiHidden/>
    <w:rsid w:val="00C129C2"/>
    <w:rPr>
      <w:b/>
      <w:bCs/>
      <w:lang w:eastAsia="en-US"/>
    </w:rPr>
  </w:style>
  <w:style w:type="paragraph" w:styleId="Caption">
    <w:name w:val="caption"/>
    <w:basedOn w:val="Normal"/>
    <w:next w:val="Normal"/>
    <w:uiPriority w:val="35"/>
    <w:unhideWhenUsed/>
    <w:qFormat/>
    <w:rsid w:val="00177E4C"/>
    <w:pPr>
      <w:keepNext/>
      <w:pBdr>
        <w:top w:val="dotted" w:sz="18" w:space="1" w:color="159DCE"/>
      </w:pBdr>
      <w:spacing w:line="240" w:lineRule="auto"/>
    </w:pPr>
    <w:rPr>
      <w:iCs/>
      <w:caps/>
      <w:color w:val="159DCE"/>
      <w:szCs w:val="18"/>
    </w:rPr>
  </w:style>
  <w:style w:type="paragraph" w:customStyle="1" w:styleId="Heading1NN">
    <w:name w:val="Heading 1 NN"/>
    <w:basedOn w:val="Heading1"/>
    <w:link w:val="Heading1NNChar"/>
    <w:qFormat/>
    <w:rsid w:val="00D82856"/>
  </w:style>
  <w:style w:type="paragraph" w:styleId="TableofFigures">
    <w:name w:val="table of figures"/>
    <w:basedOn w:val="Normal"/>
    <w:next w:val="Normal"/>
    <w:uiPriority w:val="99"/>
    <w:unhideWhenUsed/>
    <w:rsid w:val="00177E4C"/>
    <w:pPr>
      <w:spacing w:after="0"/>
    </w:pPr>
  </w:style>
  <w:style w:type="character" w:customStyle="1" w:styleId="Heading1NNChar">
    <w:name w:val="Heading 1 NN Char"/>
    <w:basedOn w:val="Heading1Char"/>
    <w:link w:val="Heading1NN"/>
    <w:rsid w:val="003C5D16"/>
    <w:rPr>
      <w:rFonts w:ascii="Arial Bold" w:hAnsi="Arial Bold" w:cs="Arial"/>
      <w:b/>
      <w:caps/>
      <w:color w:val="159DCE"/>
      <w:sz w:val="34"/>
      <w:szCs w:val="22"/>
      <w:lang w:eastAsia="en-US"/>
    </w:rPr>
  </w:style>
  <w:style w:type="character" w:styleId="Hyperlink">
    <w:name w:val="Hyperlink"/>
    <w:basedOn w:val="DefaultParagraphFont"/>
    <w:uiPriority w:val="99"/>
    <w:unhideWhenUsed/>
    <w:rsid w:val="00177E4C"/>
    <w:rPr>
      <w:color w:val="0000FF" w:themeColor="hyperlink"/>
      <w:u w:val="single"/>
    </w:rPr>
  </w:style>
  <w:style w:type="paragraph" w:styleId="FootnoteText">
    <w:name w:val="footnote text"/>
    <w:basedOn w:val="Normal"/>
    <w:link w:val="FootnoteTextChar"/>
    <w:uiPriority w:val="99"/>
    <w:unhideWhenUsed/>
    <w:rsid w:val="00167052"/>
    <w:pPr>
      <w:spacing w:before="240" w:after="240"/>
    </w:pPr>
    <w:rPr>
      <w:sz w:val="17"/>
      <w:szCs w:val="20"/>
    </w:rPr>
  </w:style>
  <w:style w:type="character" w:customStyle="1" w:styleId="FootnoteTextChar">
    <w:name w:val="Footnote Text Char"/>
    <w:basedOn w:val="DefaultParagraphFont"/>
    <w:link w:val="FootnoteText"/>
    <w:uiPriority w:val="99"/>
    <w:rsid w:val="00167052"/>
    <w:rPr>
      <w:sz w:val="17"/>
      <w:lang w:eastAsia="en-US"/>
    </w:rPr>
  </w:style>
  <w:style w:type="paragraph" w:styleId="TOCHeading">
    <w:name w:val="TOC Heading"/>
    <w:basedOn w:val="Heading1"/>
    <w:next w:val="Normal"/>
    <w:uiPriority w:val="39"/>
    <w:unhideWhenUsed/>
    <w:qFormat/>
    <w:rsid w:val="00F318B5"/>
    <w:pPr>
      <w:keepLines/>
      <w:spacing w:before="240" w:after="0" w:line="259" w:lineRule="auto"/>
      <w:ind w:left="0" w:firstLine="0"/>
      <w:outlineLvl w:val="9"/>
    </w:pPr>
    <w:rPr>
      <w:rFonts w:eastAsiaTheme="majorEastAsia" w:cstheme="majorBidi"/>
      <w:szCs w:val="32"/>
      <w:lang w:val="en-US"/>
    </w:rPr>
  </w:style>
  <w:style w:type="paragraph" w:styleId="TOC1">
    <w:name w:val="toc 1"/>
    <w:basedOn w:val="Normal"/>
    <w:next w:val="Normal"/>
    <w:autoRedefine/>
    <w:uiPriority w:val="39"/>
    <w:unhideWhenUsed/>
    <w:rsid w:val="00DF10E3"/>
    <w:pPr>
      <w:tabs>
        <w:tab w:val="left" w:pos="658"/>
        <w:tab w:val="right" w:leader="dot" w:pos="9202"/>
      </w:tabs>
      <w:spacing w:after="100"/>
    </w:pPr>
    <w:rPr>
      <w:rFonts w:ascii="Arial Bold" w:hAnsi="Arial Bold"/>
      <w:b/>
      <w:caps/>
      <w:color w:val="159DCE"/>
    </w:rPr>
  </w:style>
  <w:style w:type="paragraph" w:styleId="TOC2">
    <w:name w:val="toc 2"/>
    <w:basedOn w:val="Normal"/>
    <w:next w:val="Normal"/>
    <w:autoRedefine/>
    <w:uiPriority w:val="39"/>
    <w:unhideWhenUsed/>
    <w:rsid w:val="00DF10E3"/>
    <w:pPr>
      <w:tabs>
        <w:tab w:val="left" w:pos="660"/>
        <w:tab w:val="right" w:leader="dot" w:pos="9202"/>
      </w:tabs>
      <w:spacing w:after="100"/>
    </w:pPr>
  </w:style>
  <w:style w:type="paragraph" w:styleId="TOC3">
    <w:name w:val="toc 3"/>
    <w:basedOn w:val="Normal"/>
    <w:next w:val="Normal"/>
    <w:autoRedefine/>
    <w:uiPriority w:val="39"/>
    <w:unhideWhenUsed/>
    <w:rsid w:val="00831560"/>
    <w:pPr>
      <w:spacing w:after="100"/>
      <w:ind w:left="440"/>
    </w:pPr>
  </w:style>
  <w:style w:type="character" w:styleId="FollowedHyperlink">
    <w:name w:val="FollowedHyperlink"/>
    <w:basedOn w:val="DefaultParagraphFont"/>
    <w:uiPriority w:val="99"/>
    <w:semiHidden/>
    <w:unhideWhenUsed/>
    <w:rsid w:val="00894DE1"/>
    <w:rPr>
      <w:color w:val="800080" w:themeColor="followedHyperlink"/>
      <w:u w:val="single"/>
    </w:rPr>
  </w:style>
  <w:style w:type="paragraph" w:customStyle="1" w:styleId="Default">
    <w:name w:val="Default"/>
    <w:rsid w:val="00FA5E9A"/>
    <w:pPr>
      <w:autoSpaceDE w:val="0"/>
      <w:autoSpaceDN w:val="0"/>
      <w:adjustRightInd w:val="0"/>
    </w:pPr>
    <w:rPr>
      <w:rFonts w:cs="Arial"/>
      <w:color w:val="000000"/>
      <w:sz w:val="24"/>
      <w:szCs w:val="24"/>
    </w:rPr>
  </w:style>
  <w:style w:type="paragraph" w:styleId="NormalWeb">
    <w:name w:val="Normal (Web)"/>
    <w:basedOn w:val="Normal"/>
    <w:uiPriority w:val="99"/>
    <w:unhideWhenUsed/>
    <w:rsid w:val="00FA5E9A"/>
    <w:pPr>
      <w:spacing w:after="150" w:line="240" w:lineRule="auto"/>
    </w:pPr>
    <w:rPr>
      <w:rFonts w:ascii="Times New Roman" w:eastAsiaTheme="minorHAnsi" w:hAnsi="Times New Roman"/>
      <w:sz w:val="24"/>
      <w:szCs w:val="24"/>
      <w:lang w:eastAsia="en-AU"/>
    </w:rPr>
  </w:style>
  <w:style w:type="character" w:styleId="FootnoteReference">
    <w:name w:val="footnote reference"/>
    <w:basedOn w:val="DefaultParagraphFont"/>
    <w:uiPriority w:val="99"/>
    <w:semiHidden/>
    <w:unhideWhenUsed/>
    <w:rsid w:val="004763FF"/>
    <w:rPr>
      <w:vertAlign w:val="superscript"/>
    </w:rPr>
  </w:style>
  <w:style w:type="paragraph" w:styleId="Revision">
    <w:name w:val="Revision"/>
    <w:hidden/>
    <w:uiPriority w:val="99"/>
    <w:semiHidden/>
    <w:rsid w:val="00FA6108"/>
    <w:rPr>
      <w:sz w:val="22"/>
      <w:szCs w:val="22"/>
      <w:lang w:eastAsia="en-US"/>
    </w:rPr>
  </w:style>
  <w:style w:type="paragraph" w:styleId="Title">
    <w:name w:val="Title"/>
    <w:basedOn w:val="Normal"/>
    <w:link w:val="TitleChar"/>
    <w:uiPriority w:val="19"/>
    <w:qFormat/>
    <w:rsid w:val="00155541"/>
    <w:pPr>
      <w:spacing w:after="0" w:line="380" w:lineRule="exact"/>
    </w:pPr>
    <w:rPr>
      <w:rFonts w:ascii="Arial Bold" w:eastAsiaTheme="minorHAnsi" w:hAnsi="Arial Bold" w:cstheme="minorBidi"/>
      <w:b/>
      <w:caps/>
      <w:color w:val="159DCE"/>
      <w:sz w:val="34"/>
    </w:rPr>
  </w:style>
  <w:style w:type="character" w:customStyle="1" w:styleId="TitleChar">
    <w:name w:val="Title Char"/>
    <w:basedOn w:val="DefaultParagraphFont"/>
    <w:link w:val="Title"/>
    <w:uiPriority w:val="19"/>
    <w:rsid w:val="00155541"/>
    <w:rPr>
      <w:rFonts w:ascii="Arial Bold" w:eastAsiaTheme="minorHAnsi" w:hAnsi="Arial Bold" w:cstheme="minorBidi"/>
      <w:b/>
      <w:caps/>
      <w:color w:val="159DCE"/>
      <w:sz w:val="34"/>
      <w:szCs w:val="22"/>
      <w:lang w:eastAsia="en-US"/>
    </w:rPr>
  </w:style>
  <w:style w:type="paragraph" w:customStyle="1" w:styleId="ListRecommendations">
    <w:name w:val="List Recommendations"/>
    <w:basedOn w:val="ListNumber"/>
    <w:uiPriority w:val="10"/>
    <w:qFormat/>
    <w:rsid w:val="00155541"/>
    <w:pPr>
      <w:numPr>
        <w:numId w:val="0"/>
      </w:numPr>
      <w:spacing w:after="50" w:line="220" w:lineRule="exact"/>
      <w:ind w:left="714" w:hanging="714"/>
    </w:pPr>
    <w:rPr>
      <w:rFonts w:eastAsia="Times New Roman"/>
      <w:color w:val="414141"/>
      <w:szCs w:val="24"/>
      <w:lang w:val="en-GB" w:eastAsia="en-GB"/>
    </w:rPr>
  </w:style>
  <w:style w:type="numbering" w:customStyle="1" w:styleId="ListRecommendationsMaster">
    <w:name w:val="List Recommendations Master"/>
    <w:uiPriority w:val="99"/>
    <w:rsid w:val="00155541"/>
    <w:pPr>
      <w:numPr>
        <w:numId w:val="8"/>
      </w:numPr>
    </w:pPr>
  </w:style>
  <w:style w:type="table" w:customStyle="1" w:styleId="CCATablebox">
    <w:name w:val="CCA Table (box)"/>
    <w:basedOn w:val="TableNormal"/>
    <w:uiPriority w:val="99"/>
    <w:rsid w:val="00155541"/>
    <w:pPr>
      <w:keepNext/>
      <w:keepLines/>
    </w:pPr>
    <w:rPr>
      <w:rFonts w:eastAsiaTheme="minorHAnsi" w:cstheme="minorBidi"/>
      <w:color w:val="414141"/>
      <w:sz w:val="21"/>
      <w:szCs w:val="22"/>
      <w:lang w:val="en-US" w:eastAsia="en-US"/>
    </w:rPr>
    <w:tblPr/>
    <w:tcPr>
      <w:shd w:val="clear" w:color="auto" w:fill="E6ECF2"/>
      <w:tcMar>
        <w:top w:w="567" w:type="dxa"/>
        <w:left w:w="567" w:type="dxa"/>
        <w:bottom w:w="567" w:type="dxa"/>
        <w:right w:w="567" w:type="dxa"/>
      </w:tcMar>
      <w:vAlign w:val="center"/>
    </w:tcPr>
    <w:tblStylePr w:type="firstRow">
      <w:tblPr/>
      <w:trPr>
        <w:tblHeader/>
      </w:trPr>
    </w:tblStylePr>
  </w:style>
  <w:style w:type="paragraph" w:customStyle="1" w:styleId="Headingreferences">
    <w:name w:val="Heading (references)"/>
    <w:basedOn w:val="Heading2"/>
    <w:next w:val="BodyText0"/>
    <w:uiPriority w:val="5"/>
    <w:qFormat/>
    <w:rsid w:val="00155541"/>
    <w:pPr>
      <w:numPr>
        <w:ilvl w:val="0"/>
        <w:numId w:val="0"/>
      </w:numPr>
      <w:spacing w:before="200" w:after="80" w:line="260" w:lineRule="exact"/>
      <w:contextualSpacing/>
    </w:pPr>
    <w:rPr>
      <w:rFonts w:eastAsia="Times New Roman"/>
      <w:b w:val="0"/>
      <w:iCs/>
      <w:lang w:val="en-GB" w:eastAsia="en-AU"/>
    </w:rPr>
  </w:style>
  <w:style w:type="character" w:styleId="Emphasis">
    <w:name w:val="Emphasis"/>
    <w:basedOn w:val="DefaultParagraphFont"/>
    <w:uiPriority w:val="20"/>
    <w:qFormat/>
    <w:rsid w:val="00A063AD"/>
    <w:rPr>
      <w:i/>
      <w:iCs/>
    </w:rPr>
  </w:style>
  <w:style w:type="character" w:customStyle="1" w:styleId="Heading5Char">
    <w:name w:val="Heading 5 Char"/>
    <w:basedOn w:val="DefaultParagraphFont"/>
    <w:link w:val="Heading5"/>
    <w:uiPriority w:val="9"/>
    <w:semiHidden/>
    <w:rsid w:val="0039628C"/>
    <w:rPr>
      <w:rFonts w:asciiTheme="majorHAnsi" w:eastAsiaTheme="majorEastAsia" w:hAnsiTheme="majorHAnsi" w:cstheme="majorBidi"/>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39628C"/>
    <w:rPr>
      <w:rFonts w:asciiTheme="majorHAnsi" w:eastAsiaTheme="majorEastAsia" w:hAnsiTheme="majorHAnsi" w:cstheme="majorBidi"/>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39628C"/>
    <w:rPr>
      <w:rFonts w:asciiTheme="majorHAnsi" w:eastAsiaTheme="majorEastAsia" w:hAnsiTheme="majorHAnsi" w:cstheme="majorBidi"/>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39628C"/>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39628C"/>
    <w:rPr>
      <w:rFonts w:asciiTheme="majorHAnsi" w:eastAsiaTheme="majorEastAsia" w:hAnsiTheme="majorHAnsi" w:cstheme="majorBidi"/>
      <w:i/>
      <w:iCs/>
      <w:color w:val="272727" w:themeColor="text1" w:themeTint="D8"/>
      <w:sz w:val="21"/>
      <w:szCs w:val="21"/>
      <w:lang w:eastAsia="en-US"/>
    </w:rPr>
  </w:style>
  <w:style w:type="paragraph" w:customStyle="1" w:styleId="Ref">
    <w:name w:val="Ref"/>
    <w:basedOn w:val="Normal"/>
    <w:link w:val="RefChar"/>
    <w:qFormat/>
    <w:rsid w:val="003E2B85"/>
    <w:rPr>
      <w:color w:val="F79646" w:themeColor="accent6"/>
    </w:rPr>
  </w:style>
  <w:style w:type="character" w:customStyle="1" w:styleId="RefChar">
    <w:name w:val="Ref Char"/>
    <w:basedOn w:val="DefaultParagraphFont"/>
    <w:link w:val="Ref"/>
    <w:rsid w:val="003E2B85"/>
    <w:rPr>
      <w:color w:val="F79646" w:themeColor="accent6"/>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448963">
      <w:bodyDiv w:val="1"/>
      <w:marLeft w:val="0"/>
      <w:marRight w:val="0"/>
      <w:marTop w:val="0"/>
      <w:marBottom w:val="0"/>
      <w:divBdr>
        <w:top w:val="none" w:sz="0" w:space="0" w:color="auto"/>
        <w:left w:val="none" w:sz="0" w:space="0" w:color="auto"/>
        <w:bottom w:val="none" w:sz="0" w:space="0" w:color="auto"/>
        <w:right w:val="none" w:sz="0" w:space="0" w:color="auto"/>
      </w:divBdr>
    </w:div>
    <w:div w:id="52629298">
      <w:bodyDiv w:val="1"/>
      <w:marLeft w:val="0"/>
      <w:marRight w:val="0"/>
      <w:marTop w:val="0"/>
      <w:marBottom w:val="0"/>
      <w:divBdr>
        <w:top w:val="none" w:sz="0" w:space="0" w:color="auto"/>
        <w:left w:val="none" w:sz="0" w:space="0" w:color="auto"/>
        <w:bottom w:val="none" w:sz="0" w:space="0" w:color="auto"/>
        <w:right w:val="none" w:sz="0" w:space="0" w:color="auto"/>
      </w:divBdr>
      <w:divsChild>
        <w:div w:id="7297033">
          <w:marLeft w:val="0"/>
          <w:marRight w:val="0"/>
          <w:marTop w:val="0"/>
          <w:marBottom w:val="0"/>
          <w:divBdr>
            <w:top w:val="none" w:sz="0" w:space="0" w:color="auto"/>
            <w:left w:val="none" w:sz="0" w:space="0" w:color="auto"/>
            <w:bottom w:val="none" w:sz="0" w:space="0" w:color="auto"/>
            <w:right w:val="none" w:sz="0" w:space="0" w:color="auto"/>
          </w:divBdr>
          <w:divsChild>
            <w:div w:id="322973322">
              <w:marLeft w:val="0"/>
              <w:marRight w:val="0"/>
              <w:marTop w:val="0"/>
              <w:marBottom w:val="0"/>
              <w:divBdr>
                <w:top w:val="none" w:sz="0" w:space="0" w:color="auto"/>
                <w:left w:val="none" w:sz="0" w:space="0" w:color="auto"/>
                <w:bottom w:val="none" w:sz="0" w:space="0" w:color="auto"/>
                <w:right w:val="none" w:sz="0" w:space="0" w:color="auto"/>
              </w:divBdr>
              <w:divsChild>
                <w:div w:id="1395660582">
                  <w:marLeft w:val="0"/>
                  <w:marRight w:val="0"/>
                  <w:marTop w:val="0"/>
                  <w:marBottom w:val="0"/>
                  <w:divBdr>
                    <w:top w:val="none" w:sz="0" w:space="0" w:color="auto"/>
                    <w:left w:val="none" w:sz="0" w:space="0" w:color="auto"/>
                    <w:bottom w:val="none" w:sz="0" w:space="0" w:color="auto"/>
                    <w:right w:val="none" w:sz="0" w:space="0" w:color="auto"/>
                  </w:divBdr>
                  <w:divsChild>
                    <w:div w:id="2013604325">
                      <w:marLeft w:val="0"/>
                      <w:marRight w:val="0"/>
                      <w:marTop w:val="0"/>
                      <w:marBottom w:val="0"/>
                      <w:divBdr>
                        <w:top w:val="none" w:sz="0" w:space="0" w:color="auto"/>
                        <w:left w:val="none" w:sz="0" w:space="0" w:color="auto"/>
                        <w:bottom w:val="none" w:sz="0" w:space="0" w:color="auto"/>
                        <w:right w:val="none" w:sz="0" w:space="0" w:color="auto"/>
                      </w:divBdr>
                      <w:divsChild>
                        <w:div w:id="1098406381">
                          <w:marLeft w:val="0"/>
                          <w:marRight w:val="0"/>
                          <w:marTop w:val="0"/>
                          <w:marBottom w:val="0"/>
                          <w:divBdr>
                            <w:top w:val="none" w:sz="0" w:space="0" w:color="auto"/>
                            <w:left w:val="none" w:sz="0" w:space="0" w:color="auto"/>
                            <w:bottom w:val="none" w:sz="0" w:space="0" w:color="auto"/>
                            <w:right w:val="none" w:sz="0" w:space="0" w:color="auto"/>
                          </w:divBdr>
                          <w:divsChild>
                            <w:div w:id="1330644887">
                              <w:marLeft w:val="0"/>
                              <w:marRight w:val="0"/>
                              <w:marTop w:val="0"/>
                              <w:marBottom w:val="0"/>
                              <w:divBdr>
                                <w:top w:val="none" w:sz="0" w:space="0" w:color="auto"/>
                                <w:left w:val="none" w:sz="0" w:space="0" w:color="auto"/>
                                <w:bottom w:val="none" w:sz="0" w:space="0" w:color="auto"/>
                                <w:right w:val="none" w:sz="0" w:space="0" w:color="auto"/>
                              </w:divBdr>
                              <w:divsChild>
                                <w:div w:id="977108175">
                                  <w:marLeft w:val="0"/>
                                  <w:marRight w:val="0"/>
                                  <w:marTop w:val="0"/>
                                  <w:marBottom w:val="0"/>
                                  <w:divBdr>
                                    <w:top w:val="none" w:sz="0" w:space="0" w:color="auto"/>
                                    <w:left w:val="none" w:sz="0" w:space="0" w:color="auto"/>
                                    <w:bottom w:val="none" w:sz="0" w:space="0" w:color="auto"/>
                                    <w:right w:val="none" w:sz="0" w:space="0" w:color="auto"/>
                                  </w:divBdr>
                                  <w:divsChild>
                                    <w:div w:id="358898102">
                                      <w:marLeft w:val="0"/>
                                      <w:marRight w:val="0"/>
                                      <w:marTop w:val="0"/>
                                      <w:marBottom w:val="0"/>
                                      <w:divBdr>
                                        <w:top w:val="none" w:sz="0" w:space="0" w:color="auto"/>
                                        <w:left w:val="none" w:sz="0" w:space="0" w:color="auto"/>
                                        <w:bottom w:val="none" w:sz="0" w:space="0" w:color="auto"/>
                                        <w:right w:val="none" w:sz="0" w:space="0" w:color="auto"/>
                                      </w:divBdr>
                                      <w:divsChild>
                                        <w:div w:id="1879512683">
                                          <w:marLeft w:val="0"/>
                                          <w:marRight w:val="0"/>
                                          <w:marTop w:val="0"/>
                                          <w:marBottom w:val="0"/>
                                          <w:divBdr>
                                            <w:top w:val="none" w:sz="0" w:space="0" w:color="auto"/>
                                            <w:left w:val="none" w:sz="0" w:space="0" w:color="auto"/>
                                            <w:bottom w:val="none" w:sz="0" w:space="0" w:color="auto"/>
                                            <w:right w:val="none" w:sz="0" w:space="0" w:color="auto"/>
                                          </w:divBdr>
                                          <w:divsChild>
                                            <w:div w:id="252204971">
                                              <w:marLeft w:val="0"/>
                                              <w:marRight w:val="0"/>
                                              <w:marTop w:val="0"/>
                                              <w:marBottom w:val="0"/>
                                              <w:divBdr>
                                                <w:top w:val="none" w:sz="0" w:space="0" w:color="auto"/>
                                                <w:left w:val="none" w:sz="0" w:space="0" w:color="auto"/>
                                                <w:bottom w:val="none" w:sz="0" w:space="0" w:color="auto"/>
                                                <w:right w:val="none" w:sz="0" w:space="0" w:color="auto"/>
                                              </w:divBdr>
                                              <w:divsChild>
                                                <w:div w:id="1987660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6287238">
      <w:bodyDiv w:val="1"/>
      <w:marLeft w:val="0"/>
      <w:marRight w:val="0"/>
      <w:marTop w:val="0"/>
      <w:marBottom w:val="0"/>
      <w:divBdr>
        <w:top w:val="none" w:sz="0" w:space="0" w:color="auto"/>
        <w:left w:val="none" w:sz="0" w:space="0" w:color="auto"/>
        <w:bottom w:val="none" w:sz="0" w:space="0" w:color="auto"/>
        <w:right w:val="none" w:sz="0" w:space="0" w:color="auto"/>
      </w:divBdr>
    </w:div>
    <w:div w:id="147131972">
      <w:bodyDiv w:val="1"/>
      <w:marLeft w:val="0"/>
      <w:marRight w:val="0"/>
      <w:marTop w:val="0"/>
      <w:marBottom w:val="0"/>
      <w:divBdr>
        <w:top w:val="none" w:sz="0" w:space="0" w:color="auto"/>
        <w:left w:val="none" w:sz="0" w:space="0" w:color="auto"/>
        <w:bottom w:val="none" w:sz="0" w:space="0" w:color="auto"/>
        <w:right w:val="none" w:sz="0" w:space="0" w:color="auto"/>
      </w:divBdr>
    </w:div>
    <w:div w:id="210187744">
      <w:bodyDiv w:val="1"/>
      <w:marLeft w:val="0"/>
      <w:marRight w:val="0"/>
      <w:marTop w:val="0"/>
      <w:marBottom w:val="0"/>
      <w:divBdr>
        <w:top w:val="none" w:sz="0" w:space="0" w:color="auto"/>
        <w:left w:val="none" w:sz="0" w:space="0" w:color="auto"/>
        <w:bottom w:val="none" w:sz="0" w:space="0" w:color="auto"/>
        <w:right w:val="none" w:sz="0" w:space="0" w:color="auto"/>
      </w:divBdr>
    </w:div>
    <w:div w:id="240607289">
      <w:bodyDiv w:val="1"/>
      <w:marLeft w:val="0"/>
      <w:marRight w:val="0"/>
      <w:marTop w:val="0"/>
      <w:marBottom w:val="0"/>
      <w:divBdr>
        <w:top w:val="none" w:sz="0" w:space="0" w:color="auto"/>
        <w:left w:val="none" w:sz="0" w:space="0" w:color="auto"/>
        <w:bottom w:val="none" w:sz="0" w:space="0" w:color="auto"/>
        <w:right w:val="none" w:sz="0" w:space="0" w:color="auto"/>
      </w:divBdr>
    </w:div>
    <w:div w:id="312872531">
      <w:bodyDiv w:val="1"/>
      <w:marLeft w:val="0"/>
      <w:marRight w:val="0"/>
      <w:marTop w:val="0"/>
      <w:marBottom w:val="0"/>
      <w:divBdr>
        <w:top w:val="none" w:sz="0" w:space="0" w:color="auto"/>
        <w:left w:val="none" w:sz="0" w:space="0" w:color="auto"/>
        <w:bottom w:val="none" w:sz="0" w:space="0" w:color="auto"/>
        <w:right w:val="none" w:sz="0" w:space="0" w:color="auto"/>
      </w:divBdr>
    </w:div>
    <w:div w:id="338392579">
      <w:bodyDiv w:val="1"/>
      <w:marLeft w:val="0"/>
      <w:marRight w:val="0"/>
      <w:marTop w:val="0"/>
      <w:marBottom w:val="0"/>
      <w:divBdr>
        <w:top w:val="none" w:sz="0" w:space="0" w:color="auto"/>
        <w:left w:val="none" w:sz="0" w:space="0" w:color="auto"/>
        <w:bottom w:val="none" w:sz="0" w:space="0" w:color="auto"/>
        <w:right w:val="none" w:sz="0" w:space="0" w:color="auto"/>
      </w:divBdr>
    </w:div>
    <w:div w:id="391582444">
      <w:bodyDiv w:val="1"/>
      <w:marLeft w:val="0"/>
      <w:marRight w:val="0"/>
      <w:marTop w:val="0"/>
      <w:marBottom w:val="0"/>
      <w:divBdr>
        <w:top w:val="none" w:sz="0" w:space="0" w:color="auto"/>
        <w:left w:val="none" w:sz="0" w:space="0" w:color="auto"/>
        <w:bottom w:val="none" w:sz="0" w:space="0" w:color="auto"/>
        <w:right w:val="none" w:sz="0" w:space="0" w:color="auto"/>
      </w:divBdr>
    </w:div>
    <w:div w:id="398526394">
      <w:bodyDiv w:val="1"/>
      <w:marLeft w:val="0"/>
      <w:marRight w:val="0"/>
      <w:marTop w:val="0"/>
      <w:marBottom w:val="0"/>
      <w:divBdr>
        <w:top w:val="none" w:sz="0" w:space="0" w:color="auto"/>
        <w:left w:val="none" w:sz="0" w:space="0" w:color="auto"/>
        <w:bottom w:val="none" w:sz="0" w:space="0" w:color="auto"/>
        <w:right w:val="none" w:sz="0" w:space="0" w:color="auto"/>
      </w:divBdr>
    </w:div>
    <w:div w:id="448669005">
      <w:bodyDiv w:val="1"/>
      <w:marLeft w:val="0"/>
      <w:marRight w:val="0"/>
      <w:marTop w:val="0"/>
      <w:marBottom w:val="0"/>
      <w:divBdr>
        <w:top w:val="none" w:sz="0" w:space="0" w:color="auto"/>
        <w:left w:val="none" w:sz="0" w:space="0" w:color="auto"/>
        <w:bottom w:val="none" w:sz="0" w:space="0" w:color="auto"/>
        <w:right w:val="none" w:sz="0" w:space="0" w:color="auto"/>
      </w:divBdr>
    </w:div>
    <w:div w:id="514422700">
      <w:bodyDiv w:val="1"/>
      <w:marLeft w:val="0"/>
      <w:marRight w:val="0"/>
      <w:marTop w:val="0"/>
      <w:marBottom w:val="0"/>
      <w:divBdr>
        <w:top w:val="none" w:sz="0" w:space="0" w:color="auto"/>
        <w:left w:val="none" w:sz="0" w:space="0" w:color="auto"/>
        <w:bottom w:val="none" w:sz="0" w:space="0" w:color="auto"/>
        <w:right w:val="none" w:sz="0" w:space="0" w:color="auto"/>
      </w:divBdr>
    </w:div>
    <w:div w:id="552086330">
      <w:bodyDiv w:val="1"/>
      <w:marLeft w:val="0"/>
      <w:marRight w:val="0"/>
      <w:marTop w:val="0"/>
      <w:marBottom w:val="0"/>
      <w:divBdr>
        <w:top w:val="none" w:sz="0" w:space="0" w:color="auto"/>
        <w:left w:val="none" w:sz="0" w:space="0" w:color="auto"/>
        <w:bottom w:val="none" w:sz="0" w:space="0" w:color="auto"/>
        <w:right w:val="none" w:sz="0" w:space="0" w:color="auto"/>
      </w:divBdr>
    </w:div>
    <w:div w:id="578827332">
      <w:bodyDiv w:val="1"/>
      <w:marLeft w:val="0"/>
      <w:marRight w:val="0"/>
      <w:marTop w:val="0"/>
      <w:marBottom w:val="0"/>
      <w:divBdr>
        <w:top w:val="none" w:sz="0" w:space="0" w:color="auto"/>
        <w:left w:val="none" w:sz="0" w:space="0" w:color="auto"/>
        <w:bottom w:val="none" w:sz="0" w:space="0" w:color="auto"/>
        <w:right w:val="none" w:sz="0" w:space="0" w:color="auto"/>
      </w:divBdr>
    </w:div>
    <w:div w:id="670913883">
      <w:bodyDiv w:val="1"/>
      <w:marLeft w:val="0"/>
      <w:marRight w:val="0"/>
      <w:marTop w:val="0"/>
      <w:marBottom w:val="0"/>
      <w:divBdr>
        <w:top w:val="none" w:sz="0" w:space="0" w:color="auto"/>
        <w:left w:val="none" w:sz="0" w:space="0" w:color="auto"/>
        <w:bottom w:val="none" w:sz="0" w:space="0" w:color="auto"/>
        <w:right w:val="none" w:sz="0" w:space="0" w:color="auto"/>
      </w:divBdr>
    </w:div>
    <w:div w:id="701056037">
      <w:bodyDiv w:val="1"/>
      <w:marLeft w:val="0"/>
      <w:marRight w:val="0"/>
      <w:marTop w:val="0"/>
      <w:marBottom w:val="0"/>
      <w:divBdr>
        <w:top w:val="none" w:sz="0" w:space="0" w:color="auto"/>
        <w:left w:val="none" w:sz="0" w:space="0" w:color="auto"/>
        <w:bottom w:val="none" w:sz="0" w:space="0" w:color="auto"/>
        <w:right w:val="none" w:sz="0" w:space="0" w:color="auto"/>
      </w:divBdr>
    </w:div>
    <w:div w:id="715202193">
      <w:bodyDiv w:val="1"/>
      <w:marLeft w:val="0"/>
      <w:marRight w:val="0"/>
      <w:marTop w:val="0"/>
      <w:marBottom w:val="0"/>
      <w:divBdr>
        <w:top w:val="none" w:sz="0" w:space="0" w:color="auto"/>
        <w:left w:val="none" w:sz="0" w:space="0" w:color="auto"/>
        <w:bottom w:val="none" w:sz="0" w:space="0" w:color="auto"/>
        <w:right w:val="none" w:sz="0" w:space="0" w:color="auto"/>
      </w:divBdr>
    </w:div>
    <w:div w:id="735589374">
      <w:bodyDiv w:val="1"/>
      <w:marLeft w:val="0"/>
      <w:marRight w:val="0"/>
      <w:marTop w:val="0"/>
      <w:marBottom w:val="0"/>
      <w:divBdr>
        <w:top w:val="none" w:sz="0" w:space="0" w:color="auto"/>
        <w:left w:val="none" w:sz="0" w:space="0" w:color="auto"/>
        <w:bottom w:val="none" w:sz="0" w:space="0" w:color="auto"/>
        <w:right w:val="none" w:sz="0" w:space="0" w:color="auto"/>
      </w:divBdr>
    </w:div>
    <w:div w:id="844055749">
      <w:bodyDiv w:val="1"/>
      <w:marLeft w:val="0"/>
      <w:marRight w:val="0"/>
      <w:marTop w:val="0"/>
      <w:marBottom w:val="0"/>
      <w:divBdr>
        <w:top w:val="none" w:sz="0" w:space="0" w:color="auto"/>
        <w:left w:val="none" w:sz="0" w:space="0" w:color="auto"/>
        <w:bottom w:val="none" w:sz="0" w:space="0" w:color="auto"/>
        <w:right w:val="none" w:sz="0" w:space="0" w:color="auto"/>
      </w:divBdr>
    </w:div>
    <w:div w:id="961768823">
      <w:bodyDiv w:val="1"/>
      <w:marLeft w:val="0"/>
      <w:marRight w:val="0"/>
      <w:marTop w:val="0"/>
      <w:marBottom w:val="0"/>
      <w:divBdr>
        <w:top w:val="none" w:sz="0" w:space="0" w:color="auto"/>
        <w:left w:val="none" w:sz="0" w:space="0" w:color="auto"/>
        <w:bottom w:val="none" w:sz="0" w:space="0" w:color="auto"/>
        <w:right w:val="none" w:sz="0" w:space="0" w:color="auto"/>
      </w:divBdr>
    </w:div>
    <w:div w:id="1002009564">
      <w:bodyDiv w:val="1"/>
      <w:marLeft w:val="0"/>
      <w:marRight w:val="0"/>
      <w:marTop w:val="0"/>
      <w:marBottom w:val="0"/>
      <w:divBdr>
        <w:top w:val="none" w:sz="0" w:space="0" w:color="auto"/>
        <w:left w:val="none" w:sz="0" w:space="0" w:color="auto"/>
        <w:bottom w:val="none" w:sz="0" w:space="0" w:color="auto"/>
        <w:right w:val="none" w:sz="0" w:space="0" w:color="auto"/>
      </w:divBdr>
    </w:div>
    <w:div w:id="1032609433">
      <w:bodyDiv w:val="1"/>
      <w:marLeft w:val="0"/>
      <w:marRight w:val="0"/>
      <w:marTop w:val="0"/>
      <w:marBottom w:val="0"/>
      <w:divBdr>
        <w:top w:val="none" w:sz="0" w:space="0" w:color="auto"/>
        <w:left w:val="none" w:sz="0" w:space="0" w:color="auto"/>
        <w:bottom w:val="none" w:sz="0" w:space="0" w:color="auto"/>
        <w:right w:val="none" w:sz="0" w:space="0" w:color="auto"/>
      </w:divBdr>
    </w:div>
    <w:div w:id="1056003385">
      <w:bodyDiv w:val="1"/>
      <w:marLeft w:val="0"/>
      <w:marRight w:val="0"/>
      <w:marTop w:val="0"/>
      <w:marBottom w:val="0"/>
      <w:divBdr>
        <w:top w:val="none" w:sz="0" w:space="0" w:color="auto"/>
        <w:left w:val="none" w:sz="0" w:space="0" w:color="auto"/>
        <w:bottom w:val="none" w:sz="0" w:space="0" w:color="auto"/>
        <w:right w:val="none" w:sz="0" w:space="0" w:color="auto"/>
      </w:divBdr>
    </w:div>
    <w:div w:id="1078133921">
      <w:bodyDiv w:val="1"/>
      <w:marLeft w:val="0"/>
      <w:marRight w:val="0"/>
      <w:marTop w:val="0"/>
      <w:marBottom w:val="0"/>
      <w:divBdr>
        <w:top w:val="none" w:sz="0" w:space="0" w:color="auto"/>
        <w:left w:val="none" w:sz="0" w:space="0" w:color="auto"/>
        <w:bottom w:val="none" w:sz="0" w:space="0" w:color="auto"/>
        <w:right w:val="none" w:sz="0" w:space="0" w:color="auto"/>
      </w:divBdr>
      <w:divsChild>
        <w:div w:id="1383627453">
          <w:marLeft w:val="0"/>
          <w:marRight w:val="0"/>
          <w:marTop w:val="0"/>
          <w:marBottom w:val="0"/>
          <w:divBdr>
            <w:top w:val="none" w:sz="0" w:space="0" w:color="auto"/>
            <w:left w:val="none" w:sz="0" w:space="0" w:color="auto"/>
            <w:bottom w:val="none" w:sz="0" w:space="0" w:color="auto"/>
            <w:right w:val="none" w:sz="0" w:space="0" w:color="auto"/>
          </w:divBdr>
          <w:divsChild>
            <w:div w:id="1171528564">
              <w:marLeft w:val="0"/>
              <w:marRight w:val="0"/>
              <w:marTop w:val="390"/>
              <w:marBottom w:val="390"/>
              <w:divBdr>
                <w:top w:val="none" w:sz="0" w:space="0" w:color="auto"/>
                <w:left w:val="none" w:sz="0" w:space="0" w:color="auto"/>
                <w:bottom w:val="none" w:sz="0" w:space="0" w:color="auto"/>
                <w:right w:val="none" w:sz="0" w:space="0" w:color="auto"/>
              </w:divBdr>
              <w:divsChild>
                <w:div w:id="685517699">
                  <w:marLeft w:val="0"/>
                  <w:marRight w:val="0"/>
                  <w:marTop w:val="0"/>
                  <w:marBottom w:val="0"/>
                  <w:divBdr>
                    <w:top w:val="none" w:sz="0" w:space="0" w:color="auto"/>
                    <w:left w:val="none" w:sz="0" w:space="0" w:color="auto"/>
                    <w:bottom w:val="none" w:sz="0" w:space="0" w:color="auto"/>
                    <w:right w:val="none" w:sz="0" w:space="0" w:color="auto"/>
                  </w:divBdr>
                  <w:divsChild>
                    <w:div w:id="728309012">
                      <w:marLeft w:val="0"/>
                      <w:marRight w:val="0"/>
                      <w:marTop w:val="0"/>
                      <w:marBottom w:val="0"/>
                      <w:divBdr>
                        <w:top w:val="none" w:sz="0" w:space="0" w:color="auto"/>
                        <w:left w:val="none" w:sz="0" w:space="0" w:color="auto"/>
                        <w:bottom w:val="none" w:sz="0" w:space="0" w:color="auto"/>
                        <w:right w:val="none" w:sz="0" w:space="0" w:color="auto"/>
                      </w:divBdr>
                      <w:divsChild>
                        <w:div w:id="575212839">
                          <w:marLeft w:val="0"/>
                          <w:marRight w:val="0"/>
                          <w:marTop w:val="0"/>
                          <w:marBottom w:val="0"/>
                          <w:divBdr>
                            <w:top w:val="none" w:sz="0" w:space="0" w:color="auto"/>
                            <w:left w:val="none" w:sz="0" w:space="0" w:color="auto"/>
                            <w:bottom w:val="none" w:sz="0" w:space="0" w:color="auto"/>
                            <w:right w:val="none" w:sz="0" w:space="0" w:color="auto"/>
                          </w:divBdr>
                          <w:divsChild>
                            <w:div w:id="1216623163">
                              <w:marLeft w:val="0"/>
                              <w:marRight w:val="0"/>
                              <w:marTop w:val="0"/>
                              <w:marBottom w:val="0"/>
                              <w:divBdr>
                                <w:top w:val="none" w:sz="0" w:space="0" w:color="auto"/>
                                <w:left w:val="none" w:sz="0" w:space="0" w:color="auto"/>
                                <w:bottom w:val="none" w:sz="0" w:space="0" w:color="auto"/>
                                <w:right w:val="none" w:sz="0" w:space="0" w:color="auto"/>
                              </w:divBdr>
                              <w:divsChild>
                                <w:div w:id="691685590">
                                  <w:marLeft w:val="0"/>
                                  <w:marRight w:val="0"/>
                                  <w:marTop w:val="0"/>
                                  <w:marBottom w:val="0"/>
                                  <w:divBdr>
                                    <w:top w:val="none" w:sz="0" w:space="0" w:color="auto"/>
                                    <w:left w:val="none" w:sz="0" w:space="0" w:color="auto"/>
                                    <w:bottom w:val="none" w:sz="0" w:space="0" w:color="auto"/>
                                    <w:right w:val="none" w:sz="0" w:space="0" w:color="auto"/>
                                  </w:divBdr>
                                  <w:divsChild>
                                    <w:div w:id="1801917923">
                                      <w:marLeft w:val="0"/>
                                      <w:marRight w:val="0"/>
                                      <w:marTop w:val="0"/>
                                      <w:marBottom w:val="0"/>
                                      <w:divBdr>
                                        <w:top w:val="none" w:sz="0" w:space="0" w:color="auto"/>
                                        <w:left w:val="none" w:sz="0" w:space="0" w:color="auto"/>
                                        <w:bottom w:val="none" w:sz="0" w:space="0" w:color="auto"/>
                                        <w:right w:val="none" w:sz="0" w:space="0" w:color="auto"/>
                                      </w:divBdr>
                                      <w:divsChild>
                                        <w:div w:id="591545361">
                                          <w:marLeft w:val="0"/>
                                          <w:marRight w:val="0"/>
                                          <w:marTop w:val="0"/>
                                          <w:marBottom w:val="0"/>
                                          <w:divBdr>
                                            <w:top w:val="none" w:sz="0" w:space="0" w:color="auto"/>
                                            <w:left w:val="none" w:sz="0" w:space="0" w:color="auto"/>
                                            <w:bottom w:val="none" w:sz="0" w:space="0" w:color="auto"/>
                                            <w:right w:val="none" w:sz="0" w:space="0" w:color="auto"/>
                                          </w:divBdr>
                                        </w:div>
                                        <w:div w:id="10869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945967">
      <w:bodyDiv w:val="1"/>
      <w:marLeft w:val="0"/>
      <w:marRight w:val="0"/>
      <w:marTop w:val="0"/>
      <w:marBottom w:val="0"/>
      <w:divBdr>
        <w:top w:val="none" w:sz="0" w:space="0" w:color="auto"/>
        <w:left w:val="none" w:sz="0" w:space="0" w:color="auto"/>
        <w:bottom w:val="none" w:sz="0" w:space="0" w:color="auto"/>
        <w:right w:val="none" w:sz="0" w:space="0" w:color="auto"/>
      </w:divBdr>
    </w:div>
    <w:div w:id="1082676226">
      <w:bodyDiv w:val="1"/>
      <w:marLeft w:val="0"/>
      <w:marRight w:val="0"/>
      <w:marTop w:val="0"/>
      <w:marBottom w:val="0"/>
      <w:divBdr>
        <w:top w:val="none" w:sz="0" w:space="0" w:color="auto"/>
        <w:left w:val="none" w:sz="0" w:space="0" w:color="auto"/>
        <w:bottom w:val="none" w:sz="0" w:space="0" w:color="auto"/>
        <w:right w:val="none" w:sz="0" w:space="0" w:color="auto"/>
      </w:divBdr>
    </w:div>
    <w:div w:id="1132484373">
      <w:bodyDiv w:val="1"/>
      <w:marLeft w:val="0"/>
      <w:marRight w:val="0"/>
      <w:marTop w:val="0"/>
      <w:marBottom w:val="0"/>
      <w:divBdr>
        <w:top w:val="none" w:sz="0" w:space="0" w:color="auto"/>
        <w:left w:val="none" w:sz="0" w:space="0" w:color="auto"/>
        <w:bottom w:val="none" w:sz="0" w:space="0" w:color="auto"/>
        <w:right w:val="none" w:sz="0" w:space="0" w:color="auto"/>
      </w:divBdr>
    </w:div>
    <w:div w:id="1155414632">
      <w:bodyDiv w:val="1"/>
      <w:marLeft w:val="0"/>
      <w:marRight w:val="0"/>
      <w:marTop w:val="0"/>
      <w:marBottom w:val="0"/>
      <w:divBdr>
        <w:top w:val="none" w:sz="0" w:space="0" w:color="auto"/>
        <w:left w:val="none" w:sz="0" w:space="0" w:color="auto"/>
        <w:bottom w:val="none" w:sz="0" w:space="0" w:color="auto"/>
        <w:right w:val="none" w:sz="0" w:space="0" w:color="auto"/>
      </w:divBdr>
    </w:div>
    <w:div w:id="1159151366">
      <w:bodyDiv w:val="1"/>
      <w:marLeft w:val="0"/>
      <w:marRight w:val="0"/>
      <w:marTop w:val="0"/>
      <w:marBottom w:val="0"/>
      <w:divBdr>
        <w:top w:val="none" w:sz="0" w:space="0" w:color="auto"/>
        <w:left w:val="none" w:sz="0" w:space="0" w:color="auto"/>
        <w:bottom w:val="none" w:sz="0" w:space="0" w:color="auto"/>
        <w:right w:val="none" w:sz="0" w:space="0" w:color="auto"/>
      </w:divBdr>
    </w:div>
    <w:div w:id="1167400295">
      <w:bodyDiv w:val="1"/>
      <w:marLeft w:val="0"/>
      <w:marRight w:val="0"/>
      <w:marTop w:val="0"/>
      <w:marBottom w:val="0"/>
      <w:divBdr>
        <w:top w:val="none" w:sz="0" w:space="0" w:color="auto"/>
        <w:left w:val="none" w:sz="0" w:space="0" w:color="auto"/>
        <w:bottom w:val="none" w:sz="0" w:space="0" w:color="auto"/>
        <w:right w:val="none" w:sz="0" w:space="0" w:color="auto"/>
      </w:divBdr>
    </w:div>
    <w:div w:id="1182823151">
      <w:bodyDiv w:val="1"/>
      <w:marLeft w:val="0"/>
      <w:marRight w:val="0"/>
      <w:marTop w:val="0"/>
      <w:marBottom w:val="0"/>
      <w:divBdr>
        <w:top w:val="none" w:sz="0" w:space="0" w:color="auto"/>
        <w:left w:val="none" w:sz="0" w:space="0" w:color="auto"/>
        <w:bottom w:val="none" w:sz="0" w:space="0" w:color="auto"/>
        <w:right w:val="none" w:sz="0" w:space="0" w:color="auto"/>
      </w:divBdr>
    </w:div>
    <w:div w:id="1232422252">
      <w:bodyDiv w:val="1"/>
      <w:marLeft w:val="0"/>
      <w:marRight w:val="0"/>
      <w:marTop w:val="0"/>
      <w:marBottom w:val="0"/>
      <w:divBdr>
        <w:top w:val="none" w:sz="0" w:space="0" w:color="auto"/>
        <w:left w:val="none" w:sz="0" w:space="0" w:color="auto"/>
        <w:bottom w:val="none" w:sz="0" w:space="0" w:color="auto"/>
        <w:right w:val="none" w:sz="0" w:space="0" w:color="auto"/>
      </w:divBdr>
    </w:div>
    <w:div w:id="1280722614">
      <w:bodyDiv w:val="1"/>
      <w:marLeft w:val="0"/>
      <w:marRight w:val="0"/>
      <w:marTop w:val="0"/>
      <w:marBottom w:val="0"/>
      <w:divBdr>
        <w:top w:val="none" w:sz="0" w:space="0" w:color="auto"/>
        <w:left w:val="none" w:sz="0" w:space="0" w:color="auto"/>
        <w:bottom w:val="none" w:sz="0" w:space="0" w:color="auto"/>
        <w:right w:val="none" w:sz="0" w:space="0" w:color="auto"/>
      </w:divBdr>
    </w:div>
    <w:div w:id="1388603717">
      <w:bodyDiv w:val="1"/>
      <w:marLeft w:val="0"/>
      <w:marRight w:val="0"/>
      <w:marTop w:val="0"/>
      <w:marBottom w:val="0"/>
      <w:divBdr>
        <w:top w:val="none" w:sz="0" w:space="0" w:color="auto"/>
        <w:left w:val="none" w:sz="0" w:space="0" w:color="auto"/>
        <w:bottom w:val="none" w:sz="0" w:space="0" w:color="auto"/>
        <w:right w:val="none" w:sz="0" w:space="0" w:color="auto"/>
      </w:divBdr>
    </w:div>
    <w:div w:id="1405026674">
      <w:bodyDiv w:val="1"/>
      <w:marLeft w:val="0"/>
      <w:marRight w:val="0"/>
      <w:marTop w:val="0"/>
      <w:marBottom w:val="0"/>
      <w:divBdr>
        <w:top w:val="none" w:sz="0" w:space="0" w:color="auto"/>
        <w:left w:val="none" w:sz="0" w:space="0" w:color="auto"/>
        <w:bottom w:val="none" w:sz="0" w:space="0" w:color="auto"/>
        <w:right w:val="none" w:sz="0" w:space="0" w:color="auto"/>
      </w:divBdr>
    </w:div>
    <w:div w:id="1550023497">
      <w:bodyDiv w:val="1"/>
      <w:marLeft w:val="0"/>
      <w:marRight w:val="0"/>
      <w:marTop w:val="0"/>
      <w:marBottom w:val="0"/>
      <w:divBdr>
        <w:top w:val="none" w:sz="0" w:space="0" w:color="auto"/>
        <w:left w:val="none" w:sz="0" w:space="0" w:color="auto"/>
        <w:bottom w:val="none" w:sz="0" w:space="0" w:color="auto"/>
        <w:right w:val="none" w:sz="0" w:space="0" w:color="auto"/>
      </w:divBdr>
    </w:div>
    <w:div w:id="1603032111">
      <w:bodyDiv w:val="1"/>
      <w:marLeft w:val="0"/>
      <w:marRight w:val="0"/>
      <w:marTop w:val="0"/>
      <w:marBottom w:val="0"/>
      <w:divBdr>
        <w:top w:val="none" w:sz="0" w:space="0" w:color="auto"/>
        <w:left w:val="none" w:sz="0" w:space="0" w:color="auto"/>
        <w:bottom w:val="none" w:sz="0" w:space="0" w:color="auto"/>
        <w:right w:val="none" w:sz="0" w:space="0" w:color="auto"/>
      </w:divBdr>
    </w:div>
    <w:div w:id="1785421505">
      <w:bodyDiv w:val="1"/>
      <w:marLeft w:val="0"/>
      <w:marRight w:val="0"/>
      <w:marTop w:val="0"/>
      <w:marBottom w:val="0"/>
      <w:divBdr>
        <w:top w:val="none" w:sz="0" w:space="0" w:color="auto"/>
        <w:left w:val="none" w:sz="0" w:space="0" w:color="auto"/>
        <w:bottom w:val="none" w:sz="0" w:space="0" w:color="auto"/>
        <w:right w:val="none" w:sz="0" w:space="0" w:color="auto"/>
      </w:divBdr>
    </w:div>
    <w:div w:id="1815759974">
      <w:bodyDiv w:val="1"/>
      <w:marLeft w:val="0"/>
      <w:marRight w:val="0"/>
      <w:marTop w:val="0"/>
      <w:marBottom w:val="0"/>
      <w:divBdr>
        <w:top w:val="none" w:sz="0" w:space="0" w:color="auto"/>
        <w:left w:val="none" w:sz="0" w:space="0" w:color="auto"/>
        <w:bottom w:val="none" w:sz="0" w:space="0" w:color="auto"/>
        <w:right w:val="none" w:sz="0" w:space="0" w:color="auto"/>
      </w:divBdr>
    </w:div>
    <w:div w:id="1887527104">
      <w:bodyDiv w:val="1"/>
      <w:marLeft w:val="0"/>
      <w:marRight w:val="0"/>
      <w:marTop w:val="0"/>
      <w:marBottom w:val="0"/>
      <w:divBdr>
        <w:top w:val="none" w:sz="0" w:space="0" w:color="auto"/>
        <w:left w:val="none" w:sz="0" w:space="0" w:color="auto"/>
        <w:bottom w:val="none" w:sz="0" w:space="0" w:color="auto"/>
        <w:right w:val="none" w:sz="0" w:space="0" w:color="auto"/>
      </w:divBdr>
    </w:div>
    <w:div w:id="1936087015">
      <w:bodyDiv w:val="1"/>
      <w:marLeft w:val="0"/>
      <w:marRight w:val="0"/>
      <w:marTop w:val="0"/>
      <w:marBottom w:val="0"/>
      <w:divBdr>
        <w:top w:val="none" w:sz="0" w:space="0" w:color="auto"/>
        <w:left w:val="none" w:sz="0" w:space="0" w:color="auto"/>
        <w:bottom w:val="none" w:sz="0" w:space="0" w:color="auto"/>
        <w:right w:val="none" w:sz="0" w:space="0" w:color="auto"/>
      </w:divBdr>
    </w:div>
    <w:div w:id="1939018077">
      <w:bodyDiv w:val="1"/>
      <w:marLeft w:val="0"/>
      <w:marRight w:val="0"/>
      <w:marTop w:val="0"/>
      <w:marBottom w:val="0"/>
      <w:divBdr>
        <w:top w:val="none" w:sz="0" w:space="0" w:color="auto"/>
        <w:left w:val="none" w:sz="0" w:space="0" w:color="auto"/>
        <w:bottom w:val="none" w:sz="0" w:space="0" w:color="auto"/>
        <w:right w:val="none" w:sz="0" w:space="0" w:color="auto"/>
      </w:divBdr>
    </w:div>
    <w:div w:id="2004314503">
      <w:bodyDiv w:val="1"/>
      <w:marLeft w:val="0"/>
      <w:marRight w:val="0"/>
      <w:marTop w:val="0"/>
      <w:marBottom w:val="0"/>
      <w:divBdr>
        <w:top w:val="none" w:sz="0" w:space="0" w:color="auto"/>
        <w:left w:val="none" w:sz="0" w:space="0" w:color="auto"/>
        <w:bottom w:val="none" w:sz="0" w:space="0" w:color="auto"/>
        <w:right w:val="none" w:sz="0" w:space="0" w:color="auto"/>
      </w:divBdr>
    </w:div>
    <w:div w:id="2098669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climatechangeauthority.gov.au" TargetMode="External"/><Relationship Id="rId26" Type="http://schemas.openxmlformats.org/officeDocument/2006/relationships/header" Target="header5.xml"/><Relationship Id="rId39" Type="http://schemas.openxmlformats.org/officeDocument/2006/relationships/hyperlink" Target="http://www.cleanenergyregulator.gov.au/DocumentAssets/Pages/2016-17-Safeguard-facility-data.aspx" TargetMode="External"/><Relationship Id="rId21" Type="http://schemas.openxmlformats.org/officeDocument/2006/relationships/footer" Target="footer1.xml"/><Relationship Id="rId34" Type="http://schemas.openxmlformats.org/officeDocument/2006/relationships/header" Target="header7.xml"/><Relationship Id="rId42" Type="http://schemas.openxmlformats.org/officeDocument/2006/relationships/hyperlink" Target="http://www.cleanenergyregulator.gov.au/NGER/Reporting-cycle/Complying-with-NGER" TargetMode="External"/><Relationship Id="rId47" Type="http://schemas.openxmlformats.org/officeDocument/2006/relationships/hyperlink" Target="http://www.cleanenergyregulator.gov.au/DocumentAssets/Pages/Register-of-Greenhouse-and-Energy-Auditors.aspx" TargetMode="External"/><Relationship Id="rId50" Type="http://schemas.openxmlformats.org/officeDocument/2006/relationships/hyperlink" Target="http://www.cleanenergyregulator.gov.au/OSR/CP" TargetMode="External"/><Relationship Id="rId55" Type="http://schemas.openxmlformats.org/officeDocument/2006/relationships/hyperlink" Target="http://www.cleanenergyregulator.gov.au/About/Internal-Review-of-Decisions" TargetMode="External"/><Relationship Id="rId63" Type="http://schemas.openxmlformats.org/officeDocument/2006/relationships/hyperlink" Target="http://www.environment.gov.au/system/files/resources/18690271-59ac-43c8-aee1-92d930141f54/files/2017-review-of-climate-change-policies.pdf" TargetMode="External"/><Relationship Id="rId68" Type="http://schemas.openxmlformats.org/officeDocument/2006/relationships/hyperlink" Target="http://www.npi.gov.au/about-npi" TargetMode="External"/><Relationship Id="rId76" Type="http://schemas.microsoft.com/office/2016/09/relationships/commentsIds" Target="commentsIds.xml"/><Relationship Id="rId7" Type="http://schemas.openxmlformats.org/officeDocument/2006/relationships/numbering" Target="numbering.xml"/><Relationship Id="rId71" Type="http://schemas.openxmlformats.org/officeDocument/2006/relationships/hyperlink" Target="https://www.fsb-tcfd.org/publications/final-recommendations-report/" TargetMode="External"/><Relationship Id="rId2" Type="http://schemas.openxmlformats.org/officeDocument/2006/relationships/customXml" Target="../customXml/item2.xml"/><Relationship Id="rId16" Type="http://schemas.openxmlformats.org/officeDocument/2006/relationships/hyperlink" Target="http://www.climatechangeauthority.gov.au/consultations" TargetMode="External"/><Relationship Id="rId29" Type="http://schemas.openxmlformats.org/officeDocument/2006/relationships/image" Target="media/image4.png"/><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image" Target="media/image7.png"/><Relationship Id="rId37" Type="http://schemas.openxmlformats.org/officeDocument/2006/relationships/hyperlink" Target="http://www.climatechangeauthority.gov.au/consultations" TargetMode="External"/><Relationship Id="rId40" Type="http://schemas.openxmlformats.org/officeDocument/2006/relationships/hyperlink" Target="http://www.cleanenergyregulator.gov.au/NGER/The-safeguard-mechanism/Baselines/Baseline-variation" TargetMode="External"/><Relationship Id="rId45" Type="http://schemas.openxmlformats.org/officeDocument/2006/relationships/hyperlink" Target="http://www.cleanenergyregulator.gov.au/NGER/The-safeguard-mechanism/Managing-excess-emissions" TargetMode="External"/><Relationship Id="rId53" Type="http://schemas.openxmlformats.org/officeDocument/2006/relationships/hyperlink" Target="http://www.cleanenergyregulator.gov.au/NGER/Reporting-cycle/Register-and-deregister" TargetMode="External"/><Relationship Id="rId58" Type="http://schemas.openxmlformats.org/officeDocument/2006/relationships/hyperlink" Target="http://www.ccacoalition.org/en/resources/marrakech-communique" TargetMode="External"/><Relationship Id="rId66" Type="http://schemas.openxmlformats.org/officeDocument/2006/relationships/hyperlink" Target="http://www.environment.gov.au/system/files/pages/dbabd13c-f8f1-49cd-ab40-621f056de35a/files/safeguard-mechanism-consultation-paper.pdf"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submissions@climatechangeauthority.gov.au" TargetMode="External"/><Relationship Id="rId23" Type="http://schemas.openxmlformats.org/officeDocument/2006/relationships/image" Target="cid:image005.png@01D2D93E.00EE1B50" TargetMode="External"/><Relationship Id="rId28" Type="http://schemas.openxmlformats.org/officeDocument/2006/relationships/hyperlink" Target="http://www.climatechangeauthority.gov.au/consultations" TargetMode="External"/><Relationship Id="rId36" Type="http://schemas.openxmlformats.org/officeDocument/2006/relationships/hyperlink" Target="mailto:submissions@climatechangeauthority.gov.au" TargetMode="External"/><Relationship Id="rId49" Type="http://schemas.openxmlformats.org/officeDocument/2006/relationships/hyperlink" Target="http://www.cleanenergyregulator.gov.au/NGER/National%20greenhouse%20and%20energy%20reporting%20data/Safeguard-baselines-table" TargetMode="External"/><Relationship Id="rId57" Type="http://schemas.openxmlformats.org/officeDocument/2006/relationships/hyperlink" Target="http://www.cleanenergyregulator.gov.au/DocumentAssets/Documents/Safeguard%20mechanism%20workshop%20presentation%202017.pdf" TargetMode="External"/><Relationship Id="rId61" Type="http://schemas.openxmlformats.org/officeDocument/2006/relationships/hyperlink" Target="http://www.environment.gov.au/climate-change/government/emissions-reduction-fund/consultation/safeguard-mechanism-legislative-amendments-2018" TargetMode="External"/><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image" Target="media/image6.png"/><Relationship Id="rId44" Type="http://schemas.openxmlformats.org/officeDocument/2006/relationships/hyperlink" Target="http://www.cleanenergyregulator.gov.au/NGER/National%20greenhouse%20and%20energy%20reporting%20data/electricity-sector-emissions-and-generation-data/electricity-sector-emissions-and-generation-data-2016-17" TargetMode="External"/><Relationship Id="rId52" Type="http://schemas.openxmlformats.org/officeDocument/2006/relationships/hyperlink" Target="http://www.cleanenergyregulator.gov.au/About/Policies-and-publications/Compliance-education-and-enforcement-policy" TargetMode="External"/><Relationship Id="rId60" Type="http://schemas.openxmlformats.org/officeDocument/2006/relationships/hyperlink" Target="http://environment.gov.au/system/files/resources/1f98a924-5946-404c-9510-d440304280f1/files/emissions-reduction-fund-white-paper_0.pdf" TargetMode="External"/><Relationship Id="rId65" Type="http://schemas.openxmlformats.org/officeDocument/2006/relationships/hyperlink" Target="http://www.environment.gov.au/climate-change/climate-science-data/greenhouse-gas-measurement/publications/quarterly-update-australias-national-greenhouse-gas-inventory-jun-2017" TargetMode="External"/><Relationship Id="rId73" Type="http://schemas.openxmlformats.org/officeDocument/2006/relationships/header" Target="header10.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3.gif"/><Relationship Id="rId27" Type="http://schemas.openxmlformats.org/officeDocument/2006/relationships/hyperlink" Target="mailto:submissions@climatechangeauthority.gov.au" TargetMode="External"/><Relationship Id="rId30" Type="http://schemas.openxmlformats.org/officeDocument/2006/relationships/image" Target="media/image5.png"/><Relationship Id="rId35" Type="http://schemas.openxmlformats.org/officeDocument/2006/relationships/header" Target="header8.xml"/><Relationship Id="rId43" Type="http://schemas.openxmlformats.org/officeDocument/2006/relationships/hyperlink" Target="http://www.cleanenergyregulator.gov.au/About/Compliance-and-Enforcement/Compliance%20and%20enforcement%20action/enforceable-undertakings/Current-enforceable-undertakings" TargetMode="External"/><Relationship Id="rId48" Type="http://schemas.openxmlformats.org/officeDocument/2006/relationships/hyperlink" Target="http://www.cleanenergyregulator.gov.au/NGER/Reporting-cycle/Assess-your-obligations/Reporting-thresholds" TargetMode="External"/><Relationship Id="rId56" Type="http://schemas.openxmlformats.org/officeDocument/2006/relationships/hyperlink" Target="http://www.cleanenergyregulator.gov.au/DocumentAssets/Documents/Guideline%20-%20Manner%20and%20Form%20Sections%2019%2022G%20and%2022X%20reports.pdf" TargetMode="External"/><Relationship Id="rId64" Type="http://schemas.openxmlformats.org/officeDocument/2006/relationships/hyperlink" Target="https://www.energy.gov.au/sites/g/files/net3411/f/energy-update-report-2017.pdf" TargetMode="External"/><Relationship Id="rId69" Type="http://schemas.openxmlformats.org/officeDocument/2006/relationships/hyperlink" Target="https://www.ipcc-nggip.iges.or.jp/public/2006gl/vol1.html" TargetMode="External"/><Relationship Id="rId8" Type="http://schemas.openxmlformats.org/officeDocument/2006/relationships/styles" Target="styles.xml"/><Relationship Id="rId51" Type="http://schemas.openxmlformats.org/officeDocument/2006/relationships/hyperlink" Target="http://www.cleanenergyregulator.gov.au/About/Compliance-and-Enforcement/compliance-priorities-2017" TargetMode="External"/><Relationship Id="rId72" Type="http://schemas.openxmlformats.org/officeDocument/2006/relationships/header" Target="header9.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mailto:enquiries@climatechangeauthority.gov.au" TargetMode="External"/><Relationship Id="rId25" Type="http://schemas.openxmlformats.org/officeDocument/2006/relationships/header" Target="header4.xml"/><Relationship Id="rId33" Type="http://schemas.openxmlformats.org/officeDocument/2006/relationships/header" Target="header6.xml"/><Relationship Id="rId38" Type="http://schemas.openxmlformats.org/officeDocument/2006/relationships/hyperlink" Target="www.cleanenergyregulator.gov.au/NGER/National%20greenhouse%20and%20energy%20reporting%20data/safeguard-facility-reported-emissions/safeguard-facility-emissions-2016-17" TargetMode="External"/><Relationship Id="rId46" Type="http://schemas.openxmlformats.org/officeDocument/2006/relationships/hyperlink" Target="http://www.cleanenergyregulator.gov.au/NGER/The-safeguard-mechanism/Managing-excess-emissions/multi-year-monitoring-period" TargetMode="External"/><Relationship Id="rId59" Type="http://schemas.openxmlformats.org/officeDocument/2006/relationships/hyperlink" Target="http://www.climatechangeauthority.gov.au/sites/prod.climatechangeauthority.gov.au/files/files/Special%20review%20Report%203/Climate%20Change%20Authority%20Special%20Review%20Report%20Three.pdf" TargetMode="External"/><Relationship Id="rId67" Type="http://schemas.openxmlformats.org/officeDocument/2006/relationships/hyperlink" Target="https://www.energy.gov.au/government-priorities/better-energy-future-australia" TargetMode="External"/><Relationship Id="rId20" Type="http://schemas.openxmlformats.org/officeDocument/2006/relationships/header" Target="header2.xml"/><Relationship Id="rId41" Type="http://schemas.openxmlformats.org/officeDocument/2006/relationships/hyperlink" Target="http://www.cleanenergyregulator.gov.au/NGER/The-safeguard-mechanism/Baselines" TargetMode="External"/><Relationship Id="rId54" Type="http://schemas.openxmlformats.org/officeDocument/2006/relationships/hyperlink" Target="http://www.cleanenergyregulator.gov.au/NGER/Reporting-cycle/Report" TargetMode="External"/><Relationship Id="rId62" Type="http://schemas.openxmlformats.org/officeDocument/2006/relationships/hyperlink" Target="http://www.environment.gov.au/system/files/resources/02bcfbd1-38b2-4e7c-88bd-b2b7624051da/files/national-inventory-report-2016-volume-1.pdf" TargetMode="External"/><Relationship Id="rId70" Type="http://schemas.openxmlformats.org/officeDocument/2006/relationships/hyperlink" Target="http://www.asic.gov.au/about-asic/media-centre/speeches/climate-change/"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ct:contentTypeSchema xmlns:ct="http://schemas.microsoft.com/office/2006/metadata/contentType" xmlns:ma="http://schemas.microsoft.com/office/2006/metadata/properties/metaAttributes" ct:_="" ma:_="" ma:contentTypeName="SPIRE Word Document" ma:contentTypeID="0x010100E2EA31D43EB7EC4B8C44239A8E4A9E6D0100CB38E12D67E42E4D84B3D88CB3A59BDB" ma:contentTypeVersion="3" ma:contentTypeDescription="Create a new Word Document" ma:contentTypeScope="" ma:versionID="20d90d40eed127960b8978ab4ea46f3b">
  <xsd:schema xmlns:xsd="http://www.w3.org/2001/XMLSchema" xmlns:xs="http://www.w3.org/2001/XMLSchema" xmlns:p="http://schemas.microsoft.com/office/2006/metadata/properties" xmlns:ns2="e0c1e391-29fd-4ceb-82b5-dfc916cb1980" targetNamespace="http://schemas.microsoft.com/office/2006/metadata/properties" ma:root="true" ma:fieldsID="7d75cb15d7aef1acdaa9c6e2917aad36" ns2:_="">
    <xsd:import namespace="e0c1e391-29fd-4ceb-82b5-dfc916cb1980"/>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1e391-29fd-4ceb-82b5-dfc916cb1980"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fault="Climate Change"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Approval xmlns="e0c1e391-29fd-4ceb-82b5-dfc916cb1980">For Review</Approval>
    <Function xmlns="e0c1e391-29fd-4ceb-82b5-dfc916cb1980">Climate Change</Function>
    <RecordNumber xmlns="e0c1e391-29fd-4ceb-82b5-dfc916cb1980">002313200</RecordNumber>
    <DocumentDescription xmlns="e0c1e391-29fd-4ceb-82b5-dfc916cb1980">Version for fact check</DocumentDescription>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1C94B-236B-475C-A593-B7A5D028D7C6}">
  <ds:schemaRefs>
    <ds:schemaRef ds:uri="http://schemas.microsoft.com/office/2006/metadata/customXsn"/>
  </ds:schemaRefs>
</ds:datastoreItem>
</file>

<file path=customXml/itemProps2.xml><?xml version="1.0" encoding="utf-8"?>
<ds:datastoreItem xmlns:ds="http://schemas.openxmlformats.org/officeDocument/2006/customXml" ds:itemID="{B7216329-D650-4BA2-BAA8-4FE3D5A271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1e391-29fd-4ceb-82b5-dfc916cb1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AD3DB7-147D-407B-B034-A63C38F3EB9D}">
  <ds:schemaRef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 ds:uri="http://purl.org/dc/terms/"/>
    <ds:schemaRef ds:uri="e0c1e391-29fd-4ceb-82b5-dfc916cb1980"/>
    <ds:schemaRef ds:uri="http://schemas.microsoft.com/office/2006/metadata/properties"/>
  </ds:schemaRefs>
</ds:datastoreItem>
</file>

<file path=customXml/itemProps4.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5.xml><?xml version="1.0" encoding="utf-8"?>
<ds:datastoreItem xmlns:ds="http://schemas.openxmlformats.org/officeDocument/2006/customXml" ds:itemID="{0B3AC2EC-FE87-4CCD-9007-72A6AB8689E4}">
  <ds:schemaRefs>
    <ds:schemaRef ds:uri="http://schemas.microsoft.com/sharepoint/events"/>
  </ds:schemaRefs>
</ds:datastoreItem>
</file>

<file path=customXml/itemProps6.xml><?xml version="1.0" encoding="utf-8"?>
<ds:datastoreItem xmlns:ds="http://schemas.openxmlformats.org/officeDocument/2006/customXml" ds:itemID="{A9AF30DD-22F7-47F2-AA7B-526AADADA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CC7584EF.dotm</Template>
  <TotalTime>1</TotalTime>
  <Pages>45</Pages>
  <Words>15708</Words>
  <Characters>89539</Characters>
  <Application>Microsoft Office Word</Application>
  <DocSecurity>0</DocSecurity>
  <Lines>746</Lines>
  <Paragraphs>210</Paragraphs>
  <ScaleCrop>false</ScaleCrop>
  <HeadingPairs>
    <vt:vector size="2" baseType="variant">
      <vt:variant>
        <vt:lpstr>Title</vt:lpstr>
      </vt:variant>
      <vt:variant>
        <vt:i4>1</vt:i4>
      </vt:variant>
    </vt:vector>
  </HeadingPairs>
  <TitlesOfParts>
    <vt:vector size="1" baseType="lpstr">
      <vt:lpstr>Review of the National Greenhouse and Energy Reporting Legislation – A Consultation Paper</vt:lpstr>
    </vt:vector>
  </TitlesOfParts>
  <Company>The Department of the Environment</Company>
  <LinksUpToDate>false</LinksUpToDate>
  <CharactersWithSpaces>105037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Review of the National Greenhouse and Energy Reporting Legislation – A Consultation Paper</dc:title>
  <dc:subject/>
  <dc:creator>Brine, Steven</dc:creator>
  <cp:keywords/>
  <dc:description/>
  <cp:lastModifiedBy>Brine, Steven</cp:lastModifiedBy>
  <cp:revision>2</cp:revision>
  <cp:lastPrinted>2018-07-30T06:49:00Z</cp:lastPrinted>
  <dcterms:created xsi:type="dcterms:W3CDTF">2018-07-30T22:09:00Z</dcterms:created>
  <dcterms:modified xsi:type="dcterms:W3CDTF">2018-07-30T22:09:00Z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0x010100E2EA31D43EB7EC4B8C44239A8E4A9E6D0100CB38E12D67E42E4D84B3D88CB3A59BDB</vt:lpwstr>
  </property>
  <property fmtid="{D5CDD505-2E9C-101B-9397-08002B2CF9AE}" pid="3" name="RecordPoint_WorkflowType">
    <vt:lpwstr>ActiveSubmitStub</vt:lpwstr>
  </property>
  <property fmtid="{D5CDD505-2E9C-101B-9397-08002B2CF9AE}" pid="4" name="RecordPoint_ActiveItemSiteId">
    <vt:lpwstr>{abd38ece-07d8-48b7-85e6-163aea83b37f}</vt:lpwstr>
  </property>
  <property fmtid="{D5CDD505-2E9C-101B-9397-08002B2CF9AE}" pid="5" name="RecordPoint_ActiveItemListId">
    <vt:lpwstr>{4e6a0222-b5f9-446f-8e4a-cbce8b305cac}</vt:lpwstr>
  </property>
  <property fmtid="{D5CDD505-2E9C-101B-9397-08002B2CF9AE}" pid="6" name="RecordPoint_ActiveItemUniqueId">
    <vt:lpwstr>{1970fed6-4f2b-4108-9470-767886b97cde}</vt:lpwstr>
  </property>
  <property fmtid="{D5CDD505-2E9C-101B-9397-08002B2CF9AE}" pid="7" name="RecordPoint_ActiveItemWebId">
    <vt:lpwstr>{e0c1e391-29fd-4ceb-82b5-dfc916cb1980}</vt:lpwstr>
  </property>
  <property fmtid="{D5CDD505-2E9C-101B-9397-08002B2CF9AE}" pid="8" name="RecordPoint_SubmissionDate">
    <vt:lpwstr/>
  </property>
  <property fmtid="{D5CDD505-2E9C-101B-9397-08002B2CF9AE}" pid="9" name="RecordPoint_RecordNumberSubmitted">
    <vt:lpwstr>002313200</vt:lpwstr>
  </property>
  <property fmtid="{D5CDD505-2E9C-101B-9397-08002B2CF9AE}" pid="10" name="RecordPoint_ActiveItemMoved">
    <vt:lpwstr/>
  </property>
  <property fmtid="{D5CDD505-2E9C-101B-9397-08002B2CF9AE}" pid="11" name="RecordPoint_RecordFormat">
    <vt:lpwstr/>
  </property>
  <property fmtid="{D5CDD505-2E9C-101B-9397-08002B2CF9AE}" pid="12" name="IconOverlay">
    <vt:lpwstr/>
  </property>
  <property fmtid="{D5CDD505-2E9C-101B-9397-08002B2CF9AE}" pid="13" name="RecordPoint_SubmissionCompleted">
    <vt:lpwstr>2018-07-30T06:08:55.3058924+10:00</vt:lpwstr>
  </property>
</Properties>
</file>