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ermStart w:id="938623231" w:edGrp="everyone" w:displacedByCustomXml="next"/>
    <w:permEnd w:id="938623231" w:displacedByCustomXml="next"/>
    <w:bookmarkStart w:id="0" w:name="_GoBack" w:displacedByCustomXml="next"/>
    <w:bookmarkEnd w:id="0" w:displacedByCustomXml="next"/>
    <w:sdt>
      <w:sdtPr>
        <w:rPr>
          <w:rFonts w:eastAsia="Calibri" w:cs="Times New Roman"/>
          <w:b w:val="0"/>
          <w:bCs w:val="0"/>
          <w:caps/>
          <w:color w:val="000000"/>
          <w:sz w:val="24"/>
          <w:szCs w:val="22"/>
        </w:rPr>
        <w:id w:val="5388803"/>
        <w:docPartObj>
          <w:docPartGallery w:val="Cover Pages"/>
          <w:docPartUnique/>
        </w:docPartObj>
      </w:sdtPr>
      <w:sdtEndPr>
        <w:rPr>
          <w:caps w:val="0"/>
        </w:rPr>
      </w:sdtEndPr>
      <w:sdtContent>
        <w:p w14:paraId="6241F882" w14:textId="5CEF7A15" w:rsidR="005F2AB8" w:rsidRPr="001C3137" w:rsidRDefault="00BC2DCE" w:rsidP="1F802AF8">
          <w:pPr>
            <w:pStyle w:val="Heading1noTOC"/>
            <w:ind w:left="-284"/>
          </w:pPr>
          <w:r>
            <w:rPr>
              <w:noProof/>
              <w:color w:val="FFFFFF" w:themeColor="background2"/>
              <w:sz w:val="72"/>
            </w:rPr>
            <mc:AlternateContent>
              <mc:Choice Requires="wps">
                <w:drawing>
                  <wp:anchor distT="0" distB="0" distL="114300" distR="114300" simplePos="0" relativeHeight="251658241" behindDoc="1" locked="0" layoutInCell="1" allowOverlap="1" wp14:anchorId="59533563" wp14:editId="27B2916C">
                    <wp:simplePos x="0" y="0"/>
                    <wp:positionH relativeFrom="column">
                      <wp:posOffset>-1511935</wp:posOffset>
                    </wp:positionH>
                    <wp:positionV relativeFrom="paragraph">
                      <wp:posOffset>-697848</wp:posOffset>
                    </wp:positionV>
                    <wp:extent cx="8405495" cy="7115175"/>
                    <wp:effectExtent l="0" t="0" r="0" b="9525"/>
                    <wp:wrapNone/>
                    <wp:docPr id="40" name="Freeform 931" descr="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8405495" cy="7115175"/>
                            </a:xfrm>
                            <a:custGeom>
                              <a:avLst/>
                              <a:gdLst>
                                <a:gd name="T0" fmla="*/ 0 w 2447"/>
                                <a:gd name="T1" fmla="*/ 0 h 2181"/>
                                <a:gd name="T2" fmla="*/ 2447 w 2447"/>
                                <a:gd name="T3" fmla="*/ 0 h 2181"/>
                                <a:gd name="T4" fmla="*/ 2447 w 2447"/>
                                <a:gd name="T5" fmla="*/ 2181 h 2181"/>
                                <a:gd name="T6" fmla="*/ 2281 w 2447"/>
                                <a:gd name="T7" fmla="*/ 2181 h 2181"/>
                                <a:gd name="T8" fmla="*/ 1810 w 2447"/>
                                <a:gd name="T9" fmla="*/ 2026 h 2181"/>
                                <a:gd name="T10" fmla="*/ 1357 w 2447"/>
                                <a:gd name="T11" fmla="*/ 1909 h 2181"/>
                                <a:gd name="T12" fmla="*/ 0 w 2447"/>
                                <a:gd name="T13" fmla="*/ 1909 h 2181"/>
                                <a:gd name="T14" fmla="*/ 0 w 2447"/>
                                <a:gd name="T15" fmla="*/ 0 h 2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47" h="2181">
                                  <a:moveTo>
                                    <a:pt x="0" y="0"/>
                                  </a:moveTo>
                                  <a:cubicBezTo>
                                    <a:pt x="2447" y="0"/>
                                    <a:pt x="2447" y="0"/>
                                    <a:pt x="2447" y="0"/>
                                  </a:cubicBezTo>
                                  <a:cubicBezTo>
                                    <a:pt x="2447" y="2181"/>
                                    <a:pt x="2447" y="2181"/>
                                    <a:pt x="2447" y="2181"/>
                                  </a:cubicBezTo>
                                  <a:cubicBezTo>
                                    <a:pt x="2447" y="2181"/>
                                    <a:pt x="2339" y="2181"/>
                                    <a:pt x="2281" y="2181"/>
                                  </a:cubicBezTo>
                                  <a:cubicBezTo>
                                    <a:pt x="2040" y="2181"/>
                                    <a:pt x="1939" y="2098"/>
                                    <a:pt x="1810" y="2026"/>
                                  </a:cubicBezTo>
                                  <a:cubicBezTo>
                                    <a:pt x="1701" y="1963"/>
                                    <a:pt x="1551" y="1909"/>
                                    <a:pt x="1357" y="1909"/>
                                  </a:cubicBezTo>
                                  <a:cubicBezTo>
                                    <a:pt x="1148" y="1909"/>
                                    <a:pt x="0" y="1909"/>
                                    <a:pt x="0" y="1909"/>
                                  </a:cubicBezTo>
                                  <a:lnTo>
                                    <a:pt x="0"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C14F49" id="Freeform 931" o:spid="_x0000_s1026" alt="background" style="position:absolute;margin-left:-119.05pt;margin-top:-54.95pt;width:661.85pt;height:560.2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47,2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" path="m,c2447,,2447,,2447,v,2181,,2181,,2181c2447,2181,2339,2181,2281,2181v-241,,-342,-83,-471,-155c1701,1963,1551,1909,1357,1909v-209,,-1357,,-1357,l,xe" fillcolor="#00313c [3205]" stroked="f">
                    <v:path arrowok="t" o:connecttype="custom" o:connectlocs="0,0;8405495,0;8405495,7115175;7835282,7115175;6217387,6609511;4661323,6227817;0,6227817;0,0" o:connectangles="0,0,0,0,0,0,0,0"/>
                    <o:lock v:ext="edit" aspectratio="t"/>
                  </v:shape>
                </w:pict>
              </mc:Fallback>
            </mc:AlternateContent>
          </w:r>
          <w:r>
            <w:rPr>
              <w:noProof/>
              <w:color w:val="FFFFFF" w:themeColor="background2"/>
              <w:sz w:val="72"/>
            </w:rPr>
            <mc:AlternateContent>
              <mc:Choice Requires="wpg">
                <w:drawing>
                  <wp:anchor distT="0" distB="0" distL="114300" distR="114300" simplePos="0" relativeHeight="251658242" behindDoc="1" locked="0" layoutInCell="1" allowOverlap="1" wp14:anchorId="6191EE05" wp14:editId="08819974">
                    <wp:simplePos x="0" y="0"/>
                    <wp:positionH relativeFrom="column">
                      <wp:posOffset>-1053465</wp:posOffset>
                    </wp:positionH>
                    <wp:positionV relativeFrom="paragraph">
                      <wp:posOffset>-36813</wp:posOffset>
                    </wp:positionV>
                    <wp:extent cx="8095615" cy="1022350"/>
                    <wp:effectExtent l="0" t="0" r="635" b="6350"/>
                    <wp:wrapNone/>
                    <wp:docPr id="20"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5615" cy="1022350"/>
                              <a:chOff x="254" y="226"/>
                              <a:chExt cx="80962" cy="10224"/>
                            </a:xfrm>
                          </wpg:grpSpPr>
                          <wps:wsp>
                            <wps:cNvPr id="21" name="Freeform 70" descr="background"/>
                            <wps:cNvSpPr>
                              <a:spLocks noEditPoints="1"/>
                            </wps:cNvSpPr>
                            <wps:spPr bwMode="auto">
                              <a:xfrm>
                                <a:off x="254" y="226"/>
                                <a:ext cx="80962" cy="10224"/>
                              </a:xfrm>
                              <a:custGeom>
                                <a:avLst/>
                                <a:gdLst>
                                  <a:gd name="T0" fmla="*/ 2147483647 w 2488"/>
                                  <a:gd name="T1" fmla="*/ 2147483647 h 313"/>
                                  <a:gd name="T2" fmla="*/ 2147483647 w 2488"/>
                                  <a:gd name="T3" fmla="*/ 2147483647 h 313"/>
                                  <a:gd name="T4" fmla="*/ 2147483647 w 2488"/>
                                  <a:gd name="T5" fmla="*/ 2147483647 h 313"/>
                                  <a:gd name="T6" fmla="*/ 2147483647 w 2488"/>
                                  <a:gd name="T7" fmla="*/ 2147483647 h 313"/>
                                  <a:gd name="T8" fmla="*/ 2147483647 w 2488"/>
                                  <a:gd name="T9" fmla="*/ 2147483647 h 313"/>
                                  <a:gd name="T10" fmla="*/ 2147483647 w 2488"/>
                                  <a:gd name="T11" fmla="*/ 2147483647 h 313"/>
                                  <a:gd name="T12" fmla="*/ 2147483647 w 2488"/>
                                  <a:gd name="T13" fmla="*/ 0 h 313"/>
                                  <a:gd name="T14" fmla="*/ 0 w 2488"/>
                                  <a:gd name="T15" fmla="*/ 0 h 313"/>
                                  <a:gd name="T16" fmla="*/ 0 w 2488"/>
                                  <a:gd name="T17" fmla="*/ 2147483647 h 313"/>
                                  <a:gd name="T18" fmla="*/ 2147483647 w 2488"/>
                                  <a:gd name="T19" fmla="*/ 2147483647 h 313"/>
                                  <a:gd name="T20" fmla="*/ 2147483647 w 2488"/>
                                  <a:gd name="T21" fmla="*/ 2147483647 h 313"/>
                                  <a:gd name="T22" fmla="*/ 2147483647 w 2488"/>
                                  <a:gd name="T23" fmla="*/ 2147483647 h 313"/>
                                  <a:gd name="T24" fmla="*/ 2147483647 w 2488"/>
                                  <a:gd name="T25" fmla="*/ 2147483647 h 313"/>
                                  <a:gd name="T26" fmla="*/ 2147483647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chemeClr val="accent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71" descr="background"/>
                            <wps:cNvSpPr>
                              <a:spLocks/>
                            </wps:cNvSpPr>
                            <wps:spPr bwMode="auto">
                              <a:xfrm>
                                <a:off x="254" y="817"/>
                                <a:ext cx="58837" cy="4442"/>
                              </a:xfrm>
                              <a:custGeom>
                                <a:avLst/>
                                <a:gdLst>
                                  <a:gd name="T0" fmla="*/ 2147483647 w 1808"/>
                                  <a:gd name="T1" fmla="*/ 2147483647 h 136"/>
                                  <a:gd name="T2" fmla="*/ 2147483647 w 1808"/>
                                  <a:gd name="T3" fmla="*/ 0 h 136"/>
                                  <a:gd name="T4" fmla="*/ 0 w 1808"/>
                                  <a:gd name="T5" fmla="*/ 0 h 136"/>
                                  <a:gd name="T6" fmla="*/ 0 w 1808"/>
                                  <a:gd name="T7" fmla="*/ 2147483647 h 136"/>
                                  <a:gd name="T8" fmla="*/ 2147483647 w 1808"/>
                                  <a:gd name="T9" fmla="*/ 2147483647 h 136"/>
                                  <a:gd name="T10" fmla="*/ 2147483647 w 1808"/>
                                  <a:gd name="T11" fmla="*/ 2147483647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3" name="Group 105"/>
                            <wpg:cNvGrpSpPr>
                              <a:grpSpLocks/>
                            </wpg:cNvGrpSpPr>
                            <wpg:grpSpPr bwMode="auto">
                              <a:xfrm>
                                <a:off x="9186" y="3326"/>
                                <a:ext cx="8853" cy="1049"/>
                                <a:chOff x="6800" y="3263"/>
                                <a:chExt cx="8851" cy="1047"/>
                              </a:xfrm>
                            </wpg:grpSpPr>
                            <wps:wsp>
                              <wps:cNvPr id="24" name="Freeform 72" descr="background"/>
                              <wps:cNvSpPr>
                                <a:spLocks/>
                              </wps:cNvSpPr>
                              <wps:spPr bwMode="auto">
                                <a:xfrm>
                                  <a:off x="6800" y="3556"/>
                                  <a:ext cx="1042" cy="717"/>
                                </a:xfrm>
                                <a:custGeom>
                                  <a:avLst/>
                                  <a:gdLst>
                                    <a:gd name="T0" fmla="*/ 110421359 w 32"/>
                                    <a:gd name="T1" fmla="*/ 0 h 22"/>
                                    <a:gd name="T2" fmla="*/ 89717600 w 32"/>
                                    <a:gd name="T3" fmla="*/ 76215829 h 22"/>
                                    <a:gd name="T4" fmla="*/ 69013874 w 32"/>
                                    <a:gd name="T5" fmla="*/ 76215829 h 22"/>
                                    <a:gd name="T6" fmla="*/ 58660953 w 32"/>
                                    <a:gd name="T7" fmla="*/ 31178875 h 22"/>
                                    <a:gd name="T8" fmla="*/ 55210663 w 32"/>
                                    <a:gd name="T9" fmla="*/ 24250341 h 22"/>
                                    <a:gd name="T10" fmla="*/ 55210663 w 32"/>
                                    <a:gd name="T11" fmla="*/ 24250341 h 22"/>
                                    <a:gd name="T12" fmla="*/ 51760406 w 32"/>
                                    <a:gd name="T13" fmla="*/ 31178875 h 22"/>
                                    <a:gd name="T14" fmla="*/ 41408526 w 32"/>
                                    <a:gd name="T15" fmla="*/ 76215829 h 22"/>
                                    <a:gd name="T16" fmla="*/ 20703726 w 32"/>
                                    <a:gd name="T17" fmla="*/ 76215829 h 22"/>
                                    <a:gd name="T18" fmla="*/ 0 w 32"/>
                                    <a:gd name="T19" fmla="*/ 0 h 22"/>
                                    <a:gd name="T20" fmla="*/ 17253469 w 32"/>
                                    <a:gd name="T21" fmla="*/ 0 h 22"/>
                                    <a:gd name="T22" fmla="*/ 27605348 w 32"/>
                                    <a:gd name="T23" fmla="*/ 45036954 h 22"/>
                                    <a:gd name="T24" fmla="*/ 31055605 w 32"/>
                                    <a:gd name="T25" fmla="*/ 58893989 h 22"/>
                                    <a:gd name="T26" fmla="*/ 31055605 w 32"/>
                                    <a:gd name="T27" fmla="*/ 58893989 h 22"/>
                                    <a:gd name="T28" fmla="*/ 34506937 w 32"/>
                                    <a:gd name="T29" fmla="*/ 45036954 h 22"/>
                                    <a:gd name="T30" fmla="*/ 44858816 w 32"/>
                                    <a:gd name="T31" fmla="*/ 0 h 22"/>
                                    <a:gd name="T32" fmla="*/ 65562542 w 32"/>
                                    <a:gd name="T33" fmla="*/ 0 h 22"/>
                                    <a:gd name="T34" fmla="*/ 79365754 w 32"/>
                                    <a:gd name="T35" fmla="*/ 48500683 h 22"/>
                                    <a:gd name="T36" fmla="*/ 79365754 w 32"/>
                                    <a:gd name="T37" fmla="*/ 58893989 h 22"/>
                                    <a:gd name="T38" fmla="*/ 79365754 w 32"/>
                                    <a:gd name="T39" fmla="*/ 58893989 h 22"/>
                                    <a:gd name="T40" fmla="*/ 82816011 w 32"/>
                                    <a:gd name="T41" fmla="*/ 45036954 h 22"/>
                                    <a:gd name="T42" fmla="*/ 93167890 w 32"/>
                                    <a:gd name="T43" fmla="*/ 0 h 22"/>
                                    <a:gd name="T44" fmla="*/ 110421359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73" descr="background"/>
                              <wps:cNvSpPr>
                                <a:spLocks/>
                              </wps:cNvSpPr>
                              <wps:spPr bwMode="auto">
                                <a:xfrm>
                                  <a:off x="7969" y="3556"/>
                                  <a:ext cx="1073" cy="717"/>
                                </a:xfrm>
                                <a:custGeom>
                                  <a:avLst/>
                                  <a:gdLst>
                                    <a:gd name="T0" fmla="*/ 113457167 w 33"/>
                                    <a:gd name="T1" fmla="*/ 0 h 22"/>
                                    <a:gd name="T2" fmla="*/ 89390297 w 33"/>
                                    <a:gd name="T3" fmla="*/ 76215829 h 22"/>
                                    <a:gd name="T4" fmla="*/ 6876151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1257533 w 33"/>
                                    <a:gd name="T15" fmla="*/ 76215829 h 22"/>
                                    <a:gd name="T16" fmla="*/ 20628783 w 33"/>
                                    <a:gd name="T17" fmla="*/ 76215829 h 22"/>
                                    <a:gd name="T18" fmla="*/ 0 w 33"/>
                                    <a:gd name="T19" fmla="*/ 0 h 22"/>
                                    <a:gd name="T20" fmla="*/ 17190631 w 33"/>
                                    <a:gd name="T21" fmla="*/ 0 h 22"/>
                                    <a:gd name="T22" fmla="*/ 30943141 w 33"/>
                                    <a:gd name="T23" fmla="*/ 45036954 h 22"/>
                                    <a:gd name="T24" fmla="*/ 30943141 w 33"/>
                                    <a:gd name="T25" fmla="*/ 58893989 h 22"/>
                                    <a:gd name="T26" fmla="*/ 30943141 w 33"/>
                                    <a:gd name="T27" fmla="*/ 58893989 h 22"/>
                                    <a:gd name="T28" fmla="*/ 34381294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74" descr="background"/>
                              <wps:cNvSpPr>
                                <a:spLocks/>
                              </wps:cNvSpPr>
                              <wps:spPr bwMode="auto">
                                <a:xfrm>
                                  <a:off x="9144" y="3556"/>
                                  <a:ext cx="1073" cy="717"/>
                                </a:xfrm>
                                <a:custGeom>
                                  <a:avLst/>
                                  <a:gdLst>
                                    <a:gd name="T0" fmla="*/ 113457167 w 33"/>
                                    <a:gd name="T1" fmla="*/ 0 h 22"/>
                                    <a:gd name="T2" fmla="*/ 92828416 w 33"/>
                                    <a:gd name="T3" fmla="*/ 76215829 h 22"/>
                                    <a:gd name="T4" fmla="*/ 7219963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4695685 w 33"/>
                                    <a:gd name="T15" fmla="*/ 76215829 h 22"/>
                                    <a:gd name="T16" fmla="*/ 20628783 w 33"/>
                                    <a:gd name="T17" fmla="*/ 76215829 h 22"/>
                                    <a:gd name="T18" fmla="*/ 0 w 33"/>
                                    <a:gd name="T19" fmla="*/ 0 h 22"/>
                                    <a:gd name="T20" fmla="*/ 20628783 w 33"/>
                                    <a:gd name="T21" fmla="*/ 0 h 22"/>
                                    <a:gd name="T22" fmla="*/ 30943141 w 33"/>
                                    <a:gd name="T23" fmla="*/ 45036954 h 22"/>
                                    <a:gd name="T24" fmla="*/ 34381294 w 33"/>
                                    <a:gd name="T25" fmla="*/ 58893989 h 22"/>
                                    <a:gd name="T26" fmla="*/ 34381294 w 33"/>
                                    <a:gd name="T27" fmla="*/ 58893989 h 22"/>
                                    <a:gd name="T28" fmla="*/ 37819413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Oval 75" descr="background"/>
                              <wps:cNvSpPr>
                                <a:spLocks noChangeArrowheads="1"/>
                              </wps:cNvSpPr>
                              <wps:spPr bwMode="auto">
                                <a:xfrm>
                                  <a:off x="10312" y="4044"/>
                                  <a:ext cx="229" cy="229"/>
                                </a:xfrm>
                                <a:prstGeom prst="ellipse">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76" descr="background"/>
                              <wps:cNvSpPr>
                                <a:spLocks/>
                              </wps:cNvSpPr>
                              <wps:spPr bwMode="auto">
                                <a:xfrm>
                                  <a:off x="10674" y="3556"/>
                                  <a:ext cx="552" cy="717"/>
                                </a:xfrm>
                                <a:custGeom>
                                  <a:avLst/>
                                  <a:gdLst>
                                    <a:gd name="T0" fmla="*/ 58246975 w 17"/>
                                    <a:gd name="T1" fmla="*/ 72751024 h 22"/>
                                    <a:gd name="T2" fmla="*/ 34262867 w 17"/>
                                    <a:gd name="T3" fmla="*/ 76215829 h 22"/>
                                    <a:gd name="T4" fmla="*/ 0 w 17"/>
                                    <a:gd name="T5" fmla="*/ 41572181 h 22"/>
                                    <a:gd name="T6" fmla="*/ 37689456 w 17"/>
                                    <a:gd name="T7" fmla="*/ 0 h 22"/>
                                    <a:gd name="T8" fmla="*/ 54820354 w 17"/>
                                    <a:gd name="T9" fmla="*/ 3464805 h 22"/>
                                    <a:gd name="T10" fmla="*/ 51394804 w 17"/>
                                    <a:gd name="T11" fmla="*/ 17321840 h 22"/>
                                    <a:gd name="T12" fmla="*/ 37689456 w 17"/>
                                    <a:gd name="T13" fmla="*/ 13857035 h 22"/>
                                    <a:gd name="T14" fmla="*/ 20557519 w 17"/>
                                    <a:gd name="T15" fmla="*/ 38108452 h 22"/>
                                    <a:gd name="T16" fmla="*/ 37689456 w 17"/>
                                    <a:gd name="T17" fmla="*/ 62358794 h 22"/>
                                    <a:gd name="T18" fmla="*/ 54820354 w 17"/>
                                    <a:gd name="T19" fmla="*/ 58893989 h 22"/>
                                    <a:gd name="T20" fmla="*/ 58246975 w 17"/>
                                    <a:gd name="T21" fmla="*/ 72751024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77" descr="background"/>
                              <wps:cNvSpPr>
                                <a:spLocks/>
                              </wps:cNvSpPr>
                              <wps:spPr bwMode="auto">
                                <a:xfrm>
                                  <a:off x="11322" y="3556"/>
                                  <a:ext cx="520" cy="755"/>
                                </a:xfrm>
                                <a:custGeom>
                                  <a:avLst/>
                                  <a:gdLst>
                                    <a:gd name="T0" fmla="*/ 24062448 w 16"/>
                                    <a:gd name="T1" fmla="*/ 81425207 h 23"/>
                                    <a:gd name="T2" fmla="*/ 0 w 16"/>
                                    <a:gd name="T3" fmla="*/ 77885472 h 23"/>
                                    <a:gd name="T4" fmla="*/ 3437038 w 16"/>
                                    <a:gd name="T5" fmla="*/ 60183446 h 23"/>
                                    <a:gd name="T6" fmla="*/ 24062448 w 16"/>
                                    <a:gd name="T7" fmla="*/ 63724265 h 23"/>
                                    <a:gd name="T8" fmla="*/ 34374600 w 16"/>
                                    <a:gd name="T9" fmla="*/ 56643678 h 23"/>
                                    <a:gd name="T10" fmla="*/ 20624338 w 16"/>
                                    <a:gd name="T11" fmla="*/ 46023323 h 23"/>
                                    <a:gd name="T12" fmla="*/ 3437038 w 16"/>
                                    <a:gd name="T13" fmla="*/ 24781529 h 23"/>
                                    <a:gd name="T14" fmla="*/ 30936523 w 16"/>
                                    <a:gd name="T15" fmla="*/ 0 h 23"/>
                                    <a:gd name="T16" fmla="*/ 48123823 w 16"/>
                                    <a:gd name="T17" fmla="*/ 3539768 h 23"/>
                                    <a:gd name="T18" fmla="*/ 48123823 w 16"/>
                                    <a:gd name="T19" fmla="*/ 17700942 h 23"/>
                                    <a:gd name="T20" fmla="*/ 30936523 w 16"/>
                                    <a:gd name="T21" fmla="*/ 14161174 h 23"/>
                                    <a:gd name="T22" fmla="*/ 20624338 w 16"/>
                                    <a:gd name="T23" fmla="*/ 21241794 h 23"/>
                                    <a:gd name="T24" fmla="*/ 34374600 w 16"/>
                                    <a:gd name="T25" fmla="*/ 31862149 h 23"/>
                                    <a:gd name="T26" fmla="*/ 54998938 w 16"/>
                                    <a:gd name="T27" fmla="*/ 53103910 h 23"/>
                                    <a:gd name="T28" fmla="*/ 24062448 w 16"/>
                                    <a:gd name="T29" fmla="*/ 81425207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78" descr="background"/>
                              <wps:cNvSpPr>
                                <a:spLocks noEditPoints="1"/>
                              </wps:cNvSpPr>
                              <wps:spPr bwMode="auto">
                                <a:xfrm>
                                  <a:off x="11938" y="3263"/>
                                  <a:ext cx="298" cy="1010"/>
                                </a:xfrm>
                                <a:custGeom>
                                  <a:avLst/>
                                  <a:gdLst>
                                    <a:gd name="T0" fmla="*/ 10906436 w 9"/>
                                    <a:gd name="T1" fmla="*/ 107174195 h 31"/>
                                    <a:gd name="T2" fmla="*/ 10906436 w 9"/>
                                    <a:gd name="T3" fmla="*/ 44943860 h 31"/>
                                    <a:gd name="T4" fmla="*/ 0 w 9"/>
                                    <a:gd name="T5" fmla="*/ 44943860 h 31"/>
                                    <a:gd name="T6" fmla="*/ 0 w 9"/>
                                    <a:gd name="T7" fmla="*/ 31114646 h 31"/>
                                    <a:gd name="T8" fmla="*/ 29084966 w 9"/>
                                    <a:gd name="T9" fmla="*/ 31114646 h 31"/>
                                    <a:gd name="T10" fmla="*/ 29084966 w 9"/>
                                    <a:gd name="T11" fmla="*/ 107174195 h 31"/>
                                    <a:gd name="T12" fmla="*/ 10906436 w 9"/>
                                    <a:gd name="T13" fmla="*/ 107174195 h 31"/>
                                    <a:gd name="T14" fmla="*/ 21813997 w 9"/>
                                    <a:gd name="T15" fmla="*/ 20743804 h 31"/>
                                    <a:gd name="T16" fmla="*/ 7270968 w 9"/>
                                    <a:gd name="T17" fmla="*/ 10371885 h 31"/>
                                    <a:gd name="T18" fmla="*/ 21813997 w 9"/>
                                    <a:gd name="T19" fmla="*/ 0 h 31"/>
                                    <a:gd name="T20" fmla="*/ 32720433 w 9"/>
                                    <a:gd name="T21" fmla="*/ 10371885 h 31"/>
                                    <a:gd name="T22" fmla="*/ 21813997 w 9"/>
                                    <a:gd name="T23" fmla="*/ 20743804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79" descr="background"/>
                              <wps:cNvSpPr>
                                <a:spLocks/>
                              </wps:cNvSpPr>
                              <wps:spPr bwMode="auto">
                                <a:xfrm>
                                  <a:off x="12426" y="3556"/>
                                  <a:ext cx="426" cy="717"/>
                                </a:xfrm>
                                <a:custGeom>
                                  <a:avLst/>
                                  <a:gdLst>
                                    <a:gd name="T0" fmla="*/ 42171149 w 13"/>
                                    <a:gd name="T1" fmla="*/ 17321840 h 22"/>
                                    <a:gd name="T2" fmla="*/ 35143001 w 13"/>
                                    <a:gd name="T3" fmla="*/ 17321840 h 22"/>
                                    <a:gd name="T4" fmla="*/ 17570960 w 13"/>
                                    <a:gd name="T5" fmla="*/ 31178875 h 22"/>
                                    <a:gd name="T6" fmla="*/ 17570960 w 13"/>
                                    <a:gd name="T7" fmla="*/ 76215829 h 22"/>
                                    <a:gd name="T8" fmla="*/ 0 w 13"/>
                                    <a:gd name="T9" fmla="*/ 76215829 h 22"/>
                                    <a:gd name="T10" fmla="*/ 0 w 13"/>
                                    <a:gd name="T11" fmla="*/ 0 h 22"/>
                                    <a:gd name="T12" fmla="*/ 14057410 w 13"/>
                                    <a:gd name="T13" fmla="*/ 0 h 22"/>
                                    <a:gd name="T14" fmla="*/ 17570960 w 13"/>
                                    <a:gd name="T15" fmla="*/ 13857035 h 22"/>
                                    <a:gd name="T16" fmla="*/ 35143001 w 13"/>
                                    <a:gd name="T17" fmla="*/ 0 h 22"/>
                                    <a:gd name="T18" fmla="*/ 45685780 w 13"/>
                                    <a:gd name="T19" fmla="*/ 0 h 22"/>
                                    <a:gd name="T20" fmla="*/ 42171149 w 13"/>
                                    <a:gd name="T21" fmla="*/ 17321840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80" descr="background"/>
                              <wps:cNvSpPr>
                                <a:spLocks noEditPoints="1"/>
                              </wps:cNvSpPr>
                              <wps:spPr bwMode="auto">
                                <a:xfrm>
                                  <a:off x="12947" y="3556"/>
                                  <a:ext cx="718" cy="755"/>
                                </a:xfrm>
                                <a:custGeom>
                                  <a:avLst/>
                                  <a:gdLst>
                                    <a:gd name="T0" fmla="*/ 38214799 w 22"/>
                                    <a:gd name="T1" fmla="*/ 81425207 h 23"/>
                                    <a:gd name="T2" fmla="*/ 0 w 22"/>
                                    <a:gd name="T3" fmla="*/ 42482471 h 23"/>
                                    <a:gd name="T4" fmla="*/ 38214799 w 22"/>
                                    <a:gd name="T5" fmla="*/ 0 h 23"/>
                                    <a:gd name="T6" fmla="*/ 76428554 w 22"/>
                                    <a:gd name="T7" fmla="*/ 38942736 h 23"/>
                                    <a:gd name="T8" fmla="*/ 38214799 w 22"/>
                                    <a:gd name="T9" fmla="*/ 81425207 h 23"/>
                                    <a:gd name="T10" fmla="*/ 38214799 w 22"/>
                                    <a:gd name="T11" fmla="*/ 14161174 h 23"/>
                                    <a:gd name="T12" fmla="*/ 17370182 w 22"/>
                                    <a:gd name="T13" fmla="*/ 38942736 h 23"/>
                                    <a:gd name="T14" fmla="*/ 38214799 w 22"/>
                                    <a:gd name="T15" fmla="*/ 63724265 h 23"/>
                                    <a:gd name="T16" fmla="*/ 55583937 w 22"/>
                                    <a:gd name="T17" fmla="*/ 38942736 h 23"/>
                                    <a:gd name="T18" fmla="*/ 38214799 w 22"/>
                                    <a:gd name="T19" fmla="*/ 14161174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Oval 81" descr="background"/>
                              <wps:cNvSpPr>
                                <a:spLocks noChangeArrowheads="1"/>
                              </wps:cNvSpPr>
                              <wps:spPr bwMode="auto">
                                <a:xfrm>
                                  <a:off x="13830" y="4044"/>
                                  <a:ext cx="190" cy="229"/>
                                </a:xfrm>
                                <a:prstGeom prst="ellipse">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82" descr="background"/>
                              <wps:cNvSpPr>
                                <a:spLocks noEditPoints="1"/>
                              </wps:cNvSpPr>
                              <wps:spPr bwMode="auto">
                                <a:xfrm>
                                  <a:off x="14217" y="3556"/>
                                  <a:ext cx="584" cy="755"/>
                                </a:xfrm>
                                <a:custGeom>
                                  <a:avLst/>
                                  <a:gdLst>
                                    <a:gd name="T0" fmla="*/ 47829957 w 18"/>
                                    <a:gd name="T1" fmla="*/ 77885472 h 23"/>
                                    <a:gd name="T2" fmla="*/ 47829957 w 18"/>
                                    <a:gd name="T3" fmla="*/ 70804852 h 23"/>
                                    <a:gd name="T4" fmla="*/ 23914962 w 18"/>
                                    <a:gd name="T5" fmla="*/ 81425207 h 23"/>
                                    <a:gd name="T6" fmla="*/ 0 w 18"/>
                                    <a:gd name="T7" fmla="*/ 56643678 h 23"/>
                                    <a:gd name="T8" fmla="*/ 34164552 w 18"/>
                                    <a:gd name="T9" fmla="*/ 31862149 h 23"/>
                                    <a:gd name="T10" fmla="*/ 44413070 w 18"/>
                                    <a:gd name="T11" fmla="*/ 31862149 h 23"/>
                                    <a:gd name="T12" fmla="*/ 44413070 w 18"/>
                                    <a:gd name="T13" fmla="*/ 28321297 h 23"/>
                                    <a:gd name="T14" fmla="*/ 27330811 w 18"/>
                                    <a:gd name="T15" fmla="*/ 14161174 h 23"/>
                                    <a:gd name="T16" fmla="*/ 6832703 w 18"/>
                                    <a:gd name="T17" fmla="*/ 17700942 h 23"/>
                                    <a:gd name="T18" fmla="*/ 3416887 w 18"/>
                                    <a:gd name="T19" fmla="*/ 3539768 h 23"/>
                                    <a:gd name="T20" fmla="*/ 30747665 w 18"/>
                                    <a:gd name="T21" fmla="*/ 0 h 23"/>
                                    <a:gd name="T22" fmla="*/ 61495330 w 18"/>
                                    <a:gd name="T23" fmla="*/ 24781529 h 23"/>
                                    <a:gd name="T24" fmla="*/ 61495330 w 18"/>
                                    <a:gd name="T25" fmla="*/ 77885472 h 23"/>
                                    <a:gd name="T26" fmla="*/ 47829957 w 18"/>
                                    <a:gd name="T27" fmla="*/ 77885472 h 23"/>
                                    <a:gd name="T28" fmla="*/ 44413070 w 18"/>
                                    <a:gd name="T29" fmla="*/ 42482471 h 23"/>
                                    <a:gd name="T30" fmla="*/ 34164552 w 18"/>
                                    <a:gd name="T31" fmla="*/ 42482471 h 23"/>
                                    <a:gd name="T32" fmla="*/ 17082260 w 18"/>
                                    <a:gd name="T33" fmla="*/ 56643678 h 23"/>
                                    <a:gd name="T34" fmla="*/ 27330811 w 18"/>
                                    <a:gd name="T35" fmla="*/ 67264033 h 23"/>
                                    <a:gd name="T36" fmla="*/ 44413070 w 18"/>
                                    <a:gd name="T37" fmla="*/ 60183446 h 23"/>
                                    <a:gd name="T38" fmla="*/ 44413070 w 18"/>
                                    <a:gd name="T39" fmla="*/ 42482471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83" descr="background"/>
                              <wps:cNvSpPr>
                                <a:spLocks/>
                              </wps:cNvSpPr>
                              <wps:spPr bwMode="auto">
                                <a:xfrm>
                                  <a:off x="15030" y="3556"/>
                                  <a:ext cx="622" cy="755"/>
                                </a:xfrm>
                                <a:custGeom>
                                  <a:avLst/>
                                  <a:gdLst>
                                    <a:gd name="T0" fmla="*/ 52651580 w 19"/>
                                    <a:gd name="T1" fmla="*/ 77885472 h 23"/>
                                    <a:gd name="T2" fmla="*/ 52651580 w 19"/>
                                    <a:gd name="T3" fmla="*/ 67264033 h 23"/>
                                    <a:gd name="T4" fmla="*/ 24570899 w 19"/>
                                    <a:gd name="T5" fmla="*/ 81425207 h 23"/>
                                    <a:gd name="T6" fmla="*/ 0 w 19"/>
                                    <a:gd name="T7" fmla="*/ 49563091 h 23"/>
                                    <a:gd name="T8" fmla="*/ 0 w 19"/>
                                    <a:gd name="T9" fmla="*/ 0 h 23"/>
                                    <a:gd name="T10" fmla="*/ 17550188 w 19"/>
                                    <a:gd name="T11" fmla="*/ 0 h 23"/>
                                    <a:gd name="T12" fmla="*/ 17550188 w 19"/>
                                    <a:gd name="T13" fmla="*/ 46023323 h 23"/>
                                    <a:gd name="T14" fmla="*/ 31590529 w 19"/>
                                    <a:gd name="T15" fmla="*/ 63724265 h 23"/>
                                    <a:gd name="T16" fmla="*/ 49141765 w 19"/>
                                    <a:gd name="T17" fmla="*/ 53103910 h 23"/>
                                    <a:gd name="T18" fmla="*/ 49141765 w 19"/>
                                    <a:gd name="T19" fmla="*/ 0 h 23"/>
                                    <a:gd name="T20" fmla="*/ 66691953 w 19"/>
                                    <a:gd name="T21" fmla="*/ 0 h 23"/>
                                    <a:gd name="T22" fmla="*/ 66691953 w 19"/>
                                    <a:gd name="T23" fmla="*/ 77885472 h 23"/>
                                    <a:gd name="T24" fmla="*/ 52651580 w 19"/>
                                    <a:gd name="T25" fmla="*/ 77885472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6" name="Freeform 84"/>
                            <wps:cNvSpPr>
                              <a:spLocks/>
                            </wps:cNvSpPr>
                            <wps:spPr bwMode="auto">
                              <a:xfrm>
                                <a:off x="59091" y="912"/>
                                <a:ext cx="22125" cy="8883"/>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104" descr="background"/>
                            <wps:cNvSpPr>
                              <a:spLocks/>
                            </wps:cNvSpPr>
                            <wps:spPr bwMode="auto">
                              <a:xfrm>
                                <a:off x="59103" y="929"/>
                                <a:ext cx="22106" cy="8861"/>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C9A50" w14:textId="77777777" w:rsidR="00A264AF" w:rsidRPr="007367A7" w:rsidRDefault="00A264AF" w:rsidP="00C9058B">
                                  <w:pPr>
                                    <w:spacing w:after="60"/>
                                    <w:rPr>
                                      <w:color w:val="00A9CE" w:themeColor="accent1"/>
                                    </w:rPr>
                                  </w:pP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6191EE05" id="Group 81" o:spid="_x0000_s1026" style="position:absolute;left:0;text-align:left;margin-left:-82.95pt;margin-top:-2.9pt;width:637.45pt;height:80.5pt;z-index:-251658238;mso-width-relative:margin" coordorigin="254,226" coordsize="80962,10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">
                    <v:shape id="Freeform 70" o:spid="_x0000_s1027"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jo08QA&#10;AADbAAAADwAAAGRycy9kb3ducmV2LnhtbESPQWsCMRSE7wX/Q3iCt5p1wVK2RilioR48uBX0+Ni8&#10;7q7dvIQkuqu/3hQKPQ4z8w2zWA2mE1fyobWsYDbNQBBXVrdcKzh8fTy/gggRWWNnmRTcKMBqOXpa&#10;YKFtz3u6lrEWCcKhQAVNjK6QMlQNGQxT64iT9229wZikr6X22Ce46WSeZS/SYMtpoUFH64aqn/Ji&#10;FOBml2/n+3Pv/PHiS32357s7KTUZD+9vICIN8T/81/7UCvIZ/H5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Y6NPEAAAA2wAAAA8AAAAAAAAAAAAAAAAAmAIAAGRycy9k&#10;b3ducmV2LnhtbFBLBQYAAAAABAAEAPUAAACJAwAAAAA=&#10;" path="m2488,21v-204,,-204,,-204,c1994,21,1887,107,1808,137v97,81,229,176,470,176c2336,313,2488,313,2488,313v,-292,,-292,,-292m1354,c,,,,,,,157,,157,,157v1524,,1524,,1524,c1709,157,1769,152,1808,137v,,,,,c1808,137,1808,137,1808,137,1710,57,1548,,1354,e" fillcolor="#00242c [2405]"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28" alt="background" style="position:absolute;left:254;top:817;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zY/sQA&#10;AADbAAAADwAAAGRycy9kb3ducmV2LnhtbESPQWvCQBSE7wX/w/KE3urGVIqkriIRi7di2oPH1+xL&#10;Nm32bchuk/jvu4LQ4zAz3zCb3WRbMVDvG8cKlosEBHHpdMO1gs+P49MahA/IGlvHpOBKHnbb2cMG&#10;M+1GPtNQhFpECPsMFZgQukxKXxqy6BeuI45e5XqLIcq+lrrHMcJtK9MkeZEWG44LBjvKDZU/xa9V&#10;8Pac7If8Un2/V6vxK6/pYExxUOpxPu1fQQSawn/43j5pBWkKty/xB8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s2P7EAAAA2wAAAA8AAAAAAAAAAAAAAAAAmAIAAGRycy9k&#10;b3ducmV2LnhtbFBLBQYAAAAABAAEAPUAAACJAwAAAAA=&#10;" path="m1808,116c1698,54,1548,,1354,,,,,,,,,136,,136,,136v1524,,1524,,1524,c1709,136,1769,131,1808,116e" fillcolor="#00a9ce [3204]" stroked="f">
                      <v:path arrowok="t" o:connecttype="custom" o:connectlocs="2147483646,2147483646;2147483646,0;0,0;0,2147483646;2147483646,2147483646;2147483646,2147483646" o:connectangles="0,0,0,0,0,0"/>
                    </v:shape>
                    <v:group id="Group 105" o:spid="_x0000_s1029"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72" o:spid="_x0000_s1030"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hwGMMA&#10;AADbAAAADwAAAGRycy9kb3ducmV2LnhtbESPQYvCMBSE74L/ITzBi2i6IlK6TWV3YVE8CFYPHt82&#10;b9ti81KaqPXfG0HwOMzMN0y66k0jrtS52rKCj1kEgriwuuZSwfHwO41BOI+ssbFMCu7kYJUNBykm&#10;2t54T9fclyJA2CWooPK+TaR0RUUG3cy2xMH7t51BH2RXSt3hLcBNI+dRtJQGaw4LFbb0U1Fxzi9G&#10;we7+bfptfmova/LxHx4nZ2lJqfGo//oE4an37/CrvdEK5gt4fgk/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hwGMMAAADbAAAADwAAAAAAAAAAAAAAAACYAgAAZHJzL2Rv&#10;d25yZXYueG1sUEsFBgAAAAAEAAQA9QAAAIgDAAAAAA==&#10;" path="m32,c31,8,29,15,26,22v-6,,-6,,-6,c17,9,17,9,17,9,16,7,16,7,16,7v,,,,,c15,9,15,9,15,9,12,22,12,22,12,22v-6,,-6,,-6,c3,15,1,8,,,5,,5,,5,,6,5,7,9,8,13v1,1,1,3,1,4c9,17,9,17,9,17v1,-4,1,-4,1,-4c13,,13,,13,v6,,6,,6,c23,14,23,14,23,14v,3,,3,,3c23,17,23,17,23,17v1,-1,1,-3,1,-4c25,9,26,5,27,r5,xe" fillcolor="#00313c [3205]" stroked="f">
                        <v:path arrowok="t" o:connecttype="custom" o:connectlocs="2147483646,0;2147483646,2147483646;2147483646,2147483646;1910147282,1016147881;1797797214,790340659;1797797214,790340659;1685448220,1016147881;1348365128,2147483646;674165078,2147483646;0,0;561816084,0;898899144,1467795274;1011248138,1919408642;1011248138,1919408642;1123632136,1467795274;1460715196,0;2134880274,0;2147483646,1580681351;2147483646,1919408642;2147483646,1919408642;2147483646,1467795274;2147483646,0;2147483646,0" o:connectangles="0,0,0,0,0,0,0,0,0,0,0,0,0,0,0,0,0,0,0,0,0,0,0"/>
                      </v:shape>
                      <v:shape id="Freeform 73" o:spid="_x0000_s1031"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kCd8MA&#10;AADbAAAADwAAAGRycy9kb3ducmV2LnhtbESP0YrCMBRE3xf2H8IVfBFNFXSlGmUVCis+aLt+wKW5&#10;tsXmpjZRu39vBGEfh5k5wyzXnanFnVpXWVYwHkUgiHOrKy4UnH6T4RyE88gaa8uk4I8crFefH0uM&#10;tX1wSvfMFyJA2MWooPS+iaV0eUkG3cg2xME729agD7ItpG7xEeCmlpMomkmDFYeFEhvalpRfsptR&#10;8JXqDe0PRz+47uQ2Pc2S7OYSpfq97nsBwlPn/8Pv9o9WMJnC60v4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kCd8MAAADbAAAADwAAAAAAAAAAAAAAAACYAgAAZHJzL2Rv&#10;d25yZXYueG1sUEsFBgAAAAAEAAQA9QAAAIgDAAAAAA==&#10;" path="m33,c31,8,29,15,26,22v-6,,-6,,-6,c17,9,17,9,17,9,16,7,16,7,16,7v,,,,,c16,9,16,9,16,9,12,22,12,22,12,22v-6,,-6,,-6,c4,15,1,8,,,5,,5,,5,,6,5,7,9,9,13v,1,,3,,4c9,17,9,17,9,17v1,-4,1,-4,1,-4c14,,14,,14,v5,,5,,5,c23,14,23,14,23,14v1,3,1,3,1,3c24,17,24,17,24,17v,-1,,-3,1,-4c26,9,27,5,28,r5,xe" fillcolor="#00313c [3205]" stroked="f">
                        <v:path arrowok="t" o:connecttype="custom" o:connectlocs="2147483646,0;2147483646,2147483646;2147483646,2147483646;1900417060,1016147881;1788659916,790340659;1788659916,790340659;1788659916,1016147881;1341494937,2147483646;670748005,2147483646;0,0;558955972,0;1006120918,1467795274;1006120918,1919408642;1006120918,1919408642;1117912984,1467795274;1565077963,0;2124000086,0;2147483646,1580681351;2147483646,1919408642;2147483646,1919408642;2147483646,1467795274;2147483646,0;2147483646,0" o:connectangles="0,0,0,0,0,0,0,0,0,0,0,0,0,0,0,0,0,0,0,0,0,0,0"/>
                      </v:shape>
                      <v:shape id="Freeform 74" o:spid="_x0000_s1032"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ucAMMA&#10;AADbAAAADwAAAGRycy9kb3ducmV2LnhtbESPQYvCMBSE7wv+h/AEL4um66Er1SgqFJQ9uK3+gEfz&#10;bIvNS7eJWv/9RhA8DjPzDbNY9aYRN+pcbVnB1yQCQVxYXXOp4HRMxzMQziNrbCyTggc5WC0HHwtM&#10;tL1zRrfclyJA2CWooPK+TaR0RUUG3cS2xME7286gD7Irpe7wHuCmkdMoiqXBmsNChS1tKyou+dUo&#10;+M70hn4Ov/7zby+32SlO86tLlRoN+/UchKfev8Ov9k4rmMbw/B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ucAMMAAADbAAAADwAAAAAAAAAAAAAAAACYAgAAZHJzL2Rv&#10;d25yZXYueG1sUEsFBgAAAAAEAAQA9QAAAIgDAAAAAA==&#10;" path="m33,c31,8,29,15,27,22v-6,,-6,,-6,c17,9,17,9,17,9,16,7,16,7,16,7v,,,,,c16,9,16,9,16,9,13,22,13,22,13,22v-7,,-7,,-7,c4,15,2,8,,,6,,6,,6,,7,5,8,9,9,13v,1,,3,1,4c10,17,10,17,10,17v1,-4,1,-4,1,-4c14,,14,,14,v5,,5,,5,c23,14,23,14,23,14v1,3,1,3,1,3c24,17,24,17,24,17v,-1,1,-3,1,-4c26,9,27,5,28,r5,xe" fillcolor="#00313c [3205]" stroked="f">
                        <v:path arrowok="t" o:connecttype="custom" o:connectlocs="2147483646,0;2147483646,2147483646;2147483646,2147483646;1900417060,1016147881;1788659916,790340659;1788659916,790340659;1788659916,1016147881;1453286970,2147483646;670748005,2147483646;0,0;670748005,0;1006120918,1467795274;1117912984,1919408642;1117912984,1919408642;1229703944,1467795274;1565077963,0;2124000086,0;2147483646,1580681351;2147483646,1919408642;2147483646,1919408642;2147483646,1467795274;2147483646,0;2147483646,0" o:connectangles="0,0,0,0,0,0,0,0,0,0,0,0,0,0,0,0,0,0,0,0,0,0,0"/>
                      </v:shape>
                      <v:oval id="Oval 75" o:spid="_x0000_s1033"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AEMYA&#10;AADbAAAADwAAAGRycy9kb3ducmV2LnhtbESPQWvCQBSE7wX/w/IEL0U35tBKdBVtowg9lGoOHh/Z&#10;ZxKSfRuzq6b++m6h0OMwM98wi1VvGnGjzlWWFUwnEQji3OqKCwXZcTuegXAeWWNjmRR8k4PVcvC0&#10;wETbO3/R7eALESDsElRQet8mUrq8JINuYlvi4J1tZ9AH2RVSd3gPcNPIOIpepMGKw0KJLb2VlNeH&#10;q1FQP9L3S5weL6fn7PyRfW7q3ZRTpUbDfj0H4an3/+G/9l4riF/h90v4AX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AEMYAAADbAAAADwAAAAAAAAAAAAAAAACYAgAAZHJz&#10;L2Rvd25yZXYueG1sUEsFBgAAAAAEAAQA9QAAAIsDAAAAAA==&#10;" fillcolor="#00313c [3205]" stroked="f"/>
                      <v:shape id="Freeform 76" o:spid="_x0000_s1034"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5Mxr4A&#10;AADbAAAADwAAAGRycy9kb3ducmV2LnhtbERPy4rCMBTdD/gP4QqzG1OFEalGEUEQUcEXbi/NtQ02&#10;NyWJWufrJwvB5eG8J7PW1uJBPhjHCvq9DARx4bThUsHpuPwZgQgRWWPtmBS8KMBs2vmaYK7dk/f0&#10;OMRSpBAOOSqoYmxyKUNRkcXQcw1x4q7OW4wJ+lJqj88Ubms5yLKhtGg4NVTY0KKi4na4WwVb/HUm&#10;w9tmfTn/aV+Y5e7saqW+u+18DCJSGz/it3ulFQzS2PQl/QA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TOTMa+AAAA2wAAAA8AAAAAAAAAAAAAAAAAmAIAAGRycy9kb3ducmV2&#10;LnhtbFBLBQYAAAAABAAEAPUAAACDAwAAAAA=&#10;" path="m17,21v-3,1,-5,1,-7,1c3,22,,18,,12,,4,5,,11,v2,,4,,5,1c15,5,15,5,15,5,14,5,13,4,11,4,8,4,6,7,6,11v,5,2,7,5,7c13,18,14,18,16,17r1,4xe" fillcolor="#00313c [3205]" stroked="f">
                        <v:path arrowok="t" o:connecttype="custom" o:connectlocs="1891313541,2147483646;1112535446,2147483646;0,1354875172;1223798807,0;1780049142,112921145;1668819518,564534513;1223798807,451613368;667514735,1241989095;1223798807,2032329786;1780049142,1919408642;1891313541,2147483646" o:connectangles="0,0,0,0,0,0,0,0,0,0,0"/>
                      </v:shape>
                      <v:shape id="Freeform 77" o:spid="_x0000_s1035"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YAecMA&#10;AADbAAAADwAAAGRycy9kb3ducmV2LnhtbESPUWvCQBCE3wX/w7GCb3qp0NqmniKCEAUfjP6AJbdN&#10;0uT2Ym6r6b/vFQp9HGbmG2a1GVyr7tSH2rOBp3kCirjwtubSwPWyn72CCoJssfVMBr4pwGY9Hq0w&#10;tf7BZ7rnUqoI4ZCigUqkS7UORUUOw9x3xNH78L1DibIvte3xEeGu1YskedEOa44LFXa0q6ho8i9n&#10;4JlPx2XWXE/SFMdDmeVy+9TWmOlk2L6DEhrkP/zXzqyBxRv8fok/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YAecMAAADbAAAADwAAAAAAAAAAAAAAAACYAgAAZHJzL2Rv&#10;d25yZXYueG1sUEsFBgAAAAAEAAQA9QAAAIgDAAAAAA==&#10;" path="m7,23c5,23,3,22,,22,1,17,1,17,1,17v2,1,4,1,6,1c9,18,10,18,10,16,10,15,9,14,6,13,3,12,1,10,1,7,1,3,4,,9,v2,,4,,5,1c14,5,14,5,14,5,12,4,11,4,9,4,7,4,6,5,6,6v,2,1,2,4,3c14,10,16,12,16,15v,5,-4,8,-9,8xe" fillcolor="#00313c [3205]" stroked="f">
                        <v:path arrowok="t" o:connecttype="custom" o:connectlocs="782029560,2147483646;0,2147483646;111703735,1975587032;782029560,2091818264;1117174500,1859390300;670290985,1510765603;111703735,813480626;1005436998,0;1564024248,116196732;1564024248,581052661;1005436998,464855929;670290985,697284977;1117174500,1045909674;1787465485,1743193567;782029560,2147483646" o:connectangles="0,0,0,0,0,0,0,0,0,0,0,0,0,0,0"/>
                      </v:shape>
                      <v:shape id="Freeform 78" o:spid="_x0000_s1036"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mpdcEA&#10;AADbAAAADwAAAGRycy9kb3ducmV2LnhtbERP3WrCMBS+F/YO4Qy8EU2nTqQzyhAUQRB0PsChOUvr&#10;mpMuibW+vbkQvPz4/herztaiJR8qxwo+RhkI4sLpio2C889mOAcRIrLG2jEpuFOA1fKtt8Bcuxsf&#10;qT1FI1IIhxwVlDE2uZShKMliGLmGOHG/zluMCXojtcdbCre1HGfZTFqsODWU2NC6pOLvdLUK4mE7&#10;2Xya1k8HdfN/yS6Dq9kflOq/d99fICJ18SV+undawSStT1/SD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5qXXBAAAA2wAAAA8AAAAAAAAAAAAAAAAAmAIAAGRycy9kb3du&#10;cmV2LnhtbFBLBQYAAAAABAAEAPUAAACGAwAAAAA=&#10;" path="m3,31c3,13,3,13,3,13,,13,,13,,13,,9,,9,,9v8,,8,,8,c8,31,8,31,8,31r-5,xm6,6c4,6,2,5,2,3,2,1,4,,6,,8,,9,1,9,3,9,5,8,6,6,6xe" fillcolor="#00313c [3205]" stroked="f">
                        <v:path arrowok="t" o:connecttype="custom" o:connectlocs="361124214,2147483646;361124214,1464299955;0,1464299955;0,1013735241;963035541,1013735241;963035541,2147483646;361124214,2147483646;722285678,675846517;240749829,337922705;722285678,0;1083409893,337922705;722285678,675846517" o:connectangles="0,0,0,0,0,0,0,0,0,0,0,0"/>
                        <o:lock v:ext="edit" verticies="t"/>
                      </v:shape>
                      <v:shape id="Freeform 79" o:spid="_x0000_s1037"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4wZsIA&#10;AADbAAAADwAAAGRycy9kb3ducmV2LnhtbESPS4vCQBCE78L+h6EXvOkkLsqSdRRZDCzefIDXJtMm&#10;wUxPNjN56K93BMFjUfVVUcv1YCrRUeNKywriaQSCOLO65FzB6ZhOvkE4j6yxskwKbuRgvfoYLTHR&#10;tuc9dQefi1DCLkEFhfd1IqXLCjLoprYmDt7FNgZ9kE0udYN9KDeVnEXRQhosOSwUWNNvQdn10BoF&#10;X61Lu/hs/uenKO0u7a7X922u1Phz2PyA8DT4d/hF/+nAxfD8En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PjBmwgAAANsAAAAPAAAAAAAAAAAAAAAAAJgCAABkcnMvZG93&#10;bnJldi54bWxQSwUGAAAAAAQABAD1AAAAhwMAAAAA&#10;" path="m12,5v,,-1,,-2,c9,5,7,6,5,9v,13,,13,,13c,22,,22,,22,,,,,,,4,,4,,4,,5,4,5,4,5,4,7,1,8,,10,v1,,2,,3,l12,5xe" fillcolor="#00313c [3205]" stroked="f">
                        <v:path arrowok="t" o:connecttype="custom" o:connectlocs="1381916113,564534513;1151609110,564534513;575786843,1016147881;575786843,2147483646;0,2147483646;0,0;460650512,0;575786843,451613368;1151609110,0;1497087868,0;1381916113,564534513" o:connectangles="0,0,0,0,0,0,0,0,0,0,0"/>
                      </v:shape>
                      <v:shape id="Freeform 80" o:spid="_x0000_s1038"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fKsMA&#10;AADbAAAADwAAAGRycy9kb3ducmV2LnhtbESPQWsCMRSE7wX/Q3hCbzVbFSlboxRRLJ7U9tDeHpvX&#10;zdLNy5I81+2/b4RCj8PMfMMs14NvVU8xNYENPE4KUMRVsA3XBt7fdg9PoJIgW2wDk4EfSrBeje6W&#10;WNpw5RP1Z6lVhnAq0YAT6UqtU+XIY5qEjjh7XyF6lCxjrW3Ea4b7Vk+LYqE9NpwXHHa0cVR9ny/e&#10;QPfRb4/C2zpFV+xnOMfPXg7G3I+Hl2dQQoP8h//ar9bAbAq3L/kH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jfKsMAAADbAAAADwAAAAAAAAAAAAAAAACYAgAAZHJzL2Rv&#10;d25yZXYueG1sUEsFBgAAAAAEAAQA9QAAAIgDAAAAAA==&#10;" path="m11,23c3,23,,18,,12,,4,4,,11,v7,,11,4,11,11c22,18,18,23,11,23xm11,4c7,4,5,7,5,11v,4,2,7,6,7c15,18,16,15,16,11,16,7,15,4,11,4xe" fillcolor="#00313c [3205]" stroked="f">
                        <v:path arrowok="t" o:connecttype="custom" o:connectlocs="1247192076,2147483646;0,1394533287;1247192076,0;2147483646,1278337638;1247192076,2147483646;1247192076,464855929;566899576,1278337638;1247192076,2091818264;1814057580,1278337638;1247192076,464855929" o:connectangles="0,0,0,0,0,0,0,0,0,0"/>
                        <o:lock v:ext="edit" verticies="t"/>
                      </v:shape>
                      <v:oval id="Oval 81" o:spid="_x0000_s1039"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pQzsYA&#10;AADbAAAADwAAAGRycy9kb3ducmV2LnhtbESPQWvCQBSE74X+h+UVepG6UUEkuoraVIQeRM2hx0f2&#10;mYRk38bsVqO/visIPQ4z8w0zW3SmFhdqXWlZwaAfgSDOrC45V5Aevz4mIJxH1lhbJgU3crCYv77M&#10;MNb2ynu6HHwuAoRdjAoK75tYSpcVZND1bUMcvJNtDfog21zqFq8Bbmo5jKKxNFhyWCiwoXVBWXX4&#10;NQqqe/J5HibH808vPX2nu1W1GXCi1Ptbt5yC8NT5//CzvdUKRiN4fAk/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pQzsYAAADbAAAADwAAAAAAAAAAAAAAAACYAgAAZHJz&#10;L2Rvd25yZXYueG1sUEsFBgAAAAAEAAQA9QAAAIsDAAAAAA==&#10;" fillcolor="#00313c [3205]" stroked="f"/>
                      <v:shape id="Freeform 82" o:spid="_x0000_s1040"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ZYMQA&#10;AADbAAAADwAAAGRycy9kb3ducmV2LnhtbESPQWvCQBSE7wX/w/KEXoJutKVIdBVpEQpe2qjo8ZF9&#10;JsHs25B9avz33UKhx2FmvmEWq9416kZdqD0bmIxTUMSFtzWXBva7zWgGKgiyxcYzGXhQgNVy8LTA&#10;zPo7f9Mtl1JFCIcMDVQibaZ1KCpyGMa+JY7e2XcOJcqu1LbDe4S7Rk/T9E07rDkuVNjSe0XFJb86&#10;A3RKjnU+Sbb7j2R6cruy+RI5GPM87NdzUEK9/If/2p/WwMsr/H6JP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amWDEAAAA2wAAAA8AAAAAAAAAAAAAAAAAmAIAAGRycy9k&#10;b3ducmV2LnhtbFBLBQYAAAAABAAEAPUAAACJAwAAAAA=&#10;" path="m14,22v,-2,,-2,,-2c12,22,10,23,7,23,2,23,,20,,16,,11,4,9,10,9v3,,3,,3,c13,8,13,8,13,8,13,5,12,4,8,4,6,4,4,4,2,5,1,1,1,1,1,1,3,,6,,9,v7,,9,3,9,7c18,22,18,22,18,22r-4,xm13,12v-3,,-3,,-3,c7,12,5,14,5,16v,1,1,3,3,3c10,19,12,18,13,17r,-5xe" fillcolor="#00313c [3205]" stroked="f">
                        <v:path arrowok="t" o:connecttype="custom" o:connectlocs="1551816383,2147483646;1551816383,2147483646;775907656,2147483646;0,1859390300;1108449909,1045909674;1440957382,1045909674;1440957382,929677358;886732979,464855929;221683253,581052661;110859000,116196732;997590909,0;1995181818,813480626;1995181818,2147483646;1551816383,2147483646;1440957382,1394533287;1108449909,1394533287;554224436,1859390300;886732979,2147483646;1440957382,1975587032;1440957382,1394533287" o:connectangles="0,0,0,0,0,0,0,0,0,0,0,0,0,0,0,0,0,0,0,0"/>
                        <o:lock v:ext="edit" verticies="t"/>
                      </v:shape>
                      <v:shape id="Freeform 83" o:spid="_x0000_s1041"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nBucYA&#10;AADbAAAADwAAAGRycy9kb3ducmV2LnhtbESPQWvCQBSE7wX/w/IEL8VstNTY6CoiBCz00rQXb8/s&#10;axLMvg3ZNYn99d1CocdhZr5htvvRNKKnztWWFSyiGARxYXXNpYLPj2y+BuE8ssbGMim4k4P9bvKw&#10;xVTbgd+pz30pAoRdigoq79tUSldUZNBFtiUO3pftDPogu1LqDocAN41cxvFKGqw5LFTY0rGi4prf&#10;jILsJXl7vCYlvn5fmvE0JOc6WbVKzabjYQPC0+j/w3/tk1bw9Ay/X8IP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nBucYAAADbAAAADwAAAAAAAAAAAAAAAACYAgAAZHJz&#10;L2Rvd25yZXYueG1sUEsFBgAAAAAEAAQA9QAAAIsDAAAAAA==&#10;" path="m15,22v,-3,,-3,,-3c12,22,10,23,7,23,2,23,,19,,14,,,,,,,5,,5,,5,v,13,,13,,13c5,16,6,18,9,18v2,,3,-1,5,-3c14,,14,,14,v5,,5,,5,c19,22,19,22,19,22r-4,xe" fillcolor="#00313c [3205]" stroked="f">
                        <v:path arrowok="t" o:connecttype="custom" o:connectlocs="1723646461,2147483646;1723646461,2147483646;804373641,2147483646;0,1626962335;0,0;574537733,0;574537733,1510765603;1034174160,2091818264;1608746202,1743193567;1608746202,0;2147483646,0;2147483646,2147483646;1723646461,2147483646" o:connectangles="0,0,0,0,0,0,0,0,0,0,0,0,0"/>
                      </v:shape>
                    </v:group>
                    <v:shape id="Freeform 84" o:spid="_x0000_s1042"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Cn7MEA&#10;AADbAAAADwAAAGRycy9kb3ducmV2LnhtbESPwWrDMBBE74H+g9hCbrGchJriWgmhEHAPPdRt74u1&#10;sYytlZHU2P37KhDocZiZN0x1XOworuRD71jBNstBELdO99wp+Po8b55BhIiscXRMCn4pwPHwsKqw&#10;1G7mD7o2sRMJwqFEBSbGqZQytIYshsxNxMm7OG8xJuk7qT3OCW5HucvzQlrsOS0YnOjVUDs0P1ZB&#10;fBpdrb+tH+r3t6U2Q3FiQqXWj8vpBUSkJf6H7+1aK9gXcPuSfoA8/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Qp+zBAAAA2wAAAA8AAAAAAAAAAAAAAAAAmAIAAGRycy9kb3du&#10;cmV2LnhtbFBLBQYAAAAABAAEAPUAAACGAw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3"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gK1sUA&#10;AADbAAAADwAAAGRycy9kb3ducmV2LnhtbESP3WoCMRSE7wXfIZyCdzVphdZuN4oVXCpYimsf4LA5&#10;+0M3J8sm6urTm0LBy2FmvmHS5WBbcaLeN441PE0VCOLCmYYrDT+HzeMchA/IBlvHpOFCHpaL8SjF&#10;xLgz7+mUh0pECPsENdQhdImUvqjJop+6jjh6pesthij7SpoezxFuW/ms1Iu02HBcqLGjdU3Fb360&#10;GrZus1Vv14+vXbnOM7ULWXb4tlpPHobVO4hAQ7iH/9ufRsPsFf6+xB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OArWxQAAANsAAAAPAAAAAAAAAAAAAAAAAJgCAABkcnMv&#10;ZG93bnJldi54bWxQSwUGAAAAAAQABAD1AAAAigMAAAAA&#10;" adj="-11796480,,5400" path="m476,c186,,79,86,,116v128,73,229,156,470,156c528,272,680,272,680,272,680,,680,,680,l476,xe" fillcolor="white [3212]" stroked="f">
                      <v:stroke joinstyle="miter"/>
                      <v:formulas/>
                      <v:path arrowok="t" o:connecttype="custom" o:connectlocs="2147483646,0;0,2147483646;2147483646,2147483646;2147483646,2147483646;2147483646,0;2147483646,0" o:connectangles="0,0,0,0,0,0" textboxrect="0,0,680,272"/>
                      <v:textbox>
                        <w:txbxContent>
                          <w:p w14:paraId="7FEC9A50" w14:textId="77777777" w:rsidR="00A264AF" w:rsidRPr="007367A7" w:rsidRDefault="00A264AF" w:rsidP="00C9058B">
                            <w:pPr>
                              <w:spacing w:after="60"/>
                              <w:rPr>
                                <w:color w:val="00A9CE" w:themeColor="accent1"/>
                              </w:rPr>
                            </w:pPr>
                          </w:p>
                        </w:txbxContent>
                      </v:textbox>
                    </v:shape>
                  </v:group>
                </w:pict>
              </mc:Fallback>
            </mc:AlternateContent>
          </w:r>
          <w:r w:rsidR="00F65C78">
            <w:rPr>
              <w:noProof/>
              <w:color w:val="FFFFFF" w:themeColor="background2"/>
              <w:sz w:val="72"/>
            </w:rPr>
            <w:drawing>
              <wp:anchor distT="0" distB="0" distL="114300" distR="114300" simplePos="0" relativeHeight="251658245" behindDoc="1" locked="0" layoutInCell="1" allowOverlap="1" wp14:anchorId="33EF66FA" wp14:editId="6EE8B9F9">
                <wp:simplePos x="0" y="0"/>
                <wp:positionH relativeFrom="column">
                  <wp:posOffset>5710555</wp:posOffset>
                </wp:positionH>
                <wp:positionV relativeFrom="paragraph">
                  <wp:posOffset>87630</wp:posOffset>
                </wp:positionV>
                <wp:extent cx="893445" cy="878840"/>
                <wp:effectExtent l="0" t="0" r="0" b="0"/>
                <wp:wrapNone/>
                <wp:docPr id="38" name="Picture 40" descr="CSIR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0" descr="CSIRO logo"/>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3445" cy="8788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C9058B" w:rsidRPr="00213846">
            <w:t>Land and water</w:t>
          </w:r>
        </w:p>
        <w:p w14:paraId="50648955" w14:textId="22EDE1F4" w:rsidR="00AC6450" w:rsidRDefault="00F65C78" w:rsidP="00367D74">
          <w:pPr>
            <w:pStyle w:val="CoverTitle"/>
            <w:spacing w:after="85"/>
            <w:ind w:left="-426"/>
            <w:rPr>
              <w:color w:val="FFFFFF" w:themeColor="background2"/>
              <w:sz w:val="72"/>
            </w:rPr>
          </w:pPr>
          <w:r w:rsidRPr="00F65C78">
            <w:rPr>
              <w:color w:val="FFFFFF" w:themeColor="background2"/>
              <w:sz w:val="72"/>
            </w:rPr>
            <w:t>Technical review of physical risks to carbon sequestration under the E</w:t>
          </w:r>
          <w:r w:rsidR="002944B5">
            <w:rPr>
              <w:color w:val="FFFFFF" w:themeColor="background2"/>
              <w:sz w:val="72"/>
            </w:rPr>
            <w:t xml:space="preserve">missions </w:t>
          </w:r>
          <w:r w:rsidRPr="00F65C78">
            <w:rPr>
              <w:color w:val="FFFFFF" w:themeColor="background2"/>
              <w:sz w:val="72"/>
            </w:rPr>
            <w:t>R</w:t>
          </w:r>
          <w:r w:rsidR="002944B5">
            <w:rPr>
              <w:color w:val="FFFFFF" w:themeColor="background2"/>
              <w:sz w:val="72"/>
            </w:rPr>
            <w:t xml:space="preserve">eduction </w:t>
          </w:r>
          <w:r w:rsidRPr="00F65C78">
            <w:rPr>
              <w:color w:val="FFFFFF" w:themeColor="background2"/>
              <w:sz w:val="72"/>
            </w:rPr>
            <w:t>F</w:t>
          </w:r>
          <w:r w:rsidR="002944B5">
            <w:rPr>
              <w:color w:val="FFFFFF" w:themeColor="background2"/>
              <w:sz w:val="72"/>
            </w:rPr>
            <w:t>und (ERF)</w:t>
          </w:r>
        </w:p>
        <w:p w14:paraId="28E3A285" w14:textId="66F87DE6" w:rsidR="005F2AB8" w:rsidRPr="00585C0D" w:rsidRDefault="001E77DE" w:rsidP="00367D74">
          <w:pPr>
            <w:pStyle w:val="CoverTitle"/>
            <w:spacing w:after="85"/>
            <w:ind w:left="-426"/>
            <w:rPr>
              <w:color w:val="FFFFFF" w:themeColor="background2"/>
            </w:rPr>
          </w:pPr>
          <w:r w:rsidRPr="00C4571C">
            <w:rPr>
              <w:color w:val="FFFFFF" w:themeColor="background2"/>
              <w:sz w:val="72"/>
            </w:rPr>
            <w:t xml:space="preserve"> </w:t>
          </w:r>
        </w:p>
        <w:p w14:paraId="3FDE8E4D" w14:textId="521B8FA9" w:rsidR="005F2AB8" w:rsidRPr="00585C0D" w:rsidRDefault="005F2AB8" w:rsidP="00C9058B">
          <w:pPr>
            <w:pStyle w:val="CoverSubtitle"/>
            <w:spacing w:after="85"/>
            <w:rPr>
              <w:color w:val="FFFFFF" w:themeColor="background2"/>
            </w:rPr>
          </w:pPr>
        </w:p>
        <w:p w14:paraId="5805EC79" w14:textId="60341CF7" w:rsidR="00C9058B" w:rsidRPr="00585C0D" w:rsidRDefault="00F65C78" w:rsidP="00367D74">
          <w:pPr>
            <w:pStyle w:val="BodyText"/>
            <w:spacing w:before="60" w:after="60"/>
            <w:ind w:left="-426"/>
            <w:rPr>
              <w:color w:val="FFFFFF" w:themeColor="background2"/>
            </w:rPr>
          </w:pPr>
          <w:r>
            <w:rPr>
              <w:color w:val="FFFFFF" w:themeColor="background1"/>
            </w:rPr>
            <w:t>Stephen Roxburgh, Keryn Paul, Libby Pinkard</w:t>
          </w:r>
          <w:r w:rsidR="005F2AB8" w:rsidRPr="00585C0D">
            <w:rPr>
              <w:color w:val="FFFFFF" w:themeColor="background2"/>
            </w:rPr>
            <w:br/>
          </w:r>
          <w:r w:rsidR="00C9058B">
            <w:rPr>
              <w:color w:val="FFFFFF" w:themeColor="background2"/>
            </w:rPr>
            <w:fldChar w:fldCharType="begin"/>
          </w:r>
          <w:r w:rsidR="00C9058B">
            <w:rPr>
              <w:color w:val="FFFFFF" w:themeColor="background2"/>
            </w:rPr>
            <w:instrText xml:space="preserve"> DATE  \@ "d MMMM yyyy"  \* MERGEFORMAT </w:instrText>
          </w:r>
          <w:r w:rsidR="00C9058B">
            <w:rPr>
              <w:color w:val="FFFFFF" w:themeColor="background2"/>
            </w:rPr>
            <w:fldChar w:fldCharType="separate"/>
          </w:r>
          <w:r w:rsidR="000651DF">
            <w:rPr>
              <w:noProof/>
              <w:color w:val="FFFFFF" w:themeColor="background2"/>
            </w:rPr>
            <w:t>9 October 2020</w:t>
          </w:r>
          <w:r w:rsidR="00C9058B">
            <w:rPr>
              <w:color w:val="FFFFFF" w:themeColor="background2"/>
            </w:rPr>
            <w:fldChar w:fldCharType="end"/>
          </w:r>
        </w:p>
        <w:p w14:paraId="764DC940" w14:textId="28B4EFC4" w:rsidR="005F2AB8" w:rsidRPr="00585C0D" w:rsidRDefault="00367D74" w:rsidP="00C9058B">
          <w:pPr>
            <w:pStyle w:val="BodyText"/>
            <w:spacing w:before="60" w:after="60"/>
            <w:rPr>
              <w:color w:val="FFFFFF" w:themeColor="background2"/>
            </w:rPr>
          </w:pPr>
          <w:r>
            <w:rPr>
              <w:noProof/>
            </w:rPr>
            <mc:AlternateContent>
              <mc:Choice Requires="wps">
                <w:drawing>
                  <wp:anchor distT="0" distB="0" distL="114300" distR="114300" simplePos="0" relativeHeight="251658246" behindDoc="0" locked="0" layoutInCell="1" allowOverlap="1" wp14:anchorId="57556082" wp14:editId="7133868E">
                    <wp:simplePos x="0" y="0"/>
                    <wp:positionH relativeFrom="column">
                      <wp:posOffset>-1548130</wp:posOffset>
                    </wp:positionH>
                    <wp:positionV relativeFrom="paragraph">
                      <wp:posOffset>157480</wp:posOffset>
                    </wp:positionV>
                    <wp:extent cx="8443595" cy="1584325"/>
                    <wp:effectExtent l="0" t="0" r="0" b="0"/>
                    <wp:wrapNone/>
                    <wp:docPr id="41" name="Freeform 932"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8443595" cy="1584325"/>
                            </a:xfrm>
                            <a:custGeom>
                              <a:avLst/>
                              <a:gdLst>
                                <a:gd name="T0" fmla="*/ 1655 w 2447"/>
                                <a:gd name="T1" fmla="*/ 228 h 456"/>
                                <a:gd name="T2" fmla="*/ 1811 w 2447"/>
                                <a:gd name="T3" fmla="*/ 298 h 456"/>
                                <a:gd name="T4" fmla="*/ 1897 w 2447"/>
                                <a:gd name="T5" fmla="*/ 171 h 456"/>
                                <a:gd name="T6" fmla="*/ 1897 w 2447"/>
                                <a:gd name="T7" fmla="*/ 258 h 456"/>
                                <a:gd name="T8" fmla="*/ 1810 w 2447"/>
                                <a:gd name="T9" fmla="*/ 120 h 456"/>
                                <a:gd name="T10" fmla="*/ 1655 w 2447"/>
                                <a:gd name="T11" fmla="*/ 138 h 456"/>
                                <a:gd name="T12" fmla="*/ 1811 w 2447"/>
                                <a:gd name="T13" fmla="*/ 116 h 456"/>
                                <a:gd name="T14" fmla="*/ 600 w 2447"/>
                                <a:gd name="T15" fmla="*/ 0 h 456"/>
                                <a:gd name="T16" fmla="*/ 13 w 2447"/>
                                <a:gd name="T17" fmla="*/ 0 h 456"/>
                                <a:gd name="T18" fmla="*/ 4 w 2447"/>
                                <a:gd name="T19" fmla="*/ 3 h 456"/>
                                <a:gd name="T20" fmla="*/ 1357 w 2447"/>
                                <a:gd name="T21" fmla="*/ 3 h 456"/>
                                <a:gd name="T22" fmla="*/ 1357 w 2447"/>
                                <a:gd name="T23" fmla="*/ 91 h 456"/>
                                <a:gd name="T24" fmla="*/ 183 w 2447"/>
                                <a:gd name="T25" fmla="*/ 91 h 456"/>
                                <a:gd name="T26" fmla="*/ 0 w 2447"/>
                                <a:gd name="T27" fmla="*/ 91 h 456"/>
                                <a:gd name="T28" fmla="*/ 1357 w 2447"/>
                                <a:gd name="T29" fmla="*/ 94 h 456"/>
                                <a:gd name="T30" fmla="*/ 1527 w 2447"/>
                                <a:gd name="T31" fmla="*/ 136 h 456"/>
                                <a:gd name="T32" fmla="*/ 57 w 2447"/>
                                <a:gd name="T33" fmla="*/ 136 h 456"/>
                                <a:gd name="T34" fmla="*/ 0 w 2447"/>
                                <a:gd name="T35" fmla="*/ 139 h 456"/>
                                <a:gd name="T36" fmla="*/ 1646 w 2447"/>
                                <a:gd name="T37" fmla="*/ 138 h 456"/>
                                <a:gd name="T38" fmla="*/ 1357 w 2447"/>
                                <a:gd name="T39" fmla="*/ 181 h 456"/>
                                <a:gd name="T40" fmla="*/ 183 w 2447"/>
                                <a:gd name="T41" fmla="*/ 181 h 456"/>
                                <a:gd name="T42" fmla="*/ 0 w 2447"/>
                                <a:gd name="T43" fmla="*/ 181 h 456"/>
                                <a:gd name="T44" fmla="*/ 1357 w 2447"/>
                                <a:gd name="T45" fmla="*/ 184 h 456"/>
                                <a:gd name="T46" fmla="*/ 1527 w 2447"/>
                                <a:gd name="T47" fmla="*/ 227 h 456"/>
                                <a:gd name="T48" fmla="*/ 57 w 2447"/>
                                <a:gd name="T49" fmla="*/ 227 h 456"/>
                                <a:gd name="T50" fmla="*/ 0 w 2447"/>
                                <a:gd name="T51" fmla="*/ 230 h 456"/>
                                <a:gd name="T52" fmla="*/ 1646 w 2447"/>
                                <a:gd name="T53" fmla="*/ 229 h 456"/>
                                <a:gd name="T54" fmla="*/ 1527 w 2447"/>
                                <a:gd name="T55" fmla="*/ 317 h 456"/>
                                <a:gd name="T56" fmla="*/ 57 w 2447"/>
                                <a:gd name="T57" fmla="*/ 317 h 456"/>
                                <a:gd name="T58" fmla="*/ 0 w 2447"/>
                                <a:gd name="T59" fmla="*/ 320 h 456"/>
                                <a:gd name="T60" fmla="*/ 1810 w 2447"/>
                                <a:gd name="T61" fmla="*/ 301 h 456"/>
                                <a:gd name="T62" fmla="*/ 2447 w 2447"/>
                                <a:gd name="T63" fmla="*/ 456 h 456"/>
                                <a:gd name="T64" fmla="*/ 2281 w 2447"/>
                                <a:gd name="T65" fmla="*/ 453 h 456"/>
                                <a:gd name="T66" fmla="*/ 2281 w 2447"/>
                                <a:gd name="T67" fmla="*/ 366 h 456"/>
                                <a:gd name="T68" fmla="*/ 2447 w 2447"/>
                                <a:gd name="T69" fmla="*/ 363 h 456"/>
                                <a:gd name="T70" fmla="*/ 1900 w 2447"/>
                                <a:gd name="T71" fmla="*/ 260 h 456"/>
                                <a:gd name="T72" fmla="*/ 2281 w 2447"/>
                                <a:gd name="T73" fmla="*/ 275 h 456"/>
                                <a:gd name="T74" fmla="*/ 2447 w 2447"/>
                                <a:gd name="T75" fmla="*/ 272 h 456"/>
                                <a:gd name="T76" fmla="*/ 2002 w 2447"/>
                                <a:gd name="T77" fmla="*/ 221 h 456"/>
                                <a:gd name="T78" fmla="*/ 2447 w 2447"/>
                                <a:gd name="T79" fmla="*/ 181 h 456"/>
                                <a:gd name="T80" fmla="*/ 1900 w 2447"/>
                                <a:gd name="T81" fmla="*/ 169 h 456"/>
                                <a:gd name="T82" fmla="*/ 2447 w 2447"/>
                                <a:gd name="T83" fmla="*/ 94 h 456"/>
                                <a:gd name="T84" fmla="*/ 1969 w 2447"/>
                                <a:gd name="T85" fmla="*/ 138 h 456"/>
                                <a:gd name="T86" fmla="*/ 1970 w 2447"/>
                                <a:gd name="T87" fmla="*/ 50 h 456"/>
                                <a:gd name="T88" fmla="*/ 2447 w 2447"/>
                                <a:gd name="T89"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447" h="456">
                                  <a:moveTo>
                                    <a:pt x="2447" y="453"/>
                                  </a:moveTo>
                                  <a:cubicBezTo>
                                    <a:pt x="2447" y="453"/>
                                    <a:pt x="2447" y="453"/>
                                    <a:pt x="2447" y="453"/>
                                  </a:cubicBezTo>
                                  <a:moveTo>
                                    <a:pt x="1655" y="228"/>
                                  </a:moveTo>
                                  <a:cubicBezTo>
                                    <a:pt x="1743" y="226"/>
                                    <a:pt x="1782" y="221"/>
                                    <a:pt x="1810" y="211"/>
                                  </a:cubicBezTo>
                                  <a:cubicBezTo>
                                    <a:pt x="1839" y="227"/>
                                    <a:pt x="1866" y="243"/>
                                    <a:pt x="1893" y="259"/>
                                  </a:cubicBezTo>
                                  <a:cubicBezTo>
                                    <a:pt x="1860" y="275"/>
                                    <a:pt x="1834" y="289"/>
                                    <a:pt x="1811" y="298"/>
                                  </a:cubicBezTo>
                                  <a:cubicBezTo>
                                    <a:pt x="1766" y="272"/>
                                    <a:pt x="1714" y="248"/>
                                    <a:pt x="1655" y="228"/>
                                  </a:cubicBezTo>
                                  <a:moveTo>
                                    <a:pt x="1814" y="209"/>
                                  </a:moveTo>
                                  <a:cubicBezTo>
                                    <a:pt x="1838" y="200"/>
                                    <a:pt x="1864" y="186"/>
                                    <a:pt x="1897" y="171"/>
                                  </a:cubicBezTo>
                                  <a:cubicBezTo>
                                    <a:pt x="1927" y="188"/>
                                    <a:pt x="1959" y="205"/>
                                    <a:pt x="1993" y="220"/>
                                  </a:cubicBezTo>
                                  <a:cubicBezTo>
                                    <a:pt x="1985" y="223"/>
                                    <a:pt x="1977" y="226"/>
                                    <a:pt x="1969" y="228"/>
                                  </a:cubicBezTo>
                                  <a:cubicBezTo>
                                    <a:pt x="1942" y="238"/>
                                    <a:pt x="1918" y="248"/>
                                    <a:pt x="1897" y="258"/>
                                  </a:cubicBezTo>
                                  <a:cubicBezTo>
                                    <a:pt x="1869" y="242"/>
                                    <a:pt x="1842" y="225"/>
                                    <a:pt x="1814" y="209"/>
                                  </a:cubicBezTo>
                                  <a:moveTo>
                                    <a:pt x="1655" y="138"/>
                                  </a:moveTo>
                                  <a:cubicBezTo>
                                    <a:pt x="1743" y="136"/>
                                    <a:pt x="1782" y="130"/>
                                    <a:pt x="1810" y="120"/>
                                  </a:cubicBezTo>
                                  <a:cubicBezTo>
                                    <a:pt x="1839" y="136"/>
                                    <a:pt x="1866" y="153"/>
                                    <a:pt x="1893" y="169"/>
                                  </a:cubicBezTo>
                                  <a:cubicBezTo>
                                    <a:pt x="1860" y="184"/>
                                    <a:pt x="1834" y="198"/>
                                    <a:pt x="1811" y="207"/>
                                  </a:cubicBezTo>
                                  <a:cubicBezTo>
                                    <a:pt x="1766" y="182"/>
                                    <a:pt x="1714" y="157"/>
                                    <a:pt x="1655" y="138"/>
                                  </a:cubicBezTo>
                                  <a:moveTo>
                                    <a:pt x="2287" y="0"/>
                                  </a:moveTo>
                                  <a:cubicBezTo>
                                    <a:pt x="2142" y="0"/>
                                    <a:pt x="2042" y="21"/>
                                    <a:pt x="1969" y="47"/>
                                  </a:cubicBezTo>
                                  <a:cubicBezTo>
                                    <a:pt x="1897" y="72"/>
                                    <a:pt x="1850" y="101"/>
                                    <a:pt x="1811" y="116"/>
                                  </a:cubicBezTo>
                                  <a:cubicBezTo>
                                    <a:pt x="1701" y="54"/>
                                    <a:pt x="1551" y="0"/>
                                    <a:pt x="1357" y="0"/>
                                  </a:cubicBezTo>
                                  <a:cubicBezTo>
                                    <a:pt x="1357" y="0"/>
                                    <a:pt x="1357" y="0"/>
                                    <a:pt x="1357" y="0"/>
                                  </a:cubicBezTo>
                                  <a:cubicBezTo>
                                    <a:pt x="1252" y="0"/>
                                    <a:pt x="913" y="0"/>
                                    <a:pt x="600" y="0"/>
                                  </a:cubicBezTo>
                                  <a:cubicBezTo>
                                    <a:pt x="444" y="0"/>
                                    <a:pt x="294" y="0"/>
                                    <a:pt x="183" y="0"/>
                                  </a:cubicBezTo>
                                  <a:cubicBezTo>
                                    <a:pt x="128" y="0"/>
                                    <a:pt x="82" y="0"/>
                                    <a:pt x="50" y="0"/>
                                  </a:cubicBezTo>
                                  <a:cubicBezTo>
                                    <a:pt x="34" y="0"/>
                                    <a:pt x="22" y="0"/>
                                    <a:pt x="13" y="0"/>
                                  </a:cubicBezTo>
                                  <a:cubicBezTo>
                                    <a:pt x="5" y="0"/>
                                    <a:pt x="0" y="0"/>
                                    <a:pt x="0" y="0"/>
                                  </a:cubicBezTo>
                                  <a:cubicBezTo>
                                    <a:pt x="0" y="3"/>
                                    <a:pt x="0" y="3"/>
                                    <a:pt x="0" y="3"/>
                                  </a:cubicBezTo>
                                  <a:cubicBezTo>
                                    <a:pt x="0" y="3"/>
                                    <a:pt x="2" y="3"/>
                                    <a:pt x="4" y="3"/>
                                  </a:cubicBezTo>
                                  <a:cubicBezTo>
                                    <a:pt x="6" y="3"/>
                                    <a:pt x="9" y="3"/>
                                    <a:pt x="13" y="3"/>
                                  </a:cubicBezTo>
                                  <a:cubicBezTo>
                                    <a:pt x="77" y="3"/>
                                    <a:pt x="364" y="3"/>
                                    <a:pt x="659" y="3"/>
                                  </a:cubicBezTo>
                                  <a:cubicBezTo>
                                    <a:pt x="955" y="3"/>
                                    <a:pt x="1259" y="3"/>
                                    <a:pt x="1357" y="3"/>
                                  </a:cubicBezTo>
                                  <a:cubicBezTo>
                                    <a:pt x="1549" y="3"/>
                                    <a:pt x="1698" y="56"/>
                                    <a:pt x="1807" y="118"/>
                                  </a:cubicBezTo>
                                  <a:cubicBezTo>
                                    <a:pt x="1778" y="128"/>
                                    <a:pt x="1738" y="133"/>
                                    <a:pt x="1646" y="135"/>
                                  </a:cubicBezTo>
                                  <a:cubicBezTo>
                                    <a:pt x="1564" y="108"/>
                                    <a:pt x="1467" y="91"/>
                                    <a:pt x="1357" y="91"/>
                                  </a:cubicBezTo>
                                  <a:cubicBezTo>
                                    <a:pt x="1357" y="91"/>
                                    <a:pt x="1357" y="91"/>
                                    <a:pt x="1357" y="91"/>
                                  </a:cubicBezTo>
                                  <a:cubicBezTo>
                                    <a:pt x="1252" y="91"/>
                                    <a:pt x="913" y="91"/>
                                    <a:pt x="600" y="91"/>
                                  </a:cubicBezTo>
                                  <a:cubicBezTo>
                                    <a:pt x="444" y="91"/>
                                    <a:pt x="294" y="91"/>
                                    <a:pt x="183" y="91"/>
                                  </a:cubicBezTo>
                                  <a:cubicBezTo>
                                    <a:pt x="128" y="91"/>
                                    <a:pt x="82" y="91"/>
                                    <a:pt x="50" y="91"/>
                                  </a:cubicBezTo>
                                  <a:cubicBezTo>
                                    <a:pt x="34" y="91"/>
                                    <a:pt x="22" y="91"/>
                                    <a:pt x="13" y="91"/>
                                  </a:cubicBezTo>
                                  <a:cubicBezTo>
                                    <a:pt x="5" y="91"/>
                                    <a:pt x="0" y="91"/>
                                    <a:pt x="0" y="91"/>
                                  </a:cubicBezTo>
                                  <a:cubicBezTo>
                                    <a:pt x="0" y="94"/>
                                    <a:pt x="0" y="94"/>
                                    <a:pt x="0" y="94"/>
                                  </a:cubicBezTo>
                                  <a:cubicBezTo>
                                    <a:pt x="0" y="94"/>
                                    <a:pt x="5" y="94"/>
                                    <a:pt x="13" y="94"/>
                                  </a:cubicBezTo>
                                  <a:cubicBezTo>
                                    <a:pt x="140" y="94"/>
                                    <a:pt x="1161" y="94"/>
                                    <a:pt x="1357" y="94"/>
                                  </a:cubicBezTo>
                                  <a:cubicBezTo>
                                    <a:pt x="1463" y="94"/>
                                    <a:pt x="1556" y="110"/>
                                    <a:pt x="1637" y="135"/>
                                  </a:cubicBezTo>
                                  <a:cubicBezTo>
                                    <a:pt x="1606" y="136"/>
                                    <a:pt x="1571" y="136"/>
                                    <a:pt x="1528" y="136"/>
                                  </a:cubicBezTo>
                                  <a:cubicBezTo>
                                    <a:pt x="1528" y="136"/>
                                    <a:pt x="1527" y="136"/>
                                    <a:pt x="1527" y="136"/>
                                  </a:cubicBezTo>
                                  <a:cubicBezTo>
                                    <a:pt x="1423" y="136"/>
                                    <a:pt x="1041" y="136"/>
                                    <a:pt x="685" y="136"/>
                                  </a:cubicBezTo>
                                  <a:cubicBezTo>
                                    <a:pt x="508" y="136"/>
                                    <a:pt x="336" y="136"/>
                                    <a:pt x="210" y="136"/>
                                  </a:cubicBezTo>
                                  <a:cubicBezTo>
                                    <a:pt x="146" y="136"/>
                                    <a:pt x="94" y="136"/>
                                    <a:pt x="57" y="136"/>
                                  </a:cubicBezTo>
                                  <a:cubicBezTo>
                                    <a:pt x="39" y="136"/>
                                    <a:pt x="25" y="136"/>
                                    <a:pt x="15" y="136"/>
                                  </a:cubicBezTo>
                                  <a:cubicBezTo>
                                    <a:pt x="6" y="136"/>
                                    <a:pt x="0" y="136"/>
                                    <a:pt x="0" y="136"/>
                                  </a:cubicBezTo>
                                  <a:cubicBezTo>
                                    <a:pt x="0" y="139"/>
                                    <a:pt x="0" y="139"/>
                                    <a:pt x="0" y="139"/>
                                  </a:cubicBezTo>
                                  <a:cubicBezTo>
                                    <a:pt x="0" y="139"/>
                                    <a:pt x="330" y="139"/>
                                    <a:pt x="685" y="139"/>
                                  </a:cubicBezTo>
                                  <a:cubicBezTo>
                                    <a:pt x="1041" y="139"/>
                                    <a:pt x="1423" y="139"/>
                                    <a:pt x="1527" y="139"/>
                                  </a:cubicBezTo>
                                  <a:cubicBezTo>
                                    <a:pt x="1574" y="139"/>
                                    <a:pt x="1613" y="139"/>
                                    <a:pt x="1646" y="138"/>
                                  </a:cubicBezTo>
                                  <a:cubicBezTo>
                                    <a:pt x="1707" y="158"/>
                                    <a:pt x="1761" y="182"/>
                                    <a:pt x="1807" y="209"/>
                                  </a:cubicBezTo>
                                  <a:cubicBezTo>
                                    <a:pt x="1778" y="219"/>
                                    <a:pt x="1738" y="224"/>
                                    <a:pt x="1646" y="226"/>
                                  </a:cubicBezTo>
                                  <a:cubicBezTo>
                                    <a:pt x="1564" y="199"/>
                                    <a:pt x="1467" y="181"/>
                                    <a:pt x="1357" y="181"/>
                                  </a:cubicBezTo>
                                  <a:cubicBezTo>
                                    <a:pt x="1357" y="181"/>
                                    <a:pt x="1357" y="181"/>
                                    <a:pt x="1357" y="181"/>
                                  </a:cubicBezTo>
                                  <a:cubicBezTo>
                                    <a:pt x="1252" y="181"/>
                                    <a:pt x="913" y="181"/>
                                    <a:pt x="600" y="181"/>
                                  </a:cubicBezTo>
                                  <a:cubicBezTo>
                                    <a:pt x="444" y="181"/>
                                    <a:pt x="294" y="181"/>
                                    <a:pt x="183" y="181"/>
                                  </a:cubicBezTo>
                                  <a:cubicBezTo>
                                    <a:pt x="128" y="181"/>
                                    <a:pt x="82" y="181"/>
                                    <a:pt x="50" y="181"/>
                                  </a:cubicBezTo>
                                  <a:cubicBezTo>
                                    <a:pt x="34" y="181"/>
                                    <a:pt x="22" y="181"/>
                                    <a:pt x="13" y="181"/>
                                  </a:cubicBezTo>
                                  <a:cubicBezTo>
                                    <a:pt x="5" y="181"/>
                                    <a:pt x="0" y="181"/>
                                    <a:pt x="0" y="181"/>
                                  </a:cubicBezTo>
                                  <a:cubicBezTo>
                                    <a:pt x="0" y="184"/>
                                    <a:pt x="0" y="184"/>
                                    <a:pt x="0" y="184"/>
                                  </a:cubicBezTo>
                                  <a:cubicBezTo>
                                    <a:pt x="0" y="184"/>
                                    <a:pt x="5" y="184"/>
                                    <a:pt x="13" y="184"/>
                                  </a:cubicBezTo>
                                  <a:cubicBezTo>
                                    <a:pt x="140" y="184"/>
                                    <a:pt x="1161" y="184"/>
                                    <a:pt x="1357" y="184"/>
                                  </a:cubicBezTo>
                                  <a:cubicBezTo>
                                    <a:pt x="1463" y="184"/>
                                    <a:pt x="1556" y="201"/>
                                    <a:pt x="1637" y="226"/>
                                  </a:cubicBezTo>
                                  <a:cubicBezTo>
                                    <a:pt x="1606" y="226"/>
                                    <a:pt x="1570" y="227"/>
                                    <a:pt x="1528" y="227"/>
                                  </a:cubicBezTo>
                                  <a:cubicBezTo>
                                    <a:pt x="1528" y="227"/>
                                    <a:pt x="1527" y="227"/>
                                    <a:pt x="1527" y="227"/>
                                  </a:cubicBezTo>
                                  <a:cubicBezTo>
                                    <a:pt x="1423" y="227"/>
                                    <a:pt x="1041" y="227"/>
                                    <a:pt x="685" y="227"/>
                                  </a:cubicBezTo>
                                  <a:cubicBezTo>
                                    <a:pt x="508" y="227"/>
                                    <a:pt x="336" y="227"/>
                                    <a:pt x="210" y="227"/>
                                  </a:cubicBezTo>
                                  <a:cubicBezTo>
                                    <a:pt x="146" y="227"/>
                                    <a:pt x="94" y="227"/>
                                    <a:pt x="57" y="227"/>
                                  </a:cubicBezTo>
                                  <a:cubicBezTo>
                                    <a:pt x="39" y="227"/>
                                    <a:pt x="25" y="227"/>
                                    <a:pt x="15" y="227"/>
                                  </a:cubicBezTo>
                                  <a:cubicBezTo>
                                    <a:pt x="6" y="227"/>
                                    <a:pt x="0" y="227"/>
                                    <a:pt x="0" y="227"/>
                                  </a:cubicBezTo>
                                  <a:cubicBezTo>
                                    <a:pt x="0" y="230"/>
                                    <a:pt x="0" y="230"/>
                                    <a:pt x="0" y="230"/>
                                  </a:cubicBezTo>
                                  <a:cubicBezTo>
                                    <a:pt x="0" y="230"/>
                                    <a:pt x="0" y="230"/>
                                    <a:pt x="0" y="230"/>
                                  </a:cubicBezTo>
                                  <a:cubicBezTo>
                                    <a:pt x="0" y="230"/>
                                    <a:pt x="1318" y="230"/>
                                    <a:pt x="1527" y="230"/>
                                  </a:cubicBezTo>
                                  <a:cubicBezTo>
                                    <a:pt x="1574" y="230"/>
                                    <a:pt x="1613" y="229"/>
                                    <a:pt x="1646" y="229"/>
                                  </a:cubicBezTo>
                                  <a:cubicBezTo>
                                    <a:pt x="1707" y="248"/>
                                    <a:pt x="1761" y="273"/>
                                    <a:pt x="1807" y="299"/>
                                  </a:cubicBezTo>
                                  <a:cubicBezTo>
                                    <a:pt x="1768" y="313"/>
                                    <a:pt x="1707" y="317"/>
                                    <a:pt x="1528" y="317"/>
                                  </a:cubicBezTo>
                                  <a:cubicBezTo>
                                    <a:pt x="1528" y="317"/>
                                    <a:pt x="1527" y="317"/>
                                    <a:pt x="1527" y="317"/>
                                  </a:cubicBezTo>
                                  <a:cubicBezTo>
                                    <a:pt x="1423" y="317"/>
                                    <a:pt x="1041" y="317"/>
                                    <a:pt x="685" y="317"/>
                                  </a:cubicBezTo>
                                  <a:cubicBezTo>
                                    <a:pt x="508" y="317"/>
                                    <a:pt x="336" y="317"/>
                                    <a:pt x="210" y="317"/>
                                  </a:cubicBezTo>
                                  <a:cubicBezTo>
                                    <a:pt x="146" y="317"/>
                                    <a:pt x="94" y="317"/>
                                    <a:pt x="57" y="317"/>
                                  </a:cubicBezTo>
                                  <a:cubicBezTo>
                                    <a:pt x="39" y="317"/>
                                    <a:pt x="25" y="317"/>
                                    <a:pt x="15" y="317"/>
                                  </a:cubicBezTo>
                                  <a:cubicBezTo>
                                    <a:pt x="6" y="317"/>
                                    <a:pt x="0" y="317"/>
                                    <a:pt x="0" y="317"/>
                                  </a:cubicBezTo>
                                  <a:cubicBezTo>
                                    <a:pt x="0" y="320"/>
                                    <a:pt x="0" y="320"/>
                                    <a:pt x="0" y="320"/>
                                  </a:cubicBezTo>
                                  <a:cubicBezTo>
                                    <a:pt x="0" y="320"/>
                                    <a:pt x="0" y="320"/>
                                    <a:pt x="0" y="320"/>
                                  </a:cubicBezTo>
                                  <a:cubicBezTo>
                                    <a:pt x="0" y="320"/>
                                    <a:pt x="1318" y="320"/>
                                    <a:pt x="1527" y="320"/>
                                  </a:cubicBezTo>
                                  <a:cubicBezTo>
                                    <a:pt x="1710" y="320"/>
                                    <a:pt x="1771" y="316"/>
                                    <a:pt x="1810" y="301"/>
                                  </a:cubicBezTo>
                                  <a:cubicBezTo>
                                    <a:pt x="1938" y="374"/>
                                    <a:pt x="2040" y="456"/>
                                    <a:pt x="2281" y="456"/>
                                  </a:cubicBezTo>
                                  <a:cubicBezTo>
                                    <a:pt x="2281" y="456"/>
                                    <a:pt x="2281" y="456"/>
                                    <a:pt x="2281" y="456"/>
                                  </a:cubicBezTo>
                                  <a:cubicBezTo>
                                    <a:pt x="2339" y="456"/>
                                    <a:pt x="2447" y="456"/>
                                    <a:pt x="2447" y="456"/>
                                  </a:cubicBezTo>
                                  <a:cubicBezTo>
                                    <a:pt x="2447" y="453"/>
                                    <a:pt x="2447" y="453"/>
                                    <a:pt x="2447" y="453"/>
                                  </a:cubicBezTo>
                                  <a:cubicBezTo>
                                    <a:pt x="2447" y="453"/>
                                    <a:pt x="2447" y="453"/>
                                    <a:pt x="2447" y="453"/>
                                  </a:cubicBezTo>
                                  <a:cubicBezTo>
                                    <a:pt x="2447" y="453"/>
                                    <a:pt x="2339" y="453"/>
                                    <a:pt x="2281" y="453"/>
                                  </a:cubicBezTo>
                                  <a:cubicBezTo>
                                    <a:pt x="2042" y="453"/>
                                    <a:pt x="1941" y="372"/>
                                    <a:pt x="1814" y="300"/>
                                  </a:cubicBezTo>
                                  <a:cubicBezTo>
                                    <a:pt x="1838" y="290"/>
                                    <a:pt x="1864" y="276"/>
                                    <a:pt x="1897" y="261"/>
                                  </a:cubicBezTo>
                                  <a:cubicBezTo>
                                    <a:pt x="1992" y="317"/>
                                    <a:pt x="2095" y="366"/>
                                    <a:pt x="2281" y="366"/>
                                  </a:cubicBezTo>
                                  <a:cubicBezTo>
                                    <a:pt x="2281" y="366"/>
                                    <a:pt x="2281" y="366"/>
                                    <a:pt x="2281" y="366"/>
                                  </a:cubicBezTo>
                                  <a:cubicBezTo>
                                    <a:pt x="2339" y="366"/>
                                    <a:pt x="2447" y="366"/>
                                    <a:pt x="2447" y="366"/>
                                  </a:cubicBezTo>
                                  <a:cubicBezTo>
                                    <a:pt x="2447" y="363"/>
                                    <a:pt x="2447" y="363"/>
                                    <a:pt x="2447" y="363"/>
                                  </a:cubicBezTo>
                                  <a:cubicBezTo>
                                    <a:pt x="2447" y="363"/>
                                    <a:pt x="2447" y="363"/>
                                    <a:pt x="2447" y="363"/>
                                  </a:cubicBezTo>
                                  <a:cubicBezTo>
                                    <a:pt x="2447" y="363"/>
                                    <a:pt x="2339" y="363"/>
                                    <a:pt x="2281" y="363"/>
                                  </a:cubicBezTo>
                                  <a:cubicBezTo>
                                    <a:pt x="2097" y="363"/>
                                    <a:pt x="1995" y="315"/>
                                    <a:pt x="1900" y="260"/>
                                  </a:cubicBezTo>
                                  <a:cubicBezTo>
                                    <a:pt x="1920" y="250"/>
                                    <a:pt x="1944" y="240"/>
                                    <a:pt x="1970" y="231"/>
                                  </a:cubicBezTo>
                                  <a:cubicBezTo>
                                    <a:pt x="1979" y="228"/>
                                    <a:pt x="1988" y="225"/>
                                    <a:pt x="1997" y="222"/>
                                  </a:cubicBezTo>
                                  <a:cubicBezTo>
                                    <a:pt x="2070" y="253"/>
                                    <a:pt x="2157" y="275"/>
                                    <a:pt x="2281" y="275"/>
                                  </a:cubicBezTo>
                                  <a:cubicBezTo>
                                    <a:pt x="2281" y="275"/>
                                    <a:pt x="2281" y="275"/>
                                    <a:pt x="2281" y="275"/>
                                  </a:cubicBezTo>
                                  <a:cubicBezTo>
                                    <a:pt x="2339" y="275"/>
                                    <a:pt x="2447" y="275"/>
                                    <a:pt x="2447" y="275"/>
                                  </a:cubicBezTo>
                                  <a:cubicBezTo>
                                    <a:pt x="2447" y="272"/>
                                    <a:pt x="2447" y="272"/>
                                    <a:pt x="2447" y="272"/>
                                  </a:cubicBezTo>
                                  <a:cubicBezTo>
                                    <a:pt x="2447" y="272"/>
                                    <a:pt x="2447" y="272"/>
                                    <a:pt x="2447" y="272"/>
                                  </a:cubicBezTo>
                                  <a:cubicBezTo>
                                    <a:pt x="2447" y="272"/>
                                    <a:pt x="2339" y="272"/>
                                    <a:pt x="2281" y="272"/>
                                  </a:cubicBezTo>
                                  <a:cubicBezTo>
                                    <a:pt x="2159" y="272"/>
                                    <a:pt x="2074" y="251"/>
                                    <a:pt x="2002" y="221"/>
                                  </a:cubicBezTo>
                                  <a:cubicBezTo>
                                    <a:pt x="2071" y="200"/>
                                    <a:pt x="2162" y="184"/>
                                    <a:pt x="2287" y="184"/>
                                  </a:cubicBezTo>
                                  <a:cubicBezTo>
                                    <a:pt x="2334" y="184"/>
                                    <a:pt x="2447" y="184"/>
                                    <a:pt x="2447" y="184"/>
                                  </a:cubicBezTo>
                                  <a:cubicBezTo>
                                    <a:pt x="2447" y="181"/>
                                    <a:pt x="2447" y="181"/>
                                    <a:pt x="2447" y="181"/>
                                  </a:cubicBezTo>
                                  <a:cubicBezTo>
                                    <a:pt x="2447" y="181"/>
                                    <a:pt x="2334" y="181"/>
                                    <a:pt x="2287" y="181"/>
                                  </a:cubicBezTo>
                                  <a:cubicBezTo>
                                    <a:pt x="2160" y="181"/>
                                    <a:pt x="2068" y="198"/>
                                    <a:pt x="1998" y="219"/>
                                  </a:cubicBezTo>
                                  <a:cubicBezTo>
                                    <a:pt x="1963" y="204"/>
                                    <a:pt x="1931" y="187"/>
                                    <a:pt x="1900" y="169"/>
                                  </a:cubicBezTo>
                                  <a:cubicBezTo>
                                    <a:pt x="1920" y="160"/>
                                    <a:pt x="1944" y="150"/>
                                    <a:pt x="1970" y="140"/>
                                  </a:cubicBezTo>
                                  <a:cubicBezTo>
                                    <a:pt x="2043" y="115"/>
                                    <a:pt x="2142" y="94"/>
                                    <a:pt x="2287" y="94"/>
                                  </a:cubicBezTo>
                                  <a:cubicBezTo>
                                    <a:pt x="2334" y="94"/>
                                    <a:pt x="2447" y="94"/>
                                    <a:pt x="2447" y="94"/>
                                  </a:cubicBezTo>
                                  <a:cubicBezTo>
                                    <a:pt x="2447" y="91"/>
                                    <a:pt x="2447" y="91"/>
                                    <a:pt x="2447" y="91"/>
                                  </a:cubicBezTo>
                                  <a:cubicBezTo>
                                    <a:pt x="2447" y="91"/>
                                    <a:pt x="2334" y="91"/>
                                    <a:pt x="2287" y="91"/>
                                  </a:cubicBezTo>
                                  <a:cubicBezTo>
                                    <a:pt x="2142" y="91"/>
                                    <a:pt x="2042" y="112"/>
                                    <a:pt x="1969" y="138"/>
                                  </a:cubicBezTo>
                                  <a:cubicBezTo>
                                    <a:pt x="1942" y="147"/>
                                    <a:pt x="1918" y="157"/>
                                    <a:pt x="1897" y="167"/>
                                  </a:cubicBezTo>
                                  <a:cubicBezTo>
                                    <a:pt x="1869" y="151"/>
                                    <a:pt x="1842" y="135"/>
                                    <a:pt x="1814" y="118"/>
                                  </a:cubicBezTo>
                                  <a:cubicBezTo>
                                    <a:pt x="1853" y="103"/>
                                    <a:pt x="1899" y="74"/>
                                    <a:pt x="1970" y="50"/>
                                  </a:cubicBezTo>
                                  <a:cubicBezTo>
                                    <a:pt x="2043" y="24"/>
                                    <a:pt x="2142" y="3"/>
                                    <a:pt x="2287" y="3"/>
                                  </a:cubicBezTo>
                                  <a:cubicBezTo>
                                    <a:pt x="2334" y="3"/>
                                    <a:pt x="2447" y="3"/>
                                    <a:pt x="2447" y="3"/>
                                  </a:cubicBezTo>
                                  <a:cubicBezTo>
                                    <a:pt x="2447" y="0"/>
                                    <a:pt x="2447" y="0"/>
                                    <a:pt x="2447" y="0"/>
                                  </a:cubicBezTo>
                                  <a:cubicBezTo>
                                    <a:pt x="2447" y="0"/>
                                    <a:pt x="2334" y="0"/>
                                    <a:pt x="2287" y="0"/>
                                  </a:cubicBezTo>
                                </a:path>
                              </a:pathLst>
                            </a:custGeom>
                            <a:solidFill>
                              <a:srgbClr val="00A9CE">
                                <a:lumMod val="100000"/>
                                <a:lumOff val="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68A8FD1" id="Freeform 932" o:spid="_x0000_s1026" alt="background" style="position:absolute;margin-left:-121.9pt;margin-top:12.4pt;width:664.85pt;height:124.75pt;z-index:251658246;visibility:visible;mso-wrap-style:square;mso-wrap-distance-left:9pt;mso-wrap-distance-top:0;mso-wrap-distance-right:9pt;mso-wrap-distance-bottom:0;mso-position-horizontal:absolute;mso-position-horizontal-relative:text;mso-position-vertical:absolute;mso-position-vertical-relative:text;v-text-anchor:top" coordsize="2447,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" path="m2447,453v,,,,,m1655,228v88,-2,127,-7,155,-17c1839,227,1866,243,1893,259v-33,16,-59,30,-82,39c1766,272,1714,248,1655,228t159,-19c1838,200,1864,186,1897,171v30,17,62,34,96,49c1985,223,1977,226,1969,228v-27,10,-51,20,-72,30c1869,242,1842,225,1814,209m1655,138v88,-2,127,-8,155,-18c1839,136,1866,153,1893,169v-33,15,-59,29,-82,38c1766,182,1714,157,1655,138m2287,c2142,,2042,21,1969,47v-72,25,-119,54,-158,69c1701,54,1551,,1357,v,,,,,c1252,,913,,600,,444,,294,,183,,128,,82,,50,,34,,22,,13,,5,,,,,,,3,,3,,3v,,2,,4,c6,3,9,3,13,3v64,,351,,646,c955,3,1259,3,1357,3v192,,341,53,450,115c1778,128,1738,133,1646,135,1564,108,1467,91,1357,91v,,,,,c1252,91,913,91,600,91v-156,,-306,,-417,c128,91,82,91,50,91v-16,,-28,,-37,c5,91,,91,,91v,3,,3,,3c,94,5,94,13,94v127,,1148,,1344,c1463,94,1556,110,1637,135v-31,1,-66,1,-109,1c1528,136,1527,136,1527,136v-104,,-486,,-842,c508,136,336,136,210,136v-64,,-116,,-153,c39,136,25,136,15,136v-9,,-15,,-15,c,139,,139,,139v,,330,,685,c1041,139,1423,139,1527,139v47,,86,,119,-1c1707,158,1761,182,1807,209v-29,10,-69,15,-161,17c1564,199,1467,181,1357,181v,,,,,c1252,181,913,181,600,181v-156,,-306,,-417,c128,181,82,181,50,181v-16,,-28,,-37,c5,181,,181,,181v,3,,3,,3c,184,5,184,13,184v127,,1148,,1344,c1463,184,1556,201,1637,226v-31,,-67,1,-109,1c1528,227,1527,227,1527,227v-104,,-486,,-842,c508,227,336,227,210,227v-64,,-116,,-153,c39,227,25,227,15,227v-9,,-15,,-15,c,230,,230,,230v,,,,,c,230,1318,230,1527,230v47,,86,-1,119,-1c1707,248,1761,273,1807,299v-39,14,-100,18,-279,18c1528,317,1527,317,1527,317v-104,,-486,,-842,c508,317,336,317,210,317v-64,,-116,,-153,c39,317,25,317,15,317v-9,,-15,,-15,c,320,,320,,320v,,,,,c,320,1318,320,1527,320v183,,244,-4,283,-19c1938,374,2040,456,2281,456v,,,,,c2339,456,2447,456,2447,456v,-3,,-3,,-3c2447,453,2447,453,2447,453v,,-108,,-166,c2042,453,1941,372,1814,300v24,-10,50,-24,83,-39c1992,317,2095,366,2281,366v,,,,,c2339,366,2447,366,2447,366v,-3,,-3,,-3c2447,363,2447,363,2447,363v,,-108,,-166,c2097,363,1995,315,1900,260v20,-10,44,-20,70,-29c1979,228,1988,225,1997,222v73,31,160,53,284,53c2281,275,2281,275,2281,275v58,,166,,166,c2447,272,2447,272,2447,272v,,,,,c2447,272,2339,272,2281,272v-122,,-207,-21,-279,-51c2071,200,2162,184,2287,184v47,,160,,160,c2447,181,2447,181,2447,181v,,-113,,-160,c2160,181,2068,198,1998,219v-35,-15,-67,-32,-98,-50c1920,160,1944,150,1970,140v73,-25,172,-46,317,-46c2334,94,2447,94,2447,94v,-3,,-3,,-3c2447,91,2334,91,2287,91v-145,,-245,21,-318,47c1942,147,1918,157,1897,167v-28,-16,-55,-32,-83,-49c1853,103,1899,74,1970,50,2043,24,2142,3,2287,3v47,,160,,160,c2447,,2447,,2447,v,,-113,,-160,e" fillcolor="#00a9ce" stroked="f">
                    <v:path arrowok="t" o:connecttype="custom" o:connectlocs="5710727,792163;6249019,1035370;6545770,594122;6545770,896394;6245569,416928;5710727,479467;6249019,403030;2070354,0;44858,0;13802,10423;4682451,10423;4682451,316170;631458,316170;0,316170;4682451,326593;5269052,472518;196684,472518;0,482941;5679672,479467;4682451,628866;631458,628866;0,628866;4682451,639289;5269052,788688;196684,788688;0,799111;5679672,795637;5269052,1101384;196684,1101384;0,1111807;6245569,1045793;8443595,1584325;7870797,1573902;7870797,1271629;8443595,1261206;6556122,903343;7870797,955459;8443595,945036;6908082,767842;8443595,628866;6556122,587173;8443595,326593;6794213,479467;6797663,173720;8443595,0" o:connectangles="0,0,0,0,0,0,0,0,0,0,0,0,0,0,0,0,0,0,0,0,0,0,0,0,0,0,0,0,0,0,0,0,0,0,0,0,0,0,0,0,0,0,0,0,0"/>
                    <o:lock v:ext="edit" verticies="t"/>
                  </v:shape>
                </w:pict>
              </mc:Fallback>
            </mc:AlternateContent>
          </w:r>
        </w:p>
        <w:p w14:paraId="212EA0A7" w14:textId="1C70A69F" w:rsidR="005F2AB8" w:rsidRDefault="005F2AB8" w:rsidP="00C9058B">
          <w:pPr>
            <w:pStyle w:val="BodyText"/>
            <w:spacing w:before="60" w:after="60"/>
          </w:pPr>
        </w:p>
        <w:p w14:paraId="14D5D8A6" w14:textId="5859CBDD" w:rsidR="005F2AB8" w:rsidRPr="005F2AB8" w:rsidRDefault="00860B18" w:rsidP="005F2AB8">
          <w:pPr>
            <w:pStyle w:val="BodyText"/>
            <w:spacing w:before="60" w:after="60"/>
          </w:pPr>
          <w:r w:rsidRPr="0099210B">
            <w:rPr>
              <w:noProof/>
            </w:rPr>
            <w:drawing>
              <wp:anchor distT="0" distB="0" distL="114300" distR="114300" simplePos="0" relativeHeight="251658244" behindDoc="0" locked="0" layoutInCell="1" allowOverlap="1" wp14:anchorId="491DFE02" wp14:editId="60BDF496">
                <wp:simplePos x="0" y="0"/>
                <wp:positionH relativeFrom="page">
                  <wp:align>left</wp:align>
                </wp:positionH>
                <wp:positionV relativeFrom="page">
                  <wp:posOffset>6075485</wp:posOffset>
                </wp:positionV>
                <wp:extent cx="7605690" cy="4620455"/>
                <wp:effectExtent l="0" t="0" r="0" b="889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
                          <a:extLst>
                            <a:ext uri="{28A0092B-C50C-407E-A947-70E740481C1C}">
                              <a14:useLocalDpi xmlns:a14="http://schemas.microsoft.com/office/drawing/2010/main" val="0"/>
                            </a:ext>
                          </a:extLst>
                        </a:blip>
                        <a:srcRect l="581" t="18785" r="833" b="5835"/>
                        <a:stretch/>
                      </pic:blipFill>
                      <pic:spPr bwMode="auto">
                        <a:xfrm>
                          <a:off x="0" y="0"/>
                          <a:ext cx="7605690" cy="462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22B0">
            <w:rPr>
              <w:noProof/>
            </w:rPr>
            <mc:AlternateContent>
              <mc:Choice Requires="wps">
                <w:drawing>
                  <wp:anchor distT="0" distB="0" distL="114300" distR="114300" simplePos="0" relativeHeight="251658247" behindDoc="1" locked="1" layoutInCell="1" allowOverlap="1" wp14:anchorId="2496E88E" wp14:editId="725D1A32">
                    <wp:simplePos x="0" y="0"/>
                    <wp:positionH relativeFrom="column">
                      <wp:posOffset>762000</wp:posOffset>
                    </wp:positionH>
                    <wp:positionV relativeFrom="page">
                      <wp:posOffset>8915400</wp:posOffset>
                    </wp:positionV>
                    <wp:extent cx="8438515" cy="4988560"/>
                    <wp:effectExtent l="0" t="0" r="635" b="2540"/>
                    <wp:wrapNone/>
                    <wp:docPr id="1" name="Freeform 954" descr="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8438515" cy="4988560"/>
                            </a:xfrm>
                            <a:custGeom>
                              <a:avLst/>
                              <a:gdLst>
                                <a:gd name="T0" fmla="*/ 0 w 2447"/>
                                <a:gd name="T1" fmla="*/ 1431 h 1431"/>
                                <a:gd name="T2" fmla="*/ 2447 w 2447"/>
                                <a:gd name="T3" fmla="*/ 1431 h 1431"/>
                                <a:gd name="T4" fmla="*/ 2447 w 2447"/>
                                <a:gd name="T5" fmla="*/ 272 h 1431"/>
                                <a:gd name="T6" fmla="*/ 2281 w 2447"/>
                                <a:gd name="T7" fmla="*/ 272 h 1431"/>
                                <a:gd name="T8" fmla="*/ 1810 w 2447"/>
                                <a:gd name="T9" fmla="*/ 117 h 1431"/>
                                <a:gd name="T10" fmla="*/ 1357 w 2447"/>
                                <a:gd name="T11" fmla="*/ 0 h 1431"/>
                                <a:gd name="T12" fmla="*/ 0 w 2447"/>
                                <a:gd name="T13" fmla="*/ 0 h 1431"/>
                                <a:gd name="T14" fmla="*/ 0 w 2447"/>
                                <a:gd name="T15" fmla="*/ 1431 h 143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47" h="1431">
                                  <a:moveTo>
                                    <a:pt x="0" y="1431"/>
                                  </a:moveTo>
                                  <a:cubicBezTo>
                                    <a:pt x="2447" y="1431"/>
                                    <a:pt x="2447" y="1431"/>
                                    <a:pt x="2447" y="1431"/>
                                  </a:cubicBezTo>
                                  <a:cubicBezTo>
                                    <a:pt x="2447" y="272"/>
                                    <a:pt x="2447" y="272"/>
                                    <a:pt x="2447" y="272"/>
                                  </a:cubicBezTo>
                                  <a:cubicBezTo>
                                    <a:pt x="2447" y="272"/>
                                    <a:pt x="2339" y="272"/>
                                    <a:pt x="2281" y="272"/>
                                  </a:cubicBezTo>
                                  <a:cubicBezTo>
                                    <a:pt x="2040" y="272"/>
                                    <a:pt x="1939" y="189"/>
                                    <a:pt x="1810" y="117"/>
                                  </a:cubicBezTo>
                                  <a:cubicBezTo>
                                    <a:pt x="1701" y="54"/>
                                    <a:pt x="1551" y="0"/>
                                    <a:pt x="1357" y="0"/>
                                  </a:cubicBezTo>
                                  <a:cubicBezTo>
                                    <a:pt x="1148" y="0"/>
                                    <a:pt x="0" y="0"/>
                                    <a:pt x="0" y="0"/>
                                  </a:cubicBezTo>
                                  <a:cubicBezTo>
                                    <a:pt x="0" y="1431"/>
                                    <a:pt x="0" y="1431"/>
                                    <a:pt x="0" y="1431"/>
                                  </a:cubicBezTo>
                                </a:path>
                              </a:pathLst>
                            </a:custGeom>
                            <a:solidFill>
                              <a:srgbClr val="FFFFFF">
                                <a:lumMod val="100000"/>
                                <a:lumOff val="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8B9DE" id="Freeform 954" o:spid="_x0000_s1026" alt="background" style="position:absolute;margin-left:60pt;margin-top:702pt;width:664.45pt;height:392.8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7,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" path="m,1431v2447,,2447,,2447,c2447,272,2447,272,2447,272v,,-108,,-166,c2040,272,1939,189,1810,117,1701,54,1551,,1357,,1148,,,,,,,1431,,1431,,1431e" stroked="f">
                    <v:path arrowok="t" o:connecttype="custom" o:connectlocs="0,4988560;8438515,4988560;8438515,948210;7866062,948210;6241811,407870;4679634,0;0,0;0,4988560" o:connectangles="0,0,0,0,0,0,0,0"/>
                    <o:lock v:ext="edit" aspectratio="t"/>
                    <w10:wrap anchory="page"/>
                    <w10:anchorlock/>
                  </v:shape>
                </w:pict>
              </mc:Fallback>
            </mc:AlternateContent>
          </w:r>
          <w:r w:rsidR="005F2AB8">
            <w:br w:type="page"/>
          </w:r>
        </w:p>
      </w:sdtContent>
    </w:sdt>
    <w:p w14:paraId="77E7F9B4" w14:textId="41403FAD" w:rsidR="009553CD" w:rsidRPr="009C27D2" w:rsidRDefault="009553CD" w:rsidP="009553CD">
      <w:pPr>
        <w:pStyle w:val="BodyText"/>
      </w:pPr>
      <w:r w:rsidRPr="009C27D2">
        <w:lastRenderedPageBreak/>
        <w:t>CSIRO Land and Water</w:t>
      </w:r>
    </w:p>
    <w:p w14:paraId="19635917" w14:textId="77777777" w:rsidR="009553CD" w:rsidRPr="009C27D2" w:rsidRDefault="009553CD" w:rsidP="009553CD">
      <w:pPr>
        <w:pStyle w:val="VersoPageHeading"/>
      </w:pPr>
      <w:r w:rsidRPr="009C27D2">
        <w:t>Citation</w:t>
      </w:r>
    </w:p>
    <w:p w14:paraId="135D9403" w14:textId="4B604E5D" w:rsidR="009553CD" w:rsidRPr="00F444B7" w:rsidRDefault="009553CD" w:rsidP="009553CD">
      <w:pPr>
        <w:pStyle w:val="BodyText"/>
      </w:pPr>
      <w:r w:rsidRPr="009C27D2">
        <w:t xml:space="preserve">Roxburgh, S.H., Paul, K., </w:t>
      </w:r>
      <w:r>
        <w:t xml:space="preserve">Pinkard, L. </w:t>
      </w:r>
      <w:r w:rsidRPr="009C27D2">
        <w:t xml:space="preserve">(2020) </w:t>
      </w:r>
      <w:r w:rsidRPr="009553CD">
        <w:t>Technical review of physical risks to carbon sequestration under the Emissions Reduction Fund (ERF)</w:t>
      </w:r>
      <w:r w:rsidRPr="009C27D2">
        <w:t xml:space="preserve">. Final Report to </w:t>
      </w:r>
      <w:r w:rsidR="00187AAD" w:rsidRPr="009C27D2">
        <w:t>the</w:t>
      </w:r>
      <w:r w:rsidRPr="009C27D2">
        <w:t xml:space="preserve"> </w:t>
      </w:r>
      <w:r>
        <w:t>Climate Change Authority</w:t>
      </w:r>
      <w:r w:rsidRPr="009C27D2">
        <w:t>. CSIRO, Australia.</w:t>
      </w:r>
      <w:r w:rsidRPr="00E825CA">
        <w:t xml:space="preserve"> </w:t>
      </w:r>
    </w:p>
    <w:p w14:paraId="78425678" w14:textId="484DDDBF" w:rsidR="00A943B2" w:rsidRPr="00F444B7" w:rsidRDefault="00EB2BD1" w:rsidP="1AE8EEF9">
      <w:pPr>
        <w:pStyle w:val="BodyText"/>
        <w:rPr>
          <w:highlight w:val="yellow"/>
        </w:rPr>
      </w:pPr>
      <w:r>
        <w:rPr>
          <w:rStyle w:val="eop"/>
          <w:rFonts w:cs="Calibri"/>
          <w:shd w:val="clear" w:color="auto" w:fill="FFFFFF"/>
        </w:rPr>
        <w:t> </w:t>
      </w:r>
    </w:p>
    <w:p w14:paraId="23FC24E5" w14:textId="77777777" w:rsidR="00A943B2" w:rsidRDefault="00A943B2" w:rsidP="00D1044D">
      <w:pPr>
        <w:pStyle w:val="VersoPageHeading"/>
      </w:pPr>
      <w:r>
        <w:t xml:space="preserve">Copyright </w:t>
      </w:r>
    </w:p>
    <w:p w14:paraId="1B201CDE" w14:textId="65E83FCF" w:rsidR="00A943B2" w:rsidRDefault="004D7860" w:rsidP="00DC2413">
      <w:pPr>
        <w:pStyle w:val="BodyText"/>
      </w:pPr>
      <w:r w:rsidRPr="004D7860">
        <w:t xml:space="preserve">© Commonwealth Scientific and Industrial Research Organisation </w:t>
      </w:r>
      <w:r>
        <w:t>20</w:t>
      </w:r>
      <w:r w:rsidR="765344AF">
        <w:t>20.</w:t>
      </w:r>
      <w:r>
        <w:t xml:space="preserve"> </w:t>
      </w:r>
      <w:r w:rsidR="00A943B2">
        <w:t>To the extent permitted by law, all rights are reserved and no part of this publication covered by copyright may be reproduced or copied in any form or by any means except with the written permission of CSIRO.</w:t>
      </w:r>
    </w:p>
    <w:p w14:paraId="3A00228D" w14:textId="77777777" w:rsidR="00A943B2" w:rsidRDefault="00A943B2" w:rsidP="00D1044D">
      <w:pPr>
        <w:pStyle w:val="VersoPageHeading"/>
      </w:pPr>
      <w:r>
        <w:t>Important disclaimer</w:t>
      </w:r>
    </w:p>
    <w:p w14:paraId="323A5404" w14:textId="77777777" w:rsidR="00A943B2" w:rsidRDefault="00A943B2" w:rsidP="00DC2413">
      <w:pPr>
        <w:pStyle w:val="BodyText"/>
      </w:pPr>
      <w: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02B5DA4D" w14:textId="74DCAA75" w:rsidR="002F6753" w:rsidRDefault="002F6753" w:rsidP="00DC2413">
      <w:pPr>
        <w:pStyle w:val="BodyText"/>
        <w:sectPr w:rsidR="002F6753" w:rsidSect="005D5D01">
          <w:headerReference w:type="even" r:id="rId14"/>
          <w:headerReference w:type="default" r:id="rId15"/>
          <w:footerReference w:type="even" r:id="rId16"/>
          <w:footerReference w:type="default" r:id="rId17"/>
          <w:headerReference w:type="first" r:id="rId18"/>
          <w:footerReference w:type="first" r:id="rId19"/>
          <w:type w:val="continuous"/>
          <w:pgSz w:w="11906" w:h="16838" w:code="9"/>
          <w:pgMar w:top="1106" w:right="1134" w:bottom="1134" w:left="1134" w:header="510" w:footer="624" w:gutter="0"/>
          <w:pgNumType w:fmt="lowerRoman" w:start="1"/>
          <w:cols w:space="284"/>
          <w:titlePg/>
          <w:docGrid w:linePitch="360"/>
        </w:sectPr>
      </w:pPr>
      <w:r>
        <w:t>CSIRO i</w:t>
      </w:r>
      <w:r w:rsidRPr="002F6753">
        <w:t>s committed to providing web accessible content wherever possible. If you are having difficulties with accessing this document please contact</w:t>
      </w:r>
      <w:r>
        <w:t xml:space="preserve"> </w:t>
      </w:r>
      <w:hyperlink r:id="rId20" w:history="1">
        <w:r w:rsidR="007564E9">
          <w:rPr>
            <w:rStyle w:val="Hyperlink"/>
          </w:rPr>
          <w:t>csiroenquiries@csiro.au</w:t>
        </w:r>
      </w:hyperlink>
      <w:r>
        <w:t xml:space="preserve">. </w:t>
      </w:r>
    </w:p>
    <w:p w14:paraId="228F446D" w14:textId="77777777" w:rsidR="00A943B2" w:rsidRDefault="00A943B2" w:rsidP="00D1044D">
      <w:pPr>
        <w:pStyle w:val="Heading1noTOC"/>
      </w:pPr>
      <w:r w:rsidRPr="00890BD7">
        <w:lastRenderedPageBreak/>
        <w:t>Contents</w:t>
      </w:r>
    </w:p>
    <w:p w14:paraId="7508D1A9" w14:textId="3DAC6791" w:rsidR="00C223FE" w:rsidRDefault="00DA722C">
      <w:pPr>
        <w:pStyle w:val="TOC2"/>
        <w:rPr>
          <w:rFonts w:asciiTheme="minorHAnsi" w:eastAsiaTheme="minorEastAsia" w:hAnsiTheme="minorHAnsi" w:cstheme="minorBidi"/>
          <w:color w:val="auto"/>
          <w:sz w:val="22"/>
          <w:lang w:val="en-US" w:eastAsia="en-US"/>
        </w:rPr>
      </w:pPr>
      <w:r>
        <w:fldChar w:fldCharType="begin"/>
      </w:r>
      <w:r w:rsidR="00462182" w:rsidRPr="00D1044D">
        <w:instrText xml:space="preserve"> TOC \h \z \t "Heading 1,2,Heading 2,3,PartTitle,1,Heading 1 Numbered,2,Heading 1 not numbered,2,Heading 2 not numbered,3,Appendix Heading 1,2" </w:instrText>
      </w:r>
      <w:r>
        <w:fldChar w:fldCharType="separate"/>
      </w:r>
      <w:hyperlink w:anchor="_Toc53075112" w:history="1">
        <w:r w:rsidR="00C223FE" w:rsidRPr="006C3401">
          <w:rPr>
            <w:rStyle w:val="Hyperlink"/>
          </w:rPr>
          <w:t>Acknowledgments</w:t>
        </w:r>
        <w:r w:rsidR="00C223FE">
          <w:rPr>
            <w:webHidden/>
          </w:rPr>
          <w:tab/>
        </w:r>
        <w:r w:rsidR="00C223FE">
          <w:rPr>
            <w:webHidden/>
          </w:rPr>
          <w:fldChar w:fldCharType="begin"/>
        </w:r>
        <w:r w:rsidR="00C223FE">
          <w:rPr>
            <w:webHidden/>
          </w:rPr>
          <w:instrText xml:space="preserve"> PAGEREF _Toc53075112 \h </w:instrText>
        </w:r>
        <w:r w:rsidR="00C223FE">
          <w:rPr>
            <w:webHidden/>
          </w:rPr>
        </w:r>
        <w:r w:rsidR="00C223FE">
          <w:rPr>
            <w:webHidden/>
          </w:rPr>
          <w:fldChar w:fldCharType="separate"/>
        </w:r>
        <w:r w:rsidR="00C223FE">
          <w:rPr>
            <w:webHidden/>
          </w:rPr>
          <w:t>vi</w:t>
        </w:r>
        <w:r w:rsidR="00C223FE">
          <w:rPr>
            <w:webHidden/>
          </w:rPr>
          <w:fldChar w:fldCharType="end"/>
        </w:r>
      </w:hyperlink>
    </w:p>
    <w:p w14:paraId="6E603D73" w14:textId="088A59BB" w:rsidR="00C223FE" w:rsidRDefault="000651DF">
      <w:pPr>
        <w:pStyle w:val="TOC2"/>
        <w:rPr>
          <w:rFonts w:asciiTheme="minorHAnsi" w:eastAsiaTheme="minorEastAsia" w:hAnsiTheme="minorHAnsi" w:cstheme="minorBidi"/>
          <w:color w:val="auto"/>
          <w:sz w:val="22"/>
          <w:lang w:val="en-US" w:eastAsia="en-US"/>
        </w:rPr>
      </w:pPr>
      <w:hyperlink w:anchor="_Toc53075113" w:history="1">
        <w:r w:rsidR="00C223FE" w:rsidRPr="006C3401">
          <w:rPr>
            <w:rStyle w:val="Hyperlink"/>
          </w:rPr>
          <w:t>Executive summary</w:t>
        </w:r>
        <w:r w:rsidR="00C223FE">
          <w:rPr>
            <w:webHidden/>
          </w:rPr>
          <w:tab/>
        </w:r>
        <w:r w:rsidR="00C223FE">
          <w:rPr>
            <w:webHidden/>
          </w:rPr>
          <w:fldChar w:fldCharType="begin"/>
        </w:r>
        <w:r w:rsidR="00C223FE">
          <w:rPr>
            <w:webHidden/>
          </w:rPr>
          <w:instrText xml:space="preserve"> PAGEREF _Toc53075113 \h </w:instrText>
        </w:r>
        <w:r w:rsidR="00C223FE">
          <w:rPr>
            <w:webHidden/>
          </w:rPr>
        </w:r>
        <w:r w:rsidR="00C223FE">
          <w:rPr>
            <w:webHidden/>
          </w:rPr>
          <w:fldChar w:fldCharType="separate"/>
        </w:r>
        <w:r w:rsidR="00C223FE">
          <w:rPr>
            <w:webHidden/>
          </w:rPr>
          <w:t>vii</w:t>
        </w:r>
        <w:r w:rsidR="00C223FE">
          <w:rPr>
            <w:webHidden/>
          </w:rPr>
          <w:fldChar w:fldCharType="end"/>
        </w:r>
      </w:hyperlink>
    </w:p>
    <w:p w14:paraId="7D2244C2" w14:textId="7AF16A57" w:rsidR="00C223FE" w:rsidRDefault="000651DF">
      <w:pPr>
        <w:pStyle w:val="TOC2"/>
        <w:rPr>
          <w:rFonts w:asciiTheme="minorHAnsi" w:eastAsiaTheme="minorEastAsia" w:hAnsiTheme="minorHAnsi" w:cstheme="minorBidi"/>
          <w:color w:val="auto"/>
          <w:sz w:val="22"/>
          <w:lang w:val="en-US" w:eastAsia="en-US"/>
        </w:rPr>
      </w:pPr>
      <w:hyperlink w:anchor="_Toc53075114" w:history="1">
        <w:r w:rsidR="00C223FE" w:rsidRPr="006C3401">
          <w:rPr>
            <w:rStyle w:val="Hyperlink"/>
          </w:rPr>
          <w:t>1</w:t>
        </w:r>
        <w:r w:rsidR="00C223FE">
          <w:rPr>
            <w:rFonts w:asciiTheme="minorHAnsi" w:eastAsiaTheme="minorEastAsia" w:hAnsiTheme="minorHAnsi" w:cstheme="minorBidi"/>
            <w:color w:val="auto"/>
            <w:sz w:val="22"/>
            <w:lang w:val="en-US" w:eastAsia="en-US"/>
          </w:rPr>
          <w:tab/>
        </w:r>
        <w:r w:rsidR="00C223FE" w:rsidRPr="006C3401">
          <w:rPr>
            <w:rStyle w:val="Hyperlink"/>
          </w:rPr>
          <w:t>Introduction</w:t>
        </w:r>
        <w:r w:rsidR="00C223FE">
          <w:rPr>
            <w:webHidden/>
          </w:rPr>
          <w:tab/>
        </w:r>
        <w:r w:rsidR="00C223FE">
          <w:rPr>
            <w:webHidden/>
          </w:rPr>
          <w:fldChar w:fldCharType="begin"/>
        </w:r>
        <w:r w:rsidR="00C223FE">
          <w:rPr>
            <w:webHidden/>
          </w:rPr>
          <w:instrText xml:space="preserve"> PAGEREF _Toc53075114 \h </w:instrText>
        </w:r>
        <w:r w:rsidR="00C223FE">
          <w:rPr>
            <w:webHidden/>
          </w:rPr>
        </w:r>
        <w:r w:rsidR="00C223FE">
          <w:rPr>
            <w:webHidden/>
          </w:rPr>
          <w:fldChar w:fldCharType="separate"/>
        </w:r>
        <w:r w:rsidR="00C223FE">
          <w:rPr>
            <w:webHidden/>
          </w:rPr>
          <w:t>1</w:t>
        </w:r>
        <w:r w:rsidR="00C223FE">
          <w:rPr>
            <w:webHidden/>
          </w:rPr>
          <w:fldChar w:fldCharType="end"/>
        </w:r>
      </w:hyperlink>
    </w:p>
    <w:p w14:paraId="26B4BA8B" w14:textId="0FFD1721" w:rsidR="00C223FE" w:rsidRDefault="000651DF">
      <w:pPr>
        <w:pStyle w:val="TOC3"/>
        <w:rPr>
          <w:rFonts w:asciiTheme="minorHAnsi" w:eastAsiaTheme="minorEastAsia" w:hAnsiTheme="minorHAnsi" w:cstheme="minorBidi"/>
          <w:noProof/>
          <w:color w:val="auto"/>
          <w:sz w:val="22"/>
          <w:lang w:val="en-US" w:eastAsia="en-US"/>
        </w:rPr>
      </w:pPr>
      <w:hyperlink w:anchor="_Toc53075115" w:history="1">
        <w:r w:rsidR="00C223FE" w:rsidRPr="006C3401">
          <w:rPr>
            <w:rStyle w:val="Hyperlink"/>
            <w:noProof/>
          </w:rPr>
          <w:t>1.1</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Background</w:t>
        </w:r>
        <w:r w:rsidR="00C223FE">
          <w:rPr>
            <w:noProof/>
            <w:webHidden/>
          </w:rPr>
          <w:tab/>
        </w:r>
        <w:r w:rsidR="00C223FE">
          <w:rPr>
            <w:noProof/>
            <w:webHidden/>
          </w:rPr>
          <w:fldChar w:fldCharType="begin"/>
        </w:r>
        <w:r w:rsidR="00C223FE">
          <w:rPr>
            <w:noProof/>
            <w:webHidden/>
          </w:rPr>
          <w:instrText xml:space="preserve"> PAGEREF _Toc53075115 \h </w:instrText>
        </w:r>
        <w:r w:rsidR="00C223FE">
          <w:rPr>
            <w:noProof/>
            <w:webHidden/>
          </w:rPr>
        </w:r>
        <w:r w:rsidR="00C223FE">
          <w:rPr>
            <w:noProof/>
            <w:webHidden/>
          </w:rPr>
          <w:fldChar w:fldCharType="separate"/>
        </w:r>
        <w:r w:rsidR="00C223FE">
          <w:rPr>
            <w:noProof/>
            <w:webHidden/>
          </w:rPr>
          <w:t>1</w:t>
        </w:r>
        <w:r w:rsidR="00C223FE">
          <w:rPr>
            <w:noProof/>
            <w:webHidden/>
          </w:rPr>
          <w:fldChar w:fldCharType="end"/>
        </w:r>
      </w:hyperlink>
    </w:p>
    <w:p w14:paraId="7E6527E8" w14:textId="486081BD" w:rsidR="00C223FE" w:rsidRDefault="000651DF">
      <w:pPr>
        <w:pStyle w:val="TOC3"/>
        <w:rPr>
          <w:rFonts w:asciiTheme="minorHAnsi" w:eastAsiaTheme="minorEastAsia" w:hAnsiTheme="minorHAnsi" w:cstheme="minorBidi"/>
          <w:noProof/>
          <w:color w:val="auto"/>
          <w:sz w:val="22"/>
          <w:lang w:val="en-US" w:eastAsia="en-US"/>
        </w:rPr>
      </w:pPr>
      <w:hyperlink w:anchor="_Toc53075116" w:history="1">
        <w:r w:rsidR="00C223FE" w:rsidRPr="006C3401">
          <w:rPr>
            <w:rStyle w:val="Hyperlink"/>
            <w:noProof/>
          </w:rPr>
          <w:t>1.2</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Study aims and report outline</w:t>
        </w:r>
        <w:r w:rsidR="00C223FE">
          <w:rPr>
            <w:noProof/>
            <w:webHidden/>
          </w:rPr>
          <w:tab/>
        </w:r>
        <w:r w:rsidR="00C223FE">
          <w:rPr>
            <w:noProof/>
            <w:webHidden/>
          </w:rPr>
          <w:fldChar w:fldCharType="begin"/>
        </w:r>
        <w:r w:rsidR="00C223FE">
          <w:rPr>
            <w:noProof/>
            <w:webHidden/>
          </w:rPr>
          <w:instrText xml:space="preserve"> PAGEREF _Toc53075116 \h </w:instrText>
        </w:r>
        <w:r w:rsidR="00C223FE">
          <w:rPr>
            <w:noProof/>
            <w:webHidden/>
          </w:rPr>
        </w:r>
        <w:r w:rsidR="00C223FE">
          <w:rPr>
            <w:noProof/>
            <w:webHidden/>
          </w:rPr>
          <w:fldChar w:fldCharType="separate"/>
        </w:r>
        <w:r w:rsidR="00C223FE">
          <w:rPr>
            <w:noProof/>
            <w:webHidden/>
          </w:rPr>
          <w:t>2</w:t>
        </w:r>
        <w:r w:rsidR="00C223FE">
          <w:rPr>
            <w:noProof/>
            <w:webHidden/>
          </w:rPr>
          <w:fldChar w:fldCharType="end"/>
        </w:r>
      </w:hyperlink>
    </w:p>
    <w:p w14:paraId="09B8DF14" w14:textId="508CB817" w:rsidR="00C223FE" w:rsidRDefault="000651DF">
      <w:pPr>
        <w:pStyle w:val="TOC2"/>
        <w:rPr>
          <w:rFonts w:asciiTheme="minorHAnsi" w:eastAsiaTheme="minorEastAsia" w:hAnsiTheme="minorHAnsi" w:cstheme="minorBidi"/>
          <w:color w:val="auto"/>
          <w:sz w:val="22"/>
          <w:lang w:val="en-US" w:eastAsia="en-US"/>
        </w:rPr>
      </w:pPr>
      <w:hyperlink w:anchor="_Toc53075117" w:history="1">
        <w:r w:rsidR="00C223FE" w:rsidRPr="006C3401">
          <w:rPr>
            <w:rStyle w:val="Hyperlink"/>
          </w:rPr>
          <w:t>2</w:t>
        </w:r>
        <w:r w:rsidR="00C223FE">
          <w:rPr>
            <w:rFonts w:asciiTheme="minorHAnsi" w:eastAsiaTheme="minorEastAsia" w:hAnsiTheme="minorHAnsi" w:cstheme="minorBidi"/>
            <w:color w:val="auto"/>
            <w:sz w:val="22"/>
            <w:lang w:val="en-US" w:eastAsia="en-US"/>
          </w:rPr>
          <w:tab/>
        </w:r>
        <w:r w:rsidR="00C223FE" w:rsidRPr="006C3401">
          <w:rPr>
            <w:rStyle w:val="Hyperlink"/>
          </w:rPr>
          <w:t>Assessment of the key climate risk impact drivers for land-based sequestration</w:t>
        </w:r>
        <w:r w:rsidR="00C223FE">
          <w:rPr>
            <w:webHidden/>
          </w:rPr>
          <w:tab/>
        </w:r>
        <w:r w:rsidR="00C223FE">
          <w:rPr>
            <w:webHidden/>
          </w:rPr>
          <w:fldChar w:fldCharType="begin"/>
        </w:r>
        <w:r w:rsidR="00C223FE">
          <w:rPr>
            <w:webHidden/>
          </w:rPr>
          <w:instrText xml:space="preserve"> PAGEREF _Toc53075117 \h </w:instrText>
        </w:r>
        <w:r w:rsidR="00C223FE">
          <w:rPr>
            <w:webHidden/>
          </w:rPr>
        </w:r>
        <w:r w:rsidR="00C223FE">
          <w:rPr>
            <w:webHidden/>
          </w:rPr>
          <w:fldChar w:fldCharType="separate"/>
        </w:r>
        <w:r w:rsidR="00C223FE">
          <w:rPr>
            <w:webHidden/>
          </w:rPr>
          <w:t>6</w:t>
        </w:r>
        <w:r w:rsidR="00C223FE">
          <w:rPr>
            <w:webHidden/>
          </w:rPr>
          <w:fldChar w:fldCharType="end"/>
        </w:r>
      </w:hyperlink>
    </w:p>
    <w:p w14:paraId="1452B60B" w14:textId="720B35D8" w:rsidR="00C223FE" w:rsidRDefault="000651DF">
      <w:pPr>
        <w:pStyle w:val="TOC3"/>
        <w:rPr>
          <w:rFonts w:asciiTheme="minorHAnsi" w:eastAsiaTheme="minorEastAsia" w:hAnsiTheme="minorHAnsi" w:cstheme="minorBidi"/>
          <w:noProof/>
          <w:color w:val="auto"/>
          <w:sz w:val="22"/>
          <w:lang w:val="en-US" w:eastAsia="en-US"/>
        </w:rPr>
      </w:pPr>
      <w:hyperlink w:anchor="_Toc53075118" w:history="1">
        <w:r w:rsidR="00C223FE" w:rsidRPr="006C3401">
          <w:rPr>
            <w:rStyle w:val="Hyperlink"/>
            <w:noProof/>
          </w:rPr>
          <w:t>2.1</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Defining and reporting risk</w:t>
        </w:r>
        <w:r w:rsidR="00C223FE">
          <w:rPr>
            <w:noProof/>
            <w:webHidden/>
          </w:rPr>
          <w:tab/>
        </w:r>
        <w:r w:rsidR="00C223FE">
          <w:rPr>
            <w:noProof/>
            <w:webHidden/>
          </w:rPr>
          <w:fldChar w:fldCharType="begin"/>
        </w:r>
        <w:r w:rsidR="00C223FE">
          <w:rPr>
            <w:noProof/>
            <w:webHidden/>
          </w:rPr>
          <w:instrText xml:space="preserve"> PAGEREF _Toc53075118 \h </w:instrText>
        </w:r>
        <w:r w:rsidR="00C223FE">
          <w:rPr>
            <w:noProof/>
            <w:webHidden/>
          </w:rPr>
        </w:r>
        <w:r w:rsidR="00C223FE">
          <w:rPr>
            <w:noProof/>
            <w:webHidden/>
          </w:rPr>
          <w:fldChar w:fldCharType="separate"/>
        </w:r>
        <w:r w:rsidR="00C223FE">
          <w:rPr>
            <w:noProof/>
            <w:webHidden/>
          </w:rPr>
          <w:t>6</w:t>
        </w:r>
        <w:r w:rsidR="00C223FE">
          <w:rPr>
            <w:noProof/>
            <w:webHidden/>
          </w:rPr>
          <w:fldChar w:fldCharType="end"/>
        </w:r>
      </w:hyperlink>
    </w:p>
    <w:p w14:paraId="441E8B2E" w14:textId="3A1F01C7" w:rsidR="00C223FE" w:rsidRDefault="000651DF">
      <w:pPr>
        <w:pStyle w:val="TOC3"/>
        <w:rPr>
          <w:rFonts w:asciiTheme="minorHAnsi" w:eastAsiaTheme="minorEastAsia" w:hAnsiTheme="minorHAnsi" w:cstheme="minorBidi"/>
          <w:noProof/>
          <w:color w:val="auto"/>
          <w:sz w:val="22"/>
          <w:lang w:val="en-US" w:eastAsia="en-US"/>
        </w:rPr>
      </w:pPr>
      <w:hyperlink w:anchor="_Toc53075119" w:history="1">
        <w:r w:rsidR="00C223FE" w:rsidRPr="006C3401">
          <w:rPr>
            <w:rStyle w:val="Hyperlink"/>
            <w:noProof/>
          </w:rPr>
          <w:t>2.2</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A spatial framework for risk analysis and reporting</w:t>
        </w:r>
        <w:r w:rsidR="00C223FE">
          <w:rPr>
            <w:noProof/>
            <w:webHidden/>
          </w:rPr>
          <w:tab/>
        </w:r>
        <w:r w:rsidR="00C223FE">
          <w:rPr>
            <w:noProof/>
            <w:webHidden/>
          </w:rPr>
          <w:fldChar w:fldCharType="begin"/>
        </w:r>
        <w:r w:rsidR="00C223FE">
          <w:rPr>
            <w:noProof/>
            <w:webHidden/>
          </w:rPr>
          <w:instrText xml:space="preserve"> PAGEREF _Toc53075119 \h </w:instrText>
        </w:r>
        <w:r w:rsidR="00C223FE">
          <w:rPr>
            <w:noProof/>
            <w:webHidden/>
          </w:rPr>
        </w:r>
        <w:r w:rsidR="00C223FE">
          <w:rPr>
            <w:noProof/>
            <w:webHidden/>
          </w:rPr>
          <w:fldChar w:fldCharType="separate"/>
        </w:r>
        <w:r w:rsidR="00C223FE">
          <w:rPr>
            <w:noProof/>
            <w:webHidden/>
          </w:rPr>
          <w:t>9</w:t>
        </w:r>
        <w:r w:rsidR="00C223FE">
          <w:rPr>
            <w:noProof/>
            <w:webHidden/>
          </w:rPr>
          <w:fldChar w:fldCharType="end"/>
        </w:r>
      </w:hyperlink>
    </w:p>
    <w:p w14:paraId="62CE2C9D" w14:textId="51B68DF2" w:rsidR="00C223FE" w:rsidRDefault="000651DF">
      <w:pPr>
        <w:pStyle w:val="TOC3"/>
        <w:rPr>
          <w:rFonts w:asciiTheme="minorHAnsi" w:eastAsiaTheme="minorEastAsia" w:hAnsiTheme="minorHAnsi" w:cstheme="minorBidi"/>
          <w:noProof/>
          <w:color w:val="auto"/>
          <w:sz w:val="22"/>
          <w:lang w:val="en-US" w:eastAsia="en-US"/>
        </w:rPr>
      </w:pPr>
      <w:hyperlink w:anchor="_Toc53075120" w:history="1">
        <w:r w:rsidR="00C223FE" w:rsidRPr="006C3401">
          <w:rPr>
            <w:rStyle w:val="Hyperlink"/>
            <w:noProof/>
          </w:rPr>
          <w:t>2.3</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Review and classification of key climate impact drivers</w:t>
        </w:r>
        <w:r w:rsidR="00C223FE">
          <w:rPr>
            <w:noProof/>
            <w:webHidden/>
          </w:rPr>
          <w:tab/>
        </w:r>
        <w:r w:rsidR="00C223FE">
          <w:rPr>
            <w:noProof/>
            <w:webHidden/>
          </w:rPr>
          <w:fldChar w:fldCharType="begin"/>
        </w:r>
        <w:r w:rsidR="00C223FE">
          <w:rPr>
            <w:noProof/>
            <w:webHidden/>
          </w:rPr>
          <w:instrText xml:space="preserve"> PAGEREF _Toc53075120 \h </w:instrText>
        </w:r>
        <w:r w:rsidR="00C223FE">
          <w:rPr>
            <w:noProof/>
            <w:webHidden/>
          </w:rPr>
        </w:r>
        <w:r w:rsidR="00C223FE">
          <w:rPr>
            <w:noProof/>
            <w:webHidden/>
          </w:rPr>
          <w:fldChar w:fldCharType="separate"/>
        </w:r>
        <w:r w:rsidR="00C223FE">
          <w:rPr>
            <w:noProof/>
            <w:webHidden/>
          </w:rPr>
          <w:t>10</w:t>
        </w:r>
        <w:r w:rsidR="00C223FE">
          <w:rPr>
            <w:noProof/>
            <w:webHidden/>
          </w:rPr>
          <w:fldChar w:fldCharType="end"/>
        </w:r>
      </w:hyperlink>
    </w:p>
    <w:p w14:paraId="1A927920" w14:textId="0332659A" w:rsidR="00C223FE" w:rsidRDefault="000651DF">
      <w:pPr>
        <w:pStyle w:val="TOC2"/>
        <w:rPr>
          <w:rFonts w:asciiTheme="minorHAnsi" w:eastAsiaTheme="minorEastAsia" w:hAnsiTheme="minorHAnsi" w:cstheme="minorBidi"/>
          <w:color w:val="auto"/>
          <w:sz w:val="22"/>
          <w:lang w:val="en-US" w:eastAsia="en-US"/>
        </w:rPr>
      </w:pPr>
      <w:hyperlink w:anchor="_Toc53075121" w:history="1">
        <w:r w:rsidR="00C223FE" w:rsidRPr="006C3401">
          <w:rPr>
            <w:rStyle w:val="Hyperlink"/>
          </w:rPr>
          <w:t>3</w:t>
        </w:r>
        <w:r w:rsidR="00C223FE">
          <w:rPr>
            <w:rFonts w:asciiTheme="minorHAnsi" w:eastAsiaTheme="minorEastAsia" w:hAnsiTheme="minorHAnsi" w:cstheme="minorBidi"/>
            <w:color w:val="auto"/>
            <w:sz w:val="22"/>
            <w:lang w:val="en-US" w:eastAsia="en-US"/>
          </w:rPr>
          <w:tab/>
        </w:r>
        <w:r w:rsidR="00C223FE" w:rsidRPr="006C3401">
          <w:rPr>
            <w:rStyle w:val="Hyperlink"/>
          </w:rPr>
          <w:t>Implications for the current Emissions Reduction Fund project portfolio</w:t>
        </w:r>
        <w:r w:rsidR="00C223FE">
          <w:rPr>
            <w:webHidden/>
          </w:rPr>
          <w:tab/>
        </w:r>
        <w:r w:rsidR="00C223FE">
          <w:rPr>
            <w:webHidden/>
          </w:rPr>
          <w:fldChar w:fldCharType="begin"/>
        </w:r>
        <w:r w:rsidR="00C223FE">
          <w:rPr>
            <w:webHidden/>
          </w:rPr>
          <w:instrText xml:space="preserve"> PAGEREF _Toc53075121 \h </w:instrText>
        </w:r>
        <w:r w:rsidR="00C223FE">
          <w:rPr>
            <w:webHidden/>
          </w:rPr>
        </w:r>
        <w:r w:rsidR="00C223FE">
          <w:rPr>
            <w:webHidden/>
          </w:rPr>
          <w:fldChar w:fldCharType="separate"/>
        </w:r>
        <w:r w:rsidR="00C223FE">
          <w:rPr>
            <w:webHidden/>
          </w:rPr>
          <w:t>16</w:t>
        </w:r>
        <w:r w:rsidR="00C223FE">
          <w:rPr>
            <w:webHidden/>
          </w:rPr>
          <w:fldChar w:fldCharType="end"/>
        </w:r>
      </w:hyperlink>
    </w:p>
    <w:p w14:paraId="003D7E4C" w14:textId="0F62ADAB" w:rsidR="00C223FE" w:rsidRDefault="000651DF">
      <w:pPr>
        <w:pStyle w:val="TOC3"/>
        <w:rPr>
          <w:rFonts w:asciiTheme="minorHAnsi" w:eastAsiaTheme="minorEastAsia" w:hAnsiTheme="minorHAnsi" w:cstheme="minorBidi"/>
          <w:noProof/>
          <w:color w:val="auto"/>
          <w:sz w:val="22"/>
          <w:lang w:val="en-US" w:eastAsia="en-US"/>
        </w:rPr>
      </w:pPr>
      <w:hyperlink w:anchor="_Toc53075122" w:history="1">
        <w:r w:rsidR="00C223FE" w:rsidRPr="006C3401">
          <w:rPr>
            <w:rStyle w:val="Hyperlink"/>
            <w:noProof/>
          </w:rPr>
          <w:t>3.1</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Overview of the current ERF portfolio</w:t>
        </w:r>
        <w:r w:rsidR="00C223FE">
          <w:rPr>
            <w:noProof/>
            <w:webHidden/>
          </w:rPr>
          <w:tab/>
        </w:r>
        <w:r w:rsidR="00C223FE">
          <w:rPr>
            <w:noProof/>
            <w:webHidden/>
          </w:rPr>
          <w:fldChar w:fldCharType="begin"/>
        </w:r>
        <w:r w:rsidR="00C223FE">
          <w:rPr>
            <w:noProof/>
            <w:webHidden/>
          </w:rPr>
          <w:instrText xml:space="preserve"> PAGEREF _Toc53075122 \h </w:instrText>
        </w:r>
        <w:r w:rsidR="00C223FE">
          <w:rPr>
            <w:noProof/>
            <w:webHidden/>
          </w:rPr>
        </w:r>
        <w:r w:rsidR="00C223FE">
          <w:rPr>
            <w:noProof/>
            <w:webHidden/>
          </w:rPr>
          <w:fldChar w:fldCharType="separate"/>
        </w:r>
        <w:r w:rsidR="00C223FE">
          <w:rPr>
            <w:noProof/>
            <w:webHidden/>
          </w:rPr>
          <w:t>16</w:t>
        </w:r>
        <w:r w:rsidR="00C223FE">
          <w:rPr>
            <w:noProof/>
            <w:webHidden/>
          </w:rPr>
          <w:fldChar w:fldCharType="end"/>
        </w:r>
      </w:hyperlink>
    </w:p>
    <w:p w14:paraId="5222C987" w14:textId="0C298CE5" w:rsidR="00C223FE" w:rsidRDefault="000651DF">
      <w:pPr>
        <w:pStyle w:val="TOC3"/>
        <w:rPr>
          <w:rFonts w:asciiTheme="minorHAnsi" w:eastAsiaTheme="minorEastAsia" w:hAnsiTheme="minorHAnsi" w:cstheme="minorBidi"/>
          <w:noProof/>
          <w:color w:val="auto"/>
          <w:sz w:val="22"/>
          <w:lang w:val="en-US" w:eastAsia="en-US"/>
        </w:rPr>
      </w:pPr>
      <w:hyperlink w:anchor="_Toc53075123" w:history="1">
        <w:r w:rsidR="00C223FE" w:rsidRPr="006C3401">
          <w:rPr>
            <w:rStyle w:val="Hyperlink"/>
            <w:noProof/>
          </w:rPr>
          <w:t>3.2</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Identification of key land sector activities and their risk profiles</w:t>
        </w:r>
        <w:r w:rsidR="00C223FE">
          <w:rPr>
            <w:noProof/>
            <w:webHidden/>
          </w:rPr>
          <w:tab/>
        </w:r>
        <w:r w:rsidR="00C223FE">
          <w:rPr>
            <w:noProof/>
            <w:webHidden/>
          </w:rPr>
          <w:fldChar w:fldCharType="begin"/>
        </w:r>
        <w:r w:rsidR="00C223FE">
          <w:rPr>
            <w:noProof/>
            <w:webHidden/>
          </w:rPr>
          <w:instrText xml:space="preserve"> PAGEREF _Toc53075123 \h </w:instrText>
        </w:r>
        <w:r w:rsidR="00C223FE">
          <w:rPr>
            <w:noProof/>
            <w:webHidden/>
          </w:rPr>
        </w:r>
        <w:r w:rsidR="00C223FE">
          <w:rPr>
            <w:noProof/>
            <w:webHidden/>
          </w:rPr>
          <w:fldChar w:fldCharType="separate"/>
        </w:r>
        <w:r w:rsidR="00C223FE">
          <w:rPr>
            <w:noProof/>
            <w:webHidden/>
          </w:rPr>
          <w:t>19</w:t>
        </w:r>
        <w:r w:rsidR="00C223FE">
          <w:rPr>
            <w:noProof/>
            <w:webHidden/>
          </w:rPr>
          <w:fldChar w:fldCharType="end"/>
        </w:r>
      </w:hyperlink>
    </w:p>
    <w:p w14:paraId="1B9A286C" w14:textId="3F112956" w:rsidR="00C223FE" w:rsidRDefault="000651DF">
      <w:pPr>
        <w:pStyle w:val="TOC3"/>
        <w:rPr>
          <w:rFonts w:asciiTheme="minorHAnsi" w:eastAsiaTheme="minorEastAsia" w:hAnsiTheme="minorHAnsi" w:cstheme="minorBidi"/>
          <w:noProof/>
          <w:color w:val="auto"/>
          <w:sz w:val="22"/>
          <w:lang w:val="en-US" w:eastAsia="en-US"/>
        </w:rPr>
      </w:pPr>
      <w:hyperlink w:anchor="_Toc53075124" w:history="1">
        <w:r w:rsidR="00C223FE" w:rsidRPr="006C3401">
          <w:rPr>
            <w:rStyle w:val="Hyperlink"/>
            <w:noProof/>
          </w:rPr>
          <w:t>3.3</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Methodology-specific analyses</w:t>
        </w:r>
        <w:r w:rsidR="00C223FE">
          <w:rPr>
            <w:noProof/>
            <w:webHidden/>
          </w:rPr>
          <w:tab/>
        </w:r>
        <w:r w:rsidR="00C223FE">
          <w:rPr>
            <w:noProof/>
            <w:webHidden/>
          </w:rPr>
          <w:fldChar w:fldCharType="begin"/>
        </w:r>
        <w:r w:rsidR="00C223FE">
          <w:rPr>
            <w:noProof/>
            <w:webHidden/>
          </w:rPr>
          <w:instrText xml:space="preserve"> PAGEREF _Toc53075124 \h </w:instrText>
        </w:r>
        <w:r w:rsidR="00C223FE">
          <w:rPr>
            <w:noProof/>
            <w:webHidden/>
          </w:rPr>
        </w:r>
        <w:r w:rsidR="00C223FE">
          <w:rPr>
            <w:noProof/>
            <w:webHidden/>
          </w:rPr>
          <w:fldChar w:fldCharType="separate"/>
        </w:r>
        <w:r w:rsidR="00C223FE">
          <w:rPr>
            <w:noProof/>
            <w:webHidden/>
          </w:rPr>
          <w:t>21</w:t>
        </w:r>
        <w:r w:rsidR="00C223FE">
          <w:rPr>
            <w:noProof/>
            <w:webHidden/>
          </w:rPr>
          <w:fldChar w:fldCharType="end"/>
        </w:r>
      </w:hyperlink>
    </w:p>
    <w:p w14:paraId="040D7A13" w14:textId="036391BE" w:rsidR="00C223FE" w:rsidRDefault="000651DF">
      <w:pPr>
        <w:pStyle w:val="TOC3"/>
        <w:rPr>
          <w:rFonts w:asciiTheme="minorHAnsi" w:eastAsiaTheme="minorEastAsia" w:hAnsiTheme="minorHAnsi" w:cstheme="minorBidi"/>
          <w:noProof/>
          <w:color w:val="auto"/>
          <w:sz w:val="22"/>
          <w:lang w:val="en-US" w:eastAsia="en-US"/>
        </w:rPr>
      </w:pPr>
      <w:hyperlink w:anchor="_Toc53075125" w:history="1">
        <w:r w:rsidR="00C223FE" w:rsidRPr="006C3401">
          <w:rPr>
            <w:rStyle w:val="Hyperlink"/>
            <w:noProof/>
          </w:rPr>
          <w:t>3.4</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Long-term (2090) outlook</w:t>
        </w:r>
        <w:r w:rsidR="00C223FE">
          <w:rPr>
            <w:noProof/>
            <w:webHidden/>
          </w:rPr>
          <w:tab/>
        </w:r>
        <w:r w:rsidR="00C223FE">
          <w:rPr>
            <w:noProof/>
            <w:webHidden/>
          </w:rPr>
          <w:fldChar w:fldCharType="begin"/>
        </w:r>
        <w:r w:rsidR="00C223FE">
          <w:rPr>
            <w:noProof/>
            <w:webHidden/>
          </w:rPr>
          <w:instrText xml:space="preserve"> PAGEREF _Toc53075125 \h </w:instrText>
        </w:r>
        <w:r w:rsidR="00C223FE">
          <w:rPr>
            <w:noProof/>
            <w:webHidden/>
          </w:rPr>
        </w:r>
        <w:r w:rsidR="00C223FE">
          <w:rPr>
            <w:noProof/>
            <w:webHidden/>
          </w:rPr>
          <w:fldChar w:fldCharType="separate"/>
        </w:r>
        <w:r w:rsidR="00C223FE">
          <w:rPr>
            <w:noProof/>
            <w:webHidden/>
          </w:rPr>
          <w:t>85</w:t>
        </w:r>
        <w:r w:rsidR="00C223FE">
          <w:rPr>
            <w:noProof/>
            <w:webHidden/>
          </w:rPr>
          <w:fldChar w:fldCharType="end"/>
        </w:r>
      </w:hyperlink>
    </w:p>
    <w:p w14:paraId="1410DF48" w14:textId="65F65D41" w:rsidR="00C223FE" w:rsidRDefault="000651DF">
      <w:pPr>
        <w:pStyle w:val="TOC2"/>
        <w:rPr>
          <w:rFonts w:asciiTheme="minorHAnsi" w:eastAsiaTheme="minorEastAsia" w:hAnsiTheme="minorHAnsi" w:cstheme="minorBidi"/>
          <w:color w:val="auto"/>
          <w:sz w:val="22"/>
          <w:lang w:val="en-US" w:eastAsia="en-US"/>
        </w:rPr>
      </w:pPr>
      <w:hyperlink w:anchor="_Toc53075126" w:history="1">
        <w:r w:rsidR="00C223FE" w:rsidRPr="006C3401">
          <w:rPr>
            <w:rStyle w:val="Hyperlink"/>
          </w:rPr>
          <w:t>4</w:t>
        </w:r>
        <w:r w:rsidR="00C223FE">
          <w:rPr>
            <w:rFonts w:asciiTheme="minorHAnsi" w:eastAsiaTheme="minorEastAsia" w:hAnsiTheme="minorHAnsi" w:cstheme="minorBidi"/>
            <w:color w:val="auto"/>
            <w:sz w:val="22"/>
            <w:lang w:val="en-US" w:eastAsia="en-US"/>
          </w:rPr>
          <w:tab/>
        </w:r>
        <w:r w:rsidR="00C223FE" w:rsidRPr="006C3401">
          <w:rPr>
            <w:rStyle w:val="Hyperlink"/>
          </w:rPr>
          <w:t>Whole-of-scheme mechanisms for mitigating risk</w:t>
        </w:r>
        <w:r w:rsidR="00C223FE">
          <w:rPr>
            <w:webHidden/>
          </w:rPr>
          <w:tab/>
        </w:r>
        <w:r w:rsidR="00C223FE">
          <w:rPr>
            <w:webHidden/>
          </w:rPr>
          <w:fldChar w:fldCharType="begin"/>
        </w:r>
        <w:r w:rsidR="00C223FE">
          <w:rPr>
            <w:webHidden/>
          </w:rPr>
          <w:instrText xml:space="preserve"> PAGEREF _Toc53075126 \h </w:instrText>
        </w:r>
        <w:r w:rsidR="00C223FE">
          <w:rPr>
            <w:webHidden/>
          </w:rPr>
        </w:r>
        <w:r w:rsidR="00C223FE">
          <w:rPr>
            <w:webHidden/>
          </w:rPr>
          <w:fldChar w:fldCharType="separate"/>
        </w:r>
        <w:r w:rsidR="00C223FE">
          <w:rPr>
            <w:webHidden/>
          </w:rPr>
          <w:t>88</w:t>
        </w:r>
        <w:r w:rsidR="00C223FE">
          <w:rPr>
            <w:webHidden/>
          </w:rPr>
          <w:fldChar w:fldCharType="end"/>
        </w:r>
      </w:hyperlink>
    </w:p>
    <w:p w14:paraId="66527F5B" w14:textId="28A150B3" w:rsidR="00C223FE" w:rsidRDefault="000651DF">
      <w:pPr>
        <w:pStyle w:val="TOC3"/>
        <w:rPr>
          <w:rFonts w:asciiTheme="minorHAnsi" w:eastAsiaTheme="minorEastAsia" w:hAnsiTheme="minorHAnsi" w:cstheme="minorBidi"/>
          <w:noProof/>
          <w:color w:val="auto"/>
          <w:sz w:val="22"/>
          <w:lang w:val="en-US" w:eastAsia="en-US"/>
        </w:rPr>
      </w:pPr>
      <w:hyperlink w:anchor="_Toc53075127" w:history="1">
        <w:r w:rsidR="00C223FE" w:rsidRPr="006C3401">
          <w:rPr>
            <w:rStyle w:val="Hyperlink"/>
            <w:noProof/>
          </w:rPr>
          <w:t>4.1</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Risk of reversal buffer</w:t>
        </w:r>
        <w:r w:rsidR="00C223FE">
          <w:rPr>
            <w:noProof/>
            <w:webHidden/>
          </w:rPr>
          <w:tab/>
        </w:r>
        <w:r w:rsidR="00C223FE">
          <w:rPr>
            <w:noProof/>
            <w:webHidden/>
          </w:rPr>
          <w:fldChar w:fldCharType="begin"/>
        </w:r>
        <w:r w:rsidR="00C223FE">
          <w:rPr>
            <w:noProof/>
            <w:webHidden/>
          </w:rPr>
          <w:instrText xml:space="preserve"> PAGEREF _Toc53075127 \h </w:instrText>
        </w:r>
        <w:r w:rsidR="00C223FE">
          <w:rPr>
            <w:noProof/>
            <w:webHidden/>
          </w:rPr>
        </w:r>
        <w:r w:rsidR="00C223FE">
          <w:rPr>
            <w:noProof/>
            <w:webHidden/>
          </w:rPr>
          <w:fldChar w:fldCharType="separate"/>
        </w:r>
        <w:r w:rsidR="00C223FE">
          <w:rPr>
            <w:noProof/>
            <w:webHidden/>
          </w:rPr>
          <w:t>88</w:t>
        </w:r>
        <w:r w:rsidR="00C223FE">
          <w:rPr>
            <w:noProof/>
            <w:webHidden/>
          </w:rPr>
          <w:fldChar w:fldCharType="end"/>
        </w:r>
      </w:hyperlink>
    </w:p>
    <w:p w14:paraId="05ECBABA" w14:textId="0929985F" w:rsidR="00C223FE" w:rsidRDefault="000651DF">
      <w:pPr>
        <w:pStyle w:val="TOC3"/>
        <w:rPr>
          <w:rFonts w:asciiTheme="minorHAnsi" w:eastAsiaTheme="minorEastAsia" w:hAnsiTheme="minorHAnsi" w:cstheme="minorBidi"/>
          <w:noProof/>
          <w:color w:val="auto"/>
          <w:sz w:val="22"/>
          <w:lang w:val="en-US" w:eastAsia="en-US"/>
        </w:rPr>
      </w:pPr>
      <w:hyperlink w:anchor="_Toc53075128" w:history="1">
        <w:r w:rsidR="00C223FE" w:rsidRPr="006C3401">
          <w:rPr>
            <w:rStyle w:val="Hyperlink"/>
            <w:noProof/>
          </w:rPr>
          <w:t>4.2</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Permanence requirements</w:t>
        </w:r>
        <w:r w:rsidR="00C223FE">
          <w:rPr>
            <w:noProof/>
            <w:webHidden/>
          </w:rPr>
          <w:tab/>
        </w:r>
        <w:r w:rsidR="00C223FE">
          <w:rPr>
            <w:noProof/>
            <w:webHidden/>
          </w:rPr>
          <w:fldChar w:fldCharType="begin"/>
        </w:r>
        <w:r w:rsidR="00C223FE">
          <w:rPr>
            <w:noProof/>
            <w:webHidden/>
          </w:rPr>
          <w:instrText xml:space="preserve"> PAGEREF _Toc53075128 \h </w:instrText>
        </w:r>
        <w:r w:rsidR="00C223FE">
          <w:rPr>
            <w:noProof/>
            <w:webHidden/>
          </w:rPr>
        </w:r>
        <w:r w:rsidR="00C223FE">
          <w:rPr>
            <w:noProof/>
            <w:webHidden/>
          </w:rPr>
          <w:fldChar w:fldCharType="separate"/>
        </w:r>
        <w:r w:rsidR="00C223FE">
          <w:rPr>
            <w:noProof/>
            <w:webHidden/>
          </w:rPr>
          <w:t>88</w:t>
        </w:r>
        <w:r w:rsidR="00C223FE">
          <w:rPr>
            <w:noProof/>
            <w:webHidden/>
          </w:rPr>
          <w:fldChar w:fldCharType="end"/>
        </w:r>
      </w:hyperlink>
    </w:p>
    <w:p w14:paraId="65C41DED" w14:textId="470495E1" w:rsidR="00C223FE" w:rsidRDefault="000651DF">
      <w:pPr>
        <w:pStyle w:val="TOC3"/>
        <w:rPr>
          <w:rFonts w:asciiTheme="minorHAnsi" w:eastAsiaTheme="minorEastAsia" w:hAnsiTheme="minorHAnsi" w:cstheme="minorBidi"/>
          <w:noProof/>
          <w:color w:val="auto"/>
          <w:sz w:val="22"/>
          <w:lang w:val="en-US" w:eastAsia="en-US"/>
        </w:rPr>
      </w:pPr>
      <w:hyperlink w:anchor="_Toc53075129" w:history="1">
        <w:r w:rsidR="00C223FE" w:rsidRPr="006C3401">
          <w:rPr>
            <w:rStyle w:val="Hyperlink"/>
            <w:noProof/>
          </w:rPr>
          <w:t>4.3</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Flexibility to source ACCUs from the secondary market</w:t>
        </w:r>
        <w:r w:rsidR="00C223FE">
          <w:rPr>
            <w:noProof/>
            <w:webHidden/>
          </w:rPr>
          <w:tab/>
        </w:r>
        <w:r w:rsidR="00C223FE">
          <w:rPr>
            <w:noProof/>
            <w:webHidden/>
          </w:rPr>
          <w:fldChar w:fldCharType="begin"/>
        </w:r>
        <w:r w:rsidR="00C223FE">
          <w:rPr>
            <w:noProof/>
            <w:webHidden/>
          </w:rPr>
          <w:instrText xml:space="preserve"> PAGEREF _Toc53075129 \h </w:instrText>
        </w:r>
        <w:r w:rsidR="00C223FE">
          <w:rPr>
            <w:noProof/>
            <w:webHidden/>
          </w:rPr>
        </w:r>
        <w:r w:rsidR="00C223FE">
          <w:rPr>
            <w:noProof/>
            <w:webHidden/>
          </w:rPr>
          <w:fldChar w:fldCharType="separate"/>
        </w:r>
        <w:r w:rsidR="00C223FE">
          <w:rPr>
            <w:noProof/>
            <w:webHidden/>
          </w:rPr>
          <w:t>90</w:t>
        </w:r>
        <w:r w:rsidR="00C223FE">
          <w:rPr>
            <w:noProof/>
            <w:webHidden/>
          </w:rPr>
          <w:fldChar w:fldCharType="end"/>
        </w:r>
      </w:hyperlink>
    </w:p>
    <w:p w14:paraId="2FBCFB52" w14:textId="334FE9E9" w:rsidR="00C223FE" w:rsidRDefault="000651DF">
      <w:pPr>
        <w:pStyle w:val="TOC3"/>
        <w:rPr>
          <w:rFonts w:asciiTheme="minorHAnsi" w:eastAsiaTheme="minorEastAsia" w:hAnsiTheme="minorHAnsi" w:cstheme="minorBidi"/>
          <w:noProof/>
          <w:color w:val="auto"/>
          <w:sz w:val="22"/>
          <w:lang w:val="en-US" w:eastAsia="en-US"/>
        </w:rPr>
      </w:pPr>
      <w:hyperlink w:anchor="_Toc53075130" w:history="1">
        <w:r w:rsidR="00C223FE" w:rsidRPr="006C3401">
          <w:rPr>
            <w:rStyle w:val="Hyperlink"/>
            <w:noProof/>
          </w:rPr>
          <w:t>4.4</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Options contracts</w:t>
        </w:r>
        <w:r w:rsidR="00C223FE">
          <w:rPr>
            <w:noProof/>
            <w:webHidden/>
          </w:rPr>
          <w:tab/>
        </w:r>
        <w:r w:rsidR="00C223FE">
          <w:rPr>
            <w:noProof/>
            <w:webHidden/>
          </w:rPr>
          <w:fldChar w:fldCharType="begin"/>
        </w:r>
        <w:r w:rsidR="00C223FE">
          <w:rPr>
            <w:noProof/>
            <w:webHidden/>
          </w:rPr>
          <w:instrText xml:space="preserve"> PAGEREF _Toc53075130 \h </w:instrText>
        </w:r>
        <w:r w:rsidR="00C223FE">
          <w:rPr>
            <w:noProof/>
            <w:webHidden/>
          </w:rPr>
        </w:r>
        <w:r w:rsidR="00C223FE">
          <w:rPr>
            <w:noProof/>
            <w:webHidden/>
          </w:rPr>
          <w:fldChar w:fldCharType="separate"/>
        </w:r>
        <w:r w:rsidR="00C223FE">
          <w:rPr>
            <w:noProof/>
            <w:webHidden/>
          </w:rPr>
          <w:t>90</w:t>
        </w:r>
        <w:r w:rsidR="00C223FE">
          <w:rPr>
            <w:noProof/>
            <w:webHidden/>
          </w:rPr>
          <w:fldChar w:fldCharType="end"/>
        </w:r>
      </w:hyperlink>
    </w:p>
    <w:p w14:paraId="000233B0" w14:textId="21395032" w:rsidR="00C223FE" w:rsidRDefault="000651DF">
      <w:pPr>
        <w:pStyle w:val="TOC2"/>
        <w:rPr>
          <w:rFonts w:asciiTheme="minorHAnsi" w:eastAsiaTheme="minorEastAsia" w:hAnsiTheme="minorHAnsi" w:cstheme="minorBidi"/>
          <w:color w:val="auto"/>
          <w:sz w:val="22"/>
          <w:lang w:val="en-US" w:eastAsia="en-US"/>
        </w:rPr>
      </w:pPr>
      <w:hyperlink w:anchor="_Toc53075131" w:history="1">
        <w:r w:rsidR="00C223FE" w:rsidRPr="006C3401">
          <w:rPr>
            <w:rStyle w:val="Hyperlink"/>
          </w:rPr>
          <w:t>5</w:t>
        </w:r>
        <w:r w:rsidR="00C223FE">
          <w:rPr>
            <w:rFonts w:asciiTheme="minorHAnsi" w:eastAsiaTheme="minorEastAsia" w:hAnsiTheme="minorHAnsi" w:cstheme="minorBidi"/>
            <w:color w:val="auto"/>
            <w:sz w:val="22"/>
            <w:lang w:val="en-US" w:eastAsia="en-US"/>
          </w:rPr>
          <w:tab/>
        </w:r>
        <w:r w:rsidR="00C223FE" w:rsidRPr="006C3401">
          <w:rPr>
            <w:rStyle w:val="Hyperlink"/>
          </w:rPr>
          <w:t>Potential for ERF activities to mitigate risk and contribute to farm-level resilience</w:t>
        </w:r>
        <w:r w:rsidR="00C223FE">
          <w:rPr>
            <w:webHidden/>
          </w:rPr>
          <w:tab/>
        </w:r>
        <w:r w:rsidR="00C223FE">
          <w:rPr>
            <w:webHidden/>
          </w:rPr>
          <w:fldChar w:fldCharType="begin"/>
        </w:r>
        <w:r w:rsidR="00C223FE">
          <w:rPr>
            <w:webHidden/>
          </w:rPr>
          <w:instrText xml:space="preserve"> PAGEREF _Toc53075131 \h </w:instrText>
        </w:r>
        <w:r w:rsidR="00C223FE">
          <w:rPr>
            <w:webHidden/>
          </w:rPr>
        </w:r>
        <w:r w:rsidR="00C223FE">
          <w:rPr>
            <w:webHidden/>
          </w:rPr>
          <w:fldChar w:fldCharType="separate"/>
        </w:r>
        <w:r w:rsidR="00C223FE">
          <w:rPr>
            <w:webHidden/>
          </w:rPr>
          <w:t>91</w:t>
        </w:r>
        <w:r w:rsidR="00C223FE">
          <w:rPr>
            <w:webHidden/>
          </w:rPr>
          <w:fldChar w:fldCharType="end"/>
        </w:r>
      </w:hyperlink>
    </w:p>
    <w:p w14:paraId="6F859192" w14:textId="001A8060" w:rsidR="00C223FE" w:rsidRDefault="000651DF">
      <w:pPr>
        <w:pStyle w:val="TOC3"/>
        <w:rPr>
          <w:rFonts w:asciiTheme="minorHAnsi" w:eastAsiaTheme="minorEastAsia" w:hAnsiTheme="minorHAnsi" w:cstheme="minorBidi"/>
          <w:noProof/>
          <w:color w:val="auto"/>
          <w:sz w:val="22"/>
          <w:lang w:val="en-US" w:eastAsia="en-US"/>
        </w:rPr>
      </w:pPr>
      <w:hyperlink w:anchor="_Toc53075132" w:history="1">
        <w:r w:rsidR="00C223FE" w:rsidRPr="006C3401">
          <w:rPr>
            <w:rStyle w:val="Hyperlink"/>
            <w:noProof/>
          </w:rPr>
          <w:t>5.1</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Co-benefits</w:t>
        </w:r>
        <w:r w:rsidR="00C223FE">
          <w:rPr>
            <w:noProof/>
            <w:webHidden/>
          </w:rPr>
          <w:tab/>
        </w:r>
        <w:r w:rsidR="00C223FE">
          <w:rPr>
            <w:noProof/>
            <w:webHidden/>
          </w:rPr>
          <w:fldChar w:fldCharType="begin"/>
        </w:r>
        <w:r w:rsidR="00C223FE">
          <w:rPr>
            <w:noProof/>
            <w:webHidden/>
          </w:rPr>
          <w:instrText xml:space="preserve"> PAGEREF _Toc53075132 \h </w:instrText>
        </w:r>
        <w:r w:rsidR="00C223FE">
          <w:rPr>
            <w:noProof/>
            <w:webHidden/>
          </w:rPr>
        </w:r>
        <w:r w:rsidR="00C223FE">
          <w:rPr>
            <w:noProof/>
            <w:webHidden/>
          </w:rPr>
          <w:fldChar w:fldCharType="separate"/>
        </w:r>
        <w:r w:rsidR="00C223FE">
          <w:rPr>
            <w:noProof/>
            <w:webHidden/>
          </w:rPr>
          <w:t>91</w:t>
        </w:r>
        <w:r w:rsidR="00C223FE">
          <w:rPr>
            <w:noProof/>
            <w:webHidden/>
          </w:rPr>
          <w:fldChar w:fldCharType="end"/>
        </w:r>
      </w:hyperlink>
    </w:p>
    <w:p w14:paraId="722E7570" w14:textId="59C96EB5" w:rsidR="00C223FE" w:rsidRDefault="000651DF">
      <w:pPr>
        <w:pStyle w:val="TOC3"/>
        <w:rPr>
          <w:rFonts w:asciiTheme="minorHAnsi" w:eastAsiaTheme="minorEastAsia" w:hAnsiTheme="minorHAnsi" w:cstheme="minorBidi"/>
          <w:noProof/>
          <w:color w:val="auto"/>
          <w:sz w:val="22"/>
          <w:lang w:val="en-US" w:eastAsia="en-US"/>
        </w:rPr>
      </w:pPr>
      <w:hyperlink w:anchor="_Toc53075133" w:history="1">
        <w:r w:rsidR="00C223FE" w:rsidRPr="006C3401">
          <w:rPr>
            <w:rStyle w:val="Hyperlink"/>
            <w:noProof/>
          </w:rPr>
          <w:t>5.2</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Long-term carbon security</w:t>
        </w:r>
        <w:r w:rsidR="00C223FE">
          <w:rPr>
            <w:noProof/>
            <w:webHidden/>
          </w:rPr>
          <w:tab/>
        </w:r>
        <w:r w:rsidR="00C223FE">
          <w:rPr>
            <w:noProof/>
            <w:webHidden/>
          </w:rPr>
          <w:fldChar w:fldCharType="begin"/>
        </w:r>
        <w:r w:rsidR="00C223FE">
          <w:rPr>
            <w:noProof/>
            <w:webHidden/>
          </w:rPr>
          <w:instrText xml:space="preserve"> PAGEREF _Toc53075133 \h </w:instrText>
        </w:r>
        <w:r w:rsidR="00C223FE">
          <w:rPr>
            <w:noProof/>
            <w:webHidden/>
          </w:rPr>
        </w:r>
        <w:r w:rsidR="00C223FE">
          <w:rPr>
            <w:noProof/>
            <w:webHidden/>
          </w:rPr>
          <w:fldChar w:fldCharType="separate"/>
        </w:r>
        <w:r w:rsidR="00C223FE">
          <w:rPr>
            <w:noProof/>
            <w:webHidden/>
          </w:rPr>
          <w:t>94</w:t>
        </w:r>
        <w:r w:rsidR="00C223FE">
          <w:rPr>
            <w:noProof/>
            <w:webHidden/>
          </w:rPr>
          <w:fldChar w:fldCharType="end"/>
        </w:r>
      </w:hyperlink>
    </w:p>
    <w:p w14:paraId="7B5C4AEF" w14:textId="377F4EDD" w:rsidR="00C223FE" w:rsidRDefault="000651DF">
      <w:pPr>
        <w:pStyle w:val="TOC3"/>
        <w:rPr>
          <w:rFonts w:asciiTheme="minorHAnsi" w:eastAsiaTheme="minorEastAsia" w:hAnsiTheme="minorHAnsi" w:cstheme="minorBidi"/>
          <w:noProof/>
          <w:color w:val="auto"/>
          <w:sz w:val="22"/>
          <w:lang w:val="en-US" w:eastAsia="en-US"/>
        </w:rPr>
      </w:pPr>
      <w:hyperlink w:anchor="_Toc53075134" w:history="1">
        <w:r w:rsidR="00C223FE" w:rsidRPr="006C3401">
          <w:rPr>
            <w:rStyle w:val="Hyperlink"/>
            <w:iCs/>
            <w:noProof/>
          </w:rPr>
          <w:t>5.3</w:t>
        </w:r>
        <w:r w:rsidR="00C223FE">
          <w:rPr>
            <w:rFonts w:asciiTheme="minorHAnsi" w:eastAsiaTheme="minorEastAsia" w:hAnsiTheme="minorHAnsi" w:cstheme="minorBidi"/>
            <w:noProof/>
            <w:color w:val="auto"/>
            <w:sz w:val="22"/>
            <w:lang w:val="en-US" w:eastAsia="en-US"/>
          </w:rPr>
          <w:tab/>
        </w:r>
        <w:r w:rsidR="00C223FE" w:rsidRPr="006C3401">
          <w:rPr>
            <w:rStyle w:val="Hyperlink"/>
            <w:iCs/>
            <w:noProof/>
          </w:rPr>
          <w:t>Assessment of adaptation options against methodology categories</w:t>
        </w:r>
        <w:r w:rsidR="00C223FE">
          <w:rPr>
            <w:noProof/>
            <w:webHidden/>
          </w:rPr>
          <w:tab/>
        </w:r>
        <w:r w:rsidR="00C223FE">
          <w:rPr>
            <w:noProof/>
            <w:webHidden/>
          </w:rPr>
          <w:fldChar w:fldCharType="begin"/>
        </w:r>
        <w:r w:rsidR="00C223FE">
          <w:rPr>
            <w:noProof/>
            <w:webHidden/>
          </w:rPr>
          <w:instrText xml:space="preserve"> PAGEREF _Toc53075134 \h </w:instrText>
        </w:r>
        <w:r w:rsidR="00C223FE">
          <w:rPr>
            <w:noProof/>
            <w:webHidden/>
          </w:rPr>
        </w:r>
        <w:r w:rsidR="00C223FE">
          <w:rPr>
            <w:noProof/>
            <w:webHidden/>
          </w:rPr>
          <w:fldChar w:fldCharType="separate"/>
        </w:r>
        <w:r w:rsidR="00C223FE">
          <w:rPr>
            <w:noProof/>
            <w:webHidden/>
          </w:rPr>
          <w:t>100</w:t>
        </w:r>
        <w:r w:rsidR="00C223FE">
          <w:rPr>
            <w:noProof/>
            <w:webHidden/>
          </w:rPr>
          <w:fldChar w:fldCharType="end"/>
        </w:r>
      </w:hyperlink>
    </w:p>
    <w:p w14:paraId="1EB3BFC4" w14:textId="01C85FAE" w:rsidR="00C223FE" w:rsidRDefault="000651DF">
      <w:pPr>
        <w:pStyle w:val="TOC2"/>
        <w:rPr>
          <w:rFonts w:asciiTheme="minorHAnsi" w:eastAsiaTheme="minorEastAsia" w:hAnsiTheme="minorHAnsi" w:cstheme="minorBidi"/>
          <w:color w:val="auto"/>
          <w:sz w:val="22"/>
          <w:lang w:val="en-US" w:eastAsia="en-US"/>
        </w:rPr>
      </w:pPr>
      <w:hyperlink w:anchor="_Toc53075135" w:history="1">
        <w:r w:rsidR="00C223FE" w:rsidRPr="006C3401">
          <w:rPr>
            <w:rStyle w:val="Hyperlink"/>
          </w:rPr>
          <w:t>6</w:t>
        </w:r>
        <w:r w:rsidR="00C223FE">
          <w:rPr>
            <w:rFonts w:asciiTheme="minorHAnsi" w:eastAsiaTheme="minorEastAsia" w:hAnsiTheme="minorHAnsi" w:cstheme="minorBidi"/>
            <w:color w:val="auto"/>
            <w:sz w:val="22"/>
            <w:lang w:val="en-US" w:eastAsia="en-US"/>
          </w:rPr>
          <w:tab/>
        </w:r>
        <w:r w:rsidR="00C223FE" w:rsidRPr="006C3401">
          <w:rPr>
            <w:rStyle w:val="Hyperlink"/>
          </w:rPr>
          <w:t>Summary</w:t>
        </w:r>
        <w:r w:rsidR="00C223FE">
          <w:rPr>
            <w:webHidden/>
          </w:rPr>
          <w:tab/>
        </w:r>
        <w:r w:rsidR="00C223FE">
          <w:rPr>
            <w:webHidden/>
          </w:rPr>
          <w:fldChar w:fldCharType="begin"/>
        </w:r>
        <w:r w:rsidR="00C223FE">
          <w:rPr>
            <w:webHidden/>
          </w:rPr>
          <w:instrText xml:space="preserve"> PAGEREF _Toc53075135 \h </w:instrText>
        </w:r>
        <w:r w:rsidR="00C223FE">
          <w:rPr>
            <w:webHidden/>
          </w:rPr>
        </w:r>
        <w:r w:rsidR="00C223FE">
          <w:rPr>
            <w:webHidden/>
          </w:rPr>
          <w:fldChar w:fldCharType="separate"/>
        </w:r>
        <w:r w:rsidR="00C223FE">
          <w:rPr>
            <w:webHidden/>
          </w:rPr>
          <w:t>110</w:t>
        </w:r>
        <w:r w:rsidR="00C223FE">
          <w:rPr>
            <w:webHidden/>
          </w:rPr>
          <w:fldChar w:fldCharType="end"/>
        </w:r>
      </w:hyperlink>
    </w:p>
    <w:p w14:paraId="70D08F4D" w14:textId="68E4D2A0" w:rsidR="00C223FE" w:rsidRDefault="000651DF">
      <w:pPr>
        <w:pStyle w:val="TOC2"/>
        <w:rPr>
          <w:rFonts w:asciiTheme="minorHAnsi" w:eastAsiaTheme="minorEastAsia" w:hAnsiTheme="minorHAnsi" w:cstheme="minorBidi"/>
          <w:color w:val="auto"/>
          <w:sz w:val="22"/>
          <w:lang w:val="en-US" w:eastAsia="en-US"/>
        </w:rPr>
      </w:pPr>
      <w:hyperlink w:anchor="_Toc53075136" w:history="1">
        <w:r w:rsidR="00C223FE" w:rsidRPr="006C3401">
          <w:rPr>
            <w:rStyle w:val="Hyperlink"/>
          </w:rPr>
          <w:t>7</w:t>
        </w:r>
        <w:r w:rsidR="00C223FE">
          <w:rPr>
            <w:rFonts w:asciiTheme="minorHAnsi" w:eastAsiaTheme="minorEastAsia" w:hAnsiTheme="minorHAnsi" w:cstheme="minorBidi"/>
            <w:color w:val="auto"/>
            <w:sz w:val="22"/>
            <w:lang w:val="en-US" w:eastAsia="en-US"/>
          </w:rPr>
          <w:tab/>
        </w:r>
        <w:r w:rsidR="00C223FE" w:rsidRPr="006C3401">
          <w:rPr>
            <w:rStyle w:val="Hyperlink"/>
          </w:rPr>
          <w:t>References</w:t>
        </w:r>
        <w:r w:rsidR="00C223FE">
          <w:rPr>
            <w:webHidden/>
          </w:rPr>
          <w:tab/>
        </w:r>
        <w:r w:rsidR="00C223FE">
          <w:rPr>
            <w:webHidden/>
          </w:rPr>
          <w:fldChar w:fldCharType="begin"/>
        </w:r>
        <w:r w:rsidR="00C223FE">
          <w:rPr>
            <w:webHidden/>
          </w:rPr>
          <w:instrText xml:space="preserve"> PAGEREF _Toc53075136 \h </w:instrText>
        </w:r>
        <w:r w:rsidR="00C223FE">
          <w:rPr>
            <w:webHidden/>
          </w:rPr>
        </w:r>
        <w:r w:rsidR="00C223FE">
          <w:rPr>
            <w:webHidden/>
          </w:rPr>
          <w:fldChar w:fldCharType="separate"/>
        </w:r>
        <w:r w:rsidR="00C223FE">
          <w:rPr>
            <w:webHidden/>
          </w:rPr>
          <w:t>119</w:t>
        </w:r>
        <w:r w:rsidR="00C223FE">
          <w:rPr>
            <w:webHidden/>
          </w:rPr>
          <w:fldChar w:fldCharType="end"/>
        </w:r>
      </w:hyperlink>
    </w:p>
    <w:p w14:paraId="0C1679A8" w14:textId="386F3D3C" w:rsidR="00C223FE" w:rsidRDefault="000651DF">
      <w:pPr>
        <w:pStyle w:val="TOC2"/>
        <w:rPr>
          <w:rFonts w:asciiTheme="minorHAnsi" w:eastAsiaTheme="minorEastAsia" w:hAnsiTheme="minorHAnsi" w:cstheme="minorBidi"/>
          <w:color w:val="auto"/>
          <w:sz w:val="22"/>
          <w:lang w:val="en-US" w:eastAsia="en-US"/>
        </w:rPr>
      </w:pPr>
      <w:hyperlink w:anchor="_Toc53075137" w:history="1">
        <w:r w:rsidR="00C223FE" w:rsidRPr="006C3401">
          <w:rPr>
            <w:rStyle w:val="Hyperlink"/>
          </w:rPr>
          <w:t>Appendices</w:t>
        </w:r>
        <w:r w:rsidR="00C223FE">
          <w:rPr>
            <w:rStyle w:val="Hyperlink"/>
          </w:rPr>
          <w:tab/>
        </w:r>
        <w:r w:rsidR="00C223FE">
          <w:rPr>
            <w:webHidden/>
          </w:rPr>
          <w:tab/>
        </w:r>
        <w:r w:rsidR="00C223FE">
          <w:rPr>
            <w:webHidden/>
          </w:rPr>
          <w:fldChar w:fldCharType="begin"/>
        </w:r>
        <w:r w:rsidR="00C223FE">
          <w:rPr>
            <w:webHidden/>
          </w:rPr>
          <w:instrText xml:space="preserve"> PAGEREF _Toc53075137 \h </w:instrText>
        </w:r>
        <w:r w:rsidR="00C223FE">
          <w:rPr>
            <w:webHidden/>
          </w:rPr>
        </w:r>
        <w:r w:rsidR="00C223FE">
          <w:rPr>
            <w:webHidden/>
          </w:rPr>
          <w:fldChar w:fldCharType="separate"/>
        </w:r>
        <w:r w:rsidR="00C223FE">
          <w:rPr>
            <w:webHidden/>
          </w:rPr>
          <w:t>135</w:t>
        </w:r>
        <w:r w:rsidR="00C223FE">
          <w:rPr>
            <w:webHidden/>
          </w:rPr>
          <w:fldChar w:fldCharType="end"/>
        </w:r>
      </w:hyperlink>
    </w:p>
    <w:p w14:paraId="5545DF19" w14:textId="389039EA" w:rsidR="00C223FE" w:rsidRDefault="000651DF">
      <w:pPr>
        <w:pStyle w:val="TOC3"/>
        <w:rPr>
          <w:rFonts w:asciiTheme="minorHAnsi" w:eastAsiaTheme="minorEastAsia" w:hAnsiTheme="minorHAnsi" w:cstheme="minorBidi"/>
          <w:noProof/>
          <w:color w:val="auto"/>
          <w:sz w:val="22"/>
          <w:lang w:val="en-US" w:eastAsia="en-US"/>
        </w:rPr>
      </w:pPr>
      <w:hyperlink w:anchor="_Toc53075138" w:history="1">
        <w:r w:rsidR="00C223FE" w:rsidRPr="006C3401">
          <w:rPr>
            <w:rStyle w:val="Hyperlink"/>
            <w:noProof/>
          </w:rPr>
          <w:t>A.</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Inter-model and spatial variability in Global Circulation Model predictions</w:t>
        </w:r>
        <w:r w:rsidR="00C223FE">
          <w:rPr>
            <w:noProof/>
            <w:webHidden/>
          </w:rPr>
          <w:tab/>
        </w:r>
        <w:r w:rsidR="00C223FE">
          <w:rPr>
            <w:noProof/>
            <w:webHidden/>
          </w:rPr>
          <w:fldChar w:fldCharType="begin"/>
        </w:r>
        <w:r w:rsidR="00C223FE">
          <w:rPr>
            <w:noProof/>
            <w:webHidden/>
          </w:rPr>
          <w:instrText xml:space="preserve"> PAGEREF _Toc53075138 \h </w:instrText>
        </w:r>
        <w:r w:rsidR="00C223FE">
          <w:rPr>
            <w:noProof/>
            <w:webHidden/>
          </w:rPr>
        </w:r>
        <w:r w:rsidR="00C223FE">
          <w:rPr>
            <w:noProof/>
            <w:webHidden/>
          </w:rPr>
          <w:fldChar w:fldCharType="separate"/>
        </w:r>
        <w:r w:rsidR="00C223FE">
          <w:rPr>
            <w:noProof/>
            <w:webHidden/>
          </w:rPr>
          <w:t>135</w:t>
        </w:r>
        <w:r w:rsidR="00C223FE">
          <w:rPr>
            <w:noProof/>
            <w:webHidden/>
          </w:rPr>
          <w:fldChar w:fldCharType="end"/>
        </w:r>
      </w:hyperlink>
    </w:p>
    <w:p w14:paraId="748C9D58" w14:textId="35AB8228" w:rsidR="00C223FE" w:rsidRDefault="000651DF">
      <w:pPr>
        <w:pStyle w:val="TOC3"/>
        <w:rPr>
          <w:rFonts w:asciiTheme="minorHAnsi" w:eastAsiaTheme="minorEastAsia" w:hAnsiTheme="minorHAnsi" w:cstheme="minorBidi"/>
          <w:noProof/>
          <w:color w:val="auto"/>
          <w:sz w:val="22"/>
          <w:lang w:val="en-US" w:eastAsia="en-US"/>
        </w:rPr>
      </w:pPr>
      <w:hyperlink w:anchor="_Toc53075139" w:history="1">
        <w:r w:rsidR="00C223FE" w:rsidRPr="006C3401">
          <w:rPr>
            <w:rStyle w:val="Hyperlink"/>
            <w:noProof/>
          </w:rPr>
          <w:t>B.</w:t>
        </w:r>
        <w:r w:rsidR="00C223FE">
          <w:rPr>
            <w:rFonts w:asciiTheme="minorHAnsi" w:eastAsiaTheme="minorEastAsia" w:hAnsiTheme="minorHAnsi" w:cstheme="minorBidi"/>
            <w:noProof/>
            <w:color w:val="auto"/>
            <w:sz w:val="22"/>
            <w:lang w:val="en-US" w:eastAsia="en-US"/>
          </w:rPr>
          <w:tab/>
        </w:r>
        <w:r w:rsidR="00C223FE" w:rsidRPr="006C3401">
          <w:rPr>
            <w:rStyle w:val="Hyperlink"/>
            <w:noProof/>
          </w:rPr>
          <w:t>NRM zone climate change projections</w:t>
        </w:r>
        <w:r w:rsidR="00C223FE">
          <w:rPr>
            <w:noProof/>
            <w:webHidden/>
          </w:rPr>
          <w:tab/>
        </w:r>
        <w:r w:rsidR="00C223FE">
          <w:rPr>
            <w:noProof/>
            <w:webHidden/>
          </w:rPr>
          <w:fldChar w:fldCharType="begin"/>
        </w:r>
        <w:r w:rsidR="00C223FE">
          <w:rPr>
            <w:noProof/>
            <w:webHidden/>
          </w:rPr>
          <w:instrText xml:space="preserve"> PAGEREF _Toc53075139 \h </w:instrText>
        </w:r>
        <w:r w:rsidR="00C223FE">
          <w:rPr>
            <w:noProof/>
            <w:webHidden/>
          </w:rPr>
        </w:r>
        <w:r w:rsidR="00C223FE">
          <w:rPr>
            <w:noProof/>
            <w:webHidden/>
          </w:rPr>
          <w:fldChar w:fldCharType="separate"/>
        </w:r>
        <w:r w:rsidR="00C223FE">
          <w:rPr>
            <w:noProof/>
            <w:webHidden/>
          </w:rPr>
          <w:t>137</w:t>
        </w:r>
        <w:r w:rsidR="00C223FE">
          <w:rPr>
            <w:noProof/>
            <w:webHidden/>
          </w:rPr>
          <w:fldChar w:fldCharType="end"/>
        </w:r>
      </w:hyperlink>
    </w:p>
    <w:p w14:paraId="517D1BF3" w14:textId="684B2BE8" w:rsidR="00C223FE" w:rsidRDefault="000651DF">
      <w:pPr>
        <w:pStyle w:val="TOC3"/>
        <w:rPr>
          <w:rFonts w:asciiTheme="minorHAnsi" w:eastAsiaTheme="minorEastAsia" w:hAnsiTheme="minorHAnsi" w:cstheme="minorBidi"/>
          <w:noProof/>
          <w:color w:val="auto"/>
          <w:sz w:val="22"/>
          <w:lang w:val="en-US" w:eastAsia="en-US"/>
        </w:rPr>
      </w:pPr>
      <w:hyperlink w:anchor="_Toc53075140" w:history="1">
        <w:r w:rsidR="00C223FE" w:rsidRPr="006C3401">
          <w:rPr>
            <w:rStyle w:val="Hyperlink"/>
            <w:noProof/>
          </w:rPr>
          <w:t xml:space="preserve">C. </w:t>
        </w:r>
        <w:r w:rsidR="00C223FE">
          <w:rPr>
            <w:rStyle w:val="Hyperlink"/>
            <w:noProof/>
          </w:rPr>
          <w:tab/>
        </w:r>
        <w:r w:rsidR="00C223FE" w:rsidRPr="006C3401">
          <w:rPr>
            <w:rStyle w:val="Hyperlink"/>
            <w:noProof/>
          </w:rPr>
          <w:t>NRM zone climate change projection consensus summaries</w:t>
        </w:r>
        <w:r w:rsidR="00C223FE">
          <w:rPr>
            <w:noProof/>
            <w:webHidden/>
          </w:rPr>
          <w:tab/>
        </w:r>
        <w:r w:rsidR="00C223FE">
          <w:rPr>
            <w:noProof/>
            <w:webHidden/>
          </w:rPr>
          <w:fldChar w:fldCharType="begin"/>
        </w:r>
        <w:r w:rsidR="00C223FE">
          <w:rPr>
            <w:noProof/>
            <w:webHidden/>
          </w:rPr>
          <w:instrText xml:space="preserve"> PAGEREF _Toc53075140 \h </w:instrText>
        </w:r>
        <w:r w:rsidR="00C223FE">
          <w:rPr>
            <w:noProof/>
            <w:webHidden/>
          </w:rPr>
        </w:r>
        <w:r w:rsidR="00C223FE">
          <w:rPr>
            <w:noProof/>
            <w:webHidden/>
          </w:rPr>
          <w:fldChar w:fldCharType="separate"/>
        </w:r>
        <w:r w:rsidR="00C223FE">
          <w:rPr>
            <w:noProof/>
            <w:webHidden/>
          </w:rPr>
          <w:t>185</w:t>
        </w:r>
        <w:r w:rsidR="00C223FE">
          <w:rPr>
            <w:noProof/>
            <w:webHidden/>
          </w:rPr>
          <w:fldChar w:fldCharType="end"/>
        </w:r>
      </w:hyperlink>
    </w:p>
    <w:p w14:paraId="0E548F39" w14:textId="47A6112B" w:rsidR="00AC4E67" w:rsidRDefault="00DA722C" w:rsidP="00AC4E67">
      <w:pPr>
        <w:pStyle w:val="TOC2"/>
      </w:pPr>
      <w:r>
        <w:fldChar w:fldCharType="end"/>
      </w:r>
    </w:p>
    <w:p w14:paraId="7DE2BE3F" w14:textId="234E4FB5" w:rsidR="00A943B2" w:rsidRDefault="004D139E" w:rsidP="00AC4E67">
      <w:pPr>
        <w:pStyle w:val="Heading1noTOC"/>
      </w:pPr>
      <w:r w:rsidRPr="00D1044D">
        <w:lastRenderedPageBreak/>
        <w:t>F</w:t>
      </w:r>
      <w:r w:rsidR="00A943B2" w:rsidRPr="00D1044D">
        <w:t>igures</w:t>
      </w:r>
    </w:p>
    <w:p w14:paraId="7D1A75EA" w14:textId="79FD89D9" w:rsidR="00767C40" w:rsidRDefault="00DA722C">
      <w:pPr>
        <w:pStyle w:val="TableofFigures"/>
        <w:rPr>
          <w:rFonts w:asciiTheme="minorHAnsi" w:eastAsiaTheme="minorEastAsia" w:hAnsiTheme="minorHAnsi" w:cstheme="minorBidi"/>
          <w:noProof/>
          <w:color w:val="auto"/>
          <w:sz w:val="22"/>
        </w:rPr>
      </w:pPr>
      <w:r>
        <w:fldChar w:fldCharType="begin"/>
      </w:r>
      <w:r w:rsidR="00A943B2">
        <w:instrText xml:space="preserve"> TOC \h \z \c "Figure" </w:instrText>
      </w:r>
      <w:r>
        <w:fldChar w:fldCharType="separate"/>
      </w:r>
      <w:hyperlink w:anchor="_Toc52968231" w:history="1">
        <w:r w:rsidR="00767C40" w:rsidRPr="00E32B8E">
          <w:rPr>
            <w:rStyle w:val="Hyperlink"/>
            <w:noProof/>
          </w:rPr>
          <w:t>Figure 1. Illustration of risk to carbon accumulation and risk to carbon maintenance associated with sequestration projects. In both cases the abatement that is achieved (orange line) is less than that anticipated (blue line).</w:t>
        </w:r>
        <w:r w:rsidR="00767C40">
          <w:rPr>
            <w:noProof/>
            <w:webHidden/>
          </w:rPr>
          <w:tab/>
        </w:r>
        <w:r w:rsidR="00767C40">
          <w:rPr>
            <w:noProof/>
            <w:webHidden/>
          </w:rPr>
          <w:fldChar w:fldCharType="begin"/>
        </w:r>
        <w:r w:rsidR="00767C40">
          <w:rPr>
            <w:noProof/>
            <w:webHidden/>
          </w:rPr>
          <w:instrText xml:space="preserve"> PAGEREF _Toc52968231 \h </w:instrText>
        </w:r>
        <w:r w:rsidR="00767C40">
          <w:rPr>
            <w:noProof/>
            <w:webHidden/>
          </w:rPr>
        </w:r>
        <w:r w:rsidR="00767C40">
          <w:rPr>
            <w:noProof/>
            <w:webHidden/>
          </w:rPr>
          <w:fldChar w:fldCharType="separate"/>
        </w:r>
        <w:r w:rsidR="00235F13">
          <w:rPr>
            <w:noProof/>
            <w:webHidden/>
          </w:rPr>
          <w:t>1</w:t>
        </w:r>
        <w:r w:rsidR="00767C40">
          <w:rPr>
            <w:noProof/>
            <w:webHidden/>
          </w:rPr>
          <w:fldChar w:fldCharType="end"/>
        </w:r>
      </w:hyperlink>
    </w:p>
    <w:p w14:paraId="7B2A83F8" w14:textId="67718520" w:rsidR="00767C40" w:rsidRDefault="000651DF">
      <w:pPr>
        <w:pStyle w:val="TableofFigures"/>
        <w:rPr>
          <w:rFonts w:asciiTheme="minorHAnsi" w:eastAsiaTheme="minorEastAsia" w:hAnsiTheme="minorHAnsi" w:cstheme="minorBidi"/>
          <w:noProof/>
          <w:color w:val="auto"/>
          <w:sz w:val="22"/>
        </w:rPr>
      </w:pPr>
      <w:hyperlink w:anchor="_Toc52968232" w:history="1">
        <w:r w:rsidR="00767C40" w:rsidRPr="00E32B8E">
          <w:rPr>
            <w:rStyle w:val="Hyperlink"/>
            <w:noProof/>
          </w:rPr>
          <w:t>Figure 2. Simplified climate change impact assessment pathway. This study is primarily concerned with the steps within the ‘Risk assessment’ boundary. Adapted from Hennessy et al. (2015).</w:t>
        </w:r>
        <w:r w:rsidR="00767C40">
          <w:rPr>
            <w:noProof/>
            <w:webHidden/>
          </w:rPr>
          <w:tab/>
        </w:r>
        <w:r w:rsidR="00767C40">
          <w:rPr>
            <w:noProof/>
            <w:webHidden/>
          </w:rPr>
          <w:fldChar w:fldCharType="begin"/>
        </w:r>
        <w:r w:rsidR="00767C40">
          <w:rPr>
            <w:noProof/>
            <w:webHidden/>
          </w:rPr>
          <w:instrText xml:space="preserve"> PAGEREF _Toc52968232 \h </w:instrText>
        </w:r>
        <w:r w:rsidR="00767C40">
          <w:rPr>
            <w:noProof/>
            <w:webHidden/>
          </w:rPr>
        </w:r>
        <w:r w:rsidR="00767C40">
          <w:rPr>
            <w:noProof/>
            <w:webHidden/>
          </w:rPr>
          <w:fldChar w:fldCharType="separate"/>
        </w:r>
        <w:r w:rsidR="00235F13">
          <w:rPr>
            <w:noProof/>
            <w:webHidden/>
          </w:rPr>
          <w:t>6</w:t>
        </w:r>
        <w:r w:rsidR="00767C40">
          <w:rPr>
            <w:noProof/>
            <w:webHidden/>
          </w:rPr>
          <w:fldChar w:fldCharType="end"/>
        </w:r>
      </w:hyperlink>
    </w:p>
    <w:p w14:paraId="2915CBF0" w14:textId="51C81FDC" w:rsidR="00767C40" w:rsidRDefault="000651DF">
      <w:pPr>
        <w:pStyle w:val="TableofFigures"/>
        <w:rPr>
          <w:rFonts w:asciiTheme="minorHAnsi" w:eastAsiaTheme="minorEastAsia" w:hAnsiTheme="minorHAnsi" w:cstheme="minorBidi"/>
          <w:noProof/>
          <w:color w:val="auto"/>
          <w:sz w:val="22"/>
        </w:rPr>
      </w:pPr>
      <w:hyperlink w:anchor="_Toc52968233" w:history="1">
        <w:r w:rsidR="00767C40" w:rsidRPr="00E32B8E">
          <w:rPr>
            <w:rStyle w:val="Hyperlink"/>
            <w:noProof/>
          </w:rPr>
          <w:t>Figure 3. NRM sub-cluster regionalisation for climate projection summaries.</w:t>
        </w:r>
        <w:r w:rsidR="00767C40">
          <w:rPr>
            <w:noProof/>
            <w:webHidden/>
          </w:rPr>
          <w:tab/>
        </w:r>
        <w:r w:rsidR="00767C40">
          <w:rPr>
            <w:noProof/>
            <w:webHidden/>
          </w:rPr>
          <w:fldChar w:fldCharType="begin"/>
        </w:r>
        <w:r w:rsidR="00767C40">
          <w:rPr>
            <w:noProof/>
            <w:webHidden/>
          </w:rPr>
          <w:instrText xml:space="preserve"> PAGEREF _Toc52968233 \h </w:instrText>
        </w:r>
        <w:r w:rsidR="00767C40">
          <w:rPr>
            <w:noProof/>
            <w:webHidden/>
          </w:rPr>
        </w:r>
        <w:r w:rsidR="00767C40">
          <w:rPr>
            <w:noProof/>
            <w:webHidden/>
          </w:rPr>
          <w:fldChar w:fldCharType="separate"/>
        </w:r>
        <w:r w:rsidR="00235F13">
          <w:rPr>
            <w:noProof/>
            <w:webHidden/>
          </w:rPr>
          <w:t>10</w:t>
        </w:r>
        <w:r w:rsidR="00767C40">
          <w:rPr>
            <w:noProof/>
            <w:webHidden/>
          </w:rPr>
          <w:fldChar w:fldCharType="end"/>
        </w:r>
      </w:hyperlink>
    </w:p>
    <w:p w14:paraId="443D7FFE" w14:textId="5CB03BD5" w:rsidR="00767C40" w:rsidRDefault="000651DF">
      <w:pPr>
        <w:pStyle w:val="TableofFigures"/>
        <w:rPr>
          <w:rFonts w:asciiTheme="minorHAnsi" w:eastAsiaTheme="minorEastAsia" w:hAnsiTheme="minorHAnsi" w:cstheme="minorBidi"/>
          <w:noProof/>
          <w:color w:val="auto"/>
          <w:sz w:val="22"/>
        </w:rPr>
      </w:pPr>
      <w:hyperlink w:anchor="_Toc52968234" w:history="1">
        <w:r w:rsidR="00767C40" w:rsidRPr="00E32B8E">
          <w:rPr>
            <w:rStyle w:val="Hyperlink"/>
            <w:noProof/>
          </w:rPr>
          <w:t>Figure 4. Spatial distribution of current ERF project activity relative to the NRM climate projection regionalisation.</w:t>
        </w:r>
        <w:r w:rsidR="00767C40">
          <w:rPr>
            <w:noProof/>
            <w:webHidden/>
          </w:rPr>
          <w:tab/>
        </w:r>
        <w:r w:rsidR="00767C40">
          <w:rPr>
            <w:noProof/>
            <w:webHidden/>
          </w:rPr>
          <w:fldChar w:fldCharType="begin"/>
        </w:r>
        <w:r w:rsidR="00767C40">
          <w:rPr>
            <w:noProof/>
            <w:webHidden/>
          </w:rPr>
          <w:instrText xml:space="preserve"> PAGEREF _Toc52968234 \h </w:instrText>
        </w:r>
        <w:r w:rsidR="00767C40">
          <w:rPr>
            <w:noProof/>
            <w:webHidden/>
          </w:rPr>
        </w:r>
        <w:r w:rsidR="00767C40">
          <w:rPr>
            <w:noProof/>
            <w:webHidden/>
          </w:rPr>
          <w:fldChar w:fldCharType="separate"/>
        </w:r>
        <w:r w:rsidR="00235F13">
          <w:rPr>
            <w:noProof/>
            <w:webHidden/>
          </w:rPr>
          <w:t>18</w:t>
        </w:r>
        <w:r w:rsidR="00767C40">
          <w:rPr>
            <w:noProof/>
            <w:webHidden/>
          </w:rPr>
          <w:fldChar w:fldCharType="end"/>
        </w:r>
      </w:hyperlink>
    </w:p>
    <w:p w14:paraId="066409E5" w14:textId="06D1B687" w:rsidR="00767C40" w:rsidRDefault="000651DF">
      <w:pPr>
        <w:pStyle w:val="TableofFigures"/>
        <w:rPr>
          <w:rFonts w:asciiTheme="minorHAnsi" w:eastAsiaTheme="minorEastAsia" w:hAnsiTheme="minorHAnsi" w:cstheme="minorBidi"/>
          <w:noProof/>
          <w:color w:val="auto"/>
          <w:sz w:val="22"/>
        </w:rPr>
      </w:pPr>
      <w:hyperlink w:anchor="_Toc52968235" w:history="1">
        <w:r w:rsidR="00767C40" w:rsidRPr="00E32B8E">
          <w:rPr>
            <w:rStyle w:val="Hyperlink"/>
            <w:noProof/>
          </w:rPr>
          <w:t>Figure 5. Locations of registered Human-Induced Regeneration projects (red) and Native Forest from Managed Regrowth projects (black). As of the time of data compilation (7 August 2020) no projects had been contracted under the ERF in Western Australia. Revoked projects shown in white.</w:t>
        </w:r>
        <w:r w:rsidR="00767C40">
          <w:rPr>
            <w:noProof/>
            <w:webHidden/>
          </w:rPr>
          <w:tab/>
        </w:r>
        <w:r w:rsidR="00767C40">
          <w:rPr>
            <w:noProof/>
            <w:webHidden/>
          </w:rPr>
          <w:fldChar w:fldCharType="begin"/>
        </w:r>
        <w:r w:rsidR="00767C40">
          <w:rPr>
            <w:noProof/>
            <w:webHidden/>
          </w:rPr>
          <w:instrText xml:space="preserve"> PAGEREF _Toc52968235 \h </w:instrText>
        </w:r>
        <w:r w:rsidR="00767C40">
          <w:rPr>
            <w:noProof/>
            <w:webHidden/>
          </w:rPr>
        </w:r>
        <w:r w:rsidR="00767C40">
          <w:rPr>
            <w:noProof/>
            <w:webHidden/>
          </w:rPr>
          <w:fldChar w:fldCharType="separate"/>
        </w:r>
        <w:r w:rsidR="00235F13">
          <w:rPr>
            <w:noProof/>
            <w:webHidden/>
          </w:rPr>
          <w:t>23</w:t>
        </w:r>
        <w:r w:rsidR="00767C40">
          <w:rPr>
            <w:noProof/>
            <w:webHidden/>
          </w:rPr>
          <w:fldChar w:fldCharType="end"/>
        </w:r>
      </w:hyperlink>
    </w:p>
    <w:p w14:paraId="46DC48C5" w14:textId="51F5560A" w:rsidR="00767C40" w:rsidRDefault="000651DF">
      <w:pPr>
        <w:pStyle w:val="TableofFigures"/>
        <w:rPr>
          <w:rFonts w:asciiTheme="minorHAnsi" w:eastAsiaTheme="minorEastAsia" w:hAnsiTheme="minorHAnsi" w:cstheme="minorBidi"/>
          <w:noProof/>
          <w:color w:val="auto"/>
          <w:sz w:val="22"/>
        </w:rPr>
      </w:pPr>
      <w:hyperlink w:anchor="_Toc52968236" w:history="1">
        <w:r w:rsidR="00767C40" w:rsidRPr="00E32B8E">
          <w:rPr>
            <w:rStyle w:val="Hyperlink"/>
            <w:noProof/>
          </w:rPr>
          <w:t>Figure 6. (a) Number of fires over the period 1988 to 2013. Red areas show the locations of HIR and NFMR project activity. (b) Combined fire burn areas for low-fire years 2004 and 2005. (c) Combined fire burn areas for high-fire years 2011 and 2012.</w:t>
        </w:r>
        <w:r w:rsidR="00767C40">
          <w:rPr>
            <w:noProof/>
            <w:webHidden/>
          </w:rPr>
          <w:tab/>
        </w:r>
        <w:r w:rsidR="00767C40">
          <w:rPr>
            <w:noProof/>
            <w:webHidden/>
          </w:rPr>
          <w:fldChar w:fldCharType="begin"/>
        </w:r>
        <w:r w:rsidR="00767C40">
          <w:rPr>
            <w:noProof/>
            <w:webHidden/>
          </w:rPr>
          <w:instrText xml:space="preserve"> PAGEREF _Toc52968236 \h </w:instrText>
        </w:r>
        <w:r w:rsidR="00767C40">
          <w:rPr>
            <w:noProof/>
            <w:webHidden/>
          </w:rPr>
        </w:r>
        <w:r w:rsidR="00767C40">
          <w:rPr>
            <w:noProof/>
            <w:webHidden/>
          </w:rPr>
          <w:fldChar w:fldCharType="separate"/>
        </w:r>
        <w:r w:rsidR="00235F13">
          <w:rPr>
            <w:noProof/>
            <w:webHidden/>
          </w:rPr>
          <w:t>28</w:t>
        </w:r>
        <w:r w:rsidR="00767C40">
          <w:rPr>
            <w:noProof/>
            <w:webHidden/>
          </w:rPr>
          <w:fldChar w:fldCharType="end"/>
        </w:r>
      </w:hyperlink>
    </w:p>
    <w:p w14:paraId="0BE07859" w14:textId="34EECB87" w:rsidR="00767C40" w:rsidRDefault="000651DF">
      <w:pPr>
        <w:pStyle w:val="TableofFigures"/>
        <w:rPr>
          <w:rFonts w:asciiTheme="minorHAnsi" w:eastAsiaTheme="minorEastAsia" w:hAnsiTheme="minorHAnsi" w:cstheme="minorBidi"/>
          <w:noProof/>
          <w:color w:val="auto"/>
          <w:sz w:val="22"/>
        </w:rPr>
      </w:pPr>
      <w:hyperlink w:anchor="_Toc52968237" w:history="1">
        <w:r w:rsidR="00767C40" w:rsidRPr="00E32B8E">
          <w:rPr>
            <w:rStyle w:val="Hyperlink"/>
            <w:noProof/>
          </w:rPr>
          <w:t>Figure 7. (a) Locations of registered Avoided-D (red) and Avoided-C (black) projects. Revoked projects shown in white. (b) Spatial distribution of two main vegetation types applicable to Avoided-D and Avoided-C (</w:t>
        </w:r>
        <w:r w:rsidR="00767C40" w:rsidRPr="00E32B8E">
          <w:rPr>
            <w:rStyle w:val="Hyperlink"/>
            <w:i/>
            <w:iCs/>
            <w:noProof/>
          </w:rPr>
          <w:t xml:space="preserve">Acacia aneura </w:t>
        </w:r>
        <w:r w:rsidR="00767C40" w:rsidRPr="00E32B8E">
          <w:rPr>
            <w:rStyle w:val="Hyperlink"/>
            <w:noProof/>
          </w:rPr>
          <w:t xml:space="preserve">(mulga woodlands) and </w:t>
        </w:r>
        <w:r w:rsidR="00767C40" w:rsidRPr="00E32B8E">
          <w:rPr>
            <w:rStyle w:val="Hyperlink"/>
            <w:i/>
            <w:iCs/>
            <w:noProof/>
          </w:rPr>
          <w:t xml:space="preserve">Eucalyptus populnea </w:t>
        </w:r>
        <w:r w:rsidR="00767C40" w:rsidRPr="00E32B8E">
          <w:rPr>
            <w:rStyle w:val="Hyperlink"/>
            <w:noProof/>
          </w:rPr>
          <w:t>(Poplar Box woodlands)). Species locations from the Atlas of Living Australia (https://doi.org/10.26197/5f2e149ee5182).</w:t>
        </w:r>
        <w:r w:rsidR="00767C40">
          <w:rPr>
            <w:noProof/>
            <w:webHidden/>
          </w:rPr>
          <w:tab/>
        </w:r>
        <w:r w:rsidR="00767C40">
          <w:rPr>
            <w:noProof/>
            <w:webHidden/>
          </w:rPr>
          <w:fldChar w:fldCharType="begin"/>
        </w:r>
        <w:r w:rsidR="00767C40">
          <w:rPr>
            <w:noProof/>
            <w:webHidden/>
          </w:rPr>
          <w:instrText xml:space="preserve"> PAGEREF _Toc52968237 \h </w:instrText>
        </w:r>
        <w:r w:rsidR="00767C40">
          <w:rPr>
            <w:noProof/>
            <w:webHidden/>
          </w:rPr>
        </w:r>
        <w:r w:rsidR="00767C40">
          <w:rPr>
            <w:noProof/>
            <w:webHidden/>
          </w:rPr>
          <w:fldChar w:fldCharType="separate"/>
        </w:r>
        <w:r w:rsidR="00235F13">
          <w:rPr>
            <w:noProof/>
            <w:webHidden/>
          </w:rPr>
          <w:t>34</w:t>
        </w:r>
        <w:r w:rsidR="00767C40">
          <w:rPr>
            <w:noProof/>
            <w:webHidden/>
          </w:rPr>
          <w:fldChar w:fldCharType="end"/>
        </w:r>
      </w:hyperlink>
    </w:p>
    <w:p w14:paraId="3D75AC73" w14:textId="2C233DD5" w:rsidR="00767C40" w:rsidRDefault="000651DF">
      <w:pPr>
        <w:pStyle w:val="TableofFigures"/>
        <w:rPr>
          <w:rFonts w:asciiTheme="minorHAnsi" w:eastAsiaTheme="minorEastAsia" w:hAnsiTheme="minorHAnsi" w:cstheme="minorBidi"/>
          <w:noProof/>
          <w:color w:val="auto"/>
          <w:sz w:val="22"/>
        </w:rPr>
      </w:pPr>
      <w:hyperlink w:anchor="_Toc52968238" w:history="1">
        <w:r w:rsidR="00767C40" w:rsidRPr="00E32B8E">
          <w:rPr>
            <w:rStyle w:val="Hyperlink"/>
            <w:noProof/>
          </w:rPr>
          <w:t>Figure 8. (a) Number of fires over the period 1988 to 2013. Circled areas show the locations of Avoided-D and Avoided-C project activity (in blue). (b) Combined fire burn areas for low-fire years 2004 and 2005. (c) Combined fire burn areas for high-fire years 2011 and 2012.</w:t>
        </w:r>
        <w:r w:rsidR="00767C40">
          <w:rPr>
            <w:noProof/>
            <w:webHidden/>
          </w:rPr>
          <w:tab/>
        </w:r>
        <w:r w:rsidR="00767C40">
          <w:rPr>
            <w:noProof/>
            <w:webHidden/>
          </w:rPr>
          <w:fldChar w:fldCharType="begin"/>
        </w:r>
        <w:r w:rsidR="00767C40">
          <w:rPr>
            <w:noProof/>
            <w:webHidden/>
          </w:rPr>
          <w:instrText xml:space="preserve"> PAGEREF _Toc52968238 \h </w:instrText>
        </w:r>
        <w:r w:rsidR="00767C40">
          <w:rPr>
            <w:noProof/>
            <w:webHidden/>
          </w:rPr>
        </w:r>
        <w:r w:rsidR="00767C40">
          <w:rPr>
            <w:noProof/>
            <w:webHidden/>
          </w:rPr>
          <w:fldChar w:fldCharType="separate"/>
        </w:r>
        <w:r w:rsidR="00235F13">
          <w:rPr>
            <w:noProof/>
            <w:webHidden/>
          </w:rPr>
          <w:t>38</w:t>
        </w:r>
        <w:r w:rsidR="00767C40">
          <w:rPr>
            <w:noProof/>
            <w:webHidden/>
          </w:rPr>
          <w:fldChar w:fldCharType="end"/>
        </w:r>
      </w:hyperlink>
    </w:p>
    <w:p w14:paraId="66658181" w14:textId="4B0351C7" w:rsidR="00767C40" w:rsidRDefault="000651DF">
      <w:pPr>
        <w:pStyle w:val="TableofFigures"/>
        <w:rPr>
          <w:rFonts w:asciiTheme="minorHAnsi" w:eastAsiaTheme="minorEastAsia" w:hAnsiTheme="minorHAnsi" w:cstheme="minorBidi"/>
          <w:noProof/>
          <w:color w:val="auto"/>
          <w:sz w:val="22"/>
        </w:rPr>
      </w:pPr>
      <w:hyperlink w:anchor="_Toc52968239" w:history="1">
        <w:r w:rsidR="00767C40" w:rsidRPr="00E32B8E">
          <w:rPr>
            <w:rStyle w:val="Hyperlink"/>
            <w:noProof/>
          </w:rPr>
          <w:t>Figure 9. Sub-clusters containing existing ERF projects undertaking new planting activities.</w:t>
        </w:r>
        <w:r w:rsidR="00767C40">
          <w:rPr>
            <w:noProof/>
            <w:webHidden/>
          </w:rPr>
          <w:tab/>
        </w:r>
        <w:r w:rsidR="00767C40">
          <w:rPr>
            <w:noProof/>
            <w:webHidden/>
          </w:rPr>
          <w:fldChar w:fldCharType="begin"/>
        </w:r>
        <w:r w:rsidR="00767C40">
          <w:rPr>
            <w:noProof/>
            <w:webHidden/>
          </w:rPr>
          <w:instrText xml:space="preserve"> PAGEREF _Toc52968239 \h </w:instrText>
        </w:r>
        <w:r w:rsidR="00767C40">
          <w:rPr>
            <w:noProof/>
            <w:webHidden/>
          </w:rPr>
        </w:r>
        <w:r w:rsidR="00767C40">
          <w:rPr>
            <w:noProof/>
            <w:webHidden/>
          </w:rPr>
          <w:fldChar w:fldCharType="separate"/>
        </w:r>
        <w:r w:rsidR="00235F13">
          <w:rPr>
            <w:noProof/>
            <w:webHidden/>
          </w:rPr>
          <w:t>44</w:t>
        </w:r>
        <w:r w:rsidR="00767C40">
          <w:rPr>
            <w:noProof/>
            <w:webHidden/>
          </w:rPr>
          <w:fldChar w:fldCharType="end"/>
        </w:r>
      </w:hyperlink>
    </w:p>
    <w:p w14:paraId="5F2627E0" w14:textId="188D277D" w:rsidR="00767C40" w:rsidRDefault="000651DF">
      <w:pPr>
        <w:pStyle w:val="TableofFigures"/>
        <w:rPr>
          <w:rFonts w:asciiTheme="minorHAnsi" w:eastAsiaTheme="minorEastAsia" w:hAnsiTheme="minorHAnsi" w:cstheme="minorBidi"/>
          <w:noProof/>
          <w:color w:val="auto"/>
          <w:sz w:val="22"/>
        </w:rPr>
      </w:pPr>
      <w:hyperlink w:anchor="_Toc52968240" w:history="1">
        <w:r w:rsidR="00767C40" w:rsidRPr="00E32B8E">
          <w:rPr>
            <w:rStyle w:val="Hyperlink"/>
            <w:noProof/>
          </w:rPr>
          <w:t>Figure 10. Sub-clusters containing existing ERF projects undertaking savanna burning projects. Red areas are existing projects undertaking emissions avoidance activities. Hollow areas are revoked projects.</w:t>
        </w:r>
        <w:r w:rsidR="00767C40">
          <w:rPr>
            <w:noProof/>
            <w:webHidden/>
          </w:rPr>
          <w:tab/>
        </w:r>
        <w:r w:rsidR="00767C40">
          <w:rPr>
            <w:noProof/>
            <w:webHidden/>
          </w:rPr>
          <w:fldChar w:fldCharType="begin"/>
        </w:r>
        <w:r w:rsidR="00767C40">
          <w:rPr>
            <w:noProof/>
            <w:webHidden/>
          </w:rPr>
          <w:instrText xml:space="preserve"> PAGEREF _Toc52968240 \h </w:instrText>
        </w:r>
        <w:r w:rsidR="00767C40">
          <w:rPr>
            <w:noProof/>
            <w:webHidden/>
          </w:rPr>
        </w:r>
        <w:r w:rsidR="00767C40">
          <w:rPr>
            <w:noProof/>
            <w:webHidden/>
          </w:rPr>
          <w:fldChar w:fldCharType="separate"/>
        </w:r>
        <w:r w:rsidR="00235F13">
          <w:rPr>
            <w:noProof/>
            <w:webHidden/>
          </w:rPr>
          <w:t>57</w:t>
        </w:r>
        <w:r w:rsidR="00767C40">
          <w:rPr>
            <w:noProof/>
            <w:webHidden/>
          </w:rPr>
          <w:fldChar w:fldCharType="end"/>
        </w:r>
      </w:hyperlink>
    </w:p>
    <w:p w14:paraId="55D4996F" w14:textId="38104E2B" w:rsidR="00767C40" w:rsidRDefault="000651DF">
      <w:pPr>
        <w:pStyle w:val="TableofFigures"/>
        <w:rPr>
          <w:rFonts w:asciiTheme="minorHAnsi" w:eastAsiaTheme="minorEastAsia" w:hAnsiTheme="minorHAnsi" w:cstheme="minorBidi"/>
          <w:noProof/>
          <w:color w:val="auto"/>
          <w:sz w:val="22"/>
        </w:rPr>
      </w:pPr>
      <w:hyperlink w:anchor="_Toc52968241" w:history="1">
        <w:r w:rsidR="00767C40" w:rsidRPr="00E32B8E">
          <w:rPr>
            <w:rStyle w:val="Hyperlink"/>
            <w:noProof/>
          </w:rPr>
          <w:t>Figure 11. Spatial distribution of Australian mangrove and tidal marsh ecosystems. Re-drawn from Serrano et al. (2019)</w:t>
        </w:r>
        <w:r w:rsidR="00767C40">
          <w:rPr>
            <w:noProof/>
            <w:webHidden/>
          </w:rPr>
          <w:tab/>
        </w:r>
        <w:r w:rsidR="00767C40">
          <w:rPr>
            <w:noProof/>
            <w:webHidden/>
          </w:rPr>
          <w:fldChar w:fldCharType="begin"/>
        </w:r>
        <w:r w:rsidR="00767C40">
          <w:rPr>
            <w:noProof/>
            <w:webHidden/>
          </w:rPr>
          <w:instrText xml:space="preserve"> PAGEREF _Toc52968241 \h </w:instrText>
        </w:r>
        <w:r w:rsidR="00767C40">
          <w:rPr>
            <w:noProof/>
            <w:webHidden/>
          </w:rPr>
        </w:r>
        <w:r w:rsidR="00767C40">
          <w:rPr>
            <w:noProof/>
            <w:webHidden/>
          </w:rPr>
          <w:fldChar w:fldCharType="separate"/>
        </w:r>
        <w:r w:rsidR="00235F13">
          <w:rPr>
            <w:noProof/>
            <w:webHidden/>
          </w:rPr>
          <w:t>65</w:t>
        </w:r>
        <w:r w:rsidR="00767C40">
          <w:rPr>
            <w:noProof/>
            <w:webHidden/>
          </w:rPr>
          <w:fldChar w:fldCharType="end"/>
        </w:r>
      </w:hyperlink>
    </w:p>
    <w:p w14:paraId="580F2817" w14:textId="0E3E8233" w:rsidR="00767C40" w:rsidRDefault="000651DF">
      <w:pPr>
        <w:pStyle w:val="TableofFigures"/>
        <w:rPr>
          <w:rFonts w:asciiTheme="minorHAnsi" w:eastAsiaTheme="minorEastAsia" w:hAnsiTheme="minorHAnsi" w:cstheme="minorBidi"/>
          <w:noProof/>
          <w:color w:val="auto"/>
          <w:sz w:val="22"/>
        </w:rPr>
      </w:pPr>
      <w:hyperlink w:anchor="_Toc52968242" w:history="1">
        <w:r w:rsidR="00767C40" w:rsidRPr="00E32B8E">
          <w:rPr>
            <w:rStyle w:val="Hyperlink"/>
            <w:noProof/>
          </w:rPr>
          <w:t>Figure 12. Projected 2030 sea level rise (m). Trends for 2090 are similar, with a range 0.44 – 0.48m.</w:t>
        </w:r>
        <w:r w:rsidR="00767C40">
          <w:rPr>
            <w:noProof/>
            <w:webHidden/>
          </w:rPr>
          <w:tab/>
        </w:r>
        <w:r w:rsidR="00767C40">
          <w:rPr>
            <w:noProof/>
            <w:webHidden/>
          </w:rPr>
          <w:fldChar w:fldCharType="begin"/>
        </w:r>
        <w:r w:rsidR="00767C40">
          <w:rPr>
            <w:noProof/>
            <w:webHidden/>
          </w:rPr>
          <w:instrText xml:space="preserve"> PAGEREF _Toc52968242 \h </w:instrText>
        </w:r>
        <w:r w:rsidR="00767C40">
          <w:rPr>
            <w:noProof/>
            <w:webHidden/>
          </w:rPr>
        </w:r>
        <w:r w:rsidR="00767C40">
          <w:rPr>
            <w:noProof/>
            <w:webHidden/>
          </w:rPr>
          <w:fldChar w:fldCharType="separate"/>
        </w:r>
        <w:r w:rsidR="00235F13">
          <w:rPr>
            <w:noProof/>
            <w:webHidden/>
          </w:rPr>
          <w:t>71</w:t>
        </w:r>
        <w:r w:rsidR="00767C40">
          <w:rPr>
            <w:noProof/>
            <w:webHidden/>
          </w:rPr>
          <w:fldChar w:fldCharType="end"/>
        </w:r>
      </w:hyperlink>
    </w:p>
    <w:p w14:paraId="5881E25B" w14:textId="48BA4B9B" w:rsidR="00767C40" w:rsidRDefault="000651DF">
      <w:pPr>
        <w:pStyle w:val="TableofFigures"/>
        <w:rPr>
          <w:rFonts w:asciiTheme="minorHAnsi" w:eastAsiaTheme="minorEastAsia" w:hAnsiTheme="minorHAnsi" w:cstheme="minorBidi"/>
          <w:noProof/>
          <w:color w:val="auto"/>
          <w:sz w:val="22"/>
        </w:rPr>
      </w:pPr>
      <w:hyperlink w:anchor="_Toc52968243" w:history="1">
        <w:r w:rsidR="00767C40" w:rsidRPr="00E32B8E">
          <w:rPr>
            <w:rStyle w:val="Hyperlink"/>
            <w:noProof/>
          </w:rPr>
          <w:t>Figure 13. Spatial domain for the Management of Agricultural Soils activity. Grey area shows the distribution of Agricultural land use across Australia. Existing registered and contracted projects are located approximately within the red boundaries.</w:t>
        </w:r>
        <w:r w:rsidR="00767C40">
          <w:rPr>
            <w:noProof/>
            <w:webHidden/>
          </w:rPr>
          <w:tab/>
        </w:r>
        <w:r w:rsidR="00767C40">
          <w:rPr>
            <w:noProof/>
            <w:webHidden/>
          </w:rPr>
          <w:fldChar w:fldCharType="begin"/>
        </w:r>
        <w:r w:rsidR="00767C40">
          <w:rPr>
            <w:noProof/>
            <w:webHidden/>
          </w:rPr>
          <w:instrText xml:space="preserve"> PAGEREF _Toc52968243 \h </w:instrText>
        </w:r>
        <w:r w:rsidR="00767C40">
          <w:rPr>
            <w:noProof/>
            <w:webHidden/>
          </w:rPr>
        </w:r>
        <w:r w:rsidR="00767C40">
          <w:rPr>
            <w:noProof/>
            <w:webHidden/>
          </w:rPr>
          <w:fldChar w:fldCharType="separate"/>
        </w:r>
        <w:r w:rsidR="00235F13">
          <w:rPr>
            <w:noProof/>
            <w:webHidden/>
          </w:rPr>
          <w:t>74</w:t>
        </w:r>
        <w:r w:rsidR="00767C40">
          <w:rPr>
            <w:noProof/>
            <w:webHidden/>
          </w:rPr>
          <w:fldChar w:fldCharType="end"/>
        </w:r>
      </w:hyperlink>
    </w:p>
    <w:p w14:paraId="09D59B66" w14:textId="6A6DAE9D" w:rsidR="00767C40" w:rsidRDefault="000651DF">
      <w:pPr>
        <w:pStyle w:val="TableofFigures"/>
        <w:rPr>
          <w:rFonts w:asciiTheme="minorHAnsi" w:eastAsiaTheme="minorEastAsia" w:hAnsiTheme="minorHAnsi" w:cstheme="minorBidi"/>
          <w:noProof/>
          <w:color w:val="auto"/>
          <w:sz w:val="22"/>
        </w:rPr>
      </w:pPr>
      <w:hyperlink w:anchor="_Toc52968244" w:history="1">
        <w:r w:rsidR="00767C40" w:rsidRPr="00E32B8E">
          <w:rPr>
            <w:rStyle w:val="Hyperlink"/>
            <w:noProof/>
          </w:rPr>
          <w:t>Figure 14. The soil carbon vulnerability index (POC / (HOC + ROC)) of Viscarra-Rossel et al. (2019).</w:t>
        </w:r>
        <w:r w:rsidR="00767C40">
          <w:rPr>
            <w:noProof/>
            <w:webHidden/>
          </w:rPr>
          <w:tab/>
        </w:r>
        <w:r w:rsidR="00767C40">
          <w:rPr>
            <w:noProof/>
            <w:webHidden/>
          </w:rPr>
          <w:fldChar w:fldCharType="begin"/>
        </w:r>
        <w:r w:rsidR="00767C40">
          <w:rPr>
            <w:noProof/>
            <w:webHidden/>
          </w:rPr>
          <w:instrText xml:space="preserve"> PAGEREF _Toc52968244 \h </w:instrText>
        </w:r>
        <w:r w:rsidR="00767C40">
          <w:rPr>
            <w:noProof/>
            <w:webHidden/>
          </w:rPr>
        </w:r>
        <w:r w:rsidR="00767C40">
          <w:rPr>
            <w:noProof/>
            <w:webHidden/>
          </w:rPr>
          <w:fldChar w:fldCharType="separate"/>
        </w:r>
        <w:r w:rsidR="00235F13">
          <w:rPr>
            <w:noProof/>
            <w:webHidden/>
          </w:rPr>
          <w:t>78</w:t>
        </w:r>
        <w:r w:rsidR="00767C40">
          <w:rPr>
            <w:noProof/>
            <w:webHidden/>
          </w:rPr>
          <w:fldChar w:fldCharType="end"/>
        </w:r>
      </w:hyperlink>
    </w:p>
    <w:p w14:paraId="62B73F77" w14:textId="3BAB84DB" w:rsidR="00767C40" w:rsidRDefault="000651DF">
      <w:pPr>
        <w:pStyle w:val="TableofFigures"/>
        <w:rPr>
          <w:rFonts w:asciiTheme="minorHAnsi" w:eastAsiaTheme="minorEastAsia" w:hAnsiTheme="minorHAnsi" w:cstheme="minorBidi"/>
          <w:noProof/>
          <w:color w:val="auto"/>
          <w:sz w:val="22"/>
        </w:rPr>
      </w:pPr>
      <w:hyperlink w:anchor="_Toc52968245" w:history="1">
        <w:r w:rsidR="00767C40" w:rsidRPr="00E32B8E">
          <w:rPr>
            <w:rStyle w:val="Hyperlink"/>
            <w:noProof/>
          </w:rPr>
          <w:t>Figure 15. Soil carbon vulnerability of each NRM sub-cluster (mean and standard deviation). Orange bars are sub-clusters with agricultural activity.</w:t>
        </w:r>
        <w:r w:rsidR="00767C40">
          <w:rPr>
            <w:noProof/>
            <w:webHidden/>
          </w:rPr>
          <w:tab/>
        </w:r>
        <w:r w:rsidR="00767C40">
          <w:rPr>
            <w:noProof/>
            <w:webHidden/>
          </w:rPr>
          <w:fldChar w:fldCharType="begin"/>
        </w:r>
        <w:r w:rsidR="00767C40">
          <w:rPr>
            <w:noProof/>
            <w:webHidden/>
          </w:rPr>
          <w:instrText xml:space="preserve"> PAGEREF _Toc52968245 \h </w:instrText>
        </w:r>
        <w:r w:rsidR="00767C40">
          <w:rPr>
            <w:noProof/>
            <w:webHidden/>
          </w:rPr>
        </w:r>
        <w:r w:rsidR="00767C40">
          <w:rPr>
            <w:noProof/>
            <w:webHidden/>
          </w:rPr>
          <w:fldChar w:fldCharType="separate"/>
        </w:r>
        <w:r w:rsidR="00235F13">
          <w:rPr>
            <w:noProof/>
            <w:webHidden/>
          </w:rPr>
          <w:t>78</w:t>
        </w:r>
        <w:r w:rsidR="00767C40">
          <w:rPr>
            <w:noProof/>
            <w:webHidden/>
          </w:rPr>
          <w:fldChar w:fldCharType="end"/>
        </w:r>
      </w:hyperlink>
    </w:p>
    <w:p w14:paraId="2B0AA6E7" w14:textId="35BB7A2E" w:rsidR="00767C40" w:rsidRDefault="000651DF">
      <w:pPr>
        <w:pStyle w:val="TableofFigures"/>
        <w:rPr>
          <w:rFonts w:asciiTheme="minorHAnsi" w:eastAsiaTheme="minorEastAsia" w:hAnsiTheme="minorHAnsi" w:cstheme="minorBidi"/>
          <w:noProof/>
          <w:color w:val="auto"/>
          <w:sz w:val="22"/>
        </w:rPr>
      </w:pPr>
      <w:hyperlink w:anchor="_Toc52968246" w:history="1">
        <w:r w:rsidR="00767C40" w:rsidRPr="00E32B8E">
          <w:rPr>
            <w:rStyle w:val="Hyperlink"/>
            <w:noProof/>
          </w:rPr>
          <w:t xml:space="preserve">Figure 16. </w:t>
        </w:r>
        <w:r w:rsidR="00767C40" w:rsidRPr="00E32B8E">
          <w:rPr>
            <w:rStyle w:val="Hyperlink"/>
            <w:rFonts w:cstheme="minorHAnsi"/>
            <w:noProof/>
          </w:rPr>
          <w:t>Relationship between climate change impacts, adaptation responses and the potential benefits from (or success of) adaptation (after Howden et al. 2010)</w:t>
        </w:r>
        <w:r w:rsidR="00767C40">
          <w:rPr>
            <w:noProof/>
            <w:webHidden/>
          </w:rPr>
          <w:tab/>
        </w:r>
        <w:r w:rsidR="00767C40">
          <w:rPr>
            <w:noProof/>
            <w:webHidden/>
          </w:rPr>
          <w:fldChar w:fldCharType="begin"/>
        </w:r>
        <w:r w:rsidR="00767C40">
          <w:rPr>
            <w:noProof/>
            <w:webHidden/>
          </w:rPr>
          <w:instrText xml:space="preserve"> PAGEREF _Toc52968246 \h </w:instrText>
        </w:r>
        <w:r w:rsidR="00767C40">
          <w:rPr>
            <w:noProof/>
            <w:webHidden/>
          </w:rPr>
        </w:r>
        <w:r w:rsidR="00767C40">
          <w:rPr>
            <w:noProof/>
            <w:webHidden/>
          </w:rPr>
          <w:fldChar w:fldCharType="separate"/>
        </w:r>
        <w:r w:rsidR="00235F13">
          <w:rPr>
            <w:noProof/>
            <w:webHidden/>
          </w:rPr>
          <w:t>95</w:t>
        </w:r>
        <w:r w:rsidR="00767C40">
          <w:rPr>
            <w:noProof/>
            <w:webHidden/>
          </w:rPr>
          <w:fldChar w:fldCharType="end"/>
        </w:r>
      </w:hyperlink>
    </w:p>
    <w:p w14:paraId="52B1AA42" w14:textId="7C991BFB" w:rsidR="00767C40" w:rsidRDefault="000651DF">
      <w:pPr>
        <w:pStyle w:val="TableofFigures"/>
        <w:rPr>
          <w:rFonts w:asciiTheme="minorHAnsi" w:eastAsiaTheme="minorEastAsia" w:hAnsiTheme="minorHAnsi" w:cstheme="minorBidi"/>
          <w:noProof/>
          <w:color w:val="auto"/>
          <w:sz w:val="22"/>
        </w:rPr>
      </w:pPr>
      <w:hyperlink w:anchor="_Toc52968247" w:history="1">
        <w:r w:rsidR="00767C40" w:rsidRPr="00E32B8E">
          <w:rPr>
            <w:rStyle w:val="Hyperlink"/>
            <w:noProof/>
          </w:rPr>
          <w:t>Figure 17. Conceptual overview linking exposure, sensitivity and resilience within the context of biotic responses to climate change.</w:t>
        </w:r>
        <w:r w:rsidR="00767C40">
          <w:rPr>
            <w:noProof/>
            <w:webHidden/>
          </w:rPr>
          <w:tab/>
        </w:r>
        <w:r w:rsidR="00767C40">
          <w:rPr>
            <w:noProof/>
            <w:webHidden/>
          </w:rPr>
          <w:fldChar w:fldCharType="begin"/>
        </w:r>
        <w:r w:rsidR="00767C40">
          <w:rPr>
            <w:noProof/>
            <w:webHidden/>
          </w:rPr>
          <w:instrText xml:space="preserve"> PAGEREF _Toc52968247 \h </w:instrText>
        </w:r>
        <w:r w:rsidR="00767C40">
          <w:rPr>
            <w:noProof/>
            <w:webHidden/>
          </w:rPr>
        </w:r>
        <w:r w:rsidR="00767C40">
          <w:rPr>
            <w:noProof/>
            <w:webHidden/>
          </w:rPr>
          <w:fldChar w:fldCharType="separate"/>
        </w:r>
        <w:r w:rsidR="00235F13">
          <w:rPr>
            <w:noProof/>
            <w:webHidden/>
          </w:rPr>
          <w:t>95</w:t>
        </w:r>
        <w:r w:rsidR="00767C40">
          <w:rPr>
            <w:noProof/>
            <w:webHidden/>
          </w:rPr>
          <w:fldChar w:fldCharType="end"/>
        </w:r>
      </w:hyperlink>
    </w:p>
    <w:p w14:paraId="04DD849D" w14:textId="00F4EF19" w:rsidR="00767C40" w:rsidRDefault="000651DF">
      <w:pPr>
        <w:pStyle w:val="TableofFigures"/>
        <w:rPr>
          <w:rFonts w:asciiTheme="minorHAnsi" w:eastAsiaTheme="minorEastAsia" w:hAnsiTheme="minorHAnsi" w:cstheme="minorBidi"/>
          <w:noProof/>
          <w:color w:val="auto"/>
          <w:sz w:val="22"/>
        </w:rPr>
      </w:pPr>
      <w:hyperlink w:anchor="_Toc52968248" w:history="1">
        <w:r w:rsidR="00767C40" w:rsidRPr="00E32B8E">
          <w:rPr>
            <w:rStyle w:val="Hyperlink"/>
            <w:noProof/>
          </w:rPr>
          <w:t xml:space="preserve">Figure 18. </w:t>
        </w:r>
        <w:r w:rsidR="00767C40" w:rsidRPr="00E32B8E">
          <w:rPr>
            <w:rStyle w:val="Hyperlink"/>
            <w:rFonts w:cstheme="minorHAnsi"/>
            <w:noProof/>
          </w:rPr>
          <w:t>Projected temperature for a site in eastern Australia (32.24</w:t>
        </w:r>
        <w:r w:rsidR="00767C40" w:rsidRPr="00E32B8E">
          <w:rPr>
            <w:rStyle w:val="Hyperlink"/>
            <w:rFonts w:eastAsia="Symbol" w:cstheme="minorHAnsi"/>
            <w:noProof/>
          </w:rPr>
          <w:t>°</w:t>
        </w:r>
        <w:r w:rsidR="00767C40" w:rsidRPr="00E32B8E">
          <w:rPr>
            <w:rStyle w:val="Hyperlink"/>
            <w:rFonts w:cstheme="minorHAnsi"/>
            <w:noProof/>
          </w:rPr>
          <w:t>S, 148.61</w:t>
        </w:r>
        <w:r w:rsidR="00767C40" w:rsidRPr="00E32B8E">
          <w:rPr>
            <w:rStyle w:val="Hyperlink"/>
            <w:rFonts w:eastAsia="Symbol" w:cstheme="minorHAnsi"/>
            <w:noProof/>
          </w:rPr>
          <w:t>°</w:t>
        </w:r>
        <w:r w:rsidR="00767C40" w:rsidRPr="00E32B8E">
          <w:rPr>
            <w:rStyle w:val="Hyperlink"/>
            <w:rFonts w:cstheme="minorHAnsi"/>
            <w:noProof/>
          </w:rPr>
          <w:t xml:space="preserve">E), showing mean annual temperature, the mean maximum temperature in February, and the mean maximum leaf temperature in February (assuming leaf temperature is 10 </w:t>
        </w:r>
        <w:r w:rsidR="00767C40" w:rsidRPr="00E32B8E">
          <w:rPr>
            <w:rStyle w:val="Hyperlink"/>
            <w:rFonts w:eastAsia="Symbol" w:cstheme="minorHAnsi"/>
            <w:noProof/>
          </w:rPr>
          <w:t>°</w:t>
        </w:r>
        <w:r w:rsidR="00767C40" w:rsidRPr="00E32B8E">
          <w:rPr>
            <w:rStyle w:val="Hyperlink"/>
            <w:rFonts w:cstheme="minorHAnsi"/>
            <w:noProof/>
          </w:rPr>
          <w:t>C higher than air temperature). Base climate data is for the period 1961 – 1990 (BOM). Climate projections used the CSIRO 3.5 GCM, with an A1FI emissions scenario, and assumed a moderate rate of global warming (www.csiro.ozclim). Heatwave conditions are not considered. T</w:t>
        </w:r>
        <w:r w:rsidR="00767C40" w:rsidRPr="00E32B8E">
          <w:rPr>
            <w:rStyle w:val="Hyperlink"/>
            <w:rFonts w:cstheme="minorHAnsi"/>
            <w:noProof/>
            <w:vertAlign w:val="subscript"/>
          </w:rPr>
          <w:t>max</w:t>
        </w:r>
        <w:r w:rsidR="00767C40" w:rsidRPr="00E32B8E">
          <w:rPr>
            <w:rStyle w:val="Hyperlink"/>
            <w:rFonts w:cstheme="minorHAnsi"/>
            <w:noProof/>
          </w:rPr>
          <w:t xml:space="preserve"> is the mean heat tolerance of dark respiration and T</w:t>
        </w:r>
        <w:r w:rsidR="00767C40" w:rsidRPr="00E32B8E">
          <w:rPr>
            <w:rStyle w:val="Hyperlink"/>
            <w:rFonts w:cstheme="minorHAnsi"/>
            <w:noProof/>
            <w:vertAlign w:val="subscript"/>
          </w:rPr>
          <w:t>crit</w:t>
        </w:r>
        <w:r w:rsidR="00767C40" w:rsidRPr="00E32B8E">
          <w:rPr>
            <w:rStyle w:val="Hyperlink"/>
            <w:rFonts w:cstheme="minorHAnsi"/>
            <w:noProof/>
          </w:rPr>
          <w:t xml:space="preserve"> is the mean heat tolerance of Photosystem II</w:t>
        </w:r>
        <w:r w:rsidR="00767C40" w:rsidRPr="00E32B8E">
          <w:rPr>
            <w:rStyle w:val="Hyperlink"/>
            <w:noProof/>
          </w:rPr>
          <w:t xml:space="preserve">  (O’Sullivan et al. 2013).</w:t>
        </w:r>
        <w:r w:rsidR="00767C40">
          <w:rPr>
            <w:noProof/>
            <w:webHidden/>
          </w:rPr>
          <w:tab/>
        </w:r>
        <w:r w:rsidR="00767C40">
          <w:rPr>
            <w:noProof/>
            <w:webHidden/>
          </w:rPr>
          <w:fldChar w:fldCharType="begin"/>
        </w:r>
        <w:r w:rsidR="00767C40">
          <w:rPr>
            <w:noProof/>
            <w:webHidden/>
          </w:rPr>
          <w:instrText xml:space="preserve"> PAGEREF _Toc52968248 \h </w:instrText>
        </w:r>
        <w:r w:rsidR="00767C40">
          <w:rPr>
            <w:noProof/>
            <w:webHidden/>
          </w:rPr>
        </w:r>
        <w:r w:rsidR="00767C40">
          <w:rPr>
            <w:noProof/>
            <w:webHidden/>
          </w:rPr>
          <w:fldChar w:fldCharType="separate"/>
        </w:r>
        <w:r w:rsidR="00235F13">
          <w:rPr>
            <w:noProof/>
            <w:webHidden/>
          </w:rPr>
          <w:t>96</w:t>
        </w:r>
        <w:r w:rsidR="00767C40">
          <w:rPr>
            <w:noProof/>
            <w:webHidden/>
          </w:rPr>
          <w:fldChar w:fldCharType="end"/>
        </w:r>
      </w:hyperlink>
    </w:p>
    <w:p w14:paraId="41353E52" w14:textId="449F8995" w:rsidR="00767C40" w:rsidRDefault="000651DF">
      <w:pPr>
        <w:pStyle w:val="TableofFigures"/>
        <w:rPr>
          <w:rFonts w:asciiTheme="minorHAnsi" w:eastAsiaTheme="minorEastAsia" w:hAnsiTheme="minorHAnsi" w:cstheme="minorBidi"/>
          <w:noProof/>
          <w:color w:val="auto"/>
          <w:sz w:val="22"/>
        </w:rPr>
      </w:pPr>
      <w:hyperlink w:anchor="_Toc52968249" w:history="1">
        <w:r w:rsidR="00767C40" w:rsidRPr="00E32B8E">
          <w:rPr>
            <w:rStyle w:val="Hyperlink"/>
            <w:noProof/>
          </w:rPr>
          <w:t>Figure 19. Composite relative risk rating for each activity category. (a) Overall risk rating. (b) Separation of risks into maintenance and accumulation. See text for details.</w:t>
        </w:r>
        <w:r w:rsidR="00767C40">
          <w:rPr>
            <w:noProof/>
            <w:webHidden/>
          </w:rPr>
          <w:tab/>
        </w:r>
        <w:r w:rsidR="00767C40">
          <w:rPr>
            <w:noProof/>
            <w:webHidden/>
          </w:rPr>
          <w:fldChar w:fldCharType="begin"/>
        </w:r>
        <w:r w:rsidR="00767C40">
          <w:rPr>
            <w:noProof/>
            <w:webHidden/>
          </w:rPr>
          <w:instrText xml:space="preserve"> PAGEREF _Toc52968249 \h </w:instrText>
        </w:r>
        <w:r w:rsidR="00767C40">
          <w:rPr>
            <w:noProof/>
            <w:webHidden/>
          </w:rPr>
        </w:r>
        <w:r w:rsidR="00767C40">
          <w:rPr>
            <w:noProof/>
            <w:webHidden/>
          </w:rPr>
          <w:fldChar w:fldCharType="separate"/>
        </w:r>
        <w:r w:rsidR="00235F13">
          <w:rPr>
            <w:noProof/>
            <w:webHidden/>
          </w:rPr>
          <w:t>113</w:t>
        </w:r>
        <w:r w:rsidR="00767C40">
          <w:rPr>
            <w:noProof/>
            <w:webHidden/>
          </w:rPr>
          <w:fldChar w:fldCharType="end"/>
        </w:r>
      </w:hyperlink>
    </w:p>
    <w:p w14:paraId="32A4ADFA" w14:textId="102BA47A" w:rsidR="00767C40" w:rsidRPr="007C3F2C" w:rsidRDefault="000651DF">
      <w:pPr>
        <w:pStyle w:val="TableofFigures"/>
        <w:rPr>
          <w:rFonts w:asciiTheme="minorHAnsi" w:eastAsiaTheme="minorEastAsia" w:hAnsiTheme="minorHAnsi" w:cstheme="minorBidi"/>
          <w:noProof/>
          <w:color w:val="auto"/>
          <w:sz w:val="22"/>
        </w:rPr>
      </w:pPr>
      <w:hyperlink r:id="rId21" w:anchor="_Toc52968250" w:history="1">
        <w:r w:rsidR="00767C40" w:rsidRPr="007C3F2C">
          <w:rPr>
            <w:rStyle w:val="Hyperlink"/>
            <w:rFonts w:cstheme="minorHAnsi"/>
            <w:noProof/>
          </w:rPr>
          <w:t>Figure 20. Idealised outputs from a numerical risk assessment, illustrating a range of possible outcomes under current and future climates (the red probability distributions) reflecting both variability and uncertainty, with the risk quantified as the difference in the two distributions (denoted by the arrow).</w:t>
        </w:r>
        <w:r w:rsidR="00767C40" w:rsidRPr="007C3F2C">
          <w:rPr>
            <w:noProof/>
            <w:webHidden/>
          </w:rPr>
          <w:tab/>
        </w:r>
        <w:r w:rsidR="00767C40" w:rsidRPr="007C3F2C">
          <w:rPr>
            <w:noProof/>
            <w:webHidden/>
          </w:rPr>
          <w:fldChar w:fldCharType="begin"/>
        </w:r>
        <w:r w:rsidR="00767C40" w:rsidRPr="007C3F2C">
          <w:rPr>
            <w:noProof/>
            <w:webHidden/>
          </w:rPr>
          <w:instrText xml:space="preserve"> PAGEREF _Toc52968250 \h </w:instrText>
        </w:r>
        <w:r w:rsidR="00767C40" w:rsidRPr="007C3F2C">
          <w:rPr>
            <w:noProof/>
            <w:webHidden/>
          </w:rPr>
        </w:r>
        <w:r w:rsidR="00767C40" w:rsidRPr="007C3F2C">
          <w:rPr>
            <w:noProof/>
            <w:webHidden/>
          </w:rPr>
          <w:fldChar w:fldCharType="separate"/>
        </w:r>
        <w:r w:rsidR="00235F13">
          <w:rPr>
            <w:noProof/>
            <w:webHidden/>
          </w:rPr>
          <w:t>118</w:t>
        </w:r>
        <w:r w:rsidR="00767C40" w:rsidRPr="007C3F2C">
          <w:rPr>
            <w:noProof/>
            <w:webHidden/>
          </w:rPr>
          <w:fldChar w:fldCharType="end"/>
        </w:r>
      </w:hyperlink>
    </w:p>
    <w:p w14:paraId="4CA61C39" w14:textId="72B30FA8" w:rsidR="009229C1" w:rsidRDefault="00DA722C" w:rsidP="009229C1">
      <w:pPr>
        <w:pStyle w:val="TableofFigures"/>
      </w:pPr>
      <w:r>
        <w:fldChar w:fldCharType="end"/>
      </w:r>
      <w:r w:rsidR="009229C1">
        <w:t xml:space="preserve"> </w:t>
      </w:r>
    </w:p>
    <w:p w14:paraId="53602AA6" w14:textId="3E82DD91" w:rsidR="00A943B2" w:rsidRDefault="004D139E" w:rsidP="00D1044D">
      <w:pPr>
        <w:pStyle w:val="ListofFiguresandTablesTOCHeading"/>
      </w:pPr>
      <w:r>
        <w:t>T</w:t>
      </w:r>
      <w:r w:rsidR="00A943B2">
        <w:t>ables</w:t>
      </w:r>
    </w:p>
    <w:p w14:paraId="252CFE93" w14:textId="2BA25AAA" w:rsidR="00787615" w:rsidRDefault="00DA722C">
      <w:pPr>
        <w:pStyle w:val="TableofFigures"/>
        <w:rPr>
          <w:rFonts w:asciiTheme="minorHAnsi" w:eastAsiaTheme="minorEastAsia" w:hAnsiTheme="minorHAnsi" w:cstheme="minorBidi"/>
          <w:noProof/>
          <w:color w:val="auto"/>
          <w:sz w:val="22"/>
        </w:rPr>
      </w:pPr>
      <w:r>
        <w:fldChar w:fldCharType="begin"/>
      </w:r>
      <w:r w:rsidR="00A943B2">
        <w:instrText xml:space="preserve"> TOC \h \z \c "Table" </w:instrText>
      </w:r>
      <w:r>
        <w:fldChar w:fldCharType="separate"/>
      </w:r>
      <w:hyperlink w:anchor="_Toc52971056" w:history="1">
        <w:r w:rsidR="00787615" w:rsidRPr="002656FB">
          <w:rPr>
            <w:rStyle w:val="Hyperlink"/>
            <w:noProof/>
          </w:rPr>
          <w:t>Table 1. List of ERF Methodologies included in the analysis, classified into six broad activity categories. ‘Included carbon pools’ are included in the abatement calculations for the methodology. ‘Excluded carbon pools’ and not included in the accounting, but may nevertheless be susceptible to loss.</w:t>
        </w:r>
        <w:r w:rsidR="00787615">
          <w:rPr>
            <w:noProof/>
            <w:webHidden/>
          </w:rPr>
          <w:tab/>
        </w:r>
        <w:r w:rsidR="00787615">
          <w:rPr>
            <w:noProof/>
            <w:webHidden/>
          </w:rPr>
          <w:fldChar w:fldCharType="begin"/>
        </w:r>
        <w:r w:rsidR="00787615">
          <w:rPr>
            <w:noProof/>
            <w:webHidden/>
          </w:rPr>
          <w:instrText xml:space="preserve"> PAGEREF _Toc52971056 \h </w:instrText>
        </w:r>
        <w:r w:rsidR="00787615">
          <w:rPr>
            <w:noProof/>
            <w:webHidden/>
          </w:rPr>
        </w:r>
        <w:r w:rsidR="00787615">
          <w:rPr>
            <w:noProof/>
            <w:webHidden/>
          </w:rPr>
          <w:fldChar w:fldCharType="separate"/>
        </w:r>
        <w:r w:rsidR="00787615">
          <w:rPr>
            <w:noProof/>
            <w:webHidden/>
          </w:rPr>
          <w:t>5</w:t>
        </w:r>
        <w:r w:rsidR="00787615">
          <w:rPr>
            <w:noProof/>
            <w:webHidden/>
          </w:rPr>
          <w:fldChar w:fldCharType="end"/>
        </w:r>
      </w:hyperlink>
    </w:p>
    <w:p w14:paraId="4A2F0719" w14:textId="757D7659" w:rsidR="00787615" w:rsidRDefault="000651DF">
      <w:pPr>
        <w:pStyle w:val="TableofFigures"/>
        <w:rPr>
          <w:rFonts w:asciiTheme="minorHAnsi" w:eastAsiaTheme="minorEastAsia" w:hAnsiTheme="minorHAnsi" w:cstheme="minorBidi"/>
          <w:noProof/>
          <w:color w:val="auto"/>
          <w:sz w:val="22"/>
        </w:rPr>
      </w:pPr>
      <w:hyperlink w:anchor="_Toc52971057" w:history="1">
        <w:r w:rsidR="00787615" w:rsidRPr="002656FB">
          <w:rPr>
            <w:rStyle w:val="Hyperlink"/>
            <w:noProof/>
          </w:rPr>
          <w:t>Table 2. Five-class classification of the consequences of identified risk factors to abatement accumulation and maintenance.</w:t>
        </w:r>
        <w:r w:rsidR="00787615">
          <w:rPr>
            <w:noProof/>
            <w:webHidden/>
          </w:rPr>
          <w:tab/>
        </w:r>
        <w:r w:rsidR="00787615">
          <w:rPr>
            <w:noProof/>
            <w:webHidden/>
          </w:rPr>
          <w:fldChar w:fldCharType="begin"/>
        </w:r>
        <w:r w:rsidR="00787615">
          <w:rPr>
            <w:noProof/>
            <w:webHidden/>
          </w:rPr>
          <w:instrText xml:space="preserve"> PAGEREF _Toc52971057 \h </w:instrText>
        </w:r>
        <w:r w:rsidR="00787615">
          <w:rPr>
            <w:noProof/>
            <w:webHidden/>
          </w:rPr>
        </w:r>
        <w:r w:rsidR="00787615">
          <w:rPr>
            <w:noProof/>
            <w:webHidden/>
          </w:rPr>
          <w:fldChar w:fldCharType="separate"/>
        </w:r>
        <w:r w:rsidR="00787615">
          <w:rPr>
            <w:noProof/>
            <w:webHidden/>
          </w:rPr>
          <w:t>7</w:t>
        </w:r>
        <w:r w:rsidR="00787615">
          <w:rPr>
            <w:noProof/>
            <w:webHidden/>
          </w:rPr>
          <w:fldChar w:fldCharType="end"/>
        </w:r>
      </w:hyperlink>
    </w:p>
    <w:p w14:paraId="09301EAE" w14:textId="0F0744D8" w:rsidR="00787615" w:rsidRDefault="000651DF">
      <w:pPr>
        <w:pStyle w:val="TableofFigures"/>
        <w:rPr>
          <w:rFonts w:asciiTheme="minorHAnsi" w:eastAsiaTheme="minorEastAsia" w:hAnsiTheme="minorHAnsi" w:cstheme="minorBidi"/>
          <w:noProof/>
          <w:color w:val="auto"/>
          <w:sz w:val="22"/>
        </w:rPr>
      </w:pPr>
      <w:hyperlink w:anchor="_Toc52971058" w:history="1">
        <w:r w:rsidR="00787615" w:rsidRPr="002656FB">
          <w:rPr>
            <w:rStyle w:val="Hyperlink"/>
            <w:noProof/>
          </w:rPr>
          <w:t>Table 3. Three-class classification of the likelihoods of identified risk factors, considered both at the portfolio level, and the individual project level.</w:t>
        </w:r>
        <w:r w:rsidR="00787615">
          <w:rPr>
            <w:noProof/>
            <w:webHidden/>
          </w:rPr>
          <w:tab/>
        </w:r>
        <w:r w:rsidR="00787615">
          <w:rPr>
            <w:noProof/>
            <w:webHidden/>
          </w:rPr>
          <w:fldChar w:fldCharType="begin"/>
        </w:r>
        <w:r w:rsidR="00787615">
          <w:rPr>
            <w:noProof/>
            <w:webHidden/>
          </w:rPr>
          <w:instrText xml:space="preserve"> PAGEREF _Toc52971058 \h </w:instrText>
        </w:r>
        <w:r w:rsidR="00787615">
          <w:rPr>
            <w:noProof/>
            <w:webHidden/>
          </w:rPr>
        </w:r>
        <w:r w:rsidR="00787615">
          <w:rPr>
            <w:noProof/>
            <w:webHidden/>
          </w:rPr>
          <w:fldChar w:fldCharType="separate"/>
        </w:r>
        <w:r w:rsidR="00787615">
          <w:rPr>
            <w:noProof/>
            <w:webHidden/>
          </w:rPr>
          <w:t>8</w:t>
        </w:r>
        <w:r w:rsidR="00787615">
          <w:rPr>
            <w:noProof/>
            <w:webHidden/>
          </w:rPr>
          <w:fldChar w:fldCharType="end"/>
        </w:r>
      </w:hyperlink>
    </w:p>
    <w:p w14:paraId="1615AF76" w14:textId="7BF8EE59" w:rsidR="00787615" w:rsidRDefault="000651DF">
      <w:pPr>
        <w:pStyle w:val="TableofFigures"/>
        <w:rPr>
          <w:rFonts w:asciiTheme="minorHAnsi" w:eastAsiaTheme="minorEastAsia" w:hAnsiTheme="minorHAnsi" w:cstheme="minorBidi"/>
          <w:noProof/>
          <w:color w:val="auto"/>
          <w:sz w:val="22"/>
        </w:rPr>
      </w:pPr>
      <w:hyperlink w:anchor="_Toc52971059" w:history="1">
        <w:r w:rsidR="00787615" w:rsidRPr="002656FB">
          <w:rPr>
            <w:rStyle w:val="Hyperlink"/>
            <w:noProof/>
          </w:rPr>
          <w:t>Table 4. Risk priority classification arising from the various combinations of consequence and likelihood.</w:t>
        </w:r>
        <w:r w:rsidR="00787615">
          <w:rPr>
            <w:noProof/>
            <w:webHidden/>
          </w:rPr>
          <w:tab/>
        </w:r>
        <w:r w:rsidR="00787615">
          <w:rPr>
            <w:noProof/>
            <w:webHidden/>
          </w:rPr>
          <w:fldChar w:fldCharType="begin"/>
        </w:r>
        <w:r w:rsidR="00787615">
          <w:rPr>
            <w:noProof/>
            <w:webHidden/>
          </w:rPr>
          <w:instrText xml:space="preserve"> PAGEREF _Toc52971059 \h </w:instrText>
        </w:r>
        <w:r w:rsidR="00787615">
          <w:rPr>
            <w:noProof/>
            <w:webHidden/>
          </w:rPr>
        </w:r>
        <w:r w:rsidR="00787615">
          <w:rPr>
            <w:noProof/>
            <w:webHidden/>
          </w:rPr>
          <w:fldChar w:fldCharType="separate"/>
        </w:r>
        <w:r w:rsidR="00787615">
          <w:rPr>
            <w:noProof/>
            <w:webHidden/>
          </w:rPr>
          <w:t>8</w:t>
        </w:r>
        <w:r w:rsidR="00787615">
          <w:rPr>
            <w:noProof/>
            <w:webHidden/>
          </w:rPr>
          <w:fldChar w:fldCharType="end"/>
        </w:r>
      </w:hyperlink>
    </w:p>
    <w:p w14:paraId="58F908D3" w14:textId="7EA2D41E" w:rsidR="00787615" w:rsidRDefault="000651DF">
      <w:pPr>
        <w:pStyle w:val="TableofFigures"/>
        <w:rPr>
          <w:rFonts w:asciiTheme="minorHAnsi" w:eastAsiaTheme="minorEastAsia" w:hAnsiTheme="minorHAnsi" w:cstheme="minorBidi"/>
          <w:noProof/>
          <w:color w:val="auto"/>
          <w:sz w:val="22"/>
        </w:rPr>
      </w:pPr>
      <w:hyperlink w:anchor="_Toc52971060" w:history="1">
        <w:r w:rsidR="00787615" w:rsidRPr="002656FB">
          <w:rPr>
            <w:rStyle w:val="Hyperlink"/>
            <w:noProof/>
          </w:rPr>
          <w:t>Table 5. Levels of confidence in model projections as defined by the degree of robustness of the understanding of the underlying science evidence base, and the consensus across different GCMs.</w:t>
        </w:r>
        <w:r w:rsidR="00787615">
          <w:rPr>
            <w:noProof/>
            <w:webHidden/>
          </w:rPr>
          <w:tab/>
        </w:r>
        <w:r w:rsidR="00787615">
          <w:rPr>
            <w:noProof/>
            <w:webHidden/>
          </w:rPr>
          <w:fldChar w:fldCharType="begin"/>
        </w:r>
        <w:r w:rsidR="00787615">
          <w:rPr>
            <w:noProof/>
            <w:webHidden/>
          </w:rPr>
          <w:instrText xml:space="preserve"> PAGEREF _Toc52971060 \h </w:instrText>
        </w:r>
        <w:r w:rsidR="00787615">
          <w:rPr>
            <w:noProof/>
            <w:webHidden/>
          </w:rPr>
        </w:r>
        <w:r w:rsidR="00787615">
          <w:rPr>
            <w:noProof/>
            <w:webHidden/>
          </w:rPr>
          <w:fldChar w:fldCharType="separate"/>
        </w:r>
        <w:r w:rsidR="00787615">
          <w:rPr>
            <w:noProof/>
            <w:webHidden/>
          </w:rPr>
          <w:t>9</w:t>
        </w:r>
        <w:r w:rsidR="00787615">
          <w:rPr>
            <w:noProof/>
            <w:webHidden/>
          </w:rPr>
          <w:fldChar w:fldCharType="end"/>
        </w:r>
      </w:hyperlink>
    </w:p>
    <w:p w14:paraId="64D46104" w14:textId="54606130" w:rsidR="00787615" w:rsidRPr="00787615" w:rsidRDefault="000651DF">
      <w:pPr>
        <w:pStyle w:val="TableofFigures"/>
        <w:rPr>
          <w:rFonts w:asciiTheme="minorHAnsi" w:eastAsiaTheme="minorEastAsia" w:hAnsiTheme="minorHAnsi" w:cstheme="minorBidi"/>
          <w:noProof/>
          <w:color w:val="auto"/>
          <w:sz w:val="22"/>
        </w:rPr>
      </w:pPr>
      <w:hyperlink w:anchor="_Toc52971061" w:history="1">
        <w:r w:rsidR="00787615" w:rsidRPr="00787615">
          <w:rPr>
            <w:rStyle w:val="Hyperlink"/>
            <w:noProof/>
          </w:rPr>
          <w:t>Table 6. Key primary and secondary climate variables, and their potential impacts on risk to abatement and maintenance of carbon stocks that are sequestered by ERF projects.</w:t>
        </w:r>
        <w:r w:rsidR="00787615" w:rsidRPr="00787615">
          <w:rPr>
            <w:noProof/>
            <w:webHidden/>
          </w:rPr>
          <w:tab/>
        </w:r>
        <w:r w:rsidR="00787615" w:rsidRPr="00787615">
          <w:rPr>
            <w:noProof/>
            <w:webHidden/>
          </w:rPr>
          <w:fldChar w:fldCharType="begin"/>
        </w:r>
        <w:r w:rsidR="00787615" w:rsidRPr="00787615">
          <w:rPr>
            <w:noProof/>
            <w:webHidden/>
          </w:rPr>
          <w:instrText xml:space="preserve"> PAGEREF _Toc52971061 \h </w:instrText>
        </w:r>
        <w:r w:rsidR="00787615" w:rsidRPr="00787615">
          <w:rPr>
            <w:noProof/>
            <w:webHidden/>
          </w:rPr>
        </w:r>
        <w:r w:rsidR="00787615" w:rsidRPr="00787615">
          <w:rPr>
            <w:noProof/>
            <w:webHidden/>
          </w:rPr>
          <w:fldChar w:fldCharType="separate"/>
        </w:r>
        <w:r w:rsidR="00787615" w:rsidRPr="00787615">
          <w:rPr>
            <w:noProof/>
            <w:webHidden/>
          </w:rPr>
          <w:t>11</w:t>
        </w:r>
        <w:r w:rsidR="00787615" w:rsidRPr="00787615">
          <w:rPr>
            <w:noProof/>
            <w:webHidden/>
          </w:rPr>
          <w:fldChar w:fldCharType="end"/>
        </w:r>
      </w:hyperlink>
    </w:p>
    <w:p w14:paraId="429AB28A" w14:textId="69E5028F" w:rsidR="00787615" w:rsidRPr="00787615" w:rsidRDefault="000651DF">
      <w:pPr>
        <w:pStyle w:val="TableofFigures"/>
        <w:rPr>
          <w:rFonts w:asciiTheme="minorHAnsi" w:eastAsiaTheme="minorEastAsia" w:hAnsiTheme="minorHAnsi" w:cstheme="minorBidi"/>
          <w:noProof/>
          <w:color w:val="auto"/>
          <w:sz w:val="22"/>
        </w:rPr>
      </w:pPr>
      <w:hyperlink w:anchor="_Toc52971062" w:history="1">
        <w:r w:rsidR="00787615" w:rsidRPr="00787615">
          <w:rPr>
            <w:rStyle w:val="Hyperlink"/>
            <w:noProof/>
          </w:rPr>
          <w:t>Table 7. Climate Indicators for which quantitative changes (for years 2050 and 2090 relative to the baseline years 1986-2005) were available for each NRM sub cluster zone.</w:t>
        </w:r>
        <w:r w:rsidR="00787615" w:rsidRPr="00787615">
          <w:rPr>
            <w:noProof/>
            <w:webHidden/>
          </w:rPr>
          <w:tab/>
        </w:r>
        <w:r w:rsidR="00787615" w:rsidRPr="00787615">
          <w:rPr>
            <w:noProof/>
            <w:webHidden/>
          </w:rPr>
          <w:fldChar w:fldCharType="begin"/>
        </w:r>
        <w:r w:rsidR="00787615" w:rsidRPr="00787615">
          <w:rPr>
            <w:noProof/>
            <w:webHidden/>
          </w:rPr>
          <w:instrText xml:space="preserve"> PAGEREF _Toc52971062 \h </w:instrText>
        </w:r>
        <w:r w:rsidR="00787615" w:rsidRPr="00787615">
          <w:rPr>
            <w:noProof/>
            <w:webHidden/>
          </w:rPr>
        </w:r>
        <w:r w:rsidR="00787615" w:rsidRPr="00787615">
          <w:rPr>
            <w:noProof/>
            <w:webHidden/>
          </w:rPr>
          <w:fldChar w:fldCharType="separate"/>
        </w:r>
        <w:r w:rsidR="00787615" w:rsidRPr="00787615">
          <w:rPr>
            <w:noProof/>
            <w:webHidden/>
          </w:rPr>
          <w:t>15</w:t>
        </w:r>
        <w:r w:rsidR="00787615" w:rsidRPr="00787615">
          <w:rPr>
            <w:noProof/>
            <w:webHidden/>
          </w:rPr>
          <w:fldChar w:fldCharType="end"/>
        </w:r>
      </w:hyperlink>
    </w:p>
    <w:p w14:paraId="43C03B0A" w14:textId="3F5DA6E3" w:rsidR="00787615" w:rsidRPr="00787615" w:rsidRDefault="000651DF">
      <w:pPr>
        <w:pStyle w:val="TableofFigures"/>
        <w:rPr>
          <w:rFonts w:asciiTheme="minorHAnsi" w:eastAsiaTheme="minorEastAsia" w:hAnsiTheme="minorHAnsi" w:cstheme="minorBidi"/>
          <w:noProof/>
          <w:color w:val="auto"/>
          <w:sz w:val="22"/>
        </w:rPr>
      </w:pPr>
      <w:hyperlink w:anchor="_Toc52971063" w:history="1">
        <w:r w:rsidR="00787615" w:rsidRPr="00787615">
          <w:rPr>
            <w:rStyle w:val="Hyperlink"/>
            <w:noProof/>
          </w:rPr>
          <w:t>Table 8. Summary of contracted ERF projects as at 17 May 2020</w:t>
        </w:r>
        <w:r w:rsidR="00787615" w:rsidRPr="00787615">
          <w:rPr>
            <w:rStyle w:val="Hyperlink"/>
            <w:noProof/>
            <w:vertAlign w:val="superscript"/>
          </w:rPr>
          <w:t>1</w:t>
        </w:r>
        <w:r w:rsidR="00787615" w:rsidRPr="00787615">
          <w:rPr>
            <w:rStyle w:val="Hyperlink"/>
            <w:noProof/>
          </w:rPr>
          <w:t>. Green text indicates land-based ERF methodologies considered in this project. Revoked projects have been excluded from this table.</w:t>
        </w:r>
        <w:r w:rsidR="00787615" w:rsidRPr="00787615">
          <w:rPr>
            <w:noProof/>
            <w:webHidden/>
          </w:rPr>
          <w:tab/>
        </w:r>
        <w:r w:rsidR="00787615" w:rsidRPr="00787615">
          <w:rPr>
            <w:noProof/>
            <w:webHidden/>
          </w:rPr>
          <w:fldChar w:fldCharType="begin"/>
        </w:r>
        <w:r w:rsidR="00787615" w:rsidRPr="00787615">
          <w:rPr>
            <w:noProof/>
            <w:webHidden/>
          </w:rPr>
          <w:instrText xml:space="preserve"> PAGEREF _Toc52971063 \h </w:instrText>
        </w:r>
        <w:r w:rsidR="00787615" w:rsidRPr="00787615">
          <w:rPr>
            <w:noProof/>
            <w:webHidden/>
          </w:rPr>
        </w:r>
        <w:r w:rsidR="00787615" w:rsidRPr="00787615">
          <w:rPr>
            <w:noProof/>
            <w:webHidden/>
          </w:rPr>
          <w:fldChar w:fldCharType="separate"/>
        </w:r>
        <w:r w:rsidR="00787615" w:rsidRPr="00787615">
          <w:rPr>
            <w:noProof/>
            <w:webHidden/>
          </w:rPr>
          <w:t>17</w:t>
        </w:r>
        <w:r w:rsidR="00787615" w:rsidRPr="00787615">
          <w:rPr>
            <w:noProof/>
            <w:webHidden/>
          </w:rPr>
          <w:fldChar w:fldCharType="end"/>
        </w:r>
      </w:hyperlink>
    </w:p>
    <w:p w14:paraId="40A5BF7B" w14:textId="38518A21" w:rsidR="00787615" w:rsidRDefault="000651DF">
      <w:pPr>
        <w:pStyle w:val="TableofFigures"/>
        <w:rPr>
          <w:rFonts w:asciiTheme="minorHAnsi" w:eastAsiaTheme="minorEastAsia" w:hAnsiTheme="minorHAnsi" w:cstheme="minorBidi"/>
          <w:noProof/>
          <w:color w:val="auto"/>
          <w:sz w:val="22"/>
        </w:rPr>
      </w:pPr>
      <w:hyperlink w:anchor="_Toc52971064" w:history="1">
        <w:r w:rsidR="00787615" w:rsidRPr="002656FB">
          <w:rPr>
            <w:rStyle w:val="Hyperlink"/>
            <w:noProof/>
          </w:rPr>
          <w:t>Table 9. Total area occupied by ERF projects.</w:t>
        </w:r>
        <w:r w:rsidR="00787615">
          <w:rPr>
            <w:noProof/>
            <w:webHidden/>
          </w:rPr>
          <w:tab/>
        </w:r>
        <w:r w:rsidR="00787615">
          <w:rPr>
            <w:noProof/>
            <w:webHidden/>
          </w:rPr>
          <w:fldChar w:fldCharType="begin"/>
        </w:r>
        <w:r w:rsidR="00787615">
          <w:rPr>
            <w:noProof/>
            <w:webHidden/>
          </w:rPr>
          <w:instrText xml:space="preserve"> PAGEREF _Toc52971064 \h </w:instrText>
        </w:r>
        <w:r w:rsidR="00787615">
          <w:rPr>
            <w:noProof/>
            <w:webHidden/>
          </w:rPr>
        </w:r>
        <w:r w:rsidR="00787615">
          <w:rPr>
            <w:noProof/>
            <w:webHidden/>
          </w:rPr>
          <w:fldChar w:fldCharType="separate"/>
        </w:r>
        <w:r w:rsidR="00787615">
          <w:rPr>
            <w:noProof/>
            <w:webHidden/>
          </w:rPr>
          <w:t>19</w:t>
        </w:r>
        <w:r w:rsidR="00787615">
          <w:rPr>
            <w:noProof/>
            <w:webHidden/>
          </w:rPr>
          <w:fldChar w:fldCharType="end"/>
        </w:r>
      </w:hyperlink>
    </w:p>
    <w:p w14:paraId="31AFAB26" w14:textId="5B3457B9" w:rsidR="00787615" w:rsidRDefault="000651DF">
      <w:pPr>
        <w:pStyle w:val="TableofFigures"/>
        <w:rPr>
          <w:rFonts w:asciiTheme="minorHAnsi" w:eastAsiaTheme="minorEastAsia" w:hAnsiTheme="minorHAnsi" w:cstheme="minorBidi"/>
          <w:noProof/>
          <w:color w:val="auto"/>
          <w:sz w:val="22"/>
        </w:rPr>
      </w:pPr>
      <w:hyperlink w:anchor="_Toc52971065" w:history="1">
        <w:r w:rsidR="00787615" w:rsidRPr="002656FB">
          <w:rPr>
            <w:rStyle w:val="Hyperlink"/>
            <w:noProof/>
          </w:rPr>
          <w:t>Table 10. Mapping of climate impact factors to ERF activities.</w:t>
        </w:r>
        <w:r w:rsidR="00787615">
          <w:rPr>
            <w:noProof/>
            <w:webHidden/>
          </w:rPr>
          <w:tab/>
        </w:r>
        <w:r w:rsidR="00787615">
          <w:rPr>
            <w:noProof/>
            <w:webHidden/>
          </w:rPr>
          <w:fldChar w:fldCharType="begin"/>
        </w:r>
        <w:r w:rsidR="00787615">
          <w:rPr>
            <w:noProof/>
            <w:webHidden/>
          </w:rPr>
          <w:instrText xml:space="preserve"> PAGEREF _Toc52971065 \h </w:instrText>
        </w:r>
        <w:r w:rsidR="00787615">
          <w:rPr>
            <w:noProof/>
            <w:webHidden/>
          </w:rPr>
        </w:r>
        <w:r w:rsidR="00787615">
          <w:rPr>
            <w:noProof/>
            <w:webHidden/>
          </w:rPr>
          <w:fldChar w:fldCharType="separate"/>
        </w:r>
        <w:r w:rsidR="00787615">
          <w:rPr>
            <w:noProof/>
            <w:webHidden/>
          </w:rPr>
          <w:t>20</w:t>
        </w:r>
        <w:r w:rsidR="00787615">
          <w:rPr>
            <w:noProof/>
            <w:webHidden/>
          </w:rPr>
          <w:fldChar w:fldCharType="end"/>
        </w:r>
      </w:hyperlink>
    </w:p>
    <w:p w14:paraId="3B45A600" w14:textId="31D137B3" w:rsidR="00787615" w:rsidRDefault="000651DF">
      <w:pPr>
        <w:pStyle w:val="TableofFigures"/>
        <w:rPr>
          <w:rFonts w:asciiTheme="minorHAnsi" w:eastAsiaTheme="minorEastAsia" w:hAnsiTheme="minorHAnsi" w:cstheme="minorBidi"/>
          <w:noProof/>
          <w:color w:val="auto"/>
          <w:sz w:val="22"/>
        </w:rPr>
      </w:pPr>
      <w:hyperlink w:anchor="_Toc52971066" w:history="1">
        <w:r w:rsidR="00787615" w:rsidRPr="002656FB">
          <w:rPr>
            <w:rStyle w:val="Hyperlink"/>
            <w:noProof/>
          </w:rPr>
          <w:t xml:space="preserve">Table 11. Risk assessment for the Re-establishment of Native </w:t>
        </w:r>
        <w:r w:rsidR="00665DCE">
          <w:rPr>
            <w:rStyle w:val="Hyperlink"/>
            <w:noProof/>
          </w:rPr>
          <w:t>F</w:t>
        </w:r>
        <w:r w:rsidR="00787615" w:rsidRPr="002656FB">
          <w:rPr>
            <w:rStyle w:val="Hyperlink"/>
            <w:noProof/>
          </w:rPr>
          <w:t>orest activities.</w:t>
        </w:r>
        <w:r w:rsidR="00787615">
          <w:rPr>
            <w:noProof/>
            <w:webHidden/>
          </w:rPr>
          <w:tab/>
        </w:r>
        <w:r w:rsidR="00787615">
          <w:rPr>
            <w:noProof/>
            <w:webHidden/>
          </w:rPr>
          <w:fldChar w:fldCharType="begin"/>
        </w:r>
        <w:r w:rsidR="00787615">
          <w:rPr>
            <w:noProof/>
            <w:webHidden/>
          </w:rPr>
          <w:instrText xml:space="preserve"> PAGEREF _Toc52971066 \h </w:instrText>
        </w:r>
        <w:r w:rsidR="00787615">
          <w:rPr>
            <w:noProof/>
            <w:webHidden/>
          </w:rPr>
        </w:r>
        <w:r w:rsidR="00787615">
          <w:rPr>
            <w:noProof/>
            <w:webHidden/>
          </w:rPr>
          <w:fldChar w:fldCharType="separate"/>
        </w:r>
        <w:r w:rsidR="00787615">
          <w:rPr>
            <w:noProof/>
            <w:webHidden/>
          </w:rPr>
          <w:t>32</w:t>
        </w:r>
        <w:r w:rsidR="00787615">
          <w:rPr>
            <w:noProof/>
            <w:webHidden/>
          </w:rPr>
          <w:fldChar w:fldCharType="end"/>
        </w:r>
      </w:hyperlink>
    </w:p>
    <w:p w14:paraId="79FE15A1" w14:textId="272F9EBC" w:rsidR="00787615" w:rsidRDefault="000651DF">
      <w:pPr>
        <w:pStyle w:val="TableofFigures"/>
        <w:rPr>
          <w:rFonts w:asciiTheme="minorHAnsi" w:eastAsiaTheme="minorEastAsia" w:hAnsiTheme="minorHAnsi" w:cstheme="minorBidi"/>
          <w:noProof/>
          <w:color w:val="auto"/>
          <w:sz w:val="22"/>
        </w:rPr>
      </w:pPr>
      <w:hyperlink w:anchor="_Toc52971067" w:history="1">
        <w:r w:rsidR="00787615" w:rsidRPr="002656FB">
          <w:rPr>
            <w:rStyle w:val="Hyperlink"/>
            <w:noProof/>
          </w:rPr>
          <w:t>Table 12. Risk assessment for the Protect Existing Forest activities.</w:t>
        </w:r>
        <w:r w:rsidR="00787615">
          <w:rPr>
            <w:noProof/>
            <w:webHidden/>
          </w:rPr>
          <w:tab/>
        </w:r>
        <w:r w:rsidR="00787615">
          <w:rPr>
            <w:noProof/>
            <w:webHidden/>
          </w:rPr>
          <w:fldChar w:fldCharType="begin"/>
        </w:r>
        <w:r w:rsidR="00787615">
          <w:rPr>
            <w:noProof/>
            <w:webHidden/>
          </w:rPr>
          <w:instrText xml:space="preserve"> PAGEREF _Toc52971067 \h </w:instrText>
        </w:r>
        <w:r w:rsidR="00787615">
          <w:rPr>
            <w:noProof/>
            <w:webHidden/>
          </w:rPr>
        </w:r>
        <w:r w:rsidR="00787615">
          <w:rPr>
            <w:noProof/>
            <w:webHidden/>
          </w:rPr>
          <w:fldChar w:fldCharType="separate"/>
        </w:r>
        <w:r w:rsidR="00787615">
          <w:rPr>
            <w:noProof/>
            <w:webHidden/>
          </w:rPr>
          <w:t>41</w:t>
        </w:r>
        <w:r w:rsidR="00787615">
          <w:rPr>
            <w:noProof/>
            <w:webHidden/>
          </w:rPr>
          <w:fldChar w:fldCharType="end"/>
        </w:r>
      </w:hyperlink>
    </w:p>
    <w:p w14:paraId="2390B435" w14:textId="24649DF2" w:rsidR="00787615" w:rsidRDefault="000651DF">
      <w:pPr>
        <w:pStyle w:val="TableofFigures"/>
        <w:rPr>
          <w:rFonts w:asciiTheme="minorHAnsi" w:eastAsiaTheme="minorEastAsia" w:hAnsiTheme="minorHAnsi" w:cstheme="minorBidi"/>
          <w:noProof/>
          <w:color w:val="auto"/>
          <w:sz w:val="22"/>
        </w:rPr>
      </w:pPr>
      <w:hyperlink w:anchor="_Toc52971068" w:history="1">
        <w:r w:rsidR="00787615" w:rsidRPr="002656FB">
          <w:rPr>
            <w:rStyle w:val="Hyperlink"/>
            <w:noProof/>
          </w:rPr>
          <w:t>Table 13. Risk assessment for the Planting of New Forest activities.</w:t>
        </w:r>
        <w:r w:rsidR="00787615">
          <w:rPr>
            <w:noProof/>
            <w:webHidden/>
          </w:rPr>
          <w:tab/>
        </w:r>
        <w:r w:rsidR="00787615">
          <w:rPr>
            <w:noProof/>
            <w:webHidden/>
          </w:rPr>
          <w:fldChar w:fldCharType="begin"/>
        </w:r>
        <w:r w:rsidR="00787615">
          <w:rPr>
            <w:noProof/>
            <w:webHidden/>
          </w:rPr>
          <w:instrText xml:space="preserve"> PAGEREF _Toc52971068 \h </w:instrText>
        </w:r>
        <w:r w:rsidR="00787615">
          <w:rPr>
            <w:noProof/>
            <w:webHidden/>
          </w:rPr>
        </w:r>
        <w:r w:rsidR="00787615">
          <w:rPr>
            <w:noProof/>
            <w:webHidden/>
          </w:rPr>
          <w:fldChar w:fldCharType="separate"/>
        </w:r>
        <w:r w:rsidR="00787615">
          <w:rPr>
            <w:noProof/>
            <w:webHidden/>
          </w:rPr>
          <w:t>55</w:t>
        </w:r>
        <w:r w:rsidR="00787615">
          <w:rPr>
            <w:noProof/>
            <w:webHidden/>
          </w:rPr>
          <w:fldChar w:fldCharType="end"/>
        </w:r>
      </w:hyperlink>
    </w:p>
    <w:p w14:paraId="015E0C55" w14:textId="211E9FD3" w:rsidR="00787615" w:rsidRDefault="000651DF">
      <w:pPr>
        <w:pStyle w:val="TableofFigures"/>
        <w:rPr>
          <w:rFonts w:asciiTheme="minorHAnsi" w:eastAsiaTheme="minorEastAsia" w:hAnsiTheme="minorHAnsi" w:cstheme="minorBidi"/>
          <w:noProof/>
          <w:color w:val="auto"/>
          <w:sz w:val="22"/>
        </w:rPr>
      </w:pPr>
      <w:hyperlink w:anchor="_Toc52971069" w:history="1">
        <w:r w:rsidR="00787615" w:rsidRPr="002656FB">
          <w:rPr>
            <w:rStyle w:val="Hyperlink"/>
            <w:noProof/>
          </w:rPr>
          <w:t>Table 14. Risk assessment for the Savanna Fire Management activities.</w:t>
        </w:r>
        <w:r w:rsidR="00787615">
          <w:rPr>
            <w:noProof/>
            <w:webHidden/>
          </w:rPr>
          <w:tab/>
        </w:r>
        <w:r w:rsidR="00787615">
          <w:rPr>
            <w:noProof/>
            <w:webHidden/>
          </w:rPr>
          <w:fldChar w:fldCharType="begin"/>
        </w:r>
        <w:r w:rsidR="00787615">
          <w:rPr>
            <w:noProof/>
            <w:webHidden/>
          </w:rPr>
          <w:instrText xml:space="preserve"> PAGEREF _Toc52971069 \h </w:instrText>
        </w:r>
        <w:r w:rsidR="00787615">
          <w:rPr>
            <w:noProof/>
            <w:webHidden/>
          </w:rPr>
        </w:r>
        <w:r w:rsidR="00787615">
          <w:rPr>
            <w:noProof/>
            <w:webHidden/>
          </w:rPr>
          <w:fldChar w:fldCharType="separate"/>
        </w:r>
        <w:r w:rsidR="00787615">
          <w:rPr>
            <w:noProof/>
            <w:webHidden/>
          </w:rPr>
          <w:t>63</w:t>
        </w:r>
        <w:r w:rsidR="00787615">
          <w:rPr>
            <w:noProof/>
            <w:webHidden/>
          </w:rPr>
          <w:fldChar w:fldCharType="end"/>
        </w:r>
      </w:hyperlink>
    </w:p>
    <w:p w14:paraId="100BB967" w14:textId="38CBB5BA" w:rsidR="00787615" w:rsidRDefault="000651DF">
      <w:pPr>
        <w:pStyle w:val="TableofFigures"/>
        <w:rPr>
          <w:rFonts w:asciiTheme="minorHAnsi" w:eastAsiaTheme="minorEastAsia" w:hAnsiTheme="minorHAnsi" w:cstheme="minorBidi"/>
          <w:noProof/>
          <w:color w:val="auto"/>
          <w:sz w:val="22"/>
        </w:rPr>
      </w:pPr>
      <w:hyperlink w:anchor="_Toc52971070" w:history="1">
        <w:r w:rsidR="00787615" w:rsidRPr="002656FB">
          <w:rPr>
            <w:rStyle w:val="Hyperlink"/>
            <w:noProof/>
          </w:rPr>
          <w:t>Table 15. Risk assessment for the proposed Management of Intertidal Ecosystems (Blue Carbon) activities.</w:t>
        </w:r>
        <w:r w:rsidR="00787615">
          <w:rPr>
            <w:noProof/>
            <w:webHidden/>
          </w:rPr>
          <w:tab/>
        </w:r>
        <w:r w:rsidR="00787615">
          <w:rPr>
            <w:noProof/>
            <w:webHidden/>
          </w:rPr>
          <w:fldChar w:fldCharType="begin"/>
        </w:r>
        <w:r w:rsidR="00787615">
          <w:rPr>
            <w:noProof/>
            <w:webHidden/>
          </w:rPr>
          <w:instrText xml:space="preserve"> PAGEREF _Toc52971070 \h </w:instrText>
        </w:r>
        <w:r w:rsidR="00787615">
          <w:rPr>
            <w:noProof/>
            <w:webHidden/>
          </w:rPr>
        </w:r>
        <w:r w:rsidR="00787615">
          <w:rPr>
            <w:noProof/>
            <w:webHidden/>
          </w:rPr>
          <w:fldChar w:fldCharType="separate"/>
        </w:r>
        <w:r w:rsidR="00787615">
          <w:rPr>
            <w:noProof/>
            <w:webHidden/>
          </w:rPr>
          <w:t>72</w:t>
        </w:r>
        <w:r w:rsidR="00787615">
          <w:rPr>
            <w:noProof/>
            <w:webHidden/>
          </w:rPr>
          <w:fldChar w:fldCharType="end"/>
        </w:r>
      </w:hyperlink>
    </w:p>
    <w:p w14:paraId="2CD45174" w14:textId="78DC5133" w:rsidR="00787615" w:rsidRDefault="000651DF">
      <w:pPr>
        <w:pStyle w:val="TableofFigures"/>
        <w:rPr>
          <w:rFonts w:asciiTheme="minorHAnsi" w:eastAsiaTheme="minorEastAsia" w:hAnsiTheme="minorHAnsi" w:cstheme="minorBidi"/>
          <w:noProof/>
          <w:color w:val="auto"/>
          <w:sz w:val="22"/>
        </w:rPr>
      </w:pPr>
      <w:hyperlink w:anchor="_Toc52971071" w:history="1">
        <w:r w:rsidR="00787615" w:rsidRPr="002656FB">
          <w:rPr>
            <w:rStyle w:val="Hyperlink"/>
            <w:noProof/>
          </w:rPr>
          <w:t>Table 16. Risk assessment for the Management of Agricultural Soils activities.</w:t>
        </w:r>
        <w:r w:rsidR="00787615">
          <w:rPr>
            <w:noProof/>
            <w:webHidden/>
          </w:rPr>
          <w:tab/>
        </w:r>
        <w:r w:rsidR="00787615">
          <w:rPr>
            <w:noProof/>
            <w:webHidden/>
          </w:rPr>
          <w:fldChar w:fldCharType="begin"/>
        </w:r>
        <w:r w:rsidR="00787615">
          <w:rPr>
            <w:noProof/>
            <w:webHidden/>
          </w:rPr>
          <w:instrText xml:space="preserve"> PAGEREF _Toc52971071 \h </w:instrText>
        </w:r>
        <w:r w:rsidR="00787615">
          <w:rPr>
            <w:noProof/>
            <w:webHidden/>
          </w:rPr>
        </w:r>
        <w:r w:rsidR="00787615">
          <w:rPr>
            <w:noProof/>
            <w:webHidden/>
          </w:rPr>
          <w:fldChar w:fldCharType="separate"/>
        </w:r>
        <w:r w:rsidR="00787615">
          <w:rPr>
            <w:noProof/>
            <w:webHidden/>
          </w:rPr>
          <w:t>84</w:t>
        </w:r>
        <w:r w:rsidR="00787615">
          <w:rPr>
            <w:noProof/>
            <w:webHidden/>
          </w:rPr>
          <w:fldChar w:fldCharType="end"/>
        </w:r>
      </w:hyperlink>
    </w:p>
    <w:p w14:paraId="6845947C" w14:textId="3CDB8B89" w:rsidR="00787615" w:rsidRDefault="000651DF">
      <w:pPr>
        <w:pStyle w:val="TableofFigures"/>
        <w:rPr>
          <w:rFonts w:asciiTheme="minorHAnsi" w:eastAsiaTheme="minorEastAsia" w:hAnsiTheme="minorHAnsi" w:cstheme="minorBidi"/>
          <w:noProof/>
          <w:color w:val="auto"/>
          <w:sz w:val="22"/>
        </w:rPr>
      </w:pPr>
      <w:hyperlink w:anchor="_Toc52971072" w:history="1">
        <w:r w:rsidR="00787615" w:rsidRPr="002656FB">
          <w:rPr>
            <w:rStyle w:val="Hyperlink"/>
            <w:noProof/>
          </w:rPr>
          <w:t>Table 17. Climate Indicator comparison of 2050 and 2090 projections relative to the baseline years 1986-2005 (median projected change across global circulation models). Red cells indicate a predicted increase in the indicator for both 2050 and 2090 relative to baseline. Blue cells indicate a predicted decrease in the indicator for both 2050 and 2090 relative to baseline. White cells indicate either no change relative to baseline, or a change in sign of the indicator. Up arrows indicate a strengthening of the trend between 2050 and 2090. Down arrows indicate a weakening of the trend between 2050 and 2090.  * = data unavailable.</w:t>
        </w:r>
        <w:r w:rsidR="00787615">
          <w:rPr>
            <w:noProof/>
            <w:webHidden/>
          </w:rPr>
          <w:tab/>
        </w:r>
        <w:r w:rsidR="00787615">
          <w:rPr>
            <w:noProof/>
            <w:webHidden/>
          </w:rPr>
          <w:fldChar w:fldCharType="begin"/>
        </w:r>
        <w:r w:rsidR="00787615">
          <w:rPr>
            <w:noProof/>
            <w:webHidden/>
          </w:rPr>
          <w:instrText xml:space="preserve"> PAGEREF _Toc52971072 \h </w:instrText>
        </w:r>
        <w:r w:rsidR="00787615">
          <w:rPr>
            <w:noProof/>
            <w:webHidden/>
          </w:rPr>
        </w:r>
        <w:r w:rsidR="00787615">
          <w:rPr>
            <w:noProof/>
            <w:webHidden/>
          </w:rPr>
          <w:fldChar w:fldCharType="separate"/>
        </w:r>
        <w:r w:rsidR="00787615">
          <w:rPr>
            <w:noProof/>
            <w:webHidden/>
          </w:rPr>
          <w:t>86</w:t>
        </w:r>
        <w:r w:rsidR="00787615">
          <w:rPr>
            <w:noProof/>
            <w:webHidden/>
          </w:rPr>
          <w:fldChar w:fldCharType="end"/>
        </w:r>
      </w:hyperlink>
    </w:p>
    <w:p w14:paraId="505E4A3A" w14:textId="2A769DF8" w:rsidR="00787615" w:rsidRDefault="000651DF">
      <w:pPr>
        <w:pStyle w:val="TableofFigures"/>
        <w:rPr>
          <w:rFonts w:asciiTheme="minorHAnsi" w:eastAsiaTheme="minorEastAsia" w:hAnsiTheme="minorHAnsi" w:cstheme="minorBidi"/>
          <w:noProof/>
          <w:color w:val="auto"/>
          <w:sz w:val="22"/>
        </w:rPr>
      </w:pPr>
      <w:hyperlink w:anchor="_Toc52971073" w:history="1">
        <w:r w:rsidR="00787615" w:rsidRPr="002656FB">
          <w:rPr>
            <w:rStyle w:val="Hyperlink"/>
            <w:noProof/>
          </w:rPr>
          <w:t>Table 18. Summary of elected permanence periods across all projects listed in the ERF Projects register</w:t>
        </w:r>
        <w:r w:rsidR="00787615" w:rsidRPr="002656FB">
          <w:rPr>
            <w:rStyle w:val="Hyperlink"/>
            <w:noProof/>
            <w:vertAlign w:val="superscript"/>
          </w:rPr>
          <w:t>1</w:t>
        </w:r>
        <w:r w:rsidR="00787615" w:rsidRPr="002656FB">
          <w:rPr>
            <w:rStyle w:val="Hyperlink"/>
            <w:noProof/>
          </w:rPr>
          <w:t xml:space="preserve"> (9 August 2020 update, including revoked projects).</w:t>
        </w:r>
        <w:r w:rsidR="00787615">
          <w:rPr>
            <w:noProof/>
            <w:webHidden/>
          </w:rPr>
          <w:tab/>
        </w:r>
        <w:r w:rsidR="00787615">
          <w:rPr>
            <w:noProof/>
            <w:webHidden/>
          </w:rPr>
          <w:fldChar w:fldCharType="begin"/>
        </w:r>
        <w:r w:rsidR="00787615">
          <w:rPr>
            <w:noProof/>
            <w:webHidden/>
          </w:rPr>
          <w:instrText xml:space="preserve"> PAGEREF _Toc52971073 \h </w:instrText>
        </w:r>
        <w:r w:rsidR="00787615">
          <w:rPr>
            <w:noProof/>
            <w:webHidden/>
          </w:rPr>
        </w:r>
        <w:r w:rsidR="00787615">
          <w:rPr>
            <w:noProof/>
            <w:webHidden/>
          </w:rPr>
          <w:fldChar w:fldCharType="separate"/>
        </w:r>
        <w:r w:rsidR="00787615">
          <w:rPr>
            <w:noProof/>
            <w:webHidden/>
          </w:rPr>
          <w:t>89</w:t>
        </w:r>
        <w:r w:rsidR="00787615">
          <w:rPr>
            <w:noProof/>
            <w:webHidden/>
          </w:rPr>
          <w:fldChar w:fldCharType="end"/>
        </w:r>
      </w:hyperlink>
    </w:p>
    <w:p w14:paraId="4C5267E4" w14:textId="024C3B34" w:rsidR="00787615" w:rsidRDefault="000651DF">
      <w:pPr>
        <w:pStyle w:val="TableofFigures"/>
        <w:rPr>
          <w:rFonts w:asciiTheme="minorHAnsi" w:eastAsiaTheme="minorEastAsia" w:hAnsiTheme="minorHAnsi" w:cstheme="minorBidi"/>
          <w:noProof/>
          <w:color w:val="auto"/>
          <w:sz w:val="22"/>
        </w:rPr>
      </w:pPr>
      <w:hyperlink w:anchor="_Toc52971074" w:history="1">
        <w:r w:rsidR="00787615" w:rsidRPr="002656FB">
          <w:rPr>
            <w:rStyle w:val="Hyperlink"/>
            <w:noProof/>
          </w:rPr>
          <w:t>Table 19. Matrix of co-benefits and dis-benefits associated with ERF methodologies.</w:t>
        </w:r>
        <w:r w:rsidR="00787615">
          <w:rPr>
            <w:noProof/>
            <w:webHidden/>
          </w:rPr>
          <w:tab/>
        </w:r>
        <w:r w:rsidR="00787615">
          <w:rPr>
            <w:noProof/>
            <w:webHidden/>
          </w:rPr>
          <w:fldChar w:fldCharType="begin"/>
        </w:r>
        <w:r w:rsidR="00787615">
          <w:rPr>
            <w:noProof/>
            <w:webHidden/>
          </w:rPr>
          <w:instrText xml:space="preserve"> PAGEREF _Toc52971074 \h </w:instrText>
        </w:r>
        <w:r w:rsidR="00787615">
          <w:rPr>
            <w:noProof/>
            <w:webHidden/>
          </w:rPr>
        </w:r>
        <w:r w:rsidR="00787615">
          <w:rPr>
            <w:noProof/>
            <w:webHidden/>
          </w:rPr>
          <w:fldChar w:fldCharType="separate"/>
        </w:r>
        <w:r w:rsidR="00787615">
          <w:rPr>
            <w:noProof/>
            <w:webHidden/>
          </w:rPr>
          <w:t>93</w:t>
        </w:r>
        <w:r w:rsidR="00787615">
          <w:rPr>
            <w:noProof/>
            <w:webHidden/>
          </w:rPr>
          <w:fldChar w:fldCharType="end"/>
        </w:r>
      </w:hyperlink>
    </w:p>
    <w:p w14:paraId="106860FC" w14:textId="064A8E21" w:rsidR="00787615" w:rsidRDefault="000651DF">
      <w:pPr>
        <w:pStyle w:val="TableofFigures"/>
        <w:rPr>
          <w:rFonts w:asciiTheme="minorHAnsi" w:eastAsiaTheme="minorEastAsia" w:hAnsiTheme="minorHAnsi" w:cstheme="minorBidi"/>
          <w:noProof/>
          <w:color w:val="auto"/>
          <w:sz w:val="22"/>
        </w:rPr>
      </w:pPr>
      <w:hyperlink w:anchor="_Toc52971075" w:history="1">
        <w:r w:rsidR="00787615" w:rsidRPr="002656FB">
          <w:rPr>
            <w:rStyle w:val="Hyperlink"/>
            <w:noProof/>
          </w:rPr>
          <w:t>Table 20. Summary of the sorts of adaptation strategies that may be applicable to manage climate risk for ERF activities. Application time refers to whether they are relevant at establishment or post-establishment. The climate risk addressed relates back to Figure 17 (exposure, sensitivity). Zone refers to those identified in Figure 16.</w:t>
        </w:r>
        <w:r w:rsidR="00787615">
          <w:rPr>
            <w:noProof/>
            <w:webHidden/>
          </w:rPr>
          <w:tab/>
        </w:r>
        <w:r w:rsidR="00787615">
          <w:rPr>
            <w:noProof/>
            <w:webHidden/>
          </w:rPr>
          <w:fldChar w:fldCharType="begin"/>
        </w:r>
        <w:r w:rsidR="00787615">
          <w:rPr>
            <w:noProof/>
            <w:webHidden/>
          </w:rPr>
          <w:instrText xml:space="preserve"> PAGEREF _Toc52971075 \h </w:instrText>
        </w:r>
        <w:r w:rsidR="00787615">
          <w:rPr>
            <w:noProof/>
            <w:webHidden/>
          </w:rPr>
        </w:r>
        <w:r w:rsidR="00787615">
          <w:rPr>
            <w:noProof/>
            <w:webHidden/>
          </w:rPr>
          <w:fldChar w:fldCharType="separate"/>
        </w:r>
        <w:r w:rsidR="00787615">
          <w:rPr>
            <w:noProof/>
            <w:webHidden/>
          </w:rPr>
          <w:t>98</w:t>
        </w:r>
        <w:r w:rsidR="00787615">
          <w:rPr>
            <w:noProof/>
            <w:webHidden/>
          </w:rPr>
          <w:fldChar w:fldCharType="end"/>
        </w:r>
      </w:hyperlink>
    </w:p>
    <w:p w14:paraId="0F5D5E25" w14:textId="3753883D" w:rsidR="00787615" w:rsidRDefault="000651DF">
      <w:pPr>
        <w:pStyle w:val="TableofFigures"/>
        <w:rPr>
          <w:rFonts w:asciiTheme="minorHAnsi" w:eastAsiaTheme="minorEastAsia" w:hAnsiTheme="minorHAnsi" w:cstheme="minorBidi"/>
          <w:noProof/>
          <w:color w:val="auto"/>
          <w:sz w:val="22"/>
        </w:rPr>
      </w:pPr>
      <w:hyperlink w:anchor="_Toc52971076" w:history="1">
        <w:r w:rsidR="00787615" w:rsidRPr="002656FB">
          <w:rPr>
            <w:rStyle w:val="Hyperlink"/>
            <w:noProof/>
          </w:rPr>
          <w:t>Table 21. Examples of climate adaptation strategies that may be effective for ERF methodologies focused on re-establishment of native forest cover.</w:t>
        </w:r>
        <w:r w:rsidR="00787615">
          <w:rPr>
            <w:noProof/>
            <w:webHidden/>
          </w:rPr>
          <w:tab/>
        </w:r>
        <w:r w:rsidR="00787615">
          <w:rPr>
            <w:noProof/>
            <w:webHidden/>
          </w:rPr>
          <w:fldChar w:fldCharType="begin"/>
        </w:r>
        <w:r w:rsidR="00787615">
          <w:rPr>
            <w:noProof/>
            <w:webHidden/>
          </w:rPr>
          <w:instrText xml:space="preserve"> PAGEREF _Toc52971076 \h </w:instrText>
        </w:r>
        <w:r w:rsidR="00787615">
          <w:rPr>
            <w:noProof/>
            <w:webHidden/>
          </w:rPr>
        </w:r>
        <w:r w:rsidR="00787615">
          <w:rPr>
            <w:noProof/>
            <w:webHidden/>
          </w:rPr>
          <w:fldChar w:fldCharType="separate"/>
        </w:r>
        <w:r w:rsidR="00787615">
          <w:rPr>
            <w:noProof/>
            <w:webHidden/>
          </w:rPr>
          <w:t>102</w:t>
        </w:r>
        <w:r w:rsidR="00787615">
          <w:rPr>
            <w:noProof/>
            <w:webHidden/>
          </w:rPr>
          <w:fldChar w:fldCharType="end"/>
        </w:r>
      </w:hyperlink>
    </w:p>
    <w:p w14:paraId="0BF16692" w14:textId="21F5B021" w:rsidR="00787615" w:rsidRDefault="000651DF">
      <w:pPr>
        <w:pStyle w:val="TableofFigures"/>
        <w:rPr>
          <w:rFonts w:asciiTheme="minorHAnsi" w:eastAsiaTheme="minorEastAsia" w:hAnsiTheme="minorHAnsi" w:cstheme="minorBidi"/>
          <w:noProof/>
          <w:color w:val="auto"/>
          <w:sz w:val="22"/>
        </w:rPr>
      </w:pPr>
      <w:hyperlink w:anchor="_Toc52971077" w:history="1">
        <w:r w:rsidR="00787615" w:rsidRPr="002656FB">
          <w:rPr>
            <w:rStyle w:val="Hyperlink"/>
            <w:noProof/>
          </w:rPr>
          <w:t>Table 22 Examples of climate adaptation strategies that may be effective for ERF methodologies focused on protecting existing forests</w:t>
        </w:r>
        <w:r w:rsidR="00787615">
          <w:rPr>
            <w:noProof/>
            <w:webHidden/>
          </w:rPr>
          <w:tab/>
        </w:r>
        <w:r w:rsidR="00787615">
          <w:rPr>
            <w:noProof/>
            <w:webHidden/>
          </w:rPr>
          <w:fldChar w:fldCharType="begin"/>
        </w:r>
        <w:r w:rsidR="00787615">
          <w:rPr>
            <w:noProof/>
            <w:webHidden/>
          </w:rPr>
          <w:instrText xml:space="preserve"> PAGEREF _Toc52971077 \h </w:instrText>
        </w:r>
        <w:r w:rsidR="00787615">
          <w:rPr>
            <w:noProof/>
            <w:webHidden/>
          </w:rPr>
        </w:r>
        <w:r w:rsidR="00787615">
          <w:rPr>
            <w:noProof/>
            <w:webHidden/>
          </w:rPr>
          <w:fldChar w:fldCharType="separate"/>
        </w:r>
        <w:r w:rsidR="00787615">
          <w:rPr>
            <w:noProof/>
            <w:webHidden/>
          </w:rPr>
          <w:t>103</w:t>
        </w:r>
        <w:r w:rsidR="00787615">
          <w:rPr>
            <w:noProof/>
            <w:webHidden/>
          </w:rPr>
          <w:fldChar w:fldCharType="end"/>
        </w:r>
      </w:hyperlink>
    </w:p>
    <w:p w14:paraId="46F89A33" w14:textId="2E611A44" w:rsidR="00787615" w:rsidRDefault="000651DF">
      <w:pPr>
        <w:pStyle w:val="TableofFigures"/>
        <w:rPr>
          <w:rFonts w:asciiTheme="minorHAnsi" w:eastAsiaTheme="minorEastAsia" w:hAnsiTheme="minorHAnsi" w:cstheme="minorBidi"/>
          <w:noProof/>
          <w:color w:val="auto"/>
          <w:sz w:val="22"/>
        </w:rPr>
      </w:pPr>
      <w:hyperlink w:anchor="_Toc52971078" w:history="1">
        <w:r w:rsidR="00787615" w:rsidRPr="002656FB">
          <w:rPr>
            <w:rStyle w:val="Hyperlink"/>
            <w:noProof/>
          </w:rPr>
          <w:t>Table 23 Examples of climate adaptation strategies that may be effective for ERF methodologies focused on planting</w:t>
        </w:r>
        <w:r w:rsidR="00CD3D3D">
          <w:rPr>
            <w:rStyle w:val="Hyperlink"/>
            <w:noProof/>
          </w:rPr>
          <w:t xml:space="preserve"> of </w:t>
        </w:r>
        <w:r w:rsidR="00787615" w:rsidRPr="002656FB">
          <w:rPr>
            <w:rStyle w:val="Hyperlink"/>
            <w:noProof/>
          </w:rPr>
          <w:t>new forests.</w:t>
        </w:r>
        <w:r w:rsidR="00787615">
          <w:rPr>
            <w:noProof/>
            <w:webHidden/>
          </w:rPr>
          <w:tab/>
        </w:r>
        <w:r w:rsidR="00787615">
          <w:rPr>
            <w:noProof/>
            <w:webHidden/>
          </w:rPr>
          <w:fldChar w:fldCharType="begin"/>
        </w:r>
        <w:r w:rsidR="00787615">
          <w:rPr>
            <w:noProof/>
            <w:webHidden/>
          </w:rPr>
          <w:instrText xml:space="preserve"> PAGEREF _Toc52971078 \h </w:instrText>
        </w:r>
        <w:r w:rsidR="00787615">
          <w:rPr>
            <w:noProof/>
            <w:webHidden/>
          </w:rPr>
        </w:r>
        <w:r w:rsidR="00787615">
          <w:rPr>
            <w:noProof/>
            <w:webHidden/>
          </w:rPr>
          <w:fldChar w:fldCharType="separate"/>
        </w:r>
        <w:r w:rsidR="00787615">
          <w:rPr>
            <w:noProof/>
            <w:webHidden/>
          </w:rPr>
          <w:t>104</w:t>
        </w:r>
        <w:r w:rsidR="00787615">
          <w:rPr>
            <w:noProof/>
            <w:webHidden/>
          </w:rPr>
          <w:fldChar w:fldCharType="end"/>
        </w:r>
      </w:hyperlink>
    </w:p>
    <w:p w14:paraId="4A4061FB" w14:textId="33A11B4B" w:rsidR="00787615" w:rsidRDefault="000651DF">
      <w:pPr>
        <w:pStyle w:val="TableofFigures"/>
        <w:rPr>
          <w:rFonts w:asciiTheme="minorHAnsi" w:eastAsiaTheme="minorEastAsia" w:hAnsiTheme="minorHAnsi" w:cstheme="minorBidi"/>
          <w:noProof/>
          <w:color w:val="auto"/>
          <w:sz w:val="22"/>
        </w:rPr>
      </w:pPr>
      <w:hyperlink w:anchor="_Toc52971079" w:history="1">
        <w:r w:rsidR="00787615" w:rsidRPr="002656FB">
          <w:rPr>
            <w:rStyle w:val="Hyperlink"/>
            <w:noProof/>
          </w:rPr>
          <w:t xml:space="preserve">Table 24. Examples of climate adaptation strategies that may be effective for ERF methodologies focused management of agricultural soils. All identified strategies focus on the </w:t>
        </w:r>
        <w:r w:rsidR="00787615" w:rsidRPr="002656FB">
          <w:rPr>
            <w:rStyle w:val="Hyperlink"/>
            <w:noProof/>
          </w:rPr>
          <w:lastRenderedPageBreak/>
          <w:t>management of rates of soil organic input into the soil from crop residues and plant turnover, to either ensure plant productivity is maintained, or that plant productivity is not compromised. Practical management options for directly manipulating rates of soil carbon loss from respiration are currently limited (Kellenbach et al. 2019).</w:t>
        </w:r>
        <w:r w:rsidR="00787615">
          <w:rPr>
            <w:noProof/>
            <w:webHidden/>
          </w:rPr>
          <w:tab/>
        </w:r>
        <w:r w:rsidR="00787615">
          <w:rPr>
            <w:noProof/>
            <w:webHidden/>
          </w:rPr>
          <w:fldChar w:fldCharType="begin"/>
        </w:r>
        <w:r w:rsidR="00787615">
          <w:rPr>
            <w:noProof/>
            <w:webHidden/>
          </w:rPr>
          <w:instrText xml:space="preserve"> PAGEREF _Toc52971079 \h </w:instrText>
        </w:r>
        <w:r w:rsidR="00787615">
          <w:rPr>
            <w:noProof/>
            <w:webHidden/>
          </w:rPr>
        </w:r>
        <w:r w:rsidR="00787615">
          <w:rPr>
            <w:noProof/>
            <w:webHidden/>
          </w:rPr>
          <w:fldChar w:fldCharType="separate"/>
        </w:r>
        <w:r w:rsidR="00787615">
          <w:rPr>
            <w:noProof/>
            <w:webHidden/>
          </w:rPr>
          <w:t>106</w:t>
        </w:r>
        <w:r w:rsidR="00787615">
          <w:rPr>
            <w:noProof/>
            <w:webHidden/>
          </w:rPr>
          <w:fldChar w:fldCharType="end"/>
        </w:r>
      </w:hyperlink>
    </w:p>
    <w:p w14:paraId="22FBB0A7" w14:textId="520C8985" w:rsidR="00787615" w:rsidRDefault="000651DF">
      <w:pPr>
        <w:pStyle w:val="TableofFigures"/>
        <w:rPr>
          <w:rFonts w:asciiTheme="minorHAnsi" w:eastAsiaTheme="minorEastAsia" w:hAnsiTheme="minorHAnsi" w:cstheme="minorBidi"/>
          <w:noProof/>
          <w:color w:val="auto"/>
          <w:sz w:val="22"/>
        </w:rPr>
      </w:pPr>
      <w:hyperlink w:anchor="_Toc52971080" w:history="1">
        <w:r w:rsidR="00787615" w:rsidRPr="002656FB">
          <w:rPr>
            <w:rStyle w:val="Hyperlink"/>
            <w:noProof/>
          </w:rPr>
          <w:t>Table 25. Examples of climate adaptation strategies that may be effective for ERF methodologies focused on savanna fire management</w:t>
        </w:r>
        <w:r w:rsidR="00787615">
          <w:rPr>
            <w:noProof/>
            <w:webHidden/>
          </w:rPr>
          <w:tab/>
        </w:r>
        <w:r w:rsidR="00787615">
          <w:rPr>
            <w:noProof/>
            <w:webHidden/>
          </w:rPr>
          <w:fldChar w:fldCharType="begin"/>
        </w:r>
        <w:r w:rsidR="00787615">
          <w:rPr>
            <w:noProof/>
            <w:webHidden/>
          </w:rPr>
          <w:instrText xml:space="preserve"> PAGEREF _Toc52971080 \h </w:instrText>
        </w:r>
        <w:r w:rsidR="00787615">
          <w:rPr>
            <w:noProof/>
            <w:webHidden/>
          </w:rPr>
        </w:r>
        <w:r w:rsidR="00787615">
          <w:rPr>
            <w:noProof/>
            <w:webHidden/>
          </w:rPr>
          <w:fldChar w:fldCharType="separate"/>
        </w:r>
        <w:r w:rsidR="00787615">
          <w:rPr>
            <w:noProof/>
            <w:webHidden/>
          </w:rPr>
          <w:t>108</w:t>
        </w:r>
        <w:r w:rsidR="00787615">
          <w:rPr>
            <w:noProof/>
            <w:webHidden/>
          </w:rPr>
          <w:fldChar w:fldCharType="end"/>
        </w:r>
      </w:hyperlink>
    </w:p>
    <w:p w14:paraId="2CB4C1AC" w14:textId="2F8C5C0F" w:rsidR="00787615" w:rsidRDefault="000651DF">
      <w:pPr>
        <w:pStyle w:val="TableofFigures"/>
        <w:rPr>
          <w:rFonts w:asciiTheme="minorHAnsi" w:eastAsiaTheme="minorEastAsia" w:hAnsiTheme="minorHAnsi" w:cstheme="minorBidi"/>
          <w:noProof/>
          <w:color w:val="auto"/>
          <w:sz w:val="22"/>
        </w:rPr>
      </w:pPr>
      <w:hyperlink w:anchor="_Toc52971081" w:history="1">
        <w:r w:rsidR="00787615" w:rsidRPr="002656FB">
          <w:rPr>
            <w:rStyle w:val="Hyperlink"/>
            <w:noProof/>
          </w:rPr>
          <w:t>Table 26. Examples of climate adaptation strategies that may be effective for ERF methodologies focused on management of intertidal ecosystems</w:t>
        </w:r>
        <w:r w:rsidR="00787615">
          <w:rPr>
            <w:noProof/>
            <w:webHidden/>
          </w:rPr>
          <w:tab/>
        </w:r>
        <w:r w:rsidR="00787615">
          <w:rPr>
            <w:noProof/>
            <w:webHidden/>
          </w:rPr>
          <w:fldChar w:fldCharType="begin"/>
        </w:r>
        <w:r w:rsidR="00787615">
          <w:rPr>
            <w:noProof/>
            <w:webHidden/>
          </w:rPr>
          <w:instrText xml:space="preserve"> PAGEREF _Toc52971081 \h </w:instrText>
        </w:r>
        <w:r w:rsidR="00787615">
          <w:rPr>
            <w:noProof/>
            <w:webHidden/>
          </w:rPr>
        </w:r>
        <w:r w:rsidR="00787615">
          <w:rPr>
            <w:noProof/>
            <w:webHidden/>
          </w:rPr>
          <w:fldChar w:fldCharType="separate"/>
        </w:r>
        <w:r w:rsidR="00787615">
          <w:rPr>
            <w:noProof/>
            <w:webHidden/>
          </w:rPr>
          <w:t>109</w:t>
        </w:r>
        <w:r w:rsidR="00787615">
          <w:rPr>
            <w:noProof/>
            <w:webHidden/>
          </w:rPr>
          <w:fldChar w:fldCharType="end"/>
        </w:r>
      </w:hyperlink>
    </w:p>
    <w:p w14:paraId="2D76B682" w14:textId="2A5387E6" w:rsidR="00787615" w:rsidRPr="00787615" w:rsidRDefault="000651DF">
      <w:pPr>
        <w:pStyle w:val="TableofFigures"/>
        <w:rPr>
          <w:rFonts w:asciiTheme="minorHAnsi" w:eastAsiaTheme="minorEastAsia" w:hAnsiTheme="minorHAnsi" w:cstheme="minorBidi"/>
          <w:noProof/>
          <w:color w:val="auto"/>
          <w:sz w:val="22"/>
        </w:rPr>
      </w:pPr>
      <w:hyperlink r:id="rId22" w:anchor="_Toc52971082" w:history="1">
        <w:r w:rsidR="00787615" w:rsidRPr="00787615">
          <w:rPr>
            <w:rStyle w:val="Hyperlink"/>
            <w:rFonts w:cstheme="minorHAnsi"/>
            <w:noProof/>
          </w:rPr>
          <w:t>Table 27. Risk assessment summary. Risk assessments are shown for each combination of impact factor and activity category, separated by maintenance, accumulation and combined risks. Note each impact factor can contribute to both maintenance and accumulation risk. Overall rating is based on a simple weighted sum across all risk factors to give a composite score for each activity category and risk type. The weightings were: Not rated = 0; Low risk = 1; Medium risk = 3; High risk = 6.</w:t>
        </w:r>
        <w:r w:rsidR="00787615" w:rsidRPr="00787615">
          <w:rPr>
            <w:noProof/>
            <w:webHidden/>
          </w:rPr>
          <w:tab/>
        </w:r>
        <w:r w:rsidR="00787615" w:rsidRPr="00787615">
          <w:rPr>
            <w:noProof/>
            <w:webHidden/>
          </w:rPr>
          <w:fldChar w:fldCharType="begin"/>
        </w:r>
        <w:r w:rsidR="00787615" w:rsidRPr="00787615">
          <w:rPr>
            <w:noProof/>
            <w:webHidden/>
          </w:rPr>
          <w:instrText xml:space="preserve"> PAGEREF _Toc52971082 \h </w:instrText>
        </w:r>
        <w:r w:rsidR="00787615" w:rsidRPr="00787615">
          <w:rPr>
            <w:noProof/>
            <w:webHidden/>
          </w:rPr>
        </w:r>
        <w:r w:rsidR="00787615" w:rsidRPr="00787615">
          <w:rPr>
            <w:noProof/>
            <w:webHidden/>
          </w:rPr>
          <w:fldChar w:fldCharType="separate"/>
        </w:r>
        <w:r w:rsidR="00787615" w:rsidRPr="00787615">
          <w:rPr>
            <w:noProof/>
            <w:webHidden/>
          </w:rPr>
          <w:t>112</w:t>
        </w:r>
        <w:r w:rsidR="00787615" w:rsidRPr="00787615">
          <w:rPr>
            <w:noProof/>
            <w:webHidden/>
          </w:rPr>
          <w:fldChar w:fldCharType="end"/>
        </w:r>
      </w:hyperlink>
    </w:p>
    <w:p w14:paraId="1ABBE0EE" w14:textId="3E445698" w:rsidR="009229C1" w:rsidRPr="005871BD" w:rsidRDefault="00DA722C" w:rsidP="009229C1">
      <w:pPr>
        <w:pStyle w:val="TableofFigures"/>
      </w:pPr>
      <w:r>
        <w:fldChar w:fldCharType="end"/>
      </w:r>
    </w:p>
    <w:p w14:paraId="1451A10D" w14:textId="009B59CB" w:rsidR="00A943B2" w:rsidRDefault="00A943B2" w:rsidP="00D1044D">
      <w:pPr>
        <w:pStyle w:val="Heading1notnumbered"/>
      </w:pPr>
      <w:bookmarkStart w:id="1" w:name="_Toc315694429"/>
      <w:bookmarkStart w:id="2" w:name="_Toc52873081"/>
      <w:bookmarkStart w:id="3" w:name="_Toc53075112"/>
      <w:r w:rsidRPr="008D5E56">
        <w:lastRenderedPageBreak/>
        <w:t>Acknowledgments</w:t>
      </w:r>
      <w:bookmarkEnd w:id="1"/>
      <w:bookmarkEnd w:id="2"/>
      <w:bookmarkEnd w:id="3"/>
    </w:p>
    <w:p w14:paraId="06566E5A" w14:textId="2ED89EB8" w:rsidR="00046CFD" w:rsidRPr="00046CFD" w:rsidRDefault="00046CFD" w:rsidP="00046CFD">
      <w:pPr>
        <w:pStyle w:val="BodyText"/>
      </w:pPr>
      <w:r w:rsidRPr="00046CFD">
        <w:t xml:space="preserve">The work was funded by the </w:t>
      </w:r>
      <w:r>
        <w:t>Climate Change Authority</w:t>
      </w:r>
      <w:r w:rsidRPr="00046CFD">
        <w:t>. For their support and advice we thank</w:t>
      </w:r>
      <w:r>
        <w:t xml:space="preserve"> Sean Harte and </w:t>
      </w:r>
      <w:r w:rsidR="006D3075">
        <w:t>Michael Grose</w:t>
      </w:r>
      <w:r w:rsidRPr="00046CFD">
        <w:t>.</w:t>
      </w:r>
      <w:r w:rsidR="00A73C65">
        <w:t xml:space="preserve"> We thank the Clean </w:t>
      </w:r>
      <w:r w:rsidR="003F7F04">
        <w:t xml:space="preserve">Energy </w:t>
      </w:r>
      <w:r w:rsidR="00A73C65">
        <w:t>Regulat</w:t>
      </w:r>
      <w:r w:rsidR="000D5DC2">
        <w:t>or</w:t>
      </w:r>
      <w:r w:rsidR="00A73C65">
        <w:t xml:space="preserve"> for preparing the data in Table 8. </w:t>
      </w:r>
      <w:r w:rsidRPr="00046CFD">
        <w:t xml:space="preserve"> </w:t>
      </w:r>
      <w:r w:rsidR="00315A60">
        <w:t>Rach</w:t>
      </w:r>
      <w:r w:rsidR="00C35B26">
        <w:t>a</w:t>
      </w:r>
      <w:r w:rsidR="00315A60">
        <w:t xml:space="preserve">el Nolan, </w:t>
      </w:r>
      <w:r w:rsidR="000C78CC">
        <w:t>Senani Karunaratne</w:t>
      </w:r>
      <w:r w:rsidR="00C11E72">
        <w:t>, Sean Harte</w:t>
      </w:r>
      <w:r w:rsidRPr="00046CFD">
        <w:t xml:space="preserve"> and </w:t>
      </w:r>
      <w:r w:rsidR="00C11E72">
        <w:t xml:space="preserve">Bonnie Scott </w:t>
      </w:r>
      <w:r w:rsidRPr="00046CFD">
        <w:t>are thanked for reviewing an earlier draft of this report.</w:t>
      </w:r>
    </w:p>
    <w:p w14:paraId="0FF8CE79" w14:textId="2A62C3DF" w:rsidR="00B978E5" w:rsidRDefault="00B978E5" w:rsidP="00B978E5">
      <w:pPr>
        <w:pStyle w:val="paragraph"/>
        <w:spacing w:before="0" w:beforeAutospacing="0" w:after="0" w:afterAutospacing="0"/>
        <w:textAlignment w:val="baseline"/>
        <w:rPr>
          <w:rFonts w:ascii="Segoe UI" w:hAnsi="Segoe UI" w:cs="Segoe UI"/>
          <w:color w:val="000000"/>
          <w:sz w:val="18"/>
          <w:szCs w:val="18"/>
        </w:rPr>
      </w:pPr>
      <w:bookmarkStart w:id="4" w:name="_Toc315694430"/>
    </w:p>
    <w:p w14:paraId="732D2B21" w14:textId="0C3EBA4A" w:rsidR="00A943B2" w:rsidRDefault="00A943B2" w:rsidP="0023225F">
      <w:pPr>
        <w:pStyle w:val="Heading1notnumbered"/>
        <w:spacing w:after="240"/>
      </w:pPr>
      <w:bookmarkStart w:id="5" w:name="_Toc52873082"/>
      <w:bookmarkStart w:id="6" w:name="_Toc53075113"/>
      <w:r>
        <w:lastRenderedPageBreak/>
        <w:t>Executive summary</w:t>
      </w:r>
      <w:bookmarkEnd w:id="4"/>
      <w:bookmarkEnd w:id="5"/>
      <w:bookmarkEnd w:id="6"/>
    </w:p>
    <w:p w14:paraId="43ADD77F" w14:textId="61F00F35" w:rsidR="00A737BC" w:rsidRDefault="00F31AA7" w:rsidP="00C37C5A">
      <w:pPr>
        <w:pStyle w:val="BodyText"/>
      </w:pPr>
      <w:r w:rsidRPr="00F31AA7">
        <w:t>The</w:t>
      </w:r>
      <w:r w:rsidR="00D76D8E">
        <w:t xml:space="preserve"> </w:t>
      </w:r>
      <w:r w:rsidR="00D76D8E" w:rsidRPr="00F31AA7">
        <w:t>Emissions Reduction Fund (ERF)</w:t>
      </w:r>
      <w:r w:rsidR="00D76D8E">
        <w:t xml:space="preserve"> is central to</w:t>
      </w:r>
      <w:r w:rsidRPr="00F31AA7">
        <w:t xml:space="preserve"> Australia’s domestic response to meeting th</w:t>
      </w:r>
      <w:r w:rsidR="00A737BC">
        <w:t xml:space="preserve">e international climate </w:t>
      </w:r>
      <w:r w:rsidRPr="00F31AA7">
        <w:t>challenge, the key mechanism of which is a voluntary scheme that seeks to provide incentives for organisations and individuals to adopt new practices and technologies to reduce their emissions. Under the scheme, participants adopt new (or ‘additional’) management activities or technologies that either reduce emissions, or sequester carbon</w:t>
      </w:r>
      <w:r>
        <w:t xml:space="preserve">. </w:t>
      </w:r>
      <w:r w:rsidR="008A69FC" w:rsidRPr="008A69FC">
        <w:t xml:space="preserve">The Climate Change Authority is </w:t>
      </w:r>
      <w:r>
        <w:t xml:space="preserve">tasked with reviewing the </w:t>
      </w:r>
      <w:r w:rsidR="000F1C33">
        <w:t xml:space="preserve">ERF </w:t>
      </w:r>
      <w:r>
        <w:t xml:space="preserve">scheme every three years. </w:t>
      </w:r>
      <w:r w:rsidR="000F1C33">
        <w:t xml:space="preserve">Based on stakeholders concerns, the Climate Change Authority identified climate risk as a key focus area for the 2020 review. </w:t>
      </w:r>
      <w:r>
        <w:t>To help inform the 2020 review</w:t>
      </w:r>
      <w:r w:rsidR="000F1C33">
        <w:t xml:space="preserve"> consideration of climate risk</w:t>
      </w:r>
      <w:r>
        <w:t xml:space="preserve">, CSIRO was requested to undertake an analysis of physical risks to carbon sequestration under current ERF land sector methodologies, including the proposed ‘Blue Carbon’ methodology. </w:t>
      </w:r>
      <w:r w:rsidR="00DE1B3F">
        <w:t xml:space="preserve">Twelve methodologies were identified that include sequestration as either all or part of their recognised abatement (Table </w:t>
      </w:r>
      <w:r w:rsidR="005E6655">
        <w:t>S</w:t>
      </w:r>
      <w:r w:rsidR="006E05F2">
        <w:t>1</w:t>
      </w:r>
      <w:r w:rsidR="00DE1B3F">
        <w:t>). For the purposes of analysis these twelve methodologies were classified into six broad classes, on the basis of similarity in underlying management activity, and thus likely similarity in risk profile.</w:t>
      </w:r>
    </w:p>
    <w:p w14:paraId="3EA9BDE7" w14:textId="7B78546A" w:rsidR="009E7197" w:rsidRDefault="009E7197" w:rsidP="00C37C5A">
      <w:pPr>
        <w:pStyle w:val="BodyText"/>
      </w:pPr>
      <w:r>
        <w:t xml:space="preserve">Sequestration activities require </w:t>
      </w:r>
      <w:r w:rsidR="00016E58">
        <w:t>carbon to be s</w:t>
      </w:r>
      <w:r>
        <w:t>tore</w:t>
      </w:r>
      <w:r w:rsidR="00016E58">
        <w:t>d</w:t>
      </w:r>
      <w:r>
        <w:t xml:space="preserve"> in the landscape over the long-term. </w:t>
      </w:r>
      <w:r w:rsidR="00D76D8E">
        <w:t>Under the ERF, projects can choose a 25 or 100 year permanence period during which carbon stored by the project must be maintained; projects electing a 25 year permanence period receive a 20% reduction in carbon credits issued</w:t>
      </w:r>
      <w:r>
        <w:t xml:space="preserve">. Because of the permanence requirements, there are therefore risks associated with ensuring both the establishment and ongoing maintenance of the stored carbon. For example, prolonged dry periods can limit recruitment and subsequent growth of woody vegetation, thus leading to lower sequestration than anticipated – a risk </w:t>
      </w:r>
      <w:r w:rsidR="002F07F4">
        <w:t>to</w:t>
      </w:r>
      <w:r>
        <w:t xml:space="preserve"> abatement </w:t>
      </w:r>
      <w:r w:rsidR="00D0357E">
        <w:t>accumulation</w:t>
      </w:r>
      <w:r>
        <w:t xml:space="preserve">. Likewise, events such as forest wildfire can release sequestered carbon back to the atmosphere – a risk </w:t>
      </w:r>
      <w:r w:rsidR="002F07F4">
        <w:t>to</w:t>
      </w:r>
      <w:r>
        <w:t xml:space="preserve"> </w:t>
      </w:r>
      <w:r w:rsidR="00D76D8E">
        <w:t xml:space="preserve">the maintenance of existing </w:t>
      </w:r>
      <w:r>
        <w:t>abatement.</w:t>
      </w:r>
    </w:p>
    <w:p w14:paraId="33276225" w14:textId="3325D50D" w:rsidR="00F31AA7" w:rsidRDefault="00B544CA" w:rsidP="00C37C5A">
      <w:pPr>
        <w:pStyle w:val="BodyText"/>
      </w:pPr>
      <w:r>
        <w:t xml:space="preserve">The </w:t>
      </w:r>
      <w:r w:rsidR="00016E58">
        <w:t xml:space="preserve">risk </w:t>
      </w:r>
      <w:r>
        <w:t>analys</w:t>
      </w:r>
      <w:r w:rsidR="006E05F2">
        <w:t>e</w:t>
      </w:r>
      <w:r>
        <w:t xml:space="preserve">s </w:t>
      </w:r>
      <w:r w:rsidR="00016E58">
        <w:t>involved</w:t>
      </w:r>
      <w:r>
        <w:t xml:space="preserve"> </w:t>
      </w:r>
      <w:r w:rsidR="00892EA7">
        <w:t xml:space="preserve">a </w:t>
      </w:r>
      <w:r>
        <w:t xml:space="preserve">literature review followed by qualitative assessment of risk across a range of </w:t>
      </w:r>
      <w:r w:rsidR="006E05F2">
        <w:t xml:space="preserve">identified </w:t>
      </w:r>
      <w:r>
        <w:t xml:space="preserve">risk factors. To guide the analysis a formal risk assessment protocol was followed, that combined for each </w:t>
      </w:r>
      <w:r w:rsidR="00144033">
        <w:t xml:space="preserve">identified </w:t>
      </w:r>
      <w:r>
        <w:t xml:space="preserve">risk factor an estimate of its probability of occurring (the ‘likelihood’), </w:t>
      </w:r>
      <w:r w:rsidR="00144033">
        <w:t xml:space="preserve">together </w:t>
      </w:r>
      <w:r>
        <w:t xml:space="preserve">with an estimate of its </w:t>
      </w:r>
      <w:r w:rsidR="00016E58">
        <w:t>‘</w:t>
      </w:r>
      <w:r>
        <w:t>consequence</w:t>
      </w:r>
      <w:r w:rsidR="00016E58">
        <w:t>’</w:t>
      </w:r>
      <w:r>
        <w:t xml:space="preserve"> for sequestration. The resulting risk priority matrix yielded a four-class classification of risk </w:t>
      </w:r>
      <w:r w:rsidR="000C78CC">
        <w:t>to</w:t>
      </w:r>
      <w:r>
        <w:t xml:space="preserve"> each factor</w:t>
      </w:r>
      <w:r w:rsidR="00892EA7">
        <w:t xml:space="preserve"> (Low, Medium, High and Extreme)</w:t>
      </w:r>
      <w:r>
        <w:t>. Where possible, an indication of the level of scientific certainty associated with each rating was also given</w:t>
      </w:r>
      <w:r w:rsidR="00550EC6">
        <w:t xml:space="preserve">, and also whether the risk factor is likely to impact on the ERF portfolio for each activity as a whole (e.g. through the impacts of a regional drought), or whether the impacts will be localised. </w:t>
      </w:r>
      <w:bookmarkStart w:id="7" w:name="_Hlk49594878"/>
      <w:r w:rsidR="004432D5">
        <w:t xml:space="preserve">The scope of the analysis covers biophysical risks only. </w:t>
      </w:r>
      <w:r w:rsidR="009327EF">
        <w:t xml:space="preserve">Policy-related </w:t>
      </w:r>
      <w:r w:rsidR="009327EF" w:rsidRPr="009327EF">
        <w:t>risk mitigation mea</w:t>
      </w:r>
      <w:r w:rsidR="009327EF">
        <w:t>s</w:t>
      </w:r>
      <w:r w:rsidR="009327EF" w:rsidRPr="009327EF">
        <w:t xml:space="preserve">ures </w:t>
      </w:r>
      <w:r w:rsidR="009327EF">
        <w:t xml:space="preserve">were not taken into account in the risk assessment, but </w:t>
      </w:r>
      <w:r w:rsidR="00372FE6">
        <w:t>are</w:t>
      </w:r>
      <w:r w:rsidR="009327EF">
        <w:t xml:space="preserve"> </w:t>
      </w:r>
      <w:r w:rsidR="00372FE6">
        <w:t xml:space="preserve">briefly </w:t>
      </w:r>
      <w:r w:rsidR="009327EF">
        <w:t>reviewed</w:t>
      </w:r>
      <w:bookmarkEnd w:id="7"/>
      <w:r w:rsidR="009327EF">
        <w:t>.</w:t>
      </w:r>
      <w:r w:rsidR="00C90AEA">
        <w:t xml:space="preserve"> In addition, any positive sequestration outcomes (such as arising from a change to more favourable growth conditions), are also noted. </w:t>
      </w:r>
    </w:p>
    <w:p w14:paraId="7552DD3E" w14:textId="763C0297" w:rsidR="0023225F" w:rsidRDefault="00F31AA7" w:rsidP="00C37C5A">
      <w:pPr>
        <w:pStyle w:val="BodyText"/>
      </w:pPr>
      <w:r>
        <w:t xml:space="preserve">The primary risks considered </w:t>
      </w:r>
      <w:r w:rsidR="00B544CA">
        <w:t xml:space="preserve">were </w:t>
      </w:r>
      <w:r>
        <w:t xml:space="preserve">those associated with current and future projected climate drivers, including ecological disturbances such as drought, fire, and pests and diseases. </w:t>
      </w:r>
      <w:r w:rsidR="00144033">
        <w:t xml:space="preserve">Eighteen risks factors were identified, with eight associated predominantly with changes in climatic variables </w:t>
      </w:r>
      <w:r w:rsidR="001670BD">
        <w:t>that typically have direct impacts on sequestration</w:t>
      </w:r>
      <w:r w:rsidR="00144033">
        <w:t xml:space="preserve"> (such as projected changes in temperature, frost exposure etc.), and ten associated primarily with </w:t>
      </w:r>
      <w:r w:rsidR="001670BD">
        <w:t xml:space="preserve">the indirect impacts due to environmental </w:t>
      </w:r>
      <w:r w:rsidR="00144033">
        <w:t xml:space="preserve">disturbances (such as fire and storm damage) (Table </w:t>
      </w:r>
      <w:r w:rsidR="005E6655">
        <w:t>S</w:t>
      </w:r>
      <w:r w:rsidR="006E05F2">
        <w:t>2</w:t>
      </w:r>
      <w:r w:rsidR="00144033">
        <w:t>). To guide the analysis t</w:t>
      </w:r>
      <w:r w:rsidR="00B544CA">
        <w:t xml:space="preserve">wenty-one climate variables </w:t>
      </w:r>
      <w:r w:rsidR="00144033">
        <w:t>were obtained from a summary of up to 40 G</w:t>
      </w:r>
      <w:r w:rsidR="00B544CA">
        <w:t xml:space="preserve">lobal </w:t>
      </w:r>
      <w:r w:rsidR="00144033">
        <w:t>C</w:t>
      </w:r>
      <w:r w:rsidR="00B544CA">
        <w:t xml:space="preserve">irculation </w:t>
      </w:r>
      <w:r w:rsidR="00144033">
        <w:t>M</w:t>
      </w:r>
      <w:r w:rsidR="00B544CA">
        <w:t xml:space="preserve">odel </w:t>
      </w:r>
      <w:r w:rsidR="00144033">
        <w:lastRenderedPageBreak/>
        <w:t xml:space="preserve">(GCM) </w:t>
      </w:r>
      <w:r w:rsidR="00B544CA">
        <w:t>projections</w:t>
      </w:r>
      <w:r w:rsidR="00144033">
        <w:t xml:space="preserve">, as provided by the </w:t>
      </w:r>
      <w:r w:rsidR="00144033">
        <w:rPr>
          <w:i/>
          <w:iCs/>
        </w:rPr>
        <w:t>Climate Change in Australia</w:t>
      </w:r>
      <w:r w:rsidR="00144033">
        <w:rPr>
          <w:rStyle w:val="FootnoteReference"/>
          <w:i/>
          <w:iCs/>
        </w:rPr>
        <w:footnoteReference w:id="2"/>
      </w:r>
      <w:r w:rsidR="006E05F2">
        <w:rPr>
          <w:i/>
          <w:iCs/>
        </w:rPr>
        <w:t xml:space="preserve"> </w:t>
      </w:r>
      <w:r w:rsidR="00892EA7">
        <w:t>research p</w:t>
      </w:r>
      <w:r w:rsidR="00144033">
        <w:t>rogram. The timeframe for analysis was focussed on 2050</w:t>
      </w:r>
      <w:r w:rsidR="00B35FDE">
        <w:t xml:space="preserve"> (with climate change summaries typically integrated over the period 2040-2059)</w:t>
      </w:r>
      <w:r w:rsidR="00144033">
        <w:t>, consistent with the 25 year crediting period specified for the majority of the sequestration methods</w:t>
      </w:r>
      <w:r w:rsidR="00B35FDE">
        <w:t>. Implication</w:t>
      </w:r>
      <w:r w:rsidR="006E05F2">
        <w:t>s</w:t>
      </w:r>
      <w:r w:rsidR="00B35FDE">
        <w:t xml:space="preserve"> for projected </w:t>
      </w:r>
      <w:r w:rsidR="00892EA7">
        <w:t xml:space="preserve">climatic </w:t>
      </w:r>
      <w:r w:rsidR="00B35FDE">
        <w:t xml:space="preserve">changes up until the end of the century (2090) are </w:t>
      </w:r>
      <w:r w:rsidR="006E05F2">
        <w:t xml:space="preserve">also </w:t>
      </w:r>
      <w:r w:rsidR="00B35FDE">
        <w:t xml:space="preserve">briefly discussed. </w:t>
      </w:r>
      <w:r w:rsidR="0023225F">
        <w:t xml:space="preserve">The </w:t>
      </w:r>
      <w:r w:rsidR="0023225F">
        <w:rPr>
          <w:i/>
          <w:iCs/>
        </w:rPr>
        <w:t xml:space="preserve">Climate Change in Australia </w:t>
      </w:r>
      <w:r w:rsidR="0023225F">
        <w:t>analysis classified the Australian continent into 15 NRM regions for reporting climate projection results. Therefore for each of the six ERF methodology classes, the relevant NRM regions of activity were identified, and the climate projection information for each obtained to inform the risk assessments. In general, differences in climate projections between NRM regions within an ERF class were relatively consistent, and hence the risks tended to be relatively consistent.</w:t>
      </w:r>
    </w:p>
    <w:p w14:paraId="3C598C99" w14:textId="28B908DA" w:rsidR="00DE1B3F" w:rsidRPr="008B36AD" w:rsidRDefault="00DE1B3F" w:rsidP="00DE1B3F">
      <w:pPr>
        <w:pStyle w:val="Caption"/>
        <w:spacing w:after="60"/>
        <w:rPr>
          <w:color w:val="FFFFFF" w:themeColor="background1"/>
        </w:rPr>
      </w:pPr>
      <w:r w:rsidRPr="00DE1B3F">
        <w:t xml:space="preserve">Table </w:t>
      </w:r>
      <w:r w:rsidR="005E6655">
        <w:t>S</w:t>
      </w:r>
      <w:r w:rsidRPr="00DE1B3F">
        <w:t>1</w:t>
      </w:r>
      <w:r w:rsidRPr="00E274A6">
        <w:rPr>
          <w:b w:val="0"/>
          <w:bCs w:val="0"/>
        </w:rPr>
        <w:t xml:space="preserve">. List </w:t>
      </w:r>
      <w:r>
        <w:rPr>
          <w:b w:val="0"/>
          <w:bCs w:val="0"/>
        </w:rPr>
        <w:t xml:space="preserve">of </w:t>
      </w:r>
      <w:r w:rsidRPr="00E274A6">
        <w:rPr>
          <w:b w:val="0"/>
          <w:bCs w:val="0"/>
        </w:rPr>
        <w:t>ERF Methodologies</w:t>
      </w:r>
      <w:r w:rsidR="009D7067">
        <w:rPr>
          <w:b w:val="0"/>
          <w:bCs w:val="0"/>
        </w:rPr>
        <w:t xml:space="preserve"> (and the years they were </w:t>
      </w:r>
      <w:r w:rsidR="004D4690">
        <w:rPr>
          <w:b w:val="0"/>
          <w:bCs w:val="0"/>
        </w:rPr>
        <w:t>published</w:t>
      </w:r>
      <w:r w:rsidR="00776CF2">
        <w:rPr>
          <w:b w:val="0"/>
          <w:bCs w:val="0"/>
        </w:rPr>
        <w:t>)</w:t>
      </w:r>
      <w:r w:rsidRPr="00E274A6">
        <w:rPr>
          <w:b w:val="0"/>
          <w:bCs w:val="0"/>
        </w:rPr>
        <w:t xml:space="preserve"> inclu</w:t>
      </w:r>
      <w:r>
        <w:rPr>
          <w:b w:val="0"/>
          <w:bCs w:val="0"/>
        </w:rPr>
        <w:t>ded</w:t>
      </w:r>
      <w:r w:rsidRPr="00E274A6">
        <w:rPr>
          <w:b w:val="0"/>
          <w:bCs w:val="0"/>
        </w:rPr>
        <w:t xml:space="preserve"> in the analysis, classified into six broad activity categories.</w:t>
      </w:r>
    </w:p>
    <w:tbl>
      <w:tblPr>
        <w:tblStyle w:val="TableCSIRO"/>
        <w:tblW w:w="9781" w:type="dxa"/>
        <w:tblInd w:w="0" w:type="dxa"/>
        <w:tblLayout w:type="fixed"/>
        <w:tblLook w:val="04A0" w:firstRow="1" w:lastRow="0" w:firstColumn="1" w:lastColumn="0" w:noHBand="0" w:noVBand="1"/>
      </w:tblPr>
      <w:tblGrid>
        <w:gridCol w:w="1668"/>
        <w:gridCol w:w="4144"/>
        <w:gridCol w:w="3969"/>
      </w:tblGrid>
      <w:tr w:rsidR="006E05F2" w:rsidRPr="00096464" w14:paraId="4A7C67ED" w14:textId="77777777" w:rsidTr="004D35F0">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52739A0E" w14:textId="77777777" w:rsidR="006E05F2" w:rsidRPr="00A75AC4" w:rsidRDefault="006E05F2" w:rsidP="00DE1B3F">
            <w:pPr>
              <w:rPr>
                <w:rFonts w:asciiTheme="minorHAnsi" w:hAnsiTheme="minorHAnsi" w:cs="Arial"/>
                <w:sz w:val="18"/>
                <w:szCs w:val="18"/>
              </w:rPr>
            </w:pPr>
            <w:r w:rsidRPr="00A75AC4">
              <w:rPr>
                <w:rFonts w:asciiTheme="minorHAnsi" w:hAnsiTheme="minorHAnsi" w:cs="Arial"/>
                <w:sz w:val="18"/>
                <w:szCs w:val="18"/>
              </w:rPr>
              <w:t>Activity category</w:t>
            </w:r>
          </w:p>
        </w:tc>
        <w:tc>
          <w:tcPr>
            <w:tcW w:w="4144" w:type="dxa"/>
            <w:vAlign w:val="center"/>
          </w:tcPr>
          <w:p w14:paraId="37E9E813" w14:textId="77777777" w:rsidR="006E05F2" w:rsidRPr="00A75AC4" w:rsidRDefault="006E05F2" w:rsidP="00DE1B3F">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A75AC4">
              <w:rPr>
                <w:rFonts w:asciiTheme="minorHAnsi" w:hAnsiTheme="minorHAnsi" w:cs="Arial"/>
                <w:sz w:val="18"/>
                <w:szCs w:val="18"/>
              </w:rPr>
              <w:t>ERF Methodology</w:t>
            </w:r>
          </w:p>
        </w:tc>
        <w:tc>
          <w:tcPr>
            <w:tcW w:w="3969" w:type="dxa"/>
            <w:vAlign w:val="center"/>
          </w:tcPr>
          <w:p w14:paraId="2378E457" w14:textId="77777777" w:rsidR="006E05F2" w:rsidRPr="00A75AC4" w:rsidRDefault="006E05F2" w:rsidP="00DE1B3F">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A75AC4">
              <w:rPr>
                <w:rFonts w:asciiTheme="minorHAnsi" w:hAnsiTheme="minorHAnsi" w:cs="Arial"/>
                <w:sz w:val="18"/>
                <w:szCs w:val="18"/>
              </w:rPr>
              <w:t>Included activities</w:t>
            </w:r>
          </w:p>
        </w:tc>
      </w:tr>
      <w:tr w:rsidR="006E05F2" w:rsidRPr="000E2DF1" w14:paraId="193A9035" w14:textId="77777777" w:rsidTr="00A75AC4">
        <w:trPr>
          <w:cnfStyle w:val="000000100000" w:firstRow="0" w:lastRow="0" w:firstColumn="0" w:lastColumn="0" w:oddVBand="0" w:evenVBand="0" w:oddHBand="1" w:evenHBand="0" w:firstRowFirstColumn="0" w:firstRowLastColumn="0" w:lastRowFirstColumn="0" w:lastRowLastColumn="0"/>
          <w:trHeight w:hRule="exact" w:val="1140"/>
        </w:trPr>
        <w:tc>
          <w:tcPr>
            <w:cnfStyle w:val="001000000000" w:firstRow="0" w:lastRow="0" w:firstColumn="1" w:lastColumn="0" w:oddVBand="0" w:evenVBand="0" w:oddHBand="0" w:evenHBand="0" w:firstRowFirstColumn="0" w:firstRowLastColumn="0" w:lastRowFirstColumn="0" w:lastRowLastColumn="0"/>
            <w:tcW w:w="0" w:type="dxa"/>
            <w:tcBorders>
              <w:bottom w:val="nil"/>
            </w:tcBorders>
            <w:vAlign w:val="center"/>
          </w:tcPr>
          <w:p w14:paraId="21ABBD8D" w14:textId="0F04443E" w:rsidR="006E05F2" w:rsidRPr="00A75AC4" w:rsidRDefault="00FB2D3A" w:rsidP="00DE1B3F">
            <w:pPr>
              <w:pStyle w:val="BodyText"/>
              <w:spacing w:before="0" w:after="0" w:line="240" w:lineRule="auto"/>
              <w:rPr>
                <w:rFonts w:asciiTheme="minorHAnsi" w:hAnsiTheme="minorHAnsi"/>
                <w:b w:val="0"/>
                <w:bCs w:val="0"/>
                <w:sz w:val="18"/>
                <w:szCs w:val="18"/>
              </w:rPr>
            </w:pPr>
            <w:r w:rsidRPr="00A75AC4">
              <w:rPr>
                <w:rFonts w:asciiTheme="minorHAnsi" w:hAnsiTheme="minorHAnsi"/>
                <w:sz w:val="18"/>
                <w:szCs w:val="18"/>
              </w:rPr>
              <w:t>Re-establishment</w:t>
            </w:r>
            <w:r w:rsidR="001711C6" w:rsidRPr="00A75AC4">
              <w:rPr>
                <w:rFonts w:asciiTheme="minorHAnsi" w:hAnsiTheme="minorHAnsi"/>
                <w:sz w:val="18"/>
                <w:szCs w:val="18"/>
              </w:rPr>
              <w:t xml:space="preserve"> </w:t>
            </w:r>
            <w:r w:rsidR="006E05F2" w:rsidRPr="00A75AC4">
              <w:rPr>
                <w:rFonts w:asciiTheme="minorHAnsi" w:hAnsiTheme="minorHAnsi"/>
                <w:sz w:val="18"/>
                <w:szCs w:val="18"/>
              </w:rPr>
              <w:t>of native forest cover</w:t>
            </w:r>
          </w:p>
        </w:tc>
        <w:tc>
          <w:tcPr>
            <w:tcW w:w="0" w:type="dxa"/>
            <w:vAlign w:val="center"/>
          </w:tcPr>
          <w:p w14:paraId="54938484" w14:textId="77777777"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Human-Induced Regeneration of a Permanent Even-Aged Native Forest (2013)</w:t>
            </w:r>
          </w:p>
          <w:p w14:paraId="3A4FA1EE" w14:textId="77777777"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Native Forests from Managed Regrowth (2013)</w:t>
            </w:r>
          </w:p>
        </w:tc>
        <w:tc>
          <w:tcPr>
            <w:tcW w:w="0" w:type="dxa"/>
            <w:vAlign w:val="center"/>
          </w:tcPr>
          <w:p w14:paraId="1C040978" w14:textId="1338F246"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A change in land management (e.g. a change in grazing management; cessation of regular clearing; control of feral browsers) that facilitates the natural regeneration of forest cover</w:t>
            </w:r>
            <w:r w:rsidR="0023225F">
              <w:rPr>
                <w:rStyle w:val="FootnoteReference"/>
                <w:rFonts w:asciiTheme="minorHAnsi" w:hAnsiTheme="minorHAnsi"/>
                <w:sz w:val="18"/>
                <w:szCs w:val="18"/>
              </w:rPr>
              <w:footnoteReference w:id="3"/>
            </w:r>
            <w:r w:rsidRPr="00A75AC4">
              <w:rPr>
                <w:rFonts w:asciiTheme="minorHAnsi" w:hAnsiTheme="minorHAnsi"/>
                <w:sz w:val="18"/>
                <w:szCs w:val="18"/>
              </w:rPr>
              <w:t xml:space="preserve"> from an initial non-forest state.</w:t>
            </w:r>
          </w:p>
        </w:tc>
      </w:tr>
      <w:tr w:rsidR="006E05F2" w:rsidRPr="000E2DF1" w14:paraId="583A1ED3" w14:textId="77777777" w:rsidTr="00A75AC4">
        <w:trPr>
          <w:trHeight w:hRule="exact" w:val="1522"/>
        </w:trPr>
        <w:tc>
          <w:tcPr>
            <w:cnfStyle w:val="001000000000" w:firstRow="0" w:lastRow="0" w:firstColumn="1" w:lastColumn="0" w:oddVBand="0" w:evenVBand="0" w:oddHBand="0" w:evenHBand="0" w:firstRowFirstColumn="0" w:firstRowLastColumn="0" w:lastRowFirstColumn="0" w:lastRowLastColumn="0"/>
            <w:tcW w:w="0" w:type="dxa"/>
            <w:tcBorders>
              <w:top w:val="nil"/>
            </w:tcBorders>
            <w:vAlign w:val="center"/>
          </w:tcPr>
          <w:p w14:paraId="76BB0CC7" w14:textId="77777777" w:rsidR="006E05F2" w:rsidRPr="00A75AC4" w:rsidRDefault="006E05F2" w:rsidP="00DE1B3F">
            <w:pPr>
              <w:pStyle w:val="BodyText"/>
              <w:spacing w:before="0" w:after="0" w:line="240" w:lineRule="auto"/>
              <w:rPr>
                <w:rFonts w:asciiTheme="minorHAnsi" w:hAnsiTheme="minorHAnsi"/>
                <w:b w:val="0"/>
                <w:bCs w:val="0"/>
                <w:sz w:val="18"/>
                <w:szCs w:val="18"/>
              </w:rPr>
            </w:pPr>
            <w:r w:rsidRPr="00A75AC4">
              <w:rPr>
                <w:rFonts w:asciiTheme="minorHAnsi" w:hAnsiTheme="minorHAnsi"/>
                <w:sz w:val="18"/>
                <w:szCs w:val="18"/>
              </w:rPr>
              <w:t>Planting of new forests</w:t>
            </w:r>
          </w:p>
        </w:tc>
        <w:tc>
          <w:tcPr>
            <w:tcW w:w="0" w:type="dxa"/>
            <w:vAlign w:val="center"/>
          </w:tcPr>
          <w:p w14:paraId="00E63219" w14:textId="77777777" w:rsidR="006E05F2" w:rsidRPr="00A75AC4" w:rsidRDefault="006E05F2" w:rsidP="00DE1B3F">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Reforestation by Environmental or Mallee Plantings – FullCAM (2014)</w:t>
            </w:r>
          </w:p>
          <w:p w14:paraId="1A1C89AE" w14:textId="77777777" w:rsidR="006E05F2" w:rsidRPr="00A75AC4" w:rsidRDefault="006E05F2" w:rsidP="00DE1B3F">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Reforestation and Afforestation (2015)</w:t>
            </w:r>
          </w:p>
          <w:p w14:paraId="53DA8C36" w14:textId="77777777" w:rsidR="006E05F2" w:rsidRPr="00A75AC4" w:rsidRDefault="006E05F2" w:rsidP="00DE1B3F">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Plantation Forestry (2017)</w:t>
            </w:r>
          </w:p>
          <w:p w14:paraId="0241DB36" w14:textId="77777777" w:rsidR="006E05F2" w:rsidRPr="00A75AC4" w:rsidRDefault="006E05F2" w:rsidP="00DE1B3F">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Measurement Based Methods for New Farm Forestry Plantations (2014)</w:t>
            </w:r>
          </w:p>
        </w:tc>
        <w:tc>
          <w:tcPr>
            <w:tcW w:w="0" w:type="dxa"/>
            <w:vAlign w:val="center"/>
          </w:tcPr>
          <w:p w14:paraId="33834B7C" w14:textId="77777777" w:rsidR="006E05F2" w:rsidRPr="00A75AC4" w:rsidRDefault="006E05F2" w:rsidP="00DE1B3F">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The establishment of forest cover on currently non-forested land, via direct seeding and/or planting of tube stock seedlings. The methods include environmental plantings, as well as the establishment of commercial plantation species.</w:t>
            </w:r>
          </w:p>
        </w:tc>
      </w:tr>
      <w:tr w:rsidR="006E05F2" w:rsidRPr="000E2DF1" w14:paraId="740B65A4" w14:textId="77777777" w:rsidTr="00A75AC4">
        <w:trPr>
          <w:cnfStyle w:val="000000100000" w:firstRow="0" w:lastRow="0" w:firstColumn="0" w:lastColumn="0" w:oddVBand="0" w:evenVBand="0" w:oddHBand="1" w:evenHBand="0" w:firstRowFirstColumn="0" w:firstRowLastColumn="0" w:lastRowFirstColumn="0" w:lastRowLastColumn="0"/>
          <w:trHeight w:hRule="exact" w:val="1364"/>
        </w:trPr>
        <w:tc>
          <w:tcPr>
            <w:cnfStyle w:val="001000000000" w:firstRow="0" w:lastRow="0" w:firstColumn="1" w:lastColumn="0" w:oddVBand="0" w:evenVBand="0" w:oddHBand="0" w:evenHBand="0" w:firstRowFirstColumn="0" w:firstRowLastColumn="0" w:lastRowFirstColumn="0" w:lastRowLastColumn="0"/>
            <w:tcW w:w="0" w:type="dxa"/>
            <w:vAlign w:val="center"/>
          </w:tcPr>
          <w:p w14:paraId="48BD73C5" w14:textId="77777777" w:rsidR="006E05F2" w:rsidRPr="00A75AC4" w:rsidRDefault="006E05F2" w:rsidP="00DE1B3F">
            <w:pPr>
              <w:pStyle w:val="BodyText"/>
              <w:spacing w:before="0" w:after="0" w:line="240" w:lineRule="auto"/>
              <w:rPr>
                <w:rFonts w:asciiTheme="minorHAnsi" w:hAnsiTheme="minorHAnsi"/>
                <w:b w:val="0"/>
                <w:bCs w:val="0"/>
                <w:sz w:val="18"/>
                <w:szCs w:val="18"/>
              </w:rPr>
            </w:pPr>
            <w:r w:rsidRPr="00A75AC4">
              <w:rPr>
                <w:rFonts w:asciiTheme="minorHAnsi" w:hAnsiTheme="minorHAnsi"/>
                <w:sz w:val="18"/>
                <w:szCs w:val="18"/>
              </w:rPr>
              <w:t>Protection of existing forests</w:t>
            </w:r>
          </w:p>
        </w:tc>
        <w:tc>
          <w:tcPr>
            <w:tcW w:w="0" w:type="dxa"/>
            <w:vAlign w:val="center"/>
          </w:tcPr>
          <w:p w14:paraId="270F34B8" w14:textId="77777777"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Avoided Deforestation (2015)</w:t>
            </w:r>
          </w:p>
          <w:p w14:paraId="0D663CC1" w14:textId="77777777"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Avoided Clearing of Native Regrowth (2015)</w:t>
            </w:r>
          </w:p>
        </w:tc>
        <w:tc>
          <w:tcPr>
            <w:tcW w:w="0" w:type="dxa"/>
            <w:vAlign w:val="center"/>
          </w:tcPr>
          <w:p w14:paraId="26357DA6" w14:textId="77777777"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Includes the cessation of land clearing to facilitate forest recovery (Avoided Clearing), and the protection of existing forest cover through relinquishment of clearing permits awarded for the purposes of converting forest cover to cropland or grassland (Avoided Deforestation).</w:t>
            </w:r>
          </w:p>
          <w:p w14:paraId="6D22125B" w14:textId="77777777"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r>
      <w:tr w:rsidR="006E05F2" w:rsidRPr="000E2DF1" w14:paraId="2981A303" w14:textId="77777777" w:rsidTr="0023225F">
        <w:trPr>
          <w:trHeight w:hRule="exact" w:val="1170"/>
        </w:trPr>
        <w:tc>
          <w:tcPr>
            <w:cnfStyle w:val="001000000000" w:firstRow="0" w:lastRow="0" w:firstColumn="1" w:lastColumn="0" w:oddVBand="0" w:evenVBand="0" w:oddHBand="0" w:evenHBand="0" w:firstRowFirstColumn="0" w:firstRowLastColumn="0" w:lastRowFirstColumn="0" w:lastRowLastColumn="0"/>
            <w:tcW w:w="0" w:type="dxa"/>
            <w:vAlign w:val="center"/>
          </w:tcPr>
          <w:p w14:paraId="74474407" w14:textId="77777777" w:rsidR="006E05F2" w:rsidRPr="00A75AC4" w:rsidRDefault="006E05F2" w:rsidP="00DE1B3F">
            <w:pPr>
              <w:pStyle w:val="BodyText"/>
              <w:spacing w:before="0" w:after="0" w:line="240" w:lineRule="auto"/>
              <w:rPr>
                <w:rFonts w:asciiTheme="minorHAnsi" w:hAnsiTheme="minorHAnsi"/>
                <w:b w:val="0"/>
                <w:bCs w:val="0"/>
                <w:sz w:val="18"/>
                <w:szCs w:val="18"/>
              </w:rPr>
            </w:pPr>
            <w:r w:rsidRPr="00A75AC4">
              <w:rPr>
                <w:rFonts w:asciiTheme="minorHAnsi" w:hAnsiTheme="minorHAnsi"/>
                <w:sz w:val="18"/>
                <w:szCs w:val="18"/>
              </w:rPr>
              <w:t>Management of agricultural soils</w:t>
            </w:r>
          </w:p>
        </w:tc>
        <w:tc>
          <w:tcPr>
            <w:tcW w:w="0" w:type="dxa"/>
            <w:vAlign w:val="center"/>
          </w:tcPr>
          <w:p w14:paraId="6D09BFB2" w14:textId="77777777" w:rsidR="006E05F2" w:rsidRPr="00A75AC4" w:rsidRDefault="006E05F2" w:rsidP="00DE1B3F">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A75AC4">
              <w:rPr>
                <w:rFonts w:asciiTheme="minorHAnsi" w:hAnsiTheme="minorHAnsi" w:cs="Arial"/>
                <w:sz w:val="18"/>
                <w:szCs w:val="18"/>
              </w:rPr>
              <w:t>Measurement of soil carbon sequestration in agricultural systems (2018)</w:t>
            </w:r>
          </w:p>
          <w:p w14:paraId="2A0BF2F2" w14:textId="77777777" w:rsidR="006E05F2" w:rsidRPr="00A75AC4" w:rsidRDefault="006E05F2" w:rsidP="00DE1B3F">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A75AC4">
              <w:rPr>
                <w:color w:val="auto"/>
                <w:sz w:val="18"/>
                <w:szCs w:val="18"/>
              </w:rPr>
              <w:t>Estimating Sequestration of Carbon in Soil Using Default Values (2015)</w:t>
            </w:r>
          </w:p>
          <w:p w14:paraId="2773FB51" w14:textId="77777777" w:rsidR="006E05F2" w:rsidRPr="00A75AC4" w:rsidRDefault="006E05F2" w:rsidP="00DE1B3F">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dxa"/>
            <w:vAlign w:val="center"/>
          </w:tcPr>
          <w:p w14:paraId="277D1E41" w14:textId="197BE00E" w:rsidR="006E05F2" w:rsidRPr="00A75AC4" w:rsidRDefault="006E05F2" w:rsidP="00DE1B3F">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A75AC4">
              <w:rPr>
                <w:rFonts w:asciiTheme="minorHAnsi" w:hAnsiTheme="minorHAnsi" w:cs="Arial"/>
                <w:sz w:val="18"/>
                <w:szCs w:val="18"/>
              </w:rPr>
              <w:t>Changes in land management that build and maintain soil organic carbon. A wide range of activities are allowed, including adding nutrients, lime, gypsum; Irrigation; pasture management; stubble retention and no/reduced till</w:t>
            </w:r>
            <w:r w:rsidR="00B7170F" w:rsidRPr="00A75AC4">
              <w:rPr>
                <w:rFonts w:asciiTheme="minorHAnsi" w:hAnsiTheme="minorHAnsi" w:cs="Arial"/>
                <w:sz w:val="18"/>
                <w:szCs w:val="18"/>
              </w:rPr>
              <w:t>.</w:t>
            </w:r>
          </w:p>
        </w:tc>
      </w:tr>
      <w:tr w:rsidR="006E05F2" w:rsidRPr="000E2DF1" w14:paraId="582F5C2F" w14:textId="77777777" w:rsidTr="00A75AC4">
        <w:trPr>
          <w:cnfStyle w:val="000000100000" w:firstRow="0" w:lastRow="0" w:firstColumn="0" w:lastColumn="0" w:oddVBand="0" w:evenVBand="0" w:oddHBand="1" w:evenHBand="0" w:firstRowFirstColumn="0" w:firstRowLastColumn="0" w:lastRowFirstColumn="0" w:lastRowLastColumn="0"/>
          <w:trHeight w:hRule="exact" w:val="924"/>
        </w:trPr>
        <w:tc>
          <w:tcPr>
            <w:cnfStyle w:val="001000000000" w:firstRow="0" w:lastRow="0" w:firstColumn="1" w:lastColumn="0" w:oddVBand="0" w:evenVBand="0" w:oddHBand="0" w:evenHBand="0" w:firstRowFirstColumn="0" w:firstRowLastColumn="0" w:lastRowFirstColumn="0" w:lastRowLastColumn="0"/>
            <w:tcW w:w="0" w:type="dxa"/>
            <w:vAlign w:val="center"/>
          </w:tcPr>
          <w:p w14:paraId="6D577C35" w14:textId="77777777" w:rsidR="006E05F2" w:rsidRPr="00A75AC4" w:rsidRDefault="006E05F2" w:rsidP="00DE1B3F">
            <w:pPr>
              <w:pStyle w:val="BodyText"/>
              <w:spacing w:before="0" w:after="0" w:line="240" w:lineRule="auto"/>
              <w:rPr>
                <w:rFonts w:asciiTheme="minorHAnsi" w:hAnsiTheme="minorHAnsi"/>
                <w:b w:val="0"/>
                <w:bCs w:val="0"/>
                <w:sz w:val="18"/>
                <w:szCs w:val="18"/>
              </w:rPr>
            </w:pPr>
            <w:r w:rsidRPr="00A75AC4">
              <w:rPr>
                <w:rFonts w:asciiTheme="minorHAnsi" w:hAnsiTheme="minorHAnsi"/>
                <w:sz w:val="18"/>
                <w:szCs w:val="18"/>
              </w:rPr>
              <w:t>Savanna fire management</w:t>
            </w:r>
          </w:p>
        </w:tc>
        <w:tc>
          <w:tcPr>
            <w:tcW w:w="0" w:type="dxa"/>
            <w:vAlign w:val="center"/>
          </w:tcPr>
          <w:p w14:paraId="50450074" w14:textId="77777777"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Savanna Fire Management Sequestration and Emissions Avoidance (2018)</w:t>
            </w:r>
          </w:p>
        </w:tc>
        <w:tc>
          <w:tcPr>
            <w:tcW w:w="0" w:type="dxa"/>
            <w:vAlign w:val="center"/>
          </w:tcPr>
          <w:p w14:paraId="022F3E15" w14:textId="77777777" w:rsidR="006E05F2" w:rsidRPr="00A75AC4" w:rsidRDefault="006E05F2" w:rsidP="00DE1B3F">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75AC4">
              <w:rPr>
                <w:rFonts w:asciiTheme="minorHAnsi" w:hAnsiTheme="minorHAnsi"/>
                <w:sz w:val="18"/>
                <w:szCs w:val="18"/>
              </w:rPr>
              <w:t>Manipulation of the timing and extent of fire management in the northern Savanna to reduce GHG emissions and to sequester additional carbon in woody debris.</w:t>
            </w:r>
          </w:p>
        </w:tc>
      </w:tr>
      <w:tr w:rsidR="006E05F2" w:rsidRPr="000E2DF1" w14:paraId="43C1731D" w14:textId="77777777" w:rsidTr="0023225F">
        <w:trPr>
          <w:trHeight w:hRule="exact" w:val="653"/>
        </w:trPr>
        <w:tc>
          <w:tcPr>
            <w:cnfStyle w:val="001000000000" w:firstRow="0" w:lastRow="0" w:firstColumn="1" w:lastColumn="0" w:oddVBand="0" w:evenVBand="0" w:oddHBand="0" w:evenHBand="0" w:firstRowFirstColumn="0" w:firstRowLastColumn="0" w:lastRowFirstColumn="0" w:lastRowLastColumn="0"/>
            <w:tcW w:w="0" w:type="dxa"/>
            <w:vAlign w:val="center"/>
          </w:tcPr>
          <w:p w14:paraId="2BF04A3F" w14:textId="77777777" w:rsidR="006E05F2" w:rsidRPr="00A75AC4" w:rsidRDefault="006E05F2" w:rsidP="00DE1B3F">
            <w:pPr>
              <w:rPr>
                <w:rFonts w:asciiTheme="minorHAnsi" w:hAnsiTheme="minorHAnsi" w:cs="Arial"/>
                <w:b w:val="0"/>
                <w:bCs w:val="0"/>
                <w:sz w:val="18"/>
                <w:szCs w:val="18"/>
              </w:rPr>
            </w:pPr>
            <w:r w:rsidRPr="00A75AC4">
              <w:rPr>
                <w:rFonts w:asciiTheme="minorHAnsi" w:hAnsiTheme="minorHAnsi" w:cs="Arial"/>
                <w:sz w:val="18"/>
                <w:szCs w:val="18"/>
              </w:rPr>
              <w:t>Management of intertidal  ecosystems</w:t>
            </w:r>
          </w:p>
        </w:tc>
        <w:tc>
          <w:tcPr>
            <w:tcW w:w="0" w:type="dxa"/>
            <w:vAlign w:val="center"/>
          </w:tcPr>
          <w:p w14:paraId="3C5D1E31" w14:textId="77777777" w:rsidR="006E05F2" w:rsidRPr="00A75AC4" w:rsidRDefault="006E05F2" w:rsidP="00DE1B3F">
            <w:pPr>
              <w:spacing w:after="60"/>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A75AC4">
              <w:rPr>
                <w:rFonts w:asciiTheme="minorHAnsi" w:hAnsiTheme="minorHAnsi" w:cs="Arial"/>
                <w:sz w:val="18"/>
                <w:szCs w:val="18"/>
              </w:rPr>
              <w:t>Blue carbon (proposed new method)</w:t>
            </w:r>
          </w:p>
        </w:tc>
        <w:tc>
          <w:tcPr>
            <w:tcW w:w="0" w:type="dxa"/>
            <w:vAlign w:val="center"/>
          </w:tcPr>
          <w:p w14:paraId="5B5C0654" w14:textId="77777777" w:rsidR="006E05F2" w:rsidRPr="00A75AC4" w:rsidRDefault="006E05F2" w:rsidP="00DE1B3F">
            <w:pPr>
              <w:spacing w:after="60"/>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A75AC4">
              <w:rPr>
                <w:rFonts w:asciiTheme="minorHAnsi" w:hAnsiTheme="minorHAnsi" w:cs="Arial"/>
                <w:sz w:val="18"/>
                <w:szCs w:val="18"/>
              </w:rPr>
              <w:t>Manipulation of tidal flooding to restore coastal ecosystems and build soil carbon.</w:t>
            </w:r>
          </w:p>
        </w:tc>
      </w:tr>
    </w:tbl>
    <w:p w14:paraId="6F06A82F" w14:textId="77777777" w:rsidR="0023225F" w:rsidRPr="00144033" w:rsidRDefault="0023225F" w:rsidP="0023225F">
      <w:pPr>
        <w:pStyle w:val="BodyText"/>
      </w:pPr>
      <w:r>
        <w:t xml:space="preserve">A range of Representative Concentration Pathways (RCPs) are simulated across the GCMs, to represent a range of possible futures based on different global emissions reduction scenarios. The analyses in this report focus primarily on the RCP4.5 pathway, which reflects a ‘middle-ground’ policy outcome with </w:t>
      </w:r>
      <w:r w:rsidRPr="00582159">
        <w:t>emissions peak</w:t>
      </w:r>
      <w:r>
        <w:t>ing</w:t>
      </w:r>
      <w:r w:rsidRPr="00582159">
        <w:t xml:space="preserve"> </w:t>
      </w:r>
      <w:r>
        <w:t xml:space="preserve">at </w:t>
      </w:r>
      <w:r w:rsidRPr="00582159">
        <w:t xml:space="preserve">around </w:t>
      </w:r>
      <w:r>
        <w:t xml:space="preserve">year </w:t>
      </w:r>
      <w:r w:rsidRPr="00582159">
        <w:t xml:space="preserve">2040, and the </w:t>
      </w:r>
      <w:r>
        <w:t xml:space="preserve">atmospheric </w:t>
      </w:r>
      <w:r w:rsidRPr="00582159">
        <w:t>CO</w:t>
      </w:r>
      <w:r w:rsidRPr="00582159">
        <w:rPr>
          <w:vertAlign w:val="subscript"/>
        </w:rPr>
        <w:t>2</w:t>
      </w:r>
      <w:r w:rsidRPr="00582159">
        <w:t xml:space="preserve"> concentration </w:t>
      </w:r>
      <w:r>
        <w:t xml:space="preserve">stabilising at approximately </w:t>
      </w:r>
      <w:r w:rsidRPr="00582159">
        <w:t>540 ppm by 2100</w:t>
      </w:r>
      <w:r>
        <w:t xml:space="preserve">. To provide an indication of the </w:t>
      </w:r>
      <w:r>
        <w:lastRenderedPageBreak/>
        <w:t xml:space="preserve">possible upper range of outcomes under a less favourable emissions reduction scenario, results from the RCP8.5 pathway are also considered, and which represent </w:t>
      </w:r>
      <w:r w:rsidRPr="00F30F64">
        <w:t>a future with little curbing of emissions, with a CO</w:t>
      </w:r>
      <w:r w:rsidRPr="00F30F64">
        <w:rPr>
          <w:vertAlign w:val="subscript"/>
        </w:rPr>
        <w:t>2</w:t>
      </w:r>
      <w:r w:rsidRPr="00F30F64">
        <w:t xml:space="preserve"> concentration continuing to rapidly rise, reaching 940 ppm by 2100</w:t>
      </w:r>
      <w:r>
        <w:t>.</w:t>
      </w:r>
    </w:p>
    <w:p w14:paraId="6E3C59B0" w14:textId="40F75727" w:rsidR="006C013B" w:rsidRDefault="00B7170F" w:rsidP="00B7170F">
      <w:pPr>
        <w:pStyle w:val="BodyText"/>
      </w:pPr>
      <w:r>
        <w:t>In addition to the assessment of risk, a review of the potential climate adaptation options and co-benefits associated with ERF sequestration activities was also undertaken, to provide some insights into how aspects of the current methodology design and rules help to mitigate against the identified risks, and what additional management options might be available to further contribute to risk mitigation and farm resilience.</w:t>
      </w:r>
      <w:r w:rsidR="00C11E72">
        <w:t xml:space="preserve"> </w:t>
      </w:r>
      <w:r w:rsidR="00FF4644">
        <w:rPr>
          <w:rFonts w:eastAsiaTheme="minorHAnsi"/>
        </w:rPr>
        <w:t xml:space="preserve">Adaptation responses </w:t>
      </w:r>
      <w:r w:rsidR="002C2B15">
        <w:rPr>
          <w:rFonts w:eastAsiaTheme="minorHAnsi"/>
        </w:rPr>
        <w:t>are</w:t>
      </w:r>
      <w:r w:rsidR="00FF4644">
        <w:rPr>
          <w:rFonts w:eastAsiaTheme="minorHAnsi"/>
        </w:rPr>
        <w:t xml:space="preserve"> classified into three classes or ‘zones’. Zone 1 adaptation responses are incremental in nature, requiring only minor modifications to existing practices. Zone 2 adaptation responses </w:t>
      </w:r>
      <w:r w:rsidR="002C2B15">
        <w:rPr>
          <w:rFonts w:eastAsiaTheme="minorHAnsi"/>
        </w:rPr>
        <w:t>are</w:t>
      </w:r>
      <w:r w:rsidR="00FF4644">
        <w:rPr>
          <w:rFonts w:eastAsiaTheme="minorHAnsi"/>
        </w:rPr>
        <w:t xml:space="preserve"> required as climate change becomes more extreme, </w:t>
      </w:r>
      <w:r w:rsidR="00B556F6">
        <w:rPr>
          <w:rFonts w:eastAsiaTheme="minorHAnsi"/>
        </w:rPr>
        <w:t xml:space="preserve">and </w:t>
      </w:r>
      <w:r w:rsidR="00FF4644">
        <w:rPr>
          <w:rFonts w:eastAsiaTheme="minorHAnsi"/>
        </w:rPr>
        <w:t>involv</w:t>
      </w:r>
      <w:r w:rsidR="00B556F6">
        <w:rPr>
          <w:rFonts w:eastAsiaTheme="minorHAnsi"/>
        </w:rPr>
        <w:t>e</w:t>
      </w:r>
      <w:r w:rsidR="00FF4644">
        <w:rPr>
          <w:rFonts w:eastAsiaTheme="minorHAnsi"/>
        </w:rPr>
        <w:t xml:space="preserve"> increasing complexity, risk and cost</w:t>
      </w:r>
      <w:r w:rsidR="00B556F6">
        <w:rPr>
          <w:rFonts w:eastAsiaTheme="minorHAnsi"/>
        </w:rPr>
        <w:t xml:space="preserve">, and where </w:t>
      </w:r>
      <w:r w:rsidR="00FF4644">
        <w:rPr>
          <w:rFonts w:eastAsiaTheme="minorHAnsi"/>
        </w:rPr>
        <w:t>Zone 3 responses require a transformational change in management, for example a change in land use that may or may not be compatible with continued ERF activities. Overall the climate change scenarios described in this report suggest that, in the short term (i.e. up to 2050), Zone 1 and 2 strategies will be sufficient in most cases for adaptation. However, the more extreme climate changes projected for later in the century may require transformational change</w:t>
      </w:r>
      <w:r w:rsidR="003439D2">
        <w:t>.</w:t>
      </w:r>
      <w:r w:rsidR="00085D6F">
        <w:t xml:space="preserve">  </w:t>
      </w:r>
    </w:p>
    <w:p w14:paraId="6A759A8D" w14:textId="77777777" w:rsidR="006C013B" w:rsidRDefault="006C013B" w:rsidP="006C013B">
      <w:pPr>
        <w:pStyle w:val="BodyText"/>
        <w:rPr>
          <w:i/>
          <w:iCs/>
        </w:rPr>
      </w:pPr>
      <w:r>
        <w:rPr>
          <w:i/>
          <w:iCs/>
        </w:rPr>
        <w:t>Overall findings</w:t>
      </w:r>
    </w:p>
    <w:p w14:paraId="3CB6F53B" w14:textId="32C71A3A" w:rsidR="006C013B" w:rsidRDefault="006C013B" w:rsidP="006C013B">
      <w:pPr>
        <w:pStyle w:val="BodyText"/>
      </w:pPr>
      <w:r>
        <w:t xml:space="preserve">For each of the 18 identified risk factors an assessment was made on the level of overall risk associated with each </w:t>
      </w:r>
      <w:r w:rsidR="005E6655">
        <w:t>category</w:t>
      </w:r>
      <w:r>
        <w:t xml:space="preserve"> of activity, based on a combination of a review of the current literature, projected changes in the underlying climate variables, and expert opinion (Table S2)</w:t>
      </w:r>
      <w:r w:rsidR="005E6655">
        <w:t xml:space="preserve">. </w:t>
      </w:r>
      <w:r>
        <w:t>As expected, there was marked variability across the risk profiles, with some activity classes being most sensitive to changes in disturbance regimes (Management of intertidal ecosystems), some activity classes being most sensitive to changes in climate change factors (Management of agricultural soils; Planting of new forests), and some activities indicating relatively even sensitivity to both factors (Re-establish native forest cover; Protect existing forests; Savanna fire management). The maximum risk rating was ‘High’</w:t>
      </w:r>
      <w:r w:rsidR="00D76D8E">
        <w:t>,</w:t>
      </w:r>
      <w:r>
        <w:t xml:space="preserve"> </w:t>
      </w:r>
      <w:r w:rsidR="00D76D8E">
        <w:t xml:space="preserve">indicating the </w:t>
      </w:r>
      <w:r>
        <w:t xml:space="preserve">risk factor </w:t>
      </w:r>
      <w:r w:rsidR="00D76D8E">
        <w:t xml:space="preserve">is likely to </w:t>
      </w:r>
      <w:r>
        <w:t>occur</w:t>
      </w:r>
      <w:r w:rsidR="00D76D8E">
        <w:t xml:space="preserve"> in the future</w:t>
      </w:r>
      <w:r>
        <w:t xml:space="preserve">, </w:t>
      </w:r>
      <w:r w:rsidR="00D76D8E">
        <w:t xml:space="preserve">with </w:t>
      </w:r>
      <w:r>
        <w:t xml:space="preserve">a potential consequence of ‘Major’, nominally tagged as either a loss of up to 50-80% of the stored carbon (or an under-delivery of up to 20-50% of that expected). Note that these nominal losses should not be interpreted as predictions of actual sequestration outcomes, as they were introduced primarily as a mechanism for allowing visualisation of what each category might correspond to in real terms. Actual quantification of sequestration losses or shortfalls is beyond the scope of the qualitative analysis presented here. No </w:t>
      </w:r>
      <w:r w:rsidR="00E024CA">
        <w:t>‘</w:t>
      </w:r>
      <w:r>
        <w:t>Extreme</w:t>
      </w:r>
      <w:r w:rsidR="00E024CA">
        <w:t xml:space="preserve">’ </w:t>
      </w:r>
      <w:r>
        <w:t xml:space="preserve">risk ratings were identified. </w:t>
      </w:r>
    </w:p>
    <w:p w14:paraId="51EAA263" w14:textId="14566F89" w:rsidR="006C013B" w:rsidRDefault="006C013B" w:rsidP="006C013B">
      <w:pPr>
        <w:pStyle w:val="BodyText"/>
      </w:pPr>
      <w:r>
        <w:t xml:space="preserve">Of the identified risk factors drought-induced stress, heat stress, and increased aridity/reduced soil water availability were the most prevalent. Changes to fire regimes were also a commonly identified risk factor. Risk factors associated with the potential impacts of pests and diseases, and changes to exposure to frost, were generally uncertain and are marked in the table with question marks. These can be considered gaps requiring further research. </w:t>
      </w:r>
    </w:p>
    <w:p w14:paraId="65D0CEED" w14:textId="6ED9DC5A" w:rsidR="00BC6FCF" w:rsidRDefault="002623E2" w:rsidP="006C013B">
      <w:pPr>
        <w:pStyle w:val="BodyText"/>
        <w:sectPr w:rsidR="00BC6FCF" w:rsidSect="00F9549D">
          <w:headerReference w:type="even" r:id="rId23"/>
          <w:headerReference w:type="default" r:id="rId24"/>
          <w:footerReference w:type="even" r:id="rId25"/>
          <w:footerReference w:type="default" r:id="rId26"/>
          <w:headerReference w:type="first" r:id="rId27"/>
          <w:footerReference w:type="first" r:id="rId28"/>
          <w:type w:val="continuous"/>
          <w:pgSz w:w="11906" w:h="16838" w:code="9"/>
          <w:pgMar w:top="1134" w:right="1134" w:bottom="1134" w:left="1134" w:header="510" w:footer="624" w:gutter="0"/>
          <w:pgNumType w:fmt="lowerRoman" w:start="1"/>
          <w:cols w:space="284"/>
          <w:docGrid w:linePitch="360"/>
        </w:sectPr>
      </w:pPr>
      <w:r>
        <w:t xml:space="preserve">Some </w:t>
      </w:r>
      <w:r w:rsidR="00B556F6">
        <w:t xml:space="preserve">of the </w:t>
      </w:r>
      <w:r>
        <w:t>identified climate factors might be expected to have a positive impact on carbon sequestration in ecosystems, such as via the increasing atmospheric CO</w:t>
      </w:r>
      <w:r w:rsidRPr="00C04038">
        <w:rPr>
          <w:vertAlign w:val="subscript"/>
        </w:rPr>
        <w:t>2</w:t>
      </w:r>
      <w:r>
        <w:t xml:space="preserve"> concentration that has been implicated in increasing woodiness across arid Australia, and changes in rainfall patterns that might increase rates of tree and grass production. Such climate-driven changes in carbon storage interact with, and potentially enhance, the outcomes of changes in land management, and hence may have implications for the additionality requirements under the ERF.</w:t>
      </w:r>
    </w:p>
    <w:p w14:paraId="06F294D3" w14:textId="6ED9DC5A" w:rsidR="003A30EB" w:rsidRDefault="00F9549D" w:rsidP="00F246ED">
      <w:pPr>
        <w:rPr>
          <w:i/>
          <w:iCs/>
        </w:rPr>
      </w:pPr>
      <w:r w:rsidRPr="00602780">
        <w:rPr>
          <w:noProof/>
        </w:rPr>
        <w:lastRenderedPageBreak/>
        <w:drawing>
          <wp:anchor distT="0" distB="0" distL="114300" distR="114300" simplePos="0" relativeHeight="251655166" behindDoc="0" locked="0" layoutInCell="1" allowOverlap="1" wp14:anchorId="2D616210" wp14:editId="30C44854">
            <wp:simplePos x="0" y="0"/>
            <wp:positionH relativeFrom="margin">
              <wp:posOffset>163195</wp:posOffset>
            </wp:positionH>
            <wp:positionV relativeFrom="margin">
              <wp:posOffset>-241820</wp:posOffset>
            </wp:positionV>
            <wp:extent cx="8830310" cy="6120130"/>
            <wp:effectExtent l="0" t="0" r="8890" b="0"/>
            <wp:wrapNone/>
            <wp:docPr id="1068683820" name="Picture 106868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830310" cy="6120130"/>
                    </a:xfrm>
                    <a:prstGeom prst="rect">
                      <a:avLst/>
                    </a:prstGeom>
                  </pic:spPr>
                </pic:pic>
              </a:graphicData>
            </a:graphic>
            <wp14:sizeRelH relativeFrom="page">
              <wp14:pctWidth>0</wp14:pctWidth>
            </wp14:sizeRelH>
            <wp14:sizeRelV relativeFrom="page">
              <wp14:pctHeight>0</wp14:pctHeight>
            </wp14:sizeRelV>
          </wp:anchor>
        </w:drawing>
      </w:r>
      <w:r w:rsidR="00473A38">
        <w:rPr>
          <w:noProof/>
        </w:rPr>
        <mc:AlternateContent>
          <mc:Choice Requires="wps">
            <w:drawing>
              <wp:anchor distT="0" distB="0" distL="114300" distR="114300" simplePos="0" relativeHeight="251658299" behindDoc="0" locked="0" layoutInCell="1" allowOverlap="1" wp14:anchorId="59322090" wp14:editId="3F8FD236">
                <wp:simplePos x="0" y="0"/>
                <wp:positionH relativeFrom="column">
                  <wp:posOffset>138874</wp:posOffset>
                </wp:positionH>
                <wp:positionV relativeFrom="paragraph">
                  <wp:posOffset>28896</wp:posOffset>
                </wp:positionV>
                <wp:extent cx="4737253" cy="1123720"/>
                <wp:effectExtent l="0" t="0" r="6350" b="635"/>
                <wp:wrapNone/>
                <wp:docPr id="1850805854" name="Text Box 1850805854"/>
                <wp:cNvGraphicFramePr/>
                <a:graphic xmlns:a="http://schemas.openxmlformats.org/drawingml/2006/main">
                  <a:graphicData uri="http://schemas.microsoft.com/office/word/2010/wordprocessingShape">
                    <wps:wsp>
                      <wps:cNvSpPr txBox="1"/>
                      <wps:spPr>
                        <a:xfrm>
                          <a:off x="0" y="0"/>
                          <a:ext cx="4737253" cy="1123720"/>
                        </a:xfrm>
                        <a:prstGeom prst="rect">
                          <a:avLst/>
                        </a:prstGeom>
                        <a:solidFill>
                          <a:schemeClr val="lt1"/>
                        </a:solidFill>
                        <a:ln w="6350">
                          <a:noFill/>
                        </a:ln>
                      </wps:spPr>
                      <wps:txbx>
                        <w:txbxContent>
                          <w:p w14:paraId="79E9A121" w14:textId="6A3E558D" w:rsidR="00A264AF" w:rsidRPr="00473A38" w:rsidRDefault="00A264AF">
                            <w:pPr>
                              <w:rPr>
                                <w:rFonts w:asciiTheme="minorHAnsi" w:hAnsiTheme="minorHAnsi" w:cstheme="minorHAnsi"/>
                                <w:color w:val="007E9A" w:themeColor="accent1" w:themeShade="BF"/>
                                <w:sz w:val="20"/>
                                <w:szCs w:val="20"/>
                              </w:rPr>
                            </w:pPr>
                            <w:r w:rsidRPr="00473A38">
                              <w:rPr>
                                <w:rFonts w:asciiTheme="minorHAnsi" w:hAnsiTheme="minorHAnsi" w:cstheme="minorHAnsi"/>
                                <w:b/>
                                <w:bCs/>
                                <w:noProof/>
                                <w:color w:val="007E9A" w:themeColor="accent1" w:themeShade="BF"/>
                                <w:sz w:val="20"/>
                                <w:szCs w:val="20"/>
                              </w:rPr>
                              <w:t xml:space="preserve">Table </w:t>
                            </w:r>
                            <w:r>
                              <w:rPr>
                                <w:rFonts w:asciiTheme="minorHAnsi" w:hAnsiTheme="minorHAnsi" w:cstheme="minorHAnsi"/>
                                <w:b/>
                                <w:bCs/>
                                <w:noProof/>
                                <w:color w:val="007E9A" w:themeColor="accent1" w:themeShade="BF"/>
                                <w:sz w:val="20"/>
                                <w:szCs w:val="20"/>
                              </w:rPr>
                              <w:t>S</w:t>
                            </w:r>
                            <w:r w:rsidRPr="00473A38">
                              <w:rPr>
                                <w:rFonts w:asciiTheme="minorHAnsi" w:hAnsiTheme="minorHAnsi" w:cstheme="minorHAnsi"/>
                                <w:b/>
                                <w:bCs/>
                                <w:noProof/>
                                <w:color w:val="007E9A" w:themeColor="accent1" w:themeShade="BF"/>
                                <w:sz w:val="20"/>
                                <w:szCs w:val="20"/>
                              </w:rPr>
                              <w:t>2</w:t>
                            </w:r>
                            <w:r w:rsidRPr="00473A38">
                              <w:rPr>
                                <w:rFonts w:asciiTheme="minorHAnsi" w:hAnsiTheme="minorHAnsi" w:cstheme="minorHAnsi"/>
                                <w:noProof/>
                                <w:color w:val="007E9A" w:themeColor="accent1" w:themeShade="BF"/>
                                <w:sz w:val="20"/>
                                <w:szCs w:val="20"/>
                              </w:rPr>
                              <w:t xml:space="preserve"> R</w:t>
                            </w:r>
                            <w:r w:rsidRPr="00473A38">
                              <w:rPr>
                                <w:rFonts w:asciiTheme="minorHAnsi" w:hAnsiTheme="minorHAnsi" w:cstheme="minorHAnsi"/>
                                <w:color w:val="007E9A" w:themeColor="accent1" w:themeShade="BF"/>
                                <w:sz w:val="20"/>
                                <w:szCs w:val="20"/>
                              </w:rPr>
                              <w:t xml:space="preserve">isk assessment summary. </w:t>
                            </w:r>
                            <w:r>
                              <w:rPr>
                                <w:rFonts w:asciiTheme="minorHAnsi" w:hAnsiTheme="minorHAnsi" w:cstheme="minorHAnsi"/>
                                <w:color w:val="007E9A" w:themeColor="accent1" w:themeShade="BF"/>
                                <w:sz w:val="20"/>
                                <w:szCs w:val="20"/>
                              </w:rPr>
                              <w:t>Risk assessments are shown for each combination of impact factor and activity category, separated by maintenance, accumulation and combined risks. Note each impact factor can contribute to both maintenance and accumulation risk. Overall rating is based on a simple weighted sum across all risk factors to give a composite score for each activity category and risk type. The weightings were: Not rated = 0; Low risk = 1; Medium risk = 3; High risk =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9322090" id="_x0000_t202" coordsize="21600,21600" o:spt="202" path="m,l,21600r21600,l21600,xe">
                <v:stroke joinstyle="miter"/>
                <v:path gradientshapeok="t" o:connecttype="rect"/>
              </v:shapetype>
              <v:shape id="Text Box 1850805854" o:spid="_x0000_s1044" type="#_x0000_t202" style="position:absolute;margin-left:10.95pt;margin-top:2.3pt;width:373pt;height:88.5pt;z-index:2516582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" fillcolor="white [3201]" stroked="f" strokeweight=".5pt">
                <v:textbox>
                  <w:txbxContent>
                    <w:p w14:paraId="79E9A121" w14:textId="6A3E558D" w:rsidR="00A264AF" w:rsidRPr="00473A38" w:rsidRDefault="00A264AF">
                      <w:pPr>
                        <w:rPr>
                          <w:rFonts w:asciiTheme="minorHAnsi" w:hAnsiTheme="minorHAnsi" w:cstheme="minorHAnsi"/>
                          <w:color w:val="007E9A" w:themeColor="accent1" w:themeShade="BF"/>
                          <w:sz w:val="20"/>
                          <w:szCs w:val="20"/>
                        </w:rPr>
                      </w:pPr>
                      <w:r w:rsidRPr="00473A38">
                        <w:rPr>
                          <w:rFonts w:asciiTheme="minorHAnsi" w:hAnsiTheme="minorHAnsi" w:cstheme="minorHAnsi"/>
                          <w:b/>
                          <w:bCs/>
                          <w:noProof/>
                          <w:color w:val="007E9A" w:themeColor="accent1" w:themeShade="BF"/>
                          <w:sz w:val="20"/>
                          <w:szCs w:val="20"/>
                        </w:rPr>
                        <w:t xml:space="preserve">Table </w:t>
                      </w:r>
                      <w:r>
                        <w:rPr>
                          <w:rFonts w:asciiTheme="minorHAnsi" w:hAnsiTheme="minorHAnsi" w:cstheme="minorHAnsi"/>
                          <w:b/>
                          <w:bCs/>
                          <w:noProof/>
                          <w:color w:val="007E9A" w:themeColor="accent1" w:themeShade="BF"/>
                          <w:sz w:val="20"/>
                          <w:szCs w:val="20"/>
                        </w:rPr>
                        <w:t>S</w:t>
                      </w:r>
                      <w:r w:rsidRPr="00473A38">
                        <w:rPr>
                          <w:rFonts w:asciiTheme="minorHAnsi" w:hAnsiTheme="minorHAnsi" w:cstheme="minorHAnsi"/>
                          <w:b/>
                          <w:bCs/>
                          <w:noProof/>
                          <w:color w:val="007E9A" w:themeColor="accent1" w:themeShade="BF"/>
                          <w:sz w:val="20"/>
                          <w:szCs w:val="20"/>
                        </w:rPr>
                        <w:t>2</w:t>
                      </w:r>
                      <w:r w:rsidRPr="00473A38">
                        <w:rPr>
                          <w:rFonts w:asciiTheme="minorHAnsi" w:hAnsiTheme="minorHAnsi" w:cstheme="minorHAnsi"/>
                          <w:noProof/>
                          <w:color w:val="007E9A" w:themeColor="accent1" w:themeShade="BF"/>
                          <w:sz w:val="20"/>
                          <w:szCs w:val="20"/>
                        </w:rPr>
                        <w:t xml:space="preserve"> R</w:t>
                      </w:r>
                      <w:r w:rsidRPr="00473A38">
                        <w:rPr>
                          <w:rFonts w:asciiTheme="minorHAnsi" w:hAnsiTheme="minorHAnsi" w:cstheme="minorHAnsi"/>
                          <w:color w:val="007E9A" w:themeColor="accent1" w:themeShade="BF"/>
                          <w:sz w:val="20"/>
                          <w:szCs w:val="20"/>
                        </w:rPr>
                        <w:t xml:space="preserve">isk assessment summary. </w:t>
                      </w:r>
                      <w:r>
                        <w:rPr>
                          <w:rFonts w:asciiTheme="minorHAnsi" w:hAnsiTheme="minorHAnsi" w:cstheme="minorHAnsi"/>
                          <w:color w:val="007E9A" w:themeColor="accent1" w:themeShade="BF"/>
                          <w:sz w:val="20"/>
                          <w:szCs w:val="20"/>
                        </w:rPr>
                        <w:t>Risk assessments are shown for each combination of impact factor and activity category, separated by maintenance, accumulation and combined risks. Note each impact factor can contribute to both maintenance and accumulation risk. Overall rating is based on a simple weighted sum across all risk factors to give a composite score for each activity category and risk type. The weightings were: Not rated = 0; Low risk = 1; Medium risk = 3; High risk = 6.</w:t>
                      </w:r>
                    </w:p>
                  </w:txbxContent>
                </v:textbox>
              </v:shape>
            </w:pict>
          </mc:Fallback>
        </mc:AlternateContent>
      </w:r>
    </w:p>
    <w:p w14:paraId="2211D2A8" w14:textId="7E0E557D" w:rsidR="003A30EB" w:rsidRDefault="003A30EB" w:rsidP="00B7170F">
      <w:pPr>
        <w:pStyle w:val="CCSNormalText"/>
        <w:spacing w:line="264" w:lineRule="auto"/>
        <w:rPr>
          <w:i/>
          <w:iCs/>
        </w:rPr>
        <w:sectPr w:rsidR="003A30EB" w:rsidSect="00F246ED">
          <w:footerReference w:type="default" r:id="rId30"/>
          <w:pgSz w:w="16838" w:h="11906" w:orient="landscape" w:code="9"/>
          <w:pgMar w:top="1134" w:right="1134" w:bottom="1134" w:left="1134" w:header="510" w:footer="624" w:gutter="0"/>
          <w:pgNumType w:fmt="lowerRoman"/>
          <w:cols w:space="284"/>
          <w:docGrid w:linePitch="360"/>
        </w:sectPr>
      </w:pPr>
    </w:p>
    <w:p w14:paraId="69B65ABF" w14:textId="6B9DD7B1" w:rsidR="00375D34" w:rsidRDefault="00515B61" w:rsidP="00B7170F">
      <w:pPr>
        <w:pStyle w:val="CCSNormalText"/>
        <w:spacing w:line="264" w:lineRule="auto"/>
        <w:rPr>
          <w:color w:val="C00000"/>
        </w:rPr>
      </w:pPr>
      <w:r>
        <w:rPr>
          <w:noProof/>
          <w:color w:val="C00000"/>
          <w:lang w:eastAsia="en-AU" w:bidi="ar-SA"/>
        </w:rPr>
        <w:lastRenderedPageBreak/>
        <w:drawing>
          <wp:inline distT="0" distB="0" distL="0" distR="0" wp14:anchorId="3778ECB9" wp14:editId="42EA6773">
            <wp:extent cx="5347622" cy="6460338"/>
            <wp:effectExtent l="0" t="0" r="5715" b="0"/>
            <wp:docPr id="1068683821" name="Picture 106868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55287" cy="6469598"/>
                    </a:xfrm>
                    <a:prstGeom prst="rect">
                      <a:avLst/>
                    </a:prstGeom>
                    <a:noFill/>
                  </pic:spPr>
                </pic:pic>
              </a:graphicData>
            </a:graphic>
          </wp:inline>
        </w:drawing>
      </w:r>
    </w:p>
    <w:p w14:paraId="40DBC7F3" w14:textId="2CC15577" w:rsidR="00B7170F" w:rsidRDefault="00B7170F" w:rsidP="00B7170F">
      <w:pPr>
        <w:pStyle w:val="Caption"/>
      </w:pPr>
      <w:r>
        <w:t xml:space="preserve">Figure </w:t>
      </w:r>
      <w:r w:rsidR="005E6655">
        <w:t>S</w:t>
      </w:r>
      <w:r>
        <w:t xml:space="preserve">1. </w:t>
      </w:r>
      <w:r w:rsidRPr="00EE590C">
        <w:rPr>
          <w:b w:val="0"/>
          <w:bCs w:val="0"/>
        </w:rPr>
        <w:t xml:space="preserve">Composite relative risk rating </w:t>
      </w:r>
      <w:r>
        <w:rPr>
          <w:b w:val="0"/>
          <w:bCs w:val="0"/>
        </w:rPr>
        <w:t xml:space="preserve">for each activity </w:t>
      </w:r>
      <w:r w:rsidR="008865A1">
        <w:rPr>
          <w:b w:val="0"/>
          <w:bCs w:val="0"/>
        </w:rPr>
        <w:t>category</w:t>
      </w:r>
      <w:r>
        <w:rPr>
          <w:b w:val="0"/>
          <w:bCs w:val="0"/>
        </w:rPr>
        <w:t xml:space="preserve">. </w:t>
      </w:r>
      <w:r w:rsidR="005E6655">
        <w:rPr>
          <w:b w:val="0"/>
          <w:bCs w:val="0"/>
        </w:rPr>
        <w:t xml:space="preserve">(a) Overall risk rating. (b) Separation of risks into maintenance and accumulation. </w:t>
      </w:r>
      <w:r>
        <w:rPr>
          <w:b w:val="0"/>
          <w:bCs w:val="0"/>
        </w:rPr>
        <w:t>See text for details</w:t>
      </w:r>
      <w:r w:rsidRPr="0021349E">
        <w:rPr>
          <w:b w:val="0"/>
          <w:bCs w:val="0"/>
        </w:rPr>
        <w:t>.</w:t>
      </w:r>
    </w:p>
    <w:p w14:paraId="5C258B29" w14:textId="77777777" w:rsidR="00065017" w:rsidRDefault="00065017" w:rsidP="00656404">
      <w:pPr>
        <w:pStyle w:val="BodyText"/>
      </w:pPr>
    </w:p>
    <w:p w14:paraId="7A0FBE91" w14:textId="4DD536EF" w:rsidR="00656404" w:rsidRDefault="00656404" w:rsidP="00656404">
      <w:pPr>
        <w:pStyle w:val="BodyText"/>
      </w:pPr>
      <w:r>
        <w:t>To integrate the findings across all risk factors a simple index was formulated that summed up, for each class of activity</w:t>
      </w:r>
      <w:r w:rsidR="00B556F6">
        <w:t>, the risk rating across each identified climate risk factor</w:t>
      </w:r>
      <w:r>
        <w:t xml:space="preserve">. Risk ratings of ‘Low’ were assigned a value of 1; risk ratings of </w:t>
      </w:r>
      <w:r w:rsidR="002174D6">
        <w:t xml:space="preserve">‘Low/Medium’ or </w:t>
      </w:r>
      <w:r>
        <w:t xml:space="preserve">‘Medium’ were assigned a value of 3; and risk ratings of </w:t>
      </w:r>
      <w:r w:rsidR="002174D6">
        <w:t>‘</w:t>
      </w:r>
      <w:r w:rsidR="00B556F6">
        <w:t>M</w:t>
      </w:r>
      <w:r w:rsidR="002174D6">
        <w:t>edium/</w:t>
      </w:r>
      <w:r w:rsidR="002C2B15">
        <w:t>H</w:t>
      </w:r>
      <w:r w:rsidR="002174D6">
        <w:t xml:space="preserve">igh’ or </w:t>
      </w:r>
      <w:r>
        <w:t xml:space="preserve">‘High’ were assigned a value of 6. </w:t>
      </w:r>
      <w:r w:rsidR="002174D6">
        <w:t xml:space="preserve">Risk ratings marked as uncertain were excluded, and hence had a value </w:t>
      </w:r>
      <w:r w:rsidR="00A264AF">
        <w:t xml:space="preserve">of </w:t>
      </w:r>
      <w:r w:rsidR="002174D6">
        <w:t xml:space="preserve">0. </w:t>
      </w:r>
      <w:r>
        <w:t xml:space="preserve">Because a simple and transparent index was desired, there was no further attempt to weight the risk factors by uncertainty. This index therefore combines a measure of both how many risk factors were identified for each class of activity, and the relative magnitude of those factors (Figure S1). As noted above, the resulting </w:t>
      </w:r>
      <w:r>
        <w:lastRenderedPageBreak/>
        <w:t>number cannot be used to infer a particular level of expected carbon loss or shortfall, but rather should be interpreted as an index to compare relative risks across activities.</w:t>
      </w:r>
    </w:p>
    <w:p w14:paraId="216AFDC7" w14:textId="6641298C" w:rsidR="00121D72" w:rsidRDefault="006C013B" w:rsidP="006C013B">
      <w:pPr>
        <w:pStyle w:val="BodyText"/>
      </w:pPr>
      <w:r>
        <w:t>The index suggests Management of agricultural soils and Planting of new forests have the highest composite risk rating</w:t>
      </w:r>
      <w:r w:rsidR="005E6655">
        <w:t xml:space="preserve"> (Figure S1a)</w:t>
      </w:r>
      <w:r w:rsidR="00121D72">
        <w:t>. This is</w:t>
      </w:r>
      <w:r>
        <w:t xml:space="preserve"> followed by Savanna fire management, Management of intertidal ecosystems and Re-establishment of native forest cover, w</w:t>
      </w:r>
      <w:r w:rsidR="00121D72">
        <w:t xml:space="preserve">ith </w:t>
      </w:r>
      <w:r>
        <w:t>intermediate values</w:t>
      </w:r>
      <w:r w:rsidR="00121D72">
        <w:t>.</w:t>
      </w:r>
      <w:r>
        <w:t xml:space="preserve"> Protection of existing forests </w:t>
      </w:r>
      <w:r w:rsidR="00CC411D">
        <w:t xml:space="preserve">has the </w:t>
      </w:r>
      <w:r>
        <w:t xml:space="preserve">lowest risk </w:t>
      </w:r>
      <w:r w:rsidR="00CC411D">
        <w:t>rating</w:t>
      </w:r>
      <w:r>
        <w:t xml:space="preserve">. </w:t>
      </w:r>
      <w:r w:rsidR="00121D72">
        <w:t xml:space="preserve">The index also shows the different methodology categories have different risk profiles with respect to accumulation risks and maintenance risks (Figure S1b). For the activities involving soil carbon sequestration </w:t>
      </w:r>
      <w:r w:rsidR="00430DD5">
        <w:t xml:space="preserve">(management of agricultural soils and management of intertidal ecosystems) </w:t>
      </w:r>
      <w:r w:rsidR="00121D72">
        <w:t xml:space="preserve">the risks are evenly split, with all risk factors identified as having potential impacts on both accumulation and maintenance. This is because changes in soil carbon are driven by changes in the rates </w:t>
      </w:r>
      <w:r w:rsidR="00F735EF">
        <w:t xml:space="preserve">of </w:t>
      </w:r>
      <w:r w:rsidR="00121D72">
        <w:t xml:space="preserve">organic matter input, </w:t>
      </w:r>
      <w:r w:rsidR="00430DD5">
        <w:t xml:space="preserve">as well as </w:t>
      </w:r>
      <w:r w:rsidR="00121D72">
        <w:t>losses</w:t>
      </w:r>
      <w:r w:rsidR="00430DD5">
        <w:t xml:space="preserve"> from soil respiration</w:t>
      </w:r>
      <w:r w:rsidR="00B556F6">
        <w:t>;</w:t>
      </w:r>
      <w:r w:rsidR="00121D72">
        <w:t xml:space="preserve"> and the impacts of climate change can </w:t>
      </w:r>
      <w:r w:rsidR="00B556F6">
        <w:t>simultaneously a</w:t>
      </w:r>
      <w:r w:rsidR="00121D72">
        <w:t xml:space="preserve">ffect both pathways. Further work is required to tease apart the relative sensitivities to </w:t>
      </w:r>
      <w:r w:rsidR="00430DD5">
        <w:t xml:space="preserve">soil </w:t>
      </w:r>
      <w:r w:rsidR="00121D72">
        <w:t xml:space="preserve">carbon loss and gain for each climate impact factor. For the Planting </w:t>
      </w:r>
      <w:r w:rsidR="00CD3D3D">
        <w:t xml:space="preserve">of </w:t>
      </w:r>
      <w:r w:rsidR="00121D72">
        <w:t>new forests, Savanna fire management and Re-establishment of native forest cover categories</w:t>
      </w:r>
      <w:r w:rsidR="00B2152C">
        <w:t>,</w:t>
      </w:r>
      <w:r w:rsidR="00121D72">
        <w:t xml:space="preserve"> risks to the accumulation of carbon were greater than risks to the maintenance of that carbon, mostly arising from potential impacts to plant growth and decomposition processes. For the protection of existing forests category, only maintenance risks are significant, given the carbon store is present at the start of the project.</w:t>
      </w:r>
    </w:p>
    <w:p w14:paraId="0C0947AC" w14:textId="0B71BCE0" w:rsidR="006C013B" w:rsidRDefault="006C013B" w:rsidP="006C013B">
      <w:pPr>
        <w:pStyle w:val="BodyText"/>
        <w:rPr>
          <w:color w:val="C00000"/>
        </w:rPr>
      </w:pPr>
      <w:r>
        <w:t xml:space="preserve">Although the index cannot be used as a basis for quantifying potential carbon losses, in conjunction with the more detailed information in Table </w:t>
      </w:r>
      <w:r w:rsidR="005E6655">
        <w:t>S</w:t>
      </w:r>
      <w:r>
        <w:t>2, this ranking could be used as a basis for prioritising attention on the methodologies and associated risk factors that are suggested to be most vulnerable. This could include further investigation of the policy settings underlying each methodology to determine if they could be modified further to alleviate exposure to carbon loss, and to prioritise further research effort on those sectors and activities deemed to be most at risk.</w:t>
      </w:r>
    </w:p>
    <w:p w14:paraId="140E12ED" w14:textId="77777777" w:rsidR="006C013B" w:rsidRDefault="006C013B" w:rsidP="007B57BB">
      <w:pPr>
        <w:pStyle w:val="BodyText"/>
        <w:rPr>
          <w:i/>
          <w:iCs/>
        </w:rPr>
      </w:pPr>
    </w:p>
    <w:p w14:paraId="1F0E2468" w14:textId="5C250A6E" w:rsidR="007B57BB" w:rsidRDefault="007B57BB" w:rsidP="007B57BB">
      <w:pPr>
        <w:pStyle w:val="BodyText"/>
        <w:rPr>
          <w:i/>
          <w:iCs/>
        </w:rPr>
      </w:pPr>
      <w:r>
        <w:rPr>
          <w:i/>
          <w:iCs/>
        </w:rPr>
        <w:t>Activity</w:t>
      </w:r>
      <w:r w:rsidR="00CA459F">
        <w:rPr>
          <w:i/>
          <w:iCs/>
        </w:rPr>
        <w:t>-specific</w:t>
      </w:r>
      <w:r>
        <w:rPr>
          <w:i/>
          <w:iCs/>
        </w:rPr>
        <w:t xml:space="preserve"> findings</w:t>
      </w:r>
    </w:p>
    <w:p w14:paraId="17D9C2F6" w14:textId="1EDDCB26" w:rsidR="00C37C5A" w:rsidRPr="007B57BB" w:rsidRDefault="007B57BB" w:rsidP="00C37C5A">
      <w:pPr>
        <w:pStyle w:val="BodyText"/>
        <w:rPr>
          <w:smallCaps/>
        </w:rPr>
      </w:pPr>
      <w:r w:rsidRPr="007B57BB">
        <w:rPr>
          <w:smallCaps/>
        </w:rPr>
        <w:t>Management of agricultural soils</w:t>
      </w:r>
    </w:p>
    <w:p w14:paraId="2E345C6E" w14:textId="609CA759" w:rsidR="00C37C5A" w:rsidRDefault="004D35F0" w:rsidP="00A25871">
      <w:pPr>
        <w:pStyle w:val="BodyText"/>
      </w:pPr>
      <w:r>
        <w:t>The dominant risks to sequestration for the Management of agricultural soil activity</w:t>
      </w:r>
      <w:r w:rsidR="00FE5E26">
        <w:t>, for both risks to accumulation and maintenance,</w:t>
      </w:r>
      <w:r>
        <w:t xml:space="preserve"> were associated with climate change impacts on the rate</w:t>
      </w:r>
      <w:r w:rsidR="00CA459F">
        <w:t>s</w:t>
      </w:r>
      <w:r>
        <w:t xml:space="preserve"> of organic matter input to soil, and the rates of loss through changes to soil respiration and the microbial biota. </w:t>
      </w:r>
      <w:r w:rsidR="00FE5E26">
        <w:t xml:space="preserve">Based on the qualitative review undertaken here it was not possible to quantify relative differences in risks between accumulation and maintenance </w:t>
      </w:r>
      <w:r w:rsidR="00430DD5">
        <w:t>–</w:t>
      </w:r>
      <w:r w:rsidR="00FE5E26">
        <w:t xml:space="preserve"> for example a reduction in plant growth can simultaneously reduce the rate of input (accumulation</w:t>
      </w:r>
      <w:r w:rsidR="00C11E72">
        <w:t xml:space="preserve"> risk</w:t>
      </w:r>
      <w:r w:rsidR="00FE5E26">
        <w:t xml:space="preserve">), and by doing so also </w:t>
      </w:r>
      <w:r w:rsidR="00C11E72">
        <w:t xml:space="preserve">indirectly </w:t>
      </w:r>
      <w:r w:rsidR="00FE5E26">
        <w:t xml:space="preserve">increase </w:t>
      </w:r>
      <w:r w:rsidR="005D3C33">
        <w:t xml:space="preserve">soil carbon </w:t>
      </w:r>
      <w:r w:rsidR="00FE5E26">
        <w:t>loss (maintenance</w:t>
      </w:r>
      <w:r w:rsidR="00C11E72">
        <w:t xml:space="preserve"> risk</w:t>
      </w:r>
      <w:r w:rsidR="00FE5E26">
        <w:t xml:space="preserve">) through </w:t>
      </w:r>
      <w:r w:rsidR="005D3C33">
        <w:t>c</w:t>
      </w:r>
      <w:r w:rsidR="00FE5E26">
        <w:t>hang</w:t>
      </w:r>
      <w:r w:rsidR="005D3C33">
        <w:t xml:space="preserve">ing </w:t>
      </w:r>
      <w:r w:rsidR="00FE5E26">
        <w:t xml:space="preserve">the balance between </w:t>
      </w:r>
      <w:r w:rsidR="005D3C33">
        <w:t xml:space="preserve">the rates of </w:t>
      </w:r>
      <w:r w:rsidR="00FE5E26">
        <w:t xml:space="preserve">organic matter accumulation and soil respiration. </w:t>
      </w:r>
      <w:r>
        <w:t>The vulnerability of soil organic car</w:t>
      </w:r>
      <w:r w:rsidR="00892EA7">
        <w:t>bo</w:t>
      </w:r>
      <w:r>
        <w:t>n (SOC) to loss has been recently highlighted by a number of studies s</w:t>
      </w:r>
      <w:r w:rsidR="00CF285A">
        <w:t xml:space="preserve">uggesting </w:t>
      </w:r>
      <w:r>
        <w:t xml:space="preserve">the majority of </w:t>
      </w:r>
      <w:r w:rsidR="00CF285A">
        <w:t xml:space="preserve">the spatial and temporal </w:t>
      </w:r>
      <w:r>
        <w:t>variability observed in SOC can be attributed to non-management related factors</w:t>
      </w:r>
      <w:r w:rsidR="00CF285A">
        <w:t>. For example Badgery et al.</w:t>
      </w:r>
      <w:r w:rsidR="00CF285A">
        <w:rPr>
          <w:rStyle w:val="FootnoteReference"/>
        </w:rPr>
        <w:footnoteReference w:id="4"/>
      </w:r>
      <w:r w:rsidR="00CF285A">
        <w:t xml:space="preserve"> showed, across 10 location</w:t>
      </w:r>
      <w:r w:rsidR="009A05CE">
        <w:t>s</w:t>
      </w:r>
      <w:r w:rsidR="00CF285A">
        <w:t xml:space="preserve"> in NSW and over a 16 year period, that all of the SOC gains made over the early years following changes in management</w:t>
      </w:r>
      <w:r w:rsidR="00CA459F">
        <w:t xml:space="preserve">, designed </w:t>
      </w:r>
      <w:r w:rsidR="00CF285A">
        <w:t xml:space="preserve">specifically </w:t>
      </w:r>
      <w:r w:rsidR="00CA459F">
        <w:t xml:space="preserve">to </w:t>
      </w:r>
      <w:r w:rsidR="00CF285A">
        <w:t>build SOC</w:t>
      </w:r>
      <w:r w:rsidR="00CA459F">
        <w:t>,</w:t>
      </w:r>
      <w:r w:rsidR="00CF285A">
        <w:t xml:space="preserve"> were lost by year 16. Moreover, the SOC that did accumulate </w:t>
      </w:r>
      <w:r w:rsidR="00CA459F">
        <w:t>following</w:t>
      </w:r>
      <w:r w:rsidR="00CF285A">
        <w:t xml:space="preserve"> </w:t>
      </w:r>
      <w:r w:rsidR="00CF285A">
        <w:lastRenderedPageBreak/>
        <w:t xml:space="preserve">management change was predominantly Particulate Organic Carbon (POC), which has a fast turnover rate and </w:t>
      </w:r>
      <w:r w:rsidR="00CD2B1B">
        <w:t xml:space="preserve">is </w:t>
      </w:r>
      <w:r w:rsidR="00CF285A">
        <w:t xml:space="preserve">thus </w:t>
      </w:r>
      <w:r w:rsidR="00CA459F">
        <w:t xml:space="preserve">most </w:t>
      </w:r>
      <w:r w:rsidR="00CF285A">
        <w:t xml:space="preserve">vulnerable to loss. Finally, the patterns of subsequent </w:t>
      </w:r>
      <w:r w:rsidR="00CA459F">
        <w:t xml:space="preserve">reversal of the sequestration </w:t>
      </w:r>
      <w:r w:rsidR="00CF285A">
        <w:t xml:space="preserve">were similar over widely differing management interventions, suggesting the primary factor controlling the reversal was not solely related to management. </w:t>
      </w:r>
      <w:r w:rsidR="00CA459F">
        <w:t xml:space="preserve">The associated risks </w:t>
      </w:r>
      <w:r w:rsidR="00892EA7">
        <w:t xml:space="preserve">to SOC storage </w:t>
      </w:r>
      <w:r w:rsidR="00CA459F">
        <w:t xml:space="preserve">apply at the portfolio-level, as well as </w:t>
      </w:r>
      <w:r w:rsidR="00F667DA">
        <w:t xml:space="preserve">to </w:t>
      </w:r>
      <w:r w:rsidR="00CA459F">
        <w:t xml:space="preserve">individual projects. </w:t>
      </w:r>
      <w:r w:rsidR="00C11E72">
        <w:t xml:space="preserve">Although the soil measurement methodologies only require the measurement and reporting of total organic carbon, information on the composition of different soil carbon fractions (such as POC) would </w:t>
      </w:r>
      <w:r w:rsidR="00EE65D6">
        <w:t>provide</w:t>
      </w:r>
      <w:r w:rsidR="00C11E72">
        <w:t xml:space="preserve"> valuable additional information for understanding the potential future vulnerability of </w:t>
      </w:r>
      <w:r w:rsidR="00A25871">
        <w:t xml:space="preserve">the </w:t>
      </w:r>
      <w:r w:rsidR="00C11E72">
        <w:t xml:space="preserve">sequestered carbon. </w:t>
      </w:r>
      <w:r w:rsidR="00CF285A">
        <w:t>Because of the wide range of management activities allowed under the methodology, there are also a wide range of adaptive measures that can be taken to ensure success of the</w:t>
      </w:r>
      <w:r w:rsidR="00CA459F">
        <w:t xml:space="preserve"> management change with respect to such factors as productivity and economic returns, and associated co-benefits regarding soil health. </w:t>
      </w:r>
      <w:r w:rsidR="00065017">
        <w:t>Zone 1 a</w:t>
      </w:r>
      <w:r w:rsidR="00C11E72">
        <w:t>daptive measures</w:t>
      </w:r>
      <w:r w:rsidR="00065017">
        <w:t xml:space="preserve"> focus on actions to </w:t>
      </w:r>
      <w:r w:rsidR="00A25871">
        <w:t xml:space="preserve">enhance or maintain rates of organic matter input to the soil, such as pest control, and adjusting the timing of crop establishment. Zone 2 measures involve </w:t>
      </w:r>
      <w:r w:rsidR="00EE65D6">
        <w:t xml:space="preserve">activities such as </w:t>
      </w:r>
      <w:r w:rsidR="00A25871">
        <w:t xml:space="preserve">selecting, or breeding for, species/genotypes more tolerant of extreme climate. Although a number of adaptation options were identified, their </w:t>
      </w:r>
      <w:r w:rsidR="00CA459F">
        <w:t>effectiveness</w:t>
      </w:r>
      <w:r w:rsidR="00A25871">
        <w:t xml:space="preserve"> in </w:t>
      </w:r>
      <w:r w:rsidR="00CA459F">
        <w:t>helping to secure SOC over the long term remains untested.</w:t>
      </w:r>
      <w:r w:rsidR="008A4297">
        <w:t xml:space="preserve"> </w:t>
      </w:r>
      <w:r w:rsidR="00A25871">
        <w:t>No specific actions were identified that could be currently undertaken to directly manage respiratory losses of soil carbon, although manipulation of microbial function to enhance soil carbon sequestration is an active area of research</w:t>
      </w:r>
      <w:r w:rsidR="00DC444E">
        <w:t>.</w:t>
      </w:r>
    </w:p>
    <w:p w14:paraId="5F13A8D5" w14:textId="4AC09297" w:rsidR="00CA459F" w:rsidRPr="007B57BB" w:rsidRDefault="00CA459F" w:rsidP="00CA459F">
      <w:pPr>
        <w:pStyle w:val="BodyText"/>
        <w:rPr>
          <w:smallCaps/>
        </w:rPr>
      </w:pPr>
      <w:r>
        <w:rPr>
          <w:smallCaps/>
        </w:rPr>
        <w:t>Planting of new forests</w:t>
      </w:r>
    </w:p>
    <w:p w14:paraId="5D31E288" w14:textId="0E3D6F9A" w:rsidR="00CA459F" w:rsidRDefault="00CA459F" w:rsidP="00CA459F">
      <w:pPr>
        <w:pStyle w:val="BodyText"/>
        <w:rPr>
          <w:szCs w:val="24"/>
        </w:rPr>
      </w:pPr>
      <w:r>
        <w:t xml:space="preserve">The majority of risks identified for the Planting of new forests activity were associated with </w:t>
      </w:r>
      <w:r w:rsidR="00F735EF">
        <w:t>accumulation risks</w:t>
      </w:r>
      <w:r>
        <w:t xml:space="preserve">, arising from reductions in tree growth (and hence sequestration rates) from persistent increases in temperature, persistent increases in water stress, and disturbances from heat-stress and droughts. </w:t>
      </w:r>
      <w:r w:rsidR="006C6566">
        <w:t>The greatest risk period is soon after planting or germination, when plant</w:t>
      </w:r>
      <w:r w:rsidR="00F667DA">
        <w:t>s</w:t>
      </w:r>
      <w:r w:rsidR="006C6566">
        <w:t xml:space="preserve"> are young and more vulnerable to climatic stress. Wildf</w:t>
      </w:r>
      <w:r>
        <w:t>ires were also identified as a particular risk factor</w:t>
      </w:r>
      <w:r w:rsidR="006C6566">
        <w:t xml:space="preserve">, associated with risks to </w:t>
      </w:r>
      <w:r w:rsidR="002F07F4">
        <w:t>maintenance</w:t>
      </w:r>
      <w:r w:rsidR="006C6566">
        <w:t>, but predominantly at the project level</w:t>
      </w:r>
      <w:r w:rsidR="00A13D28">
        <w:t xml:space="preserve"> due to </w:t>
      </w:r>
      <w:r w:rsidR="003730E7">
        <w:t xml:space="preserve">suitable project locations being spatially </w:t>
      </w:r>
      <w:r w:rsidR="00EE65D6">
        <w:t>distributed</w:t>
      </w:r>
      <w:r w:rsidR="003730E7">
        <w:t xml:space="preserve"> across the </w:t>
      </w:r>
      <w:r w:rsidR="00A13D28">
        <w:t>continent</w:t>
      </w:r>
      <w:r w:rsidR="006C6566">
        <w:t xml:space="preserve">. Of all the activity categories Planting </w:t>
      </w:r>
      <w:r w:rsidR="00CD3D3D">
        <w:t xml:space="preserve">of </w:t>
      </w:r>
      <w:r w:rsidR="006C6566">
        <w:t xml:space="preserve">new forests has the widest range of opportunities for adaptation, </w:t>
      </w:r>
      <w:r w:rsidR="003730E7">
        <w:t xml:space="preserve">many of these involving incremental Zone 1 responses. Examples include </w:t>
      </w:r>
      <w:r w:rsidR="006C6566">
        <w:t xml:space="preserve">varying </w:t>
      </w:r>
      <w:r w:rsidR="003730E7">
        <w:t xml:space="preserve">planting </w:t>
      </w:r>
      <w:r w:rsidR="006C6566">
        <w:t>species</w:t>
      </w:r>
      <w:r w:rsidR="003730E7">
        <w:t xml:space="preserve"> and</w:t>
      </w:r>
      <w:r w:rsidR="006C6566">
        <w:t xml:space="preserve"> genetic stock, </w:t>
      </w:r>
      <w:r w:rsidR="003730E7">
        <w:t xml:space="preserve">altering </w:t>
      </w:r>
      <w:r w:rsidR="006C6566">
        <w:t xml:space="preserve">planting configuration </w:t>
      </w:r>
      <w:r w:rsidR="003730E7">
        <w:t xml:space="preserve">to reduce risks of resource limitations, careful site preparation and timing of establishment, </w:t>
      </w:r>
      <w:r w:rsidR="006C6566">
        <w:t>and fire risk reduction management</w:t>
      </w:r>
      <w:r w:rsidR="00B06FC3">
        <w:t xml:space="preserve"> (Zone 2)</w:t>
      </w:r>
      <w:r w:rsidR="006C6566">
        <w:t xml:space="preserve">. </w:t>
      </w:r>
      <w:r w:rsidR="003730E7">
        <w:t xml:space="preserve">Selective breeding for genotypes that confer increased resilience to climate extremes is a Zone 2 response option. Many of the adaptive measures are currently applied in the context of plantation forestry, but </w:t>
      </w:r>
      <w:r w:rsidR="00EE65D6">
        <w:t>can</w:t>
      </w:r>
      <w:r w:rsidR="003730E7">
        <w:t xml:space="preserve"> also be </w:t>
      </w:r>
      <w:r w:rsidR="00273656">
        <w:t>modified for environmental plantings.</w:t>
      </w:r>
    </w:p>
    <w:p w14:paraId="4401B01E" w14:textId="1DCF3B5C" w:rsidR="006C6566" w:rsidRPr="007B57BB" w:rsidRDefault="006C6566" w:rsidP="006C6566">
      <w:pPr>
        <w:pStyle w:val="BodyText"/>
        <w:rPr>
          <w:smallCaps/>
        </w:rPr>
      </w:pPr>
      <w:r>
        <w:rPr>
          <w:smallCaps/>
        </w:rPr>
        <w:t>Savanna fire management</w:t>
      </w:r>
    </w:p>
    <w:p w14:paraId="6A3088AE" w14:textId="11DDD91D" w:rsidR="00CA459F" w:rsidRDefault="0007690E" w:rsidP="0007690E">
      <w:pPr>
        <w:pStyle w:val="BodyText"/>
      </w:pPr>
      <w:r>
        <w:t xml:space="preserve">A persistent increase in water stress was judged to be a high risk to both </w:t>
      </w:r>
      <w:r w:rsidR="00D0357E">
        <w:t xml:space="preserve">accumulation </w:t>
      </w:r>
      <w:r>
        <w:t xml:space="preserve">and </w:t>
      </w:r>
      <w:r w:rsidR="002F07F4">
        <w:t>maintenance</w:t>
      </w:r>
      <w:r>
        <w:t xml:space="preserve"> for the Savanna fire management activity. This is because a decrease in water availability will lead to a decline in maximum biomass potential, and thus, the potential for sequestration with fire management. For example</w:t>
      </w:r>
      <w:r w:rsidR="009317DD">
        <w:t>,</w:t>
      </w:r>
      <w:r>
        <w:t xml:space="preserve"> it has been shown that savanna vegetation types with relatively high maximum biomass potential have a much greater</w:t>
      </w:r>
      <w:r w:rsidR="007B08D6">
        <w:t xml:space="preserve"> </w:t>
      </w:r>
      <w:r>
        <w:t xml:space="preserve">potential for sequestration with fire management when compared to savanna vegetation types with relatively low maximum biomass potential. However, this will be partly negated by increases in water stress also resulting in slower rates of post-fire recovery and increased seasonality of turnover. These </w:t>
      </w:r>
      <w:r>
        <w:lastRenderedPageBreak/>
        <w:t>two factors will both increase the extent of abatement potential from fire management when compared to a baseline that has higher fuel accumulation in the late dry season and slow recovery of biomass post-fire. Of all the regions in Australia, the increases in temperature are projected to be the highest in the regions where savanna fire management projects occur. It is also a region that experiences cyclones, and these are projected to intensify. There are several factors that can interact</w:t>
      </w:r>
      <w:r w:rsidR="00F667DA">
        <w:t xml:space="preserve"> to</w:t>
      </w:r>
      <w:r>
        <w:t xml:space="preserve"> either lead to increased or decreased opportunities for sequestration, leading to an intermediate-level overall risk rating (Figure </w:t>
      </w:r>
      <w:r w:rsidR="002D7DC2">
        <w:t>S</w:t>
      </w:r>
      <w:r>
        <w:t>1). Savanna burning projects have an extensive history of delivering co-benefits, particularly with respect to indigenous livelihoods and biodiversity outcomes. However</w:t>
      </w:r>
      <w:r w:rsidR="00FE6C8F">
        <w:t>,</w:t>
      </w:r>
      <w:r>
        <w:t xml:space="preserve"> given the large spatial extent of most projects, and the ubiquitous nature of the risk factors (e.g. temperature increase; cyclone activity) relatively few adaptation opportunities were identified that have the potential to significantly mitigate the identified risks.</w:t>
      </w:r>
      <w:r w:rsidR="006A1FD7">
        <w:t xml:space="preserve"> Control of </w:t>
      </w:r>
      <w:r w:rsidR="002B24B2">
        <w:t>gamba</w:t>
      </w:r>
      <w:r w:rsidR="006A1FD7">
        <w:t xml:space="preserve"> grass was identified as a key risk mitigation strategy</w:t>
      </w:r>
      <w:r w:rsidR="00F667DA">
        <w:t>, in those areas under threat from this invasive species</w:t>
      </w:r>
      <w:r w:rsidR="006A1FD7">
        <w:t>.</w:t>
      </w:r>
    </w:p>
    <w:p w14:paraId="6A31BA1F" w14:textId="075E8F00" w:rsidR="00CE6443" w:rsidRPr="007B57BB" w:rsidRDefault="00CE6443" w:rsidP="00CE6443">
      <w:pPr>
        <w:pStyle w:val="BodyText"/>
        <w:rPr>
          <w:smallCaps/>
        </w:rPr>
      </w:pPr>
      <w:r>
        <w:rPr>
          <w:smallCaps/>
        </w:rPr>
        <w:t>Management of intertidal ecosystems (Blue Carbon)</w:t>
      </w:r>
    </w:p>
    <w:p w14:paraId="50C7FCCB" w14:textId="768FC296" w:rsidR="00CA459F" w:rsidRDefault="00CE6443" w:rsidP="00317B17">
      <w:pPr>
        <w:pStyle w:val="BodyText"/>
      </w:pPr>
      <w:r>
        <w:t xml:space="preserve">Given a Blue Carbon methodology is currently being designed, undertaking an initial assessment of potential risk is </w:t>
      </w:r>
      <w:r w:rsidR="00317B17">
        <w:t xml:space="preserve">timely. Intertidal ecosystems can be considered ’high energy’, in that they are subject to regular and profound environmental perturbations, from the daily tidal cycle through to </w:t>
      </w:r>
      <w:r w:rsidR="00F667DA">
        <w:t>runoff</w:t>
      </w:r>
      <w:r w:rsidR="00317B17">
        <w:t xml:space="preserve"> and freshwater inundation. </w:t>
      </w:r>
      <w:r w:rsidR="00317B17">
        <w:rPr>
          <w:color w:val="auto"/>
        </w:rPr>
        <w:t xml:space="preserve">There are risks to both </w:t>
      </w:r>
      <w:r w:rsidR="00D0357E">
        <w:t>accumulation</w:t>
      </w:r>
      <w:r w:rsidR="00317B17">
        <w:rPr>
          <w:color w:val="auto"/>
        </w:rPr>
        <w:t xml:space="preserve"> and </w:t>
      </w:r>
      <w:r w:rsidR="002F07F4">
        <w:rPr>
          <w:color w:val="auto"/>
        </w:rPr>
        <w:t>maintenance</w:t>
      </w:r>
      <w:r w:rsidR="00317B17">
        <w:rPr>
          <w:color w:val="auto"/>
        </w:rPr>
        <w:t xml:space="preserve"> </w:t>
      </w:r>
      <w:r w:rsidR="002F07F4">
        <w:rPr>
          <w:color w:val="auto"/>
        </w:rPr>
        <w:t>for</w:t>
      </w:r>
      <w:r w:rsidR="00317B17">
        <w:rPr>
          <w:color w:val="auto"/>
        </w:rPr>
        <w:t xml:space="preserve"> sequestration activities in Blue </w:t>
      </w:r>
      <w:r w:rsidR="00F667DA">
        <w:rPr>
          <w:color w:val="auto"/>
        </w:rPr>
        <w:t>C</w:t>
      </w:r>
      <w:r w:rsidR="00317B17">
        <w:rPr>
          <w:color w:val="auto"/>
        </w:rPr>
        <w:t xml:space="preserve">arbon ecosystems, however the primary drivers are connected and interacting, involving changes to sea levels (both short-term declines and long-term increases), drought, flooding and storm impacts, extreme temperatures, and impacts to rates of sedimentation and erosion. Because these factors can cause either accretion or loss of carbon, the magnitude and direction of change in carbon storage is uncertain, and hence identifying where and under what conditions particular sites might be at risk requires further detailed analysis. Because the primary management intervention involves the re-introduction of tidal flows to restore mangrove and tidal marsh ecosystems, this implies candidate project areas will be relatively close to human occupation (compared to the vast expanses of mangrove forest in Northern Australia), and that the management interventions are likely to include modification of existing infrastructure, such as levees and embankments. Because of this level of control in how projects are designed and implemented, it is possible this could provide </w:t>
      </w:r>
      <w:r w:rsidR="00554907">
        <w:rPr>
          <w:color w:val="auto"/>
        </w:rPr>
        <w:t xml:space="preserve">Zone 1 </w:t>
      </w:r>
      <w:r w:rsidR="00317B17">
        <w:rPr>
          <w:color w:val="auto"/>
        </w:rPr>
        <w:t>opportunities to mitigate against some of the major risk factors, such as carefully designed engineering to simultaneously promote increased tidal flows</w:t>
      </w:r>
      <w:r w:rsidR="00F667DA">
        <w:rPr>
          <w:color w:val="auto"/>
        </w:rPr>
        <w:t>,</w:t>
      </w:r>
      <w:r w:rsidR="00317B17">
        <w:rPr>
          <w:color w:val="auto"/>
        </w:rPr>
        <w:t xml:space="preserve"> but also provide protection to the regenerating systems from disturbances such as tidal surges and storm damage.</w:t>
      </w:r>
      <w:r w:rsidR="00554907">
        <w:rPr>
          <w:color w:val="auto"/>
        </w:rPr>
        <w:t xml:space="preserve"> Adaptive responses to address risks associated with the sensitivity of vegetation to a changing climate are difficult to identify, and may have to rely in the first instance on regular evaluation to assess where vegetation might be at greatest risk, to help inform where the activity should be best targeted in the future.</w:t>
      </w:r>
    </w:p>
    <w:p w14:paraId="79707CC2" w14:textId="619CD08C" w:rsidR="006A1FD7" w:rsidRPr="007B57BB" w:rsidRDefault="006A1FD7" w:rsidP="006A1FD7">
      <w:pPr>
        <w:pStyle w:val="BodyText"/>
        <w:rPr>
          <w:smallCaps/>
        </w:rPr>
      </w:pPr>
      <w:r>
        <w:rPr>
          <w:smallCaps/>
        </w:rPr>
        <w:t>Re-establishment of native forest cover</w:t>
      </w:r>
    </w:p>
    <w:p w14:paraId="1187FA11" w14:textId="64ED3F32" w:rsidR="00CE6443" w:rsidRDefault="006A1FD7" w:rsidP="00C37C5A">
      <w:pPr>
        <w:pStyle w:val="BodyText"/>
      </w:pPr>
      <w:r>
        <w:t xml:space="preserve">This activity includes the Human Induced Regeneration (HIR) methodology that significantly contributes to the current ERF portfolio, in addition to the Native Forest from Managed Regrowth methodology. From the perspective of abatement </w:t>
      </w:r>
      <w:r w:rsidR="00807BA5">
        <w:t>accumulation</w:t>
      </w:r>
      <w:r>
        <w:t>, the main risks are associated with changes in the climate that affect</w:t>
      </w:r>
      <w:r w:rsidR="00F667DA">
        <w:t>s</w:t>
      </w:r>
      <w:r>
        <w:t xml:space="preserve"> the survivorship of young regenerating stands, and the growth rates of mature stands. The main drivers were identified to be changes in average and maximum temperature, and the associated variables potential evapotranspiration and relative </w:t>
      </w:r>
      <w:r>
        <w:lastRenderedPageBreak/>
        <w:t xml:space="preserve">humidity, which have the potential to reduce net primary productivity, and hence rates of carbon sequestration. Regarding abatement </w:t>
      </w:r>
      <w:r w:rsidR="002F07F4">
        <w:t>maintenance</w:t>
      </w:r>
      <w:r>
        <w:t xml:space="preserve">, the main risk factor identified was from mortality associated with extreme drought, although the ultimate consequences for carbon abatement are uncertain as they are a function of the combined rates of subsequent debris decay and other losses (such as from termites), and rates of post-drought recovery. The drought risk is exacerbated through the regional concentration of projects in north west </w:t>
      </w:r>
      <w:r w:rsidR="00D75800">
        <w:t xml:space="preserve">New </w:t>
      </w:r>
      <w:r>
        <w:t>South Wales, and south west Queensland. Because fire is not a major feature in the areas where these activities have been established, or are likely to be established in the future, it was not considered a significant risk factor</w:t>
      </w:r>
      <w:r w:rsidR="00A63FE4">
        <w:t>, although fire does occur within the region, and hence individual project</w:t>
      </w:r>
      <w:r w:rsidR="00D75800">
        <w:t>s</w:t>
      </w:r>
      <w:r w:rsidR="00A63FE4">
        <w:t xml:space="preserve"> should have in place appropriate fire management plans.</w:t>
      </w:r>
      <w:r>
        <w:t xml:space="preserve"> The key stage of vulnerability for these projects is during the establishment and early years of growth. The embedded methodological requirements</w:t>
      </w:r>
      <w:r w:rsidR="00871DFE">
        <w:t xml:space="preserve"> of having to demonstrate a potential for forest cover to be achieved (through e.g. evidence of seedlings or young regrowth), and for having to demonstrate advancement of the vegetation towards forest cover over time, provides strong mitigation against </w:t>
      </w:r>
      <w:r w:rsidR="00913215">
        <w:t xml:space="preserve">the </w:t>
      </w:r>
      <w:r w:rsidR="00333AF2">
        <w:t xml:space="preserve">impacts of climate change on the </w:t>
      </w:r>
      <w:r w:rsidR="00913215">
        <w:t>vulnerable early stages of regeneration.</w:t>
      </w:r>
      <w:r w:rsidR="00603754">
        <w:t xml:space="preserve"> Other Zone 1 </w:t>
      </w:r>
      <w:r w:rsidR="00E145E6">
        <w:t xml:space="preserve">and 2 </w:t>
      </w:r>
      <w:r w:rsidR="00603754">
        <w:t xml:space="preserve">adaptation responses include </w:t>
      </w:r>
      <w:r w:rsidR="00A879AA">
        <w:t>fuel management to reduce the likelihood of fire, management of any grazing to protect the vegetation when it is most vulnerable (for example during drought or after fire), and site selection protocols to ensure adequate propagules are present to support regeneration towards the required 20% canopy cover. These could involve ensuring adequate seedlings or vegetative reproduction on-site, or proximity to existing seed sources from adjacent forest stands.</w:t>
      </w:r>
    </w:p>
    <w:p w14:paraId="2C90E9B6" w14:textId="39745CBC" w:rsidR="0047601F" w:rsidRPr="007B57BB" w:rsidRDefault="00A73C65" w:rsidP="0047601F">
      <w:pPr>
        <w:pStyle w:val="BodyText"/>
        <w:rPr>
          <w:smallCaps/>
        </w:rPr>
      </w:pPr>
      <w:r>
        <w:rPr>
          <w:smallCaps/>
        </w:rPr>
        <w:t>Protection of existing forests</w:t>
      </w:r>
    </w:p>
    <w:p w14:paraId="0CB2D155" w14:textId="56BC2A0F" w:rsidR="00A73C65" w:rsidRPr="00D232E2" w:rsidRDefault="00A73C65" w:rsidP="00A73C65">
      <w:pPr>
        <w:pStyle w:val="BodyText"/>
        <w:rPr>
          <w:color w:val="auto"/>
        </w:rPr>
      </w:pPr>
      <w:r w:rsidRPr="00D232E2">
        <w:rPr>
          <w:color w:val="auto"/>
        </w:rPr>
        <w:t xml:space="preserve">Because </w:t>
      </w:r>
      <w:r>
        <w:rPr>
          <w:color w:val="auto"/>
        </w:rPr>
        <w:t xml:space="preserve">both </w:t>
      </w:r>
      <w:r w:rsidRPr="00D232E2">
        <w:rPr>
          <w:color w:val="auto"/>
        </w:rPr>
        <w:t>the Avoided</w:t>
      </w:r>
      <w:r>
        <w:rPr>
          <w:color w:val="auto"/>
        </w:rPr>
        <w:t xml:space="preserve"> </w:t>
      </w:r>
      <w:r w:rsidRPr="00D232E2">
        <w:rPr>
          <w:color w:val="auto"/>
        </w:rPr>
        <w:t>D</w:t>
      </w:r>
      <w:r>
        <w:rPr>
          <w:color w:val="auto"/>
        </w:rPr>
        <w:t>eforestation</w:t>
      </w:r>
      <w:r w:rsidRPr="00D232E2">
        <w:rPr>
          <w:color w:val="auto"/>
        </w:rPr>
        <w:t xml:space="preserve"> and Avoided</w:t>
      </w:r>
      <w:r>
        <w:rPr>
          <w:color w:val="auto"/>
        </w:rPr>
        <w:t xml:space="preserve"> </w:t>
      </w:r>
      <w:r w:rsidRPr="00D232E2">
        <w:rPr>
          <w:color w:val="auto"/>
        </w:rPr>
        <w:t>C</w:t>
      </w:r>
      <w:r>
        <w:rPr>
          <w:color w:val="auto"/>
        </w:rPr>
        <w:t xml:space="preserve">learing methodologies within this activity class </w:t>
      </w:r>
      <w:r w:rsidRPr="00D232E2">
        <w:rPr>
          <w:color w:val="auto"/>
        </w:rPr>
        <w:t xml:space="preserve">involve the protection of existing forests, the question of risks to </w:t>
      </w:r>
      <w:r w:rsidR="009A3FF7">
        <w:rPr>
          <w:color w:val="auto"/>
        </w:rPr>
        <w:t>accumulation</w:t>
      </w:r>
      <w:r w:rsidRPr="00D232E2">
        <w:rPr>
          <w:color w:val="auto"/>
        </w:rPr>
        <w:t xml:space="preserve"> are </w:t>
      </w:r>
      <w:r>
        <w:rPr>
          <w:color w:val="auto"/>
        </w:rPr>
        <w:t>not relevant</w:t>
      </w:r>
      <w:r w:rsidR="00A63FE4">
        <w:rPr>
          <w:color w:val="auto"/>
        </w:rPr>
        <w:t>, and risks associated with initial forest regeneration are avoided</w:t>
      </w:r>
      <w:r w:rsidRPr="00D232E2">
        <w:rPr>
          <w:color w:val="auto"/>
        </w:rPr>
        <w:t xml:space="preserve">. The main risks are </w:t>
      </w:r>
      <w:r>
        <w:rPr>
          <w:color w:val="auto"/>
        </w:rPr>
        <w:t xml:space="preserve">therefore </w:t>
      </w:r>
      <w:r w:rsidRPr="00D232E2">
        <w:rPr>
          <w:color w:val="auto"/>
        </w:rPr>
        <w:t xml:space="preserve">associated with abatement </w:t>
      </w:r>
      <w:r w:rsidR="002F07F4">
        <w:rPr>
          <w:color w:val="auto"/>
        </w:rPr>
        <w:t>maintenance</w:t>
      </w:r>
      <w:r>
        <w:rPr>
          <w:color w:val="auto"/>
        </w:rPr>
        <w:t xml:space="preserve">, which were </w:t>
      </w:r>
      <w:r w:rsidRPr="00D232E2">
        <w:rPr>
          <w:color w:val="auto"/>
        </w:rPr>
        <w:t xml:space="preserve">identified </w:t>
      </w:r>
      <w:r>
        <w:rPr>
          <w:color w:val="auto"/>
        </w:rPr>
        <w:t xml:space="preserve">to be </w:t>
      </w:r>
      <w:r w:rsidRPr="00D232E2">
        <w:rPr>
          <w:color w:val="auto"/>
        </w:rPr>
        <w:t xml:space="preserve">mortality associated with extreme drought, although as noted </w:t>
      </w:r>
      <w:r w:rsidR="00E0012C">
        <w:rPr>
          <w:color w:val="auto"/>
        </w:rPr>
        <w:t xml:space="preserve">above </w:t>
      </w:r>
      <w:r w:rsidRPr="00D232E2">
        <w:rPr>
          <w:color w:val="auto"/>
        </w:rPr>
        <w:t>the ultimate consequences for carbon abatement are uncertain as they are a function of the combined rates of subsequent debris decay and other losses, and rates of post-drought recovery. Because of the potentially broad spatial scale of drought events, and given the concentration of current projects geographically, there are implications at both the whole portfolio level, as well as the individual project level.</w:t>
      </w:r>
      <w:r>
        <w:rPr>
          <w:color w:val="auto"/>
        </w:rPr>
        <w:t xml:space="preserve"> Opportunities </w:t>
      </w:r>
      <w:r w:rsidR="00E0012C">
        <w:rPr>
          <w:color w:val="auto"/>
        </w:rPr>
        <w:t>for</w:t>
      </w:r>
      <w:r>
        <w:rPr>
          <w:color w:val="auto"/>
        </w:rPr>
        <w:t xml:space="preserve"> mitigating these risks are limited, but include control of invasive weeds (an existing requirement of the methodology)</w:t>
      </w:r>
      <w:r w:rsidR="00A63FE4">
        <w:rPr>
          <w:color w:val="auto"/>
        </w:rPr>
        <w:t>, which also helps mitigate against risks from wildfire. In the areas most suited to the Avoided Clearing methodology the fire risk is relatively higher, due to higher productivity and greater contiguity of ground fuels.</w:t>
      </w:r>
      <w:r w:rsidR="00E145E6">
        <w:rPr>
          <w:color w:val="auto"/>
        </w:rPr>
        <w:t xml:space="preserve"> Zones 1-2 adaptation responses therefore include </w:t>
      </w:r>
      <w:r w:rsidR="00E145E6">
        <w:t>fuel management to reduce the likelihood of fire, and management of any grazing to protect the vegetation when it is most vulnerable (for example following severe drought, or after fire disturbance).</w:t>
      </w:r>
    </w:p>
    <w:p w14:paraId="62317D98" w14:textId="77777777" w:rsidR="007B57BB" w:rsidRDefault="00FD2AD8" w:rsidP="00C37C5A">
      <w:pPr>
        <w:pStyle w:val="BodyText"/>
      </w:pPr>
      <w:r w:rsidRPr="007B57BB">
        <w:rPr>
          <w:i/>
          <w:iCs/>
        </w:rPr>
        <w:t>Next steps</w:t>
      </w:r>
    </w:p>
    <w:p w14:paraId="2F8DA967" w14:textId="0BA661BC" w:rsidR="00BB25DF" w:rsidRDefault="00FA44DD" w:rsidP="00BB25DF">
      <w:pPr>
        <w:pStyle w:val="BodyText"/>
      </w:pPr>
      <w:r>
        <w:t xml:space="preserve">The qualitative risk assessments undertaken in this study, based on literature review, </w:t>
      </w:r>
      <w:r w:rsidR="00132670">
        <w:t>projections</w:t>
      </w:r>
      <w:r w:rsidR="00F667DA">
        <w:t xml:space="preserve"> of future climate change</w:t>
      </w:r>
      <w:r>
        <w:t>, and expert opinion, provide a starting point for more detailed analysis that</w:t>
      </w:r>
      <w:r w:rsidR="00BB25DF">
        <w:t xml:space="preserve"> could provide more specific, and quantitative, information on the potential losses of abatement under various scenarios of climate, disturbance regimes, and abatement activity. Although the risk rankings developed here cannot be used for quantitative analysis, they could be </w:t>
      </w:r>
      <w:r w:rsidR="00BB25DF">
        <w:lastRenderedPageBreak/>
        <w:t>used as a basis for prioritising attention on the activities within the methodologies that were identified to be most at risk. This could include deeper investigation of current and future policy settings on risk mitigation, and the prioritisation of further research effort on those sectors and activities deemed to be most at risk.</w:t>
      </w:r>
    </w:p>
    <w:p w14:paraId="376582EB" w14:textId="595FC57B" w:rsidR="00BB25DF" w:rsidRDefault="00BB25DF" w:rsidP="00BB25DF">
      <w:pPr>
        <w:pStyle w:val="BodyText"/>
      </w:pPr>
      <w:r>
        <w:t xml:space="preserve">A logical extension of the work presented here is to embed the risk analysis framework within a process-based modelling environment capable of simulating changes in plant growth and decomposition, soil organic carbon dynamics, and disturbance regimes, all linked to the key climate drivers. This would allow actual estimates of </w:t>
      </w:r>
      <w:r w:rsidR="00BC59F5">
        <w:t xml:space="preserve">risks to achieving abatement </w:t>
      </w:r>
      <w:r>
        <w:t xml:space="preserve">to </w:t>
      </w:r>
      <w:r w:rsidR="00A603BD">
        <w:t xml:space="preserve">be </w:t>
      </w:r>
      <w:r>
        <w:t>made, e.g. in units Mt CO</w:t>
      </w:r>
      <w:r w:rsidRPr="00BB25DF">
        <w:rPr>
          <w:vertAlign w:val="subscript"/>
        </w:rPr>
        <w:t>2</w:t>
      </w:r>
      <w:r>
        <w:t>e yr</w:t>
      </w:r>
      <w:r w:rsidRPr="00BB25DF">
        <w:rPr>
          <w:vertAlign w:val="superscript"/>
        </w:rPr>
        <w:t>-1</w:t>
      </w:r>
      <w:r>
        <w:t xml:space="preserve">, and would facilitate more informed decision making </w:t>
      </w:r>
      <w:r w:rsidR="00F667DA">
        <w:t>for</w:t>
      </w:r>
      <w:r>
        <w:t xml:space="preserve"> both project proponents, and policy</w:t>
      </w:r>
      <w:r w:rsidR="00F667DA">
        <w:t>makers</w:t>
      </w:r>
      <w:r>
        <w:t>. The component models for undertaking such an assessment currently exist</w:t>
      </w:r>
      <w:r w:rsidR="008C68D4">
        <w:t>, but the challenge would be in bringing them together within the one analysis framework.</w:t>
      </w:r>
    </w:p>
    <w:p w14:paraId="71315411" w14:textId="77777777" w:rsidR="007B57BB" w:rsidRDefault="007B57BB" w:rsidP="00C37C5A">
      <w:pPr>
        <w:pStyle w:val="BodyText"/>
      </w:pPr>
    </w:p>
    <w:p w14:paraId="18C03910" w14:textId="77777777" w:rsidR="007B57BB" w:rsidRDefault="007B57BB" w:rsidP="00C37C5A">
      <w:pPr>
        <w:pStyle w:val="BodyText"/>
      </w:pPr>
    </w:p>
    <w:p w14:paraId="296C6A03" w14:textId="77777777" w:rsidR="00AE0D97" w:rsidRDefault="00AE0D97" w:rsidP="00AF368E">
      <w:pPr>
        <w:rPr>
          <w:b/>
        </w:rPr>
      </w:pPr>
    </w:p>
    <w:p w14:paraId="5DE6E61C" w14:textId="1F4F0FF6" w:rsidR="00A264AF" w:rsidRDefault="00A264AF" w:rsidP="00AF368E">
      <w:pPr>
        <w:rPr>
          <w:b/>
        </w:rPr>
      </w:pPr>
    </w:p>
    <w:p w14:paraId="55A20F1A" w14:textId="77777777" w:rsidR="00A264AF" w:rsidRPr="0082176D" w:rsidRDefault="00A264AF" w:rsidP="00A264AF"/>
    <w:p w14:paraId="01C62A71" w14:textId="77777777" w:rsidR="00A264AF" w:rsidRPr="0082176D" w:rsidRDefault="00A264AF" w:rsidP="00A264AF"/>
    <w:p w14:paraId="624203F3" w14:textId="77777777" w:rsidR="00A264AF" w:rsidRPr="0082176D" w:rsidRDefault="00A264AF" w:rsidP="003F77BB"/>
    <w:p w14:paraId="6CACCD76" w14:textId="77777777" w:rsidR="00A264AF" w:rsidRPr="0082176D" w:rsidRDefault="00A264AF" w:rsidP="00CD3D3D"/>
    <w:p w14:paraId="5CEA4FA6" w14:textId="77777777" w:rsidR="00A264AF" w:rsidRPr="0082176D" w:rsidRDefault="00A264AF" w:rsidP="00533711"/>
    <w:p w14:paraId="72775891" w14:textId="77777777" w:rsidR="00A264AF" w:rsidRPr="0082176D" w:rsidRDefault="00A264AF"/>
    <w:p w14:paraId="423F519F" w14:textId="77777777" w:rsidR="00A264AF" w:rsidRPr="0082176D" w:rsidRDefault="00A264AF"/>
    <w:p w14:paraId="192A08D2" w14:textId="77777777" w:rsidR="00A264AF" w:rsidRPr="0082176D" w:rsidRDefault="00A264AF"/>
    <w:p w14:paraId="4C1565A4" w14:textId="77777777" w:rsidR="00A264AF" w:rsidRPr="0082176D" w:rsidRDefault="00A264AF"/>
    <w:p w14:paraId="685ACAE3" w14:textId="77777777" w:rsidR="00A264AF" w:rsidRPr="0082176D" w:rsidRDefault="00A264AF"/>
    <w:p w14:paraId="1FDC1B36" w14:textId="77777777" w:rsidR="00A264AF" w:rsidRPr="0082176D" w:rsidRDefault="00A264AF"/>
    <w:p w14:paraId="34E729B2" w14:textId="77777777" w:rsidR="00A264AF" w:rsidRPr="0082176D" w:rsidRDefault="00A264AF"/>
    <w:p w14:paraId="1F71CD8E" w14:textId="77777777" w:rsidR="00A264AF" w:rsidRPr="0082176D" w:rsidRDefault="00A264AF"/>
    <w:p w14:paraId="2D16B08D" w14:textId="77777777" w:rsidR="00A264AF" w:rsidRPr="0082176D" w:rsidRDefault="00A264AF"/>
    <w:p w14:paraId="748CC2F8" w14:textId="77777777" w:rsidR="00A264AF" w:rsidRPr="0082176D" w:rsidRDefault="00A264AF"/>
    <w:p w14:paraId="37241228" w14:textId="5720A20C" w:rsidR="00A264AF" w:rsidRDefault="00A264AF" w:rsidP="00A264AF"/>
    <w:p w14:paraId="19F58D3D" w14:textId="17ABE996" w:rsidR="00A264AF" w:rsidRDefault="00A264AF" w:rsidP="0082176D">
      <w:pPr>
        <w:tabs>
          <w:tab w:val="left" w:pos="2910"/>
        </w:tabs>
      </w:pPr>
      <w:r>
        <w:tab/>
      </w:r>
    </w:p>
    <w:p w14:paraId="693AFBFA" w14:textId="725DE876" w:rsidR="005B7952" w:rsidRPr="0082176D" w:rsidRDefault="00A264AF" w:rsidP="0082176D">
      <w:pPr>
        <w:tabs>
          <w:tab w:val="left" w:pos="2910"/>
        </w:tabs>
        <w:sectPr w:rsidR="005B7952" w:rsidRPr="0082176D" w:rsidSect="00C223FE">
          <w:pgSz w:w="11906" w:h="16838" w:code="9"/>
          <w:pgMar w:top="1134" w:right="1134" w:bottom="1134" w:left="1134" w:header="510" w:footer="624" w:gutter="0"/>
          <w:pgNumType w:fmt="lowerRoman"/>
          <w:cols w:space="284"/>
          <w:docGrid w:linePitch="360"/>
        </w:sectPr>
      </w:pPr>
      <w:r>
        <w:tab/>
      </w:r>
    </w:p>
    <w:p w14:paraId="1C3D012F" w14:textId="081147E8" w:rsidR="00A943B2" w:rsidRDefault="0092377E" w:rsidP="002C2B15">
      <w:pPr>
        <w:pStyle w:val="Heading1"/>
        <w:spacing w:after="800"/>
        <w:ind w:left="431" w:hanging="431"/>
      </w:pPr>
      <w:bookmarkStart w:id="8" w:name="_Toc52873083"/>
      <w:bookmarkStart w:id="9" w:name="_Toc53075114"/>
      <w:r>
        <w:lastRenderedPageBreak/>
        <w:t>Introduction</w:t>
      </w:r>
      <w:bookmarkEnd w:id="8"/>
      <w:bookmarkEnd w:id="9"/>
    </w:p>
    <w:p w14:paraId="6B632C55" w14:textId="1E12CA28" w:rsidR="00A943B2" w:rsidRDefault="00F03C3C" w:rsidP="00815B7B">
      <w:pPr>
        <w:pStyle w:val="Heading2"/>
      </w:pPr>
      <w:bookmarkStart w:id="10" w:name="_Toc52873084"/>
      <w:bookmarkStart w:id="11" w:name="_Toc53075115"/>
      <w:r>
        <w:t>Background</w:t>
      </w:r>
      <w:bookmarkEnd w:id="10"/>
      <w:bookmarkEnd w:id="11"/>
    </w:p>
    <w:p w14:paraId="65D83F3D" w14:textId="734BDF34" w:rsidR="00F6776F" w:rsidRDefault="00691341" w:rsidP="00691341">
      <w:pPr>
        <w:pStyle w:val="BodyText"/>
      </w:pPr>
      <w:r>
        <w:t xml:space="preserve">Under the United Nations Framework Convention on Climate Change (UNFCCC) Paris Agreement Australia has pledged a 26-28% reduction in 2005 greenhouse gas (GHG) emissions by 2030. Over 190 countries have lodged commitments under the Paris Agreement, agreeing to take practical steps to reduce emissions to pursue efforts to keep warming below </w:t>
      </w:r>
      <w:r w:rsidR="00D071D8">
        <w:t>2</w:t>
      </w:r>
      <w:r>
        <w:t>.</w:t>
      </w:r>
      <w:r w:rsidR="00D071D8">
        <w:t>0</w:t>
      </w:r>
      <w:r>
        <w:t xml:space="preserve">°C above pre-industrial levels. The </w:t>
      </w:r>
      <w:r w:rsidR="00D071D8">
        <w:t>Emissions Reduction Fund (ERF)</w:t>
      </w:r>
      <w:r>
        <w:t xml:space="preserve"> </w:t>
      </w:r>
      <w:r w:rsidR="00D071D8">
        <w:t xml:space="preserve">is central to </w:t>
      </w:r>
      <w:r>
        <w:t xml:space="preserve">Australia’s domestic response to meeting this challenge, the key mechanism of which is a voluntary scheme that seeks to provide incentives for organisations and individuals to adopt new practices and technologies to reduce their emissions. Under the scheme, participants adopt new (or ‘additional’) management activities or technologies that </w:t>
      </w:r>
      <w:r w:rsidR="008621B3">
        <w:t xml:space="preserve">either </w:t>
      </w:r>
      <w:r>
        <w:t>reduce emissions</w:t>
      </w:r>
      <w:r w:rsidR="00F37342">
        <w:t>,</w:t>
      </w:r>
      <w:r>
        <w:t xml:space="preserve"> or sequester carbon. Australian Carbon Credit Units (ACCUs, priced per unit of tonnes of carbon dioxide equivalent, t CO</w:t>
      </w:r>
      <w:r w:rsidRPr="0086777A">
        <w:rPr>
          <w:vertAlign w:val="subscript"/>
        </w:rPr>
        <w:t>2</w:t>
      </w:r>
      <w:r>
        <w:t>-e) are awarded to recognise abatement that is achieved.</w:t>
      </w:r>
      <w:r w:rsidR="00F51332">
        <w:t xml:space="preserve"> Within the ERF, the land sector plays a significant role</w:t>
      </w:r>
      <w:r w:rsidR="00066A49">
        <w:t xml:space="preserve"> contributing approximately </w:t>
      </w:r>
      <w:r w:rsidR="0008051F" w:rsidRPr="0008051F">
        <w:t xml:space="preserve">70% of the abatement that has been delivered thus far under the </w:t>
      </w:r>
      <w:r w:rsidR="00345728">
        <w:t>scheme</w:t>
      </w:r>
      <w:r w:rsidR="00066A49">
        <w:t xml:space="preserve"> (Section </w:t>
      </w:r>
      <w:r w:rsidR="00F30D0D">
        <w:t>3, below).</w:t>
      </w:r>
    </w:p>
    <w:p w14:paraId="27E8DF73" w14:textId="53A8B808" w:rsidR="00EF1305" w:rsidRDefault="00C36C0B" w:rsidP="002C2B15">
      <w:pPr>
        <w:pStyle w:val="BodyText"/>
        <w:spacing w:after="200"/>
      </w:pPr>
      <w:r>
        <w:t xml:space="preserve">Activities that </w:t>
      </w:r>
      <w:r w:rsidR="00907AF8">
        <w:t xml:space="preserve">seek to </w:t>
      </w:r>
      <w:r>
        <w:t xml:space="preserve">reduce emissions </w:t>
      </w:r>
      <w:r w:rsidR="002E2BDA">
        <w:t xml:space="preserve">(rather than sequester carbon) </w:t>
      </w:r>
      <w:r w:rsidR="00F16C17">
        <w:t xml:space="preserve">create abatement that is </w:t>
      </w:r>
      <w:r w:rsidR="00152329">
        <w:t>non-</w:t>
      </w:r>
      <w:r w:rsidR="00902CA6">
        <w:t>reversible</w:t>
      </w:r>
      <w:r w:rsidR="00152329">
        <w:t xml:space="preserve">, with </w:t>
      </w:r>
      <w:r w:rsidR="00907AF8">
        <w:t xml:space="preserve">atmospheric </w:t>
      </w:r>
      <w:r w:rsidR="00B67495">
        <w:t xml:space="preserve">greenhouse gas benefits </w:t>
      </w:r>
      <w:r w:rsidR="005F7B80">
        <w:t xml:space="preserve">that are </w:t>
      </w:r>
      <w:r w:rsidR="00A459D7">
        <w:t xml:space="preserve">realised immediately. In contrast, </w:t>
      </w:r>
      <w:r w:rsidR="00FF48B4">
        <w:t xml:space="preserve">sequestration </w:t>
      </w:r>
      <w:r w:rsidR="00F17D73">
        <w:t xml:space="preserve">activities </w:t>
      </w:r>
      <w:r w:rsidR="00741EF0">
        <w:t xml:space="preserve">are </w:t>
      </w:r>
      <w:r w:rsidR="00C6070F">
        <w:t>require</w:t>
      </w:r>
      <w:r w:rsidR="00741EF0">
        <w:t>d to</w:t>
      </w:r>
      <w:r w:rsidR="005F7B80">
        <w:t xml:space="preserve"> </w:t>
      </w:r>
      <w:r w:rsidR="00FF48B4">
        <w:t>store</w:t>
      </w:r>
      <w:r w:rsidR="00741EF0">
        <w:t xml:space="preserve"> the accrued carbon in </w:t>
      </w:r>
      <w:r w:rsidR="000152CC">
        <w:t>the landscape over the long</w:t>
      </w:r>
      <w:r w:rsidR="00741EF0">
        <w:t>-</w:t>
      </w:r>
      <w:r w:rsidR="000152CC">
        <w:t>term.</w:t>
      </w:r>
      <w:r w:rsidR="0077360B">
        <w:t xml:space="preserve"> </w:t>
      </w:r>
      <w:r w:rsidR="00D071D8">
        <w:t>Under the ERF, projects can choose a 25 or 100 year permanence period during which carbon stored by the project must be maintained; projects electing a 25 year permanence period receive a 20% reduction in carbon credits issued</w:t>
      </w:r>
      <w:r w:rsidR="00E27852">
        <w:t>.</w:t>
      </w:r>
      <w:r w:rsidR="0062054D">
        <w:t xml:space="preserve"> </w:t>
      </w:r>
      <w:r w:rsidR="009C5D94">
        <w:t>Because of the permanence requirement</w:t>
      </w:r>
      <w:r w:rsidR="00467888">
        <w:t>s</w:t>
      </w:r>
      <w:r w:rsidR="009C5D94">
        <w:t xml:space="preserve"> </w:t>
      </w:r>
      <w:r w:rsidR="00865B25">
        <w:t>associated with sequestration</w:t>
      </w:r>
      <w:r w:rsidR="00E6782E">
        <w:t xml:space="preserve">, there </w:t>
      </w:r>
      <w:r w:rsidR="00C31987">
        <w:t xml:space="preserve">are </w:t>
      </w:r>
      <w:r w:rsidR="001279BA">
        <w:t xml:space="preserve">therefore </w:t>
      </w:r>
      <w:r w:rsidR="00646628">
        <w:t xml:space="preserve">risks </w:t>
      </w:r>
      <w:r w:rsidR="00E54941">
        <w:t xml:space="preserve">associated with </w:t>
      </w:r>
      <w:r w:rsidR="00D11496">
        <w:t xml:space="preserve">ensuring </w:t>
      </w:r>
      <w:r w:rsidR="00E6782E">
        <w:t xml:space="preserve">both </w:t>
      </w:r>
      <w:r w:rsidR="00A77B3C">
        <w:t xml:space="preserve">the establishment and </w:t>
      </w:r>
      <w:r w:rsidR="00E54941">
        <w:t xml:space="preserve">ongoing </w:t>
      </w:r>
      <w:r w:rsidR="00A77B3C">
        <w:t xml:space="preserve">maintenance of </w:t>
      </w:r>
      <w:r w:rsidR="00C31987">
        <w:t xml:space="preserve">the </w:t>
      </w:r>
      <w:r w:rsidR="00646628">
        <w:t>stored carbon</w:t>
      </w:r>
      <w:r w:rsidR="00C704D5">
        <w:t>. For example, prolonged d</w:t>
      </w:r>
      <w:r w:rsidR="00144B7D">
        <w:t xml:space="preserve">ry periods </w:t>
      </w:r>
      <w:r w:rsidR="00C704D5">
        <w:t xml:space="preserve">can limit </w:t>
      </w:r>
      <w:r w:rsidR="00575225">
        <w:t xml:space="preserve">recruitment and </w:t>
      </w:r>
      <w:r w:rsidR="002840FE">
        <w:t xml:space="preserve">subsequent </w:t>
      </w:r>
      <w:r w:rsidR="00EB053E">
        <w:t xml:space="preserve">growth of woody vegetation, thus leading to </w:t>
      </w:r>
      <w:r w:rsidR="00691DB3">
        <w:t xml:space="preserve">lower sequestration than anticipated – a risk </w:t>
      </w:r>
      <w:r w:rsidR="00D071D8">
        <w:t>t</w:t>
      </w:r>
      <w:r w:rsidR="00691DB3">
        <w:t xml:space="preserve">o </w:t>
      </w:r>
      <w:r w:rsidR="002D1128">
        <w:t xml:space="preserve">abatement </w:t>
      </w:r>
      <w:r w:rsidR="00D071D8">
        <w:t>accumulation</w:t>
      </w:r>
      <w:r w:rsidR="00FC0A49">
        <w:t>. Likewise</w:t>
      </w:r>
      <w:r w:rsidR="00AA32DF">
        <w:t xml:space="preserve">, events such as </w:t>
      </w:r>
      <w:r w:rsidR="005E21CC">
        <w:t xml:space="preserve">forest </w:t>
      </w:r>
      <w:r w:rsidR="00AA32DF">
        <w:t xml:space="preserve">wildfire can release sequestered carbon </w:t>
      </w:r>
      <w:r w:rsidR="005E21CC">
        <w:t xml:space="preserve">back to the atmosphere – a risk </w:t>
      </w:r>
      <w:r w:rsidR="00D0357E">
        <w:t xml:space="preserve">to </w:t>
      </w:r>
      <w:r w:rsidR="002D1128">
        <w:t xml:space="preserve">abatement </w:t>
      </w:r>
      <w:r w:rsidR="00D0357E">
        <w:t>maintenance</w:t>
      </w:r>
      <w:r w:rsidR="00EA299D">
        <w:t xml:space="preserve"> (</w:t>
      </w:r>
      <w:r w:rsidR="00D30717">
        <w:fldChar w:fldCharType="begin"/>
      </w:r>
      <w:r w:rsidR="00D30717">
        <w:instrText xml:space="preserve"> REF _Ref47096092 \h </w:instrText>
      </w:r>
      <w:r w:rsidR="00D30717">
        <w:fldChar w:fldCharType="separate"/>
      </w:r>
      <w:r w:rsidR="00235F13">
        <w:t xml:space="preserve">Figure </w:t>
      </w:r>
      <w:r w:rsidR="00235F13">
        <w:rPr>
          <w:noProof/>
        </w:rPr>
        <w:t>1</w:t>
      </w:r>
      <w:r w:rsidR="00D30717">
        <w:fldChar w:fldCharType="end"/>
      </w:r>
      <w:r w:rsidR="00D30717">
        <w:t>).</w:t>
      </w:r>
      <w:r w:rsidR="003A56D6">
        <w:t xml:space="preserve"> </w:t>
      </w:r>
    </w:p>
    <w:p w14:paraId="14987C9F" w14:textId="29185843" w:rsidR="00D52519" w:rsidRDefault="00EF1305" w:rsidP="00691341">
      <w:pPr>
        <w:pStyle w:val="BodyText"/>
      </w:pPr>
      <w:r>
        <w:rPr>
          <w:noProof/>
        </w:rPr>
        <w:drawing>
          <wp:inline distT="0" distB="0" distL="0" distR="0" wp14:anchorId="6389F1CB" wp14:editId="208BF537">
            <wp:extent cx="5502302" cy="2074181"/>
            <wp:effectExtent l="0" t="0" r="3175" b="2540"/>
            <wp:docPr id="1068683832" name="Picture 106868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b="6762"/>
                    <a:stretch/>
                  </pic:blipFill>
                  <pic:spPr bwMode="auto">
                    <a:xfrm>
                      <a:off x="0" y="0"/>
                      <a:ext cx="5569402" cy="2099475"/>
                    </a:xfrm>
                    <a:prstGeom prst="rect">
                      <a:avLst/>
                    </a:prstGeom>
                    <a:noFill/>
                    <a:ln>
                      <a:noFill/>
                    </a:ln>
                    <a:extLst>
                      <a:ext uri="{53640926-AAD7-44D8-BBD7-CCE9431645EC}">
                        <a14:shadowObscured xmlns:a14="http://schemas.microsoft.com/office/drawing/2010/main"/>
                      </a:ext>
                    </a:extLst>
                  </pic:spPr>
                </pic:pic>
              </a:graphicData>
            </a:graphic>
          </wp:inline>
        </w:drawing>
      </w:r>
    </w:p>
    <w:p w14:paraId="60B7AD08" w14:textId="786828FC" w:rsidR="00EF49E0" w:rsidRDefault="00EF49E0" w:rsidP="00A75AC4">
      <w:pPr>
        <w:pStyle w:val="Caption"/>
        <w:keepNext w:val="0"/>
        <w:widowControl w:val="0"/>
        <w:rPr>
          <w:b w:val="0"/>
          <w:bCs w:val="0"/>
        </w:rPr>
      </w:pPr>
      <w:bookmarkStart w:id="12" w:name="_Ref47096092"/>
      <w:bookmarkStart w:id="13" w:name="_Ref47096084"/>
      <w:bookmarkStart w:id="14" w:name="_Toc52968231"/>
      <w:r>
        <w:t xml:space="preserve">Figure </w:t>
      </w:r>
      <w:r>
        <w:fldChar w:fldCharType="begin"/>
      </w:r>
      <w:r>
        <w:instrText>SEQ Figure \* ARABIC</w:instrText>
      </w:r>
      <w:r>
        <w:fldChar w:fldCharType="separate"/>
      </w:r>
      <w:r w:rsidR="00235F13">
        <w:rPr>
          <w:noProof/>
        </w:rPr>
        <w:t>1</w:t>
      </w:r>
      <w:r>
        <w:fldChar w:fldCharType="end"/>
      </w:r>
      <w:bookmarkEnd w:id="12"/>
      <w:r>
        <w:t xml:space="preserve">. </w:t>
      </w:r>
      <w:r w:rsidR="00D30717" w:rsidRPr="00327656">
        <w:rPr>
          <w:b w:val="0"/>
          <w:bCs w:val="0"/>
        </w:rPr>
        <w:t xml:space="preserve">Illustration of </w:t>
      </w:r>
      <w:r w:rsidR="00EF1305">
        <w:rPr>
          <w:b w:val="0"/>
          <w:bCs w:val="0"/>
        </w:rPr>
        <w:t xml:space="preserve">risk to carbon accumulation </w:t>
      </w:r>
      <w:r w:rsidR="00D30717" w:rsidRPr="00327656">
        <w:rPr>
          <w:b w:val="0"/>
          <w:bCs w:val="0"/>
        </w:rPr>
        <w:t xml:space="preserve">and </w:t>
      </w:r>
      <w:r w:rsidR="00EF1305">
        <w:rPr>
          <w:b w:val="0"/>
          <w:bCs w:val="0"/>
        </w:rPr>
        <w:t>risk to carbon maintenance</w:t>
      </w:r>
      <w:r w:rsidR="00327656">
        <w:t xml:space="preserve"> </w:t>
      </w:r>
      <w:r w:rsidR="00327656" w:rsidRPr="00327656">
        <w:rPr>
          <w:b w:val="0"/>
          <w:bCs w:val="0"/>
        </w:rPr>
        <w:t>associated with sequestration</w:t>
      </w:r>
      <w:r w:rsidR="00327656">
        <w:rPr>
          <w:b w:val="0"/>
          <w:bCs w:val="0"/>
        </w:rPr>
        <w:t xml:space="preserve"> projects</w:t>
      </w:r>
      <w:r>
        <w:rPr>
          <w:b w:val="0"/>
          <w:bCs w:val="0"/>
        </w:rPr>
        <w:t>.</w:t>
      </w:r>
      <w:bookmarkEnd w:id="13"/>
      <w:r w:rsidR="00F235B4">
        <w:rPr>
          <w:b w:val="0"/>
          <w:bCs w:val="0"/>
        </w:rPr>
        <w:t xml:space="preserve"> In both cases the abatement that is achieved (orange line) is less than </w:t>
      </w:r>
      <w:r w:rsidR="00463019">
        <w:rPr>
          <w:b w:val="0"/>
          <w:bCs w:val="0"/>
        </w:rPr>
        <w:t>that anticipated (blue line).</w:t>
      </w:r>
      <w:bookmarkEnd w:id="14"/>
    </w:p>
    <w:p w14:paraId="0894D62A" w14:textId="0A12BF28" w:rsidR="00E97DFE" w:rsidRDefault="006E1FDD" w:rsidP="00691341">
      <w:pPr>
        <w:pStyle w:val="BodyText"/>
      </w:pPr>
      <w:r>
        <w:lastRenderedPageBreak/>
        <w:t xml:space="preserve">Within the ERF </w:t>
      </w:r>
      <w:r w:rsidR="00EC5AD1">
        <w:t xml:space="preserve">such </w:t>
      </w:r>
      <w:r>
        <w:t xml:space="preserve">risks are </w:t>
      </w:r>
      <w:r w:rsidR="00BF574B">
        <w:t>formally</w:t>
      </w:r>
      <w:r>
        <w:t xml:space="preserve"> managed </w:t>
      </w:r>
      <w:r w:rsidR="009B45D3">
        <w:t>via</w:t>
      </w:r>
      <w:r w:rsidR="0057749C">
        <w:t xml:space="preserve"> the ‘risk </w:t>
      </w:r>
      <w:r w:rsidR="00EB4091">
        <w:t xml:space="preserve">of </w:t>
      </w:r>
      <w:r w:rsidR="0057749C">
        <w:t xml:space="preserve">reversal buffer’, </w:t>
      </w:r>
      <w:r w:rsidR="00F76BE0">
        <w:t xml:space="preserve">a mechanism whereby </w:t>
      </w:r>
      <w:r w:rsidR="0057749C">
        <w:t>5%</w:t>
      </w:r>
      <w:r w:rsidR="003566D3">
        <w:t xml:space="preserve"> of </w:t>
      </w:r>
      <w:r w:rsidR="00BD6B61">
        <w:t xml:space="preserve">all </w:t>
      </w:r>
      <w:r w:rsidR="003566D3">
        <w:t>abatement credits</w:t>
      </w:r>
      <w:r w:rsidR="00C559FB">
        <w:t xml:space="preserve"> </w:t>
      </w:r>
      <w:r w:rsidR="00F76BE0">
        <w:t>are withheld</w:t>
      </w:r>
      <w:r w:rsidR="00545A19">
        <w:t xml:space="preserve">. </w:t>
      </w:r>
      <w:r w:rsidR="00910910">
        <w:t xml:space="preserve">Less formally, companies </w:t>
      </w:r>
      <w:r w:rsidR="00EC2429">
        <w:t xml:space="preserve">can </w:t>
      </w:r>
      <w:r w:rsidR="0028638A">
        <w:t xml:space="preserve">manage risks through portfolio diversification, </w:t>
      </w:r>
      <w:r w:rsidR="001168C7">
        <w:t xml:space="preserve">for example </w:t>
      </w:r>
      <w:r w:rsidR="0036315F">
        <w:t xml:space="preserve">investing across a range of activities, and/or a range of spatial </w:t>
      </w:r>
      <w:r w:rsidR="00A71A9A">
        <w:t>locations</w:t>
      </w:r>
      <w:r w:rsidR="00D071D8">
        <w:t xml:space="preserve"> (</w:t>
      </w:r>
      <w:r w:rsidR="00192470">
        <w:t xml:space="preserve">noting that the ERF as a whole does not ensure such spatial risk-spreading, as the primary selection criteria </w:t>
      </w:r>
      <w:r w:rsidR="00EE65D6">
        <w:t xml:space="preserve">under the reverse-auction mechanism </w:t>
      </w:r>
      <w:r w:rsidR="00192470">
        <w:t>is lowest-cost abatement)</w:t>
      </w:r>
      <w:r w:rsidR="00A71A9A">
        <w:t>.</w:t>
      </w:r>
      <w:r w:rsidR="00820D7C">
        <w:t xml:space="preserve"> </w:t>
      </w:r>
      <w:r w:rsidR="009E3388">
        <w:t>At the individual project level m</w:t>
      </w:r>
      <w:r w:rsidR="00E95833">
        <w:t xml:space="preserve">anagement </w:t>
      </w:r>
      <w:r w:rsidR="0028006F">
        <w:t xml:space="preserve">actions can also be taken to </w:t>
      </w:r>
      <w:r w:rsidR="00670477">
        <w:t>influence</w:t>
      </w:r>
      <w:r w:rsidR="0028006F">
        <w:t xml:space="preserve"> carbon storage</w:t>
      </w:r>
      <w:r w:rsidR="00F62A0E">
        <w:t xml:space="preserve"> </w:t>
      </w:r>
      <w:r w:rsidR="00670477">
        <w:t>and risk exposure (</w:t>
      </w:r>
      <w:r w:rsidR="00847987">
        <w:t>Galik and Jackson 2009</w:t>
      </w:r>
      <w:r w:rsidR="00670477">
        <w:t xml:space="preserve">). </w:t>
      </w:r>
      <w:r w:rsidR="00A71A9A">
        <w:t xml:space="preserve">Whilst the </w:t>
      </w:r>
      <w:r w:rsidR="00AC248E">
        <w:t xml:space="preserve">requirement to </w:t>
      </w:r>
      <w:r w:rsidR="00A71A9A">
        <w:t>manage risk</w:t>
      </w:r>
      <w:r w:rsidR="00AC248E">
        <w:t>s</w:t>
      </w:r>
      <w:r w:rsidR="00A71A9A">
        <w:t xml:space="preserve"> for sequestration projects is </w:t>
      </w:r>
      <w:r w:rsidR="00AC248E">
        <w:t xml:space="preserve">well </w:t>
      </w:r>
      <w:r w:rsidR="00766AB8">
        <w:t>appreciated</w:t>
      </w:r>
      <w:r w:rsidR="00AC248E">
        <w:t xml:space="preserve"> </w:t>
      </w:r>
      <w:r w:rsidR="00C468A1">
        <w:t>(Nolan et al. 201</w:t>
      </w:r>
      <w:r w:rsidR="007C52EC">
        <w:t>8</w:t>
      </w:r>
      <w:r w:rsidR="000A4CE6">
        <w:t>a</w:t>
      </w:r>
      <w:r w:rsidR="00C468A1">
        <w:t>)</w:t>
      </w:r>
      <w:r w:rsidR="00847987">
        <w:t xml:space="preserve">, the effectiveness of </w:t>
      </w:r>
      <w:r w:rsidR="00EE03CC">
        <w:t>such actions remains largely unknown</w:t>
      </w:r>
      <w:r w:rsidR="004F6B3A">
        <w:t xml:space="preserve">, due to the complexity </w:t>
      </w:r>
      <w:r w:rsidR="00D65ECD">
        <w:t xml:space="preserve">of </w:t>
      </w:r>
      <w:r w:rsidR="00534939">
        <w:t>(</w:t>
      </w:r>
      <w:r w:rsidR="004F6B3A">
        <w:t>and interactions amongst</w:t>
      </w:r>
      <w:r w:rsidR="00534939">
        <w:t>)</w:t>
      </w:r>
      <w:r w:rsidR="004F6B3A">
        <w:t xml:space="preserve"> the key risk drivers, and the </w:t>
      </w:r>
      <w:r w:rsidR="00A46419">
        <w:t>lack o</w:t>
      </w:r>
      <w:r w:rsidR="00C2436A">
        <w:t>f</w:t>
      </w:r>
      <w:r w:rsidR="00A46419">
        <w:t xml:space="preserve"> national-scale frameworks for</w:t>
      </w:r>
      <w:r w:rsidR="00C2436A">
        <w:t xml:space="preserve"> monitoring and evaluating </w:t>
      </w:r>
      <w:r w:rsidR="008044DB">
        <w:t>the effectiveness of different risk mitigation approaches</w:t>
      </w:r>
      <w:r w:rsidR="003D0129">
        <w:t xml:space="preserve"> </w:t>
      </w:r>
      <w:r w:rsidR="008044DB">
        <w:t>(Nolan et al.</w:t>
      </w:r>
      <w:r w:rsidR="000A4CE6">
        <w:t xml:space="preserve"> 2018b)</w:t>
      </w:r>
      <w:r w:rsidR="00D65ECD">
        <w:t>.</w:t>
      </w:r>
    </w:p>
    <w:p w14:paraId="651C0034" w14:textId="2BA47431" w:rsidR="00E95833" w:rsidRDefault="00D82486" w:rsidP="00691341">
      <w:pPr>
        <w:pStyle w:val="BodyText"/>
      </w:pPr>
      <w:r>
        <w:t xml:space="preserve">In addition to greenhouse gas abatement, there are also </w:t>
      </w:r>
      <w:r w:rsidR="00E93CB1">
        <w:t xml:space="preserve">significant </w:t>
      </w:r>
      <w:r w:rsidR="00D12C09">
        <w:t xml:space="preserve">environmental, social and economic </w:t>
      </w:r>
      <w:r w:rsidR="00E93CB1">
        <w:t xml:space="preserve">co-benefits that </w:t>
      </w:r>
      <w:r w:rsidR="00D12C09">
        <w:t xml:space="preserve">are associated with </w:t>
      </w:r>
      <w:r w:rsidR="002F63CF">
        <w:t xml:space="preserve">carbon sequestration activities, and </w:t>
      </w:r>
      <w:r w:rsidR="007B1B96">
        <w:t xml:space="preserve">whilst </w:t>
      </w:r>
      <w:r w:rsidR="00B1634C">
        <w:t xml:space="preserve">co-benefits </w:t>
      </w:r>
      <w:r w:rsidR="007822BE">
        <w:t xml:space="preserve">are also </w:t>
      </w:r>
      <w:r w:rsidR="008C6B78">
        <w:t>vulnerable to a range of risk factors</w:t>
      </w:r>
      <w:r w:rsidR="007B1B96">
        <w:t>, the</w:t>
      </w:r>
      <w:r w:rsidR="00B1634C">
        <w:t>re are also opportunit</w:t>
      </w:r>
      <w:r w:rsidR="008E022C">
        <w:t>ies</w:t>
      </w:r>
      <w:r w:rsidR="00AF13B6">
        <w:t xml:space="preserve"> for co-benefits </w:t>
      </w:r>
      <w:r w:rsidR="008E022C">
        <w:t xml:space="preserve">to buffer or otherwise </w:t>
      </w:r>
      <w:r w:rsidR="00236910">
        <w:t>protect sequestration.</w:t>
      </w:r>
      <w:r w:rsidR="00A80B0F">
        <w:t xml:space="preserve"> </w:t>
      </w:r>
      <w:r w:rsidR="00AF52F9">
        <w:t>Co-benefits are integral to carbon farming</w:t>
      </w:r>
      <w:r w:rsidR="001C192A">
        <w:t xml:space="preserve">, </w:t>
      </w:r>
      <w:r w:rsidR="001F7AAD">
        <w:t>with</w:t>
      </w:r>
      <w:r w:rsidR="001C192A">
        <w:t xml:space="preserve"> such outcomes as </w:t>
      </w:r>
      <w:r w:rsidR="008501CD">
        <w:t xml:space="preserve">enhanced farm productivity </w:t>
      </w:r>
      <w:r w:rsidR="00FB7EF8">
        <w:t xml:space="preserve">and improved soil fertility </w:t>
      </w:r>
      <w:r w:rsidR="00D600DF">
        <w:t xml:space="preserve">associated with building soil carbon </w:t>
      </w:r>
      <w:r w:rsidR="00D7208E">
        <w:t xml:space="preserve">likely </w:t>
      </w:r>
      <w:r w:rsidR="00D600DF">
        <w:t xml:space="preserve">being </w:t>
      </w:r>
      <w:r w:rsidR="001B0BD9">
        <w:t>main driver</w:t>
      </w:r>
      <w:r w:rsidR="00D7208E">
        <w:t>s</w:t>
      </w:r>
      <w:r w:rsidR="001B0BD9">
        <w:t xml:space="preserve"> </w:t>
      </w:r>
      <w:r w:rsidR="00D7208E">
        <w:t>o</w:t>
      </w:r>
      <w:r w:rsidR="001B0BD9">
        <w:t>f abatement activity</w:t>
      </w:r>
      <w:r w:rsidR="003842C1">
        <w:t xml:space="preserve"> in the agricultural sector</w:t>
      </w:r>
      <w:r w:rsidR="00683C17">
        <w:t xml:space="preserve">, rather than </w:t>
      </w:r>
      <w:r w:rsidR="00D7208E">
        <w:t xml:space="preserve">increasing </w:t>
      </w:r>
      <w:r w:rsidR="00683C17">
        <w:t>carbon</w:t>
      </w:r>
      <w:r w:rsidR="00D7208E">
        <w:t xml:space="preserve"> storage</w:t>
      </w:r>
      <w:r w:rsidR="00683C17">
        <w:t xml:space="preserve"> </w:t>
      </w:r>
      <w:r w:rsidR="00683C17" w:rsidRPr="00683C17">
        <w:rPr>
          <w:i/>
          <w:iCs/>
        </w:rPr>
        <w:t>per se</w:t>
      </w:r>
      <w:r w:rsidR="00683C17">
        <w:t>.</w:t>
      </w:r>
      <w:r w:rsidR="00DB62F8">
        <w:t xml:space="preserve"> (Fleming et al</w:t>
      </w:r>
      <w:r w:rsidR="007822BE">
        <w:t>. 2019)</w:t>
      </w:r>
      <w:r w:rsidR="00D7208E">
        <w:t>.</w:t>
      </w:r>
      <w:r w:rsidR="007973D5">
        <w:t xml:space="preserve"> </w:t>
      </w:r>
      <w:r w:rsidR="005D4ED0">
        <w:t>It should also be recognised that a</w:t>
      </w:r>
      <w:r w:rsidR="009B346F">
        <w:t>longside generating carbon co-benefits is also the potential for</w:t>
      </w:r>
      <w:r w:rsidR="005D4ED0">
        <w:t xml:space="preserve"> </w:t>
      </w:r>
      <w:r w:rsidR="00A40C46">
        <w:t>di</w:t>
      </w:r>
      <w:r w:rsidR="000E2C4C">
        <w:t>s</w:t>
      </w:r>
      <w:r w:rsidR="00A40C46">
        <w:t>-benefits</w:t>
      </w:r>
      <w:r w:rsidR="0020432D">
        <w:t xml:space="preserve">, such as </w:t>
      </w:r>
      <w:r w:rsidR="00492FB6">
        <w:t>reduced water availability through forest regeneration</w:t>
      </w:r>
      <w:r w:rsidR="002A68F4">
        <w:t xml:space="preserve">, </w:t>
      </w:r>
      <w:r w:rsidR="000358BC">
        <w:t xml:space="preserve">and </w:t>
      </w:r>
      <w:r w:rsidR="002711CD">
        <w:t>reductions in the area of agriculturally productive land.</w:t>
      </w:r>
      <w:r w:rsidR="005A7F73">
        <w:t xml:space="preserve"> These must also be borne in mind.</w:t>
      </w:r>
    </w:p>
    <w:p w14:paraId="16C2D8B1" w14:textId="17EB4982" w:rsidR="0007756D" w:rsidRDefault="0007756D" w:rsidP="006D5D2C">
      <w:pPr>
        <w:pStyle w:val="Heading2"/>
        <w:ind w:left="578" w:hanging="578"/>
      </w:pPr>
      <w:bookmarkStart w:id="15" w:name="_Toc52873085"/>
      <w:bookmarkStart w:id="16" w:name="_Toc53075116"/>
      <w:r>
        <w:t xml:space="preserve">Study </w:t>
      </w:r>
      <w:r w:rsidR="00DD2338">
        <w:t>aims</w:t>
      </w:r>
      <w:r w:rsidR="001421B3">
        <w:t xml:space="preserve"> and report outline</w:t>
      </w:r>
      <w:bookmarkEnd w:id="15"/>
      <w:bookmarkEnd w:id="16"/>
    </w:p>
    <w:p w14:paraId="71C66912" w14:textId="1B0C6692" w:rsidR="00AB7E8C" w:rsidRDefault="00251324" w:rsidP="00251324">
      <w:pPr>
        <w:pStyle w:val="BodyText"/>
      </w:pPr>
      <w:r>
        <w:t xml:space="preserve">The overall aim of this </w:t>
      </w:r>
      <w:r w:rsidR="00023B3D">
        <w:t>study</w:t>
      </w:r>
      <w:r>
        <w:t xml:space="preserve"> is to provide information to the Climate Change Authority on the biophysical risks associated with </w:t>
      </w:r>
      <w:r w:rsidR="00F77ECF">
        <w:t xml:space="preserve">the accumulation and maintenance </w:t>
      </w:r>
      <w:r w:rsidR="00E213FC">
        <w:t xml:space="preserve">of </w:t>
      </w:r>
      <w:r>
        <w:t>carbon sequestration in the land sector</w:t>
      </w:r>
      <w:r w:rsidR="008434EB">
        <w:t>,</w:t>
      </w:r>
      <w:r>
        <w:t xml:space="preserve"> </w:t>
      </w:r>
      <w:r w:rsidR="00140E18">
        <w:t xml:space="preserve">within the constraints of the </w:t>
      </w:r>
      <w:r w:rsidR="00D8522A">
        <w:t xml:space="preserve">activities allowable within the </w:t>
      </w:r>
      <w:r w:rsidR="00140E18">
        <w:t>ERF</w:t>
      </w:r>
      <w:r w:rsidR="008434EB">
        <w:t xml:space="preserve">. </w:t>
      </w:r>
      <w:r w:rsidR="00026917">
        <w:t>This work will inform the Climate Change Authority’s consideration of climate risk</w:t>
      </w:r>
      <w:r w:rsidR="002C2B15">
        <w:t>,</w:t>
      </w:r>
      <w:r w:rsidR="00026917">
        <w:t xml:space="preserve"> a key theme in its 2020 legislative review of the ERF. </w:t>
      </w:r>
      <w:r w:rsidR="008434EB">
        <w:t xml:space="preserve">The primary risks </w:t>
      </w:r>
      <w:r w:rsidR="00970773">
        <w:t xml:space="preserve">considered </w:t>
      </w:r>
      <w:r w:rsidR="008434EB">
        <w:t xml:space="preserve">are those associated with current and future </w:t>
      </w:r>
      <w:r w:rsidR="00AD6649">
        <w:t xml:space="preserve">projected </w:t>
      </w:r>
      <w:r w:rsidR="00CD5AE5">
        <w:t xml:space="preserve">climate drivers, </w:t>
      </w:r>
      <w:r w:rsidR="00AD6649">
        <w:t xml:space="preserve">including </w:t>
      </w:r>
      <w:r w:rsidR="00D66749">
        <w:t>ecological disturbances</w:t>
      </w:r>
      <w:r w:rsidR="00AD6649">
        <w:t xml:space="preserve"> </w:t>
      </w:r>
      <w:r w:rsidR="00D66749">
        <w:t>such as drought, fire</w:t>
      </w:r>
      <w:r w:rsidR="00D344C1">
        <w:t>,</w:t>
      </w:r>
      <w:r w:rsidR="00D66749">
        <w:t xml:space="preserve"> and </w:t>
      </w:r>
      <w:r w:rsidR="00970773">
        <w:t>pests and diseases</w:t>
      </w:r>
      <w:r w:rsidR="00FD267F">
        <w:t>.</w:t>
      </w:r>
      <w:r w:rsidR="00E2327F">
        <w:t xml:space="preserve"> A second aim </w:t>
      </w:r>
      <w:r w:rsidR="00711CB1">
        <w:t xml:space="preserve">of the study </w:t>
      </w:r>
      <w:r w:rsidR="00E2327F">
        <w:t xml:space="preserve">is to assess the </w:t>
      </w:r>
      <w:r w:rsidR="00981594">
        <w:t xml:space="preserve">co-benefits associated with </w:t>
      </w:r>
      <w:r w:rsidR="00AB2419">
        <w:t xml:space="preserve">ERF sequestration </w:t>
      </w:r>
      <w:r w:rsidR="00FF579D">
        <w:t>activities</w:t>
      </w:r>
      <w:r w:rsidR="000F700F">
        <w:t xml:space="preserve">, and </w:t>
      </w:r>
      <w:r w:rsidR="0031577A">
        <w:t xml:space="preserve">provide a </w:t>
      </w:r>
      <w:r w:rsidR="000F700F">
        <w:t xml:space="preserve">review the </w:t>
      </w:r>
      <w:r w:rsidR="00B744AB">
        <w:t xml:space="preserve">potential for </w:t>
      </w:r>
      <w:r w:rsidR="00C92DA7">
        <w:t xml:space="preserve">these co-benefits to </w:t>
      </w:r>
      <w:r w:rsidR="00D1146D">
        <w:t xml:space="preserve">contribute to </w:t>
      </w:r>
      <w:r w:rsidR="007F228C">
        <w:t xml:space="preserve">protecting carbon stocks, and </w:t>
      </w:r>
      <w:r w:rsidR="00E50BC8">
        <w:t>farm resilience and climate change adaptation</w:t>
      </w:r>
      <w:r w:rsidR="007F228C">
        <w:t xml:space="preserve"> more broadly</w:t>
      </w:r>
      <w:r w:rsidR="002C2B15">
        <w:t>;</w:t>
      </w:r>
      <w:r w:rsidR="000E56CF">
        <w:t xml:space="preserve"> </w:t>
      </w:r>
      <w:r w:rsidR="002C4DF3">
        <w:t xml:space="preserve">as well as identifying </w:t>
      </w:r>
      <w:r w:rsidR="0010351D">
        <w:t>o</w:t>
      </w:r>
      <w:r w:rsidR="000E56CF">
        <w:t xml:space="preserve">ther activities that </w:t>
      </w:r>
      <w:r w:rsidR="0057202B">
        <w:t>are consistent with ERF project</w:t>
      </w:r>
      <w:r w:rsidR="00716A55">
        <w:t xml:space="preserve"> management</w:t>
      </w:r>
      <w:r w:rsidR="00E36A06">
        <w:t>,</w:t>
      </w:r>
      <w:r w:rsidR="00716A55">
        <w:t xml:space="preserve"> </w:t>
      </w:r>
      <w:r w:rsidR="0057202B">
        <w:t xml:space="preserve">and that could </w:t>
      </w:r>
      <w:r w:rsidR="00716A55">
        <w:t xml:space="preserve">confer </w:t>
      </w:r>
      <w:r w:rsidR="00851931">
        <w:t>farm-scale adaptive capacity.</w:t>
      </w:r>
    </w:p>
    <w:p w14:paraId="12C91FCC" w14:textId="24245491" w:rsidR="002C0185" w:rsidRDefault="003F77BB" w:rsidP="00251324">
      <w:pPr>
        <w:pStyle w:val="BodyText"/>
      </w:pPr>
      <w:r>
        <w:t xml:space="preserve">Twelve </w:t>
      </w:r>
      <w:r w:rsidR="00C76D2C">
        <w:t xml:space="preserve">ERF </w:t>
      </w:r>
      <w:r w:rsidR="00BD6FAA">
        <w:t xml:space="preserve">methodologies </w:t>
      </w:r>
      <w:r>
        <w:t xml:space="preserve">(eleven developed and one proposed) </w:t>
      </w:r>
      <w:r w:rsidR="00095275">
        <w:t xml:space="preserve">were identified that </w:t>
      </w:r>
      <w:r w:rsidR="00130DC4">
        <w:t>include</w:t>
      </w:r>
      <w:r w:rsidR="00EA6AE1">
        <w:t xml:space="preserve"> </w:t>
      </w:r>
      <w:r w:rsidR="00B8467A">
        <w:t xml:space="preserve">activities that </w:t>
      </w:r>
      <w:r w:rsidR="00EA6AE1">
        <w:t>sequest</w:t>
      </w:r>
      <w:r w:rsidR="00B8467A">
        <w:t xml:space="preserve">er carbon </w:t>
      </w:r>
      <w:r w:rsidR="00180B80">
        <w:t xml:space="preserve">in either vegetation or soils </w:t>
      </w:r>
      <w:r w:rsidR="00B27550">
        <w:t>(</w:t>
      </w:r>
      <w:r w:rsidR="00087464">
        <w:fldChar w:fldCharType="begin"/>
      </w:r>
      <w:r w:rsidR="00087464">
        <w:instrText xml:space="preserve"> REF _Ref42770995 \h </w:instrText>
      </w:r>
      <w:r w:rsidR="00087464">
        <w:fldChar w:fldCharType="separate"/>
      </w:r>
      <w:r w:rsidR="00235F13">
        <w:t xml:space="preserve">Table </w:t>
      </w:r>
      <w:r w:rsidR="00235F13">
        <w:rPr>
          <w:noProof/>
        </w:rPr>
        <w:t>1</w:t>
      </w:r>
      <w:r w:rsidR="00087464">
        <w:fldChar w:fldCharType="end"/>
      </w:r>
      <w:r w:rsidR="00B27550">
        <w:t>).</w:t>
      </w:r>
      <w:r w:rsidR="00130DC4">
        <w:t xml:space="preserve"> For the purpose of analysis these methodologies were grouped into six </w:t>
      </w:r>
      <w:r w:rsidR="004A33C0">
        <w:t>categories, based on overall similarity in activity</w:t>
      </w:r>
      <w:r w:rsidR="00396DBF">
        <w:t xml:space="preserve">, and hence likely similarity </w:t>
      </w:r>
      <w:r w:rsidR="006D63C7">
        <w:t>of</w:t>
      </w:r>
      <w:r w:rsidR="00396DBF">
        <w:t xml:space="preserve"> risk profile</w:t>
      </w:r>
      <w:r w:rsidR="004A33C0">
        <w:t>.</w:t>
      </w:r>
      <w:r w:rsidR="00396DBF">
        <w:t xml:space="preserve"> </w:t>
      </w:r>
      <w:r w:rsidR="0080033F">
        <w:t xml:space="preserve">Although </w:t>
      </w:r>
      <w:r w:rsidR="00D42E42">
        <w:t xml:space="preserve">the </w:t>
      </w:r>
      <w:r w:rsidR="00784FAB">
        <w:t>specified</w:t>
      </w:r>
      <w:r w:rsidR="00D42E42">
        <w:t xml:space="preserve"> carbon pools </w:t>
      </w:r>
      <w:r w:rsidR="00E25D4C">
        <w:t xml:space="preserve">included in the </w:t>
      </w:r>
      <w:r w:rsidR="00784FAB">
        <w:t xml:space="preserve">accounting under each method </w:t>
      </w:r>
      <w:r w:rsidR="004874B2">
        <w:t xml:space="preserve">are </w:t>
      </w:r>
      <w:r w:rsidR="008C211E">
        <w:t xml:space="preserve">the focus of </w:t>
      </w:r>
      <w:r w:rsidR="002A4DC7">
        <w:t xml:space="preserve">this </w:t>
      </w:r>
      <w:r w:rsidR="008C211E">
        <w:t xml:space="preserve">review, carbon pools that are not </w:t>
      </w:r>
      <w:r w:rsidR="0087121F">
        <w:t>included in the accounting, but could nevertheless be vulnerable to loss</w:t>
      </w:r>
      <w:r w:rsidR="004874B2">
        <w:t xml:space="preserve">, are also considered. </w:t>
      </w:r>
      <w:r w:rsidR="00DD0F3F">
        <w:t>For example</w:t>
      </w:r>
      <w:r w:rsidR="005253F5">
        <w:t>,</w:t>
      </w:r>
      <w:r w:rsidR="00DD0F3F">
        <w:t xml:space="preserve"> all of the vegetation methods include both</w:t>
      </w:r>
      <w:r w:rsidR="00A11B90">
        <w:t xml:space="preserve"> biomass and forest debris as part of the accounting envelope, but</w:t>
      </w:r>
      <w:r w:rsidR="0071026B">
        <w:t xml:space="preserve"> none include soil organic carbon.</w:t>
      </w:r>
      <w:r w:rsidR="00A11B90">
        <w:t xml:space="preserve"> </w:t>
      </w:r>
      <w:r w:rsidR="00941BAD">
        <w:t xml:space="preserve">The included and excluded carbon pools </w:t>
      </w:r>
      <w:r w:rsidR="00343E9A">
        <w:t xml:space="preserve">for each methodology </w:t>
      </w:r>
      <w:r w:rsidR="00941BAD">
        <w:t xml:space="preserve">are also </w:t>
      </w:r>
      <w:r w:rsidR="00742D67">
        <w:t>listed</w:t>
      </w:r>
      <w:r w:rsidR="00941BAD">
        <w:t xml:space="preserve"> in </w:t>
      </w:r>
      <w:r w:rsidR="00941BAD">
        <w:fldChar w:fldCharType="begin"/>
      </w:r>
      <w:r w:rsidR="00941BAD">
        <w:instrText xml:space="preserve"> REF _Ref42770995 \h </w:instrText>
      </w:r>
      <w:r w:rsidR="00941BAD">
        <w:fldChar w:fldCharType="separate"/>
      </w:r>
      <w:r w:rsidR="00235F13">
        <w:t xml:space="preserve">Table </w:t>
      </w:r>
      <w:r w:rsidR="00235F13">
        <w:rPr>
          <w:noProof/>
        </w:rPr>
        <w:t>1</w:t>
      </w:r>
      <w:r w:rsidR="00941BAD">
        <w:fldChar w:fldCharType="end"/>
      </w:r>
      <w:r w:rsidR="007374A5">
        <w:t>, together with a brief description of the allowable activities.</w:t>
      </w:r>
    </w:p>
    <w:p w14:paraId="1C33309B" w14:textId="6EDF2608" w:rsidR="007374A5" w:rsidRPr="00B80188" w:rsidRDefault="00C8682B" w:rsidP="00251324">
      <w:pPr>
        <w:pStyle w:val="BodyText"/>
      </w:pPr>
      <w:r>
        <w:lastRenderedPageBreak/>
        <w:t>To assess future risks under a changed climate</w:t>
      </w:r>
      <w:r w:rsidR="00DD2338">
        <w:t xml:space="preserve">, extensive use is made of the data syntheses provided by the </w:t>
      </w:r>
      <w:r w:rsidR="00B80188">
        <w:rPr>
          <w:i/>
          <w:iCs/>
        </w:rPr>
        <w:t xml:space="preserve">Climate Change in Australia </w:t>
      </w:r>
      <w:r w:rsidR="00817C0D">
        <w:t>study (</w:t>
      </w:r>
      <w:r w:rsidR="00817C0D" w:rsidRPr="00817C0D">
        <w:t>CSIRO and Bureau of Meteorology 2015</w:t>
      </w:r>
      <w:r w:rsidR="00A81670">
        <w:t xml:space="preserve">; </w:t>
      </w:r>
      <w:hyperlink r:id="rId33" w:history="1">
        <w:r w:rsidR="006A55DC" w:rsidRPr="003C764A">
          <w:rPr>
            <w:rStyle w:val="Hyperlink"/>
          </w:rPr>
          <w:t>www.climatechangeinaustralia.gov.au</w:t>
        </w:r>
      </w:hyperlink>
      <w:r w:rsidR="00817C0D">
        <w:t>)</w:t>
      </w:r>
      <w:r w:rsidR="006A55DC">
        <w:t xml:space="preserve">. </w:t>
      </w:r>
      <w:r w:rsidR="002C2F72">
        <w:t>This study aggregated results across approximately 40 Global Circulation Models</w:t>
      </w:r>
      <w:r w:rsidR="00980E75">
        <w:rPr>
          <w:rStyle w:val="FootnoteReference"/>
        </w:rPr>
        <w:footnoteReference w:id="5"/>
      </w:r>
      <w:r w:rsidR="002C2F72">
        <w:t xml:space="preserve"> </w:t>
      </w:r>
      <w:r w:rsidR="001253CC">
        <w:t xml:space="preserve">(GCMs) </w:t>
      </w:r>
      <w:r w:rsidR="00741CEB">
        <w:t>for the Australian continent, providing summaries of a wide range of climate variables</w:t>
      </w:r>
      <w:r w:rsidR="00A73048">
        <w:t xml:space="preserve"> </w:t>
      </w:r>
      <w:r w:rsidR="00E65F40">
        <w:t xml:space="preserve">within a </w:t>
      </w:r>
      <w:r w:rsidR="00A73048">
        <w:t xml:space="preserve">regional </w:t>
      </w:r>
      <w:r w:rsidR="00E65F40">
        <w:t xml:space="preserve">categorisation designed to </w:t>
      </w:r>
      <w:r w:rsidR="00846D49">
        <w:t xml:space="preserve">capture the key attributes of </w:t>
      </w:r>
      <w:r w:rsidR="005C36AC">
        <w:t>sub-continental variability</w:t>
      </w:r>
      <w:r w:rsidR="00FB7CF2">
        <w:t xml:space="preserve"> in climate projections</w:t>
      </w:r>
      <w:r w:rsidR="005C36AC">
        <w:t xml:space="preserve">. </w:t>
      </w:r>
      <w:r w:rsidR="00E13A52">
        <w:t>T</w:t>
      </w:r>
      <w:r w:rsidR="00F753B1">
        <w:t xml:space="preserve">he analysis timeframe </w:t>
      </w:r>
      <w:r w:rsidR="007C2696">
        <w:t xml:space="preserve">adopted here </w:t>
      </w:r>
      <w:r w:rsidR="00F753B1">
        <w:t>is centred on the year 2050</w:t>
      </w:r>
      <w:r w:rsidR="00731776">
        <w:t xml:space="preserve"> </w:t>
      </w:r>
      <w:r w:rsidR="00515E13">
        <w:t>(</w:t>
      </w:r>
      <w:r w:rsidR="00731776">
        <w:t xml:space="preserve">with climate change summaries </w:t>
      </w:r>
      <w:r w:rsidR="00DB1CB8">
        <w:t xml:space="preserve">typically </w:t>
      </w:r>
      <w:r w:rsidR="00CB2610">
        <w:t>integrated over the period</w:t>
      </w:r>
      <w:r w:rsidR="005E2A31">
        <w:t xml:space="preserve"> 2040-2059</w:t>
      </w:r>
      <w:r w:rsidR="00515E13">
        <w:t>)</w:t>
      </w:r>
      <w:r w:rsidR="00CB2610">
        <w:t xml:space="preserve">. </w:t>
      </w:r>
      <w:r w:rsidR="006D5ACF">
        <w:t>Based on the current year (2020), t</w:t>
      </w:r>
      <w:r w:rsidR="00CB2610">
        <w:t xml:space="preserve">his timeframe is consistent with </w:t>
      </w:r>
      <w:r w:rsidR="00657025">
        <w:t xml:space="preserve">the 25 year crediting period </w:t>
      </w:r>
      <w:r w:rsidR="00D208F1">
        <w:t xml:space="preserve">specified for </w:t>
      </w:r>
      <w:r w:rsidR="00E55D1B">
        <w:t xml:space="preserve">the majority of the </w:t>
      </w:r>
      <w:r w:rsidR="00657025">
        <w:t>sequestration methods</w:t>
      </w:r>
      <w:r w:rsidR="004543F1">
        <w:rPr>
          <w:rStyle w:val="FootnoteReference"/>
        </w:rPr>
        <w:footnoteReference w:id="6"/>
      </w:r>
      <w:r w:rsidR="00515E13">
        <w:t>.</w:t>
      </w:r>
      <w:r w:rsidR="00270C25">
        <w:t xml:space="preserve"> </w:t>
      </w:r>
      <w:r w:rsidR="002C6122">
        <w:t>To provide an indication of the potential longer-term implications</w:t>
      </w:r>
      <w:r w:rsidR="00A67CB4">
        <w:t>, climate change summaries centred on the year 2090</w:t>
      </w:r>
      <w:r w:rsidR="007F18FC">
        <w:t xml:space="preserve"> (2080-</w:t>
      </w:r>
      <w:r w:rsidR="00DB605B">
        <w:t xml:space="preserve">2099) are also </w:t>
      </w:r>
      <w:r w:rsidR="000E6DEF">
        <w:t>discussed.</w:t>
      </w:r>
      <w:r w:rsidR="00DB605B">
        <w:t xml:space="preserve"> </w:t>
      </w:r>
      <w:r w:rsidR="002C6122">
        <w:t xml:space="preserve"> </w:t>
      </w:r>
    </w:p>
    <w:p w14:paraId="6045241E" w14:textId="004A9925" w:rsidR="00AB7E8C" w:rsidRDefault="00EF20C6" w:rsidP="00B80CA7">
      <w:pPr>
        <w:pStyle w:val="BodyText"/>
      </w:pPr>
      <w:r>
        <w:t xml:space="preserve">A range of </w:t>
      </w:r>
      <w:r w:rsidR="00E5453C">
        <w:t>Representative Concentration Pathways (RCPs) are simulated across the GCMs</w:t>
      </w:r>
      <w:r w:rsidR="002B337F">
        <w:t xml:space="preserve">, to represent a range of possible futures based on </w:t>
      </w:r>
      <w:r w:rsidR="003C28F6">
        <w:t>different global emissions reduction</w:t>
      </w:r>
      <w:r w:rsidR="00687F37">
        <w:t xml:space="preserve"> scenarios. The analyses </w:t>
      </w:r>
      <w:r w:rsidR="00515E13">
        <w:t xml:space="preserve">in this report </w:t>
      </w:r>
      <w:r w:rsidR="00687F37">
        <w:t>focus primarily on the RCP4.5 pathway</w:t>
      </w:r>
      <w:r w:rsidR="006C3376">
        <w:t xml:space="preserve">, which reflects a ‘middle-ground’ policy outcome with </w:t>
      </w:r>
      <w:r w:rsidR="006C3376" w:rsidRPr="00582159">
        <w:t>emissions peak</w:t>
      </w:r>
      <w:r w:rsidR="006C3376">
        <w:t>ing</w:t>
      </w:r>
      <w:r w:rsidR="006C3376" w:rsidRPr="00582159">
        <w:t xml:space="preserve"> </w:t>
      </w:r>
      <w:r w:rsidR="006C3376">
        <w:t xml:space="preserve">at </w:t>
      </w:r>
      <w:r w:rsidR="006C3376" w:rsidRPr="00582159">
        <w:t xml:space="preserve">around </w:t>
      </w:r>
      <w:r w:rsidR="0001686D">
        <w:t xml:space="preserve">year </w:t>
      </w:r>
      <w:r w:rsidR="006C3376" w:rsidRPr="00582159">
        <w:t xml:space="preserve">2040, and the </w:t>
      </w:r>
      <w:r w:rsidR="006C3376">
        <w:t xml:space="preserve">atmospheric </w:t>
      </w:r>
      <w:r w:rsidR="006C3376" w:rsidRPr="00582159">
        <w:t>CO</w:t>
      </w:r>
      <w:r w:rsidR="006C3376" w:rsidRPr="00582159">
        <w:rPr>
          <w:vertAlign w:val="subscript"/>
        </w:rPr>
        <w:t>2</w:t>
      </w:r>
      <w:r w:rsidR="006C3376" w:rsidRPr="00582159">
        <w:t xml:space="preserve"> concentration </w:t>
      </w:r>
      <w:r w:rsidR="006C3376">
        <w:t xml:space="preserve">stabilising at approximately </w:t>
      </w:r>
      <w:r w:rsidR="006C3376" w:rsidRPr="00582159">
        <w:t>540 ppm by 2100</w:t>
      </w:r>
      <w:r w:rsidR="009549FA">
        <w:t xml:space="preserve">. To provide </w:t>
      </w:r>
      <w:r w:rsidR="00F2383C">
        <w:t xml:space="preserve">an indication of the possible </w:t>
      </w:r>
      <w:r w:rsidR="000F36AF">
        <w:t xml:space="preserve">upper </w:t>
      </w:r>
      <w:r w:rsidR="00F2383C">
        <w:t xml:space="preserve">range of outcomes </w:t>
      </w:r>
      <w:r w:rsidR="000F36AF">
        <w:t xml:space="preserve">under a less favourable emissions reduction </w:t>
      </w:r>
      <w:r w:rsidR="00B80CA7">
        <w:t xml:space="preserve">scenario, results from the RCP8.5 pathway are also </w:t>
      </w:r>
      <w:r w:rsidR="00B368C6">
        <w:t>considered</w:t>
      </w:r>
      <w:r w:rsidR="00B80CA7">
        <w:t xml:space="preserve">, </w:t>
      </w:r>
      <w:r w:rsidR="00A83331">
        <w:t xml:space="preserve">and </w:t>
      </w:r>
      <w:r w:rsidR="00B80CA7">
        <w:t xml:space="preserve">which represent </w:t>
      </w:r>
      <w:r w:rsidR="006C3376" w:rsidRPr="00F30F64">
        <w:t>a future with little curbing of emissions, with a CO</w:t>
      </w:r>
      <w:r w:rsidR="006C3376" w:rsidRPr="00F30F64">
        <w:rPr>
          <w:vertAlign w:val="subscript"/>
        </w:rPr>
        <w:t>2</w:t>
      </w:r>
      <w:r w:rsidR="006C3376" w:rsidRPr="00F30F64">
        <w:t xml:space="preserve"> concentration continuing to rapidly rise, reaching 940 ppm by 2100</w:t>
      </w:r>
      <w:r w:rsidR="00675E6F">
        <w:t>.</w:t>
      </w:r>
    </w:p>
    <w:p w14:paraId="17D910B1" w14:textId="07D7E9DF" w:rsidR="00E55D1B" w:rsidRDefault="00BC748D" w:rsidP="00251324">
      <w:pPr>
        <w:pStyle w:val="BodyText"/>
      </w:pPr>
      <w:r>
        <w:t>The remainder of the report is structured as follows:</w:t>
      </w:r>
    </w:p>
    <w:p w14:paraId="118D8158" w14:textId="20CC6D80" w:rsidR="00BC748D" w:rsidRDefault="00A83331" w:rsidP="00251324">
      <w:pPr>
        <w:pStyle w:val="BodyText"/>
      </w:pPr>
      <w:r>
        <w:t xml:space="preserve">In Section </w:t>
      </w:r>
      <w:r>
        <w:fldChar w:fldCharType="begin"/>
      </w:r>
      <w:r>
        <w:instrText xml:space="preserve"> REF _Ref45979560 \r \h </w:instrText>
      </w:r>
      <w:r>
        <w:fldChar w:fldCharType="separate"/>
      </w:r>
      <w:r w:rsidR="00235F13">
        <w:t>2</w:t>
      </w:r>
      <w:r>
        <w:fldChar w:fldCharType="end"/>
      </w:r>
      <w:r>
        <w:t xml:space="preserve"> </w:t>
      </w:r>
      <w:r w:rsidR="009F2D8A">
        <w:t>the risk analysis framework is presented</w:t>
      </w:r>
      <w:r w:rsidR="00D60848">
        <w:t xml:space="preserve">, </w:t>
      </w:r>
      <w:r w:rsidR="005E3E11">
        <w:t xml:space="preserve">with </w:t>
      </w:r>
      <w:r w:rsidR="003B6376">
        <w:t xml:space="preserve">the </w:t>
      </w:r>
      <w:r w:rsidR="005E3E11">
        <w:t xml:space="preserve">consequences and likelihoods </w:t>
      </w:r>
      <w:r w:rsidR="00CB4133">
        <w:t>associated with different risk factors defined</w:t>
      </w:r>
      <w:r w:rsidR="003B6376">
        <w:t>, combin</w:t>
      </w:r>
      <w:r w:rsidR="00E51312">
        <w:t>ing</w:t>
      </w:r>
      <w:r w:rsidR="003B6376">
        <w:t xml:space="preserve"> to yield a </w:t>
      </w:r>
      <w:r w:rsidR="00C65488">
        <w:t>four-class rating of risk</w:t>
      </w:r>
      <w:r w:rsidR="00D161B7">
        <w:t xml:space="preserve"> for each sequestration activity (low, medium, high, extreme)</w:t>
      </w:r>
      <w:r w:rsidR="00EF1113">
        <w:t xml:space="preserve">. Section </w:t>
      </w:r>
      <w:r w:rsidR="00EF1113">
        <w:fldChar w:fldCharType="begin"/>
      </w:r>
      <w:r w:rsidR="00EF1113">
        <w:instrText xml:space="preserve"> REF _Ref45979560 \r \h </w:instrText>
      </w:r>
      <w:r w:rsidR="00EF1113">
        <w:fldChar w:fldCharType="separate"/>
      </w:r>
      <w:r w:rsidR="00235F13">
        <w:t>2</w:t>
      </w:r>
      <w:r w:rsidR="00EF1113">
        <w:fldChar w:fldCharType="end"/>
      </w:r>
      <w:r w:rsidR="00EF1113">
        <w:t xml:space="preserve"> </w:t>
      </w:r>
      <w:r w:rsidR="0034594B">
        <w:t xml:space="preserve">also </w:t>
      </w:r>
      <w:r w:rsidR="00626C98">
        <w:t>r</w:t>
      </w:r>
      <w:r w:rsidR="0034594B">
        <w:t>eview</w:t>
      </w:r>
      <w:r w:rsidR="00626C98">
        <w:t>s</w:t>
      </w:r>
      <w:r w:rsidR="0034594B">
        <w:t xml:space="preserve"> the key </w:t>
      </w:r>
      <w:r w:rsidR="0034594B" w:rsidRPr="0034594B">
        <w:t>climate impact drivers</w:t>
      </w:r>
      <w:r w:rsidR="0047307E">
        <w:t xml:space="preserve"> most relevant to land-based sequestration</w:t>
      </w:r>
      <w:r w:rsidR="001E17E3">
        <w:t xml:space="preserve">, and provides a summary of the </w:t>
      </w:r>
      <w:r w:rsidR="00301923">
        <w:t xml:space="preserve">regional classification within which the risk analysis is undertaken, </w:t>
      </w:r>
      <w:r w:rsidR="00E207E1">
        <w:t xml:space="preserve">together with </w:t>
      </w:r>
      <w:r w:rsidR="00301923">
        <w:t>a</w:t>
      </w:r>
      <w:r w:rsidR="00CE1AC0">
        <w:t xml:space="preserve"> summary of the climate variables available</w:t>
      </w:r>
      <w:r w:rsidR="003C2497">
        <w:t xml:space="preserve"> for each region.</w:t>
      </w:r>
      <w:r w:rsidR="00CB4133">
        <w:t xml:space="preserve"> </w:t>
      </w:r>
    </w:p>
    <w:p w14:paraId="2069398A" w14:textId="75B0F6AE" w:rsidR="00E55D1B" w:rsidRDefault="001973DE" w:rsidP="00251324">
      <w:pPr>
        <w:pStyle w:val="BodyText"/>
      </w:pPr>
      <w:r>
        <w:t xml:space="preserve">Section </w:t>
      </w:r>
      <w:r w:rsidR="00EC4D77">
        <w:fldChar w:fldCharType="begin"/>
      </w:r>
      <w:r w:rsidR="00EC4D77">
        <w:instrText xml:space="preserve"> REF _Ref45980205 \r \h </w:instrText>
      </w:r>
      <w:r w:rsidR="00EC4D77">
        <w:fldChar w:fldCharType="separate"/>
      </w:r>
      <w:r w:rsidR="00235F13">
        <w:t>3</w:t>
      </w:r>
      <w:r w:rsidR="00EC4D77">
        <w:fldChar w:fldCharType="end"/>
      </w:r>
      <w:r w:rsidR="00EC4D77">
        <w:t xml:space="preserve"> </w:t>
      </w:r>
      <w:r w:rsidR="000E121B">
        <w:t xml:space="preserve">briefly reviews the </w:t>
      </w:r>
      <w:r w:rsidR="005137FC">
        <w:t xml:space="preserve">current </w:t>
      </w:r>
      <w:r w:rsidR="000E121B">
        <w:t>ERF portfolio of sequestration projects</w:t>
      </w:r>
      <w:r w:rsidR="006A2F4A">
        <w:t xml:space="preserve">, </w:t>
      </w:r>
      <w:r w:rsidR="00DD60C3">
        <w:t>including the spatial distribution of activit</w:t>
      </w:r>
      <w:r w:rsidR="006F2530">
        <w:t>ies</w:t>
      </w:r>
      <w:r w:rsidR="00DD60C3">
        <w:t xml:space="preserve">, </w:t>
      </w:r>
      <w:r w:rsidR="006A2F4A">
        <w:t xml:space="preserve">and </w:t>
      </w:r>
      <w:r w:rsidR="003F43B9">
        <w:t xml:space="preserve">then </w:t>
      </w:r>
      <w:r w:rsidR="00017902">
        <w:t xml:space="preserve">applies the risk framework developed in Section </w:t>
      </w:r>
      <w:r w:rsidR="00017902">
        <w:fldChar w:fldCharType="begin"/>
      </w:r>
      <w:r w:rsidR="00017902">
        <w:instrText xml:space="preserve"> REF _Ref45979560 \r \h </w:instrText>
      </w:r>
      <w:r w:rsidR="00017902">
        <w:fldChar w:fldCharType="separate"/>
      </w:r>
      <w:r w:rsidR="00235F13">
        <w:t>2</w:t>
      </w:r>
      <w:r w:rsidR="00017902">
        <w:fldChar w:fldCharType="end"/>
      </w:r>
      <w:r w:rsidR="00017902">
        <w:t xml:space="preserve"> to the</w:t>
      </w:r>
      <w:r w:rsidR="0087772E">
        <w:t xml:space="preserve"> </w:t>
      </w:r>
      <w:r w:rsidR="001B085B">
        <w:t xml:space="preserve">six classes of </w:t>
      </w:r>
      <w:r w:rsidR="0038003E">
        <w:t>ERF activit</w:t>
      </w:r>
      <w:r w:rsidR="001B085B">
        <w:t>y</w:t>
      </w:r>
      <w:r w:rsidR="0038003E">
        <w:t xml:space="preserve"> summarised in </w:t>
      </w:r>
      <w:r w:rsidR="0038003E">
        <w:fldChar w:fldCharType="begin"/>
      </w:r>
      <w:r w:rsidR="0038003E">
        <w:instrText xml:space="preserve"> REF _Ref42770995 \h </w:instrText>
      </w:r>
      <w:r w:rsidR="0038003E">
        <w:fldChar w:fldCharType="separate"/>
      </w:r>
      <w:r w:rsidR="00235F13">
        <w:t xml:space="preserve">Table </w:t>
      </w:r>
      <w:r w:rsidR="00235F13">
        <w:rPr>
          <w:noProof/>
        </w:rPr>
        <w:t>1</w:t>
      </w:r>
      <w:r w:rsidR="0038003E">
        <w:fldChar w:fldCharType="end"/>
      </w:r>
      <w:r w:rsidR="00B300E6">
        <w:t xml:space="preserve">. </w:t>
      </w:r>
      <w:r w:rsidR="00DA015B">
        <w:t xml:space="preserve">Each </w:t>
      </w:r>
      <w:r w:rsidR="00A32E34">
        <w:t>class of ERF activity</w:t>
      </w:r>
      <w:r w:rsidR="00DA015B">
        <w:t xml:space="preserve"> is assessed against </w:t>
      </w:r>
      <w:r w:rsidR="009554DB">
        <w:t>the climate impact drivers</w:t>
      </w:r>
      <w:r w:rsidR="00AD506A">
        <w:t xml:space="preserve"> from the perspective of risks to abatement </w:t>
      </w:r>
      <w:r w:rsidR="00F77ECF">
        <w:t xml:space="preserve">accumulation </w:t>
      </w:r>
      <w:r w:rsidR="00562333">
        <w:t xml:space="preserve">and </w:t>
      </w:r>
      <w:r w:rsidR="00F77ECF">
        <w:t>maintenance</w:t>
      </w:r>
      <w:r w:rsidR="00730B8B">
        <w:t xml:space="preserve">, </w:t>
      </w:r>
      <w:r w:rsidR="00FD09B2">
        <w:t xml:space="preserve">but </w:t>
      </w:r>
      <w:r w:rsidR="000971B7">
        <w:t xml:space="preserve">also </w:t>
      </w:r>
      <w:r w:rsidR="00730B8B">
        <w:t xml:space="preserve">taking into account </w:t>
      </w:r>
      <w:r w:rsidR="00926049">
        <w:t xml:space="preserve">any identified </w:t>
      </w:r>
      <w:r w:rsidR="00D84923">
        <w:t xml:space="preserve">positive sequestration outcomes </w:t>
      </w:r>
      <w:r w:rsidR="0031373C">
        <w:t>(such as arising from a change to more favourable growth conditions).</w:t>
      </w:r>
      <w:r w:rsidR="0007250A">
        <w:t xml:space="preserve"> Also taken into account </w:t>
      </w:r>
      <w:r w:rsidR="00DD60C3">
        <w:t xml:space="preserve">are the </w:t>
      </w:r>
      <w:r w:rsidR="00A66240">
        <w:t>regional difference</w:t>
      </w:r>
      <w:r w:rsidR="00DD60C3">
        <w:t>s</w:t>
      </w:r>
      <w:r w:rsidR="00A66240">
        <w:t xml:space="preserve"> in the risk factors</w:t>
      </w:r>
      <w:r w:rsidR="00DD59AD">
        <w:t xml:space="preserve">, </w:t>
      </w:r>
      <w:r w:rsidR="00A97479">
        <w:t>to provide a spatial context to the risk ratings.</w:t>
      </w:r>
      <w:r w:rsidR="009F6C1A">
        <w:t xml:space="preserve"> The </w:t>
      </w:r>
      <w:r w:rsidR="00E65DAD">
        <w:t xml:space="preserve">final </w:t>
      </w:r>
      <w:r w:rsidR="00D7323C">
        <w:t>r</w:t>
      </w:r>
      <w:r w:rsidR="009F6C1A">
        <w:t xml:space="preserve">isk </w:t>
      </w:r>
      <w:r w:rsidR="00D7323C">
        <w:t xml:space="preserve">assessment </w:t>
      </w:r>
      <w:r w:rsidR="009C1407">
        <w:t xml:space="preserve">for each activity </w:t>
      </w:r>
      <w:r w:rsidR="009F6C1A">
        <w:t xml:space="preserve">is </w:t>
      </w:r>
      <w:r w:rsidR="00E65DAD">
        <w:t xml:space="preserve">then </w:t>
      </w:r>
      <w:r w:rsidR="00D7323C">
        <w:t xml:space="preserve">obtained from </w:t>
      </w:r>
      <w:r w:rsidR="00B0092A">
        <w:t>combining the risk ratings across</w:t>
      </w:r>
      <w:r w:rsidR="007F79AF">
        <w:t xml:space="preserve"> the different impact drivers. </w:t>
      </w:r>
    </w:p>
    <w:p w14:paraId="69A525E5" w14:textId="2DEAFDF2" w:rsidR="002A38B8" w:rsidRDefault="002A38B8" w:rsidP="00251324">
      <w:pPr>
        <w:pStyle w:val="BodyText"/>
      </w:pPr>
      <w:r>
        <w:t xml:space="preserve">Section 4 briefly reviews the main ERF mechanisms that are designed to mitigate risk and to provide flexibility for proponents to help manage climate related and other physical risks to </w:t>
      </w:r>
      <w:r>
        <w:lastRenderedPageBreak/>
        <w:t>sequestration.</w:t>
      </w:r>
      <w:r w:rsidR="00BE49B3">
        <w:t xml:space="preserve"> </w:t>
      </w:r>
      <w:r w:rsidR="000138D5">
        <w:t xml:space="preserve">This assessment considered the risk reversal buffer, </w:t>
      </w:r>
      <w:r w:rsidR="00385FB8">
        <w:t>permanence</w:t>
      </w:r>
      <w:r w:rsidR="000138D5">
        <w:t xml:space="preserve"> requirements, f</w:t>
      </w:r>
      <w:r w:rsidR="000138D5" w:rsidRPr="000138D5">
        <w:t>lexibility to source ACCUs from the secondary market</w:t>
      </w:r>
      <w:r w:rsidR="001E3278">
        <w:t>, and o</w:t>
      </w:r>
      <w:r w:rsidR="001E3278" w:rsidRPr="001E3278">
        <w:t>ptions contracts</w:t>
      </w:r>
      <w:r w:rsidR="001E3278">
        <w:t xml:space="preserve"> (i.e. where a </w:t>
      </w:r>
      <w:r w:rsidR="001E3278" w:rsidRPr="001E3278">
        <w:t xml:space="preserve">proponent </w:t>
      </w:r>
      <w:r w:rsidR="002C2B15">
        <w:t>has</w:t>
      </w:r>
      <w:r w:rsidR="001E3278" w:rsidRPr="001E3278">
        <w:t xml:space="preserve"> the right, but not the obligation, to sell ACCUs to the Commonwealth</w:t>
      </w:r>
      <w:r w:rsidR="001E3278">
        <w:t>).</w:t>
      </w:r>
    </w:p>
    <w:p w14:paraId="034815AE" w14:textId="3B3BD36B" w:rsidR="00BE5ADA" w:rsidRDefault="0031373C" w:rsidP="00703C11">
      <w:pPr>
        <w:pStyle w:val="BodyText"/>
        <w:rPr>
          <w:color w:val="C00000"/>
        </w:rPr>
      </w:pPr>
      <w:r>
        <w:t xml:space="preserve">Section </w:t>
      </w:r>
      <w:r w:rsidR="00D31226">
        <w:fldChar w:fldCharType="begin"/>
      </w:r>
      <w:r w:rsidR="00D31226">
        <w:instrText xml:space="preserve"> REF _Ref34307538 \r \h </w:instrText>
      </w:r>
      <w:r w:rsidR="00D31226">
        <w:fldChar w:fldCharType="separate"/>
      </w:r>
      <w:r w:rsidR="00235F13">
        <w:t>5</w:t>
      </w:r>
      <w:r w:rsidR="00D31226">
        <w:fldChar w:fldCharType="end"/>
      </w:r>
      <w:r w:rsidR="00D31226">
        <w:t xml:space="preserve"> turns to the question of </w:t>
      </w:r>
      <w:r w:rsidR="006510F7">
        <w:t xml:space="preserve">the </w:t>
      </w:r>
      <w:r w:rsidR="006510F7" w:rsidRPr="006510F7">
        <w:t xml:space="preserve">broader co-benefits </w:t>
      </w:r>
      <w:r w:rsidR="009C1407">
        <w:t>(</w:t>
      </w:r>
      <w:r w:rsidR="008839DB">
        <w:t>and dis-benefits</w:t>
      </w:r>
      <w:r w:rsidR="009C1407">
        <w:t>)</w:t>
      </w:r>
      <w:r w:rsidR="008839DB">
        <w:t xml:space="preserve"> </w:t>
      </w:r>
      <w:r w:rsidR="006510F7" w:rsidRPr="006510F7">
        <w:t xml:space="preserve">that are implicated </w:t>
      </w:r>
      <w:r w:rsidR="00D03235">
        <w:t xml:space="preserve">across the different </w:t>
      </w:r>
      <w:r w:rsidR="006510F7" w:rsidRPr="006510F7">
        <w:t xml:space="preserve">ERF activities, </w:t>
      </w:r>
      <w:r w:rsidR="00C85A02">
        <w:t>and the</w:t>
      </w:r>
      <w:r w:rsidR="008839DB">
        <w:t>ir</w:t>
      </w:r>
      <w:r w:rsidR="00C85A02">
        <w:t xml:space="preserve"> </w:t>
      </w:r>
      <w:r w:rsidR="00BB2C69">
        <w:t xml:space="preserve">potential role </w:t>
      </w:r>
      <w:r w:rsidR="009F13E5">
        <w:t xml:space="preserve">in </w:t>
      </w:r>
      <w:r w:rsidR="006F287C">
        <w:t xml:space="preserve">conferring </w:t>
      </w:r>
      <w:r w:rsidR="00CF3769">
        <w:t>resistance an</w:t>
      </w:r>
      <w:r w:rsidR="009F13E5">
        <w:t>d</w:t>
      </w:r>
      <w:r w:rsidR="00CF3769">
        <w:t xml:space="preserve"> resilience </w:t>
      </w:r>
      <w:r w:rsidR="00BB2C69">
        <w:t xml:space="preserve">of farm enterprises to </w:t>
      </w:r>
      <w:r w:rsidR="00535DB0">
        <w:t>the identified climate risks</w:t>
      </w:r>
      <w:r w:rsidR="006510F7" w:rsidRPr="006510F7">
        <w:t xml:space="preserve">. </w:t>
      </w:r>
      <w:r w:rsidR="00DA78C3">
        <w:t>S</w:t>
      </w:r>
      <w:r w:rsidR="000075B8">
        <w:t xml:space="preserve">ection </w:t>
      </w:r>
      <w:r w:rsidR="002C2B15">
        <w:t>5</w:t>
      </w:r>
      <w:r w:rsidR="00DA78C3">
        <w:t xml:space="preserve"> </w:t>
      </w:r>
      <w:r w:rsidR="000075B8">
        <w:t xml:space="preserve">also considers the opportunities for </w:t>
      </w:r>
      <w:r w:rsidR="006510F7" w:rsidRPr="006510F7">
        <w:t xml:space="preserve">how methods could be </w:t>
      </w:r>
      <w:r w:rsidR="00EB5D9F">
        <w:t xml:space="preserve">implemented (or </w:t>
      </w:r>
      <w:r w:rsidR="006510F7" w:rsidRPr="006510F7">
        <w:t>modified</w:t>
      </w:r>
      <w:r w:rsidR="00DE6058">
        <w:t>)</w:t>
      </w:r>
      <w:r w:rsidR="006510F7" w:rsidRPr="006510F7">
        <w:t xml:space="preserve"> to mitigate against risks and to provide resilience against a changing climate</w:t>
      </w:r>
      <w:r w:rsidR="00DE6058">
        <w:t xml:space="preserve">. </w:t>
      </w:r>
      <w:r w:rsidR="009B7635">
        <w:t xml:space="preserve">Finally, the results from the study are summarised in Section </w:t>
      </w:r>
      <w:r w:rsidR="006510F7">
        <w:fldChar w:fldCharType="begin"/>
      </w:r>
      <w:r w:rsidR="006510F7">
        <w:instrText xml:space="preserve"> REF _Ref45982757 \r \h </w:instrText>
      </w:r>
      <w:r w:rsidR="006510F7">
        <w:fldChar w:fldCharType="separate"/>
      </w:r>
      <w:r w:rsidR="00235F13">
        <w:t>6</w:t>
      </w:r>
      <w:r w:rsidR="006510F7">
        <w:fldChar w:fldCharType="end"/>
      </w:r>
      <w:r w:rsidR="006510F7">
        <w:t>.</w:t>
      </w:r>
    </w:p>
    <w:p w14:paraId="533B5A3E" w14:textId="75A62E38" w:rsidR="00703C11" w:rsidRDefault="00703C11" w:rsidP="00703C11">
      <w:pPr>
        <w:pStyle w:val="BodyText"/>
        <w:rPr>
          <w:color w:val="C00000"/>
        </w:rPr>
        <w:sectPr w:rsidR="00703C11" w:rsidSect="008C68D4">
          <w:headerReference w:type="even" r:id="rId34"/>
          <w:headerReference w:type="default" r:id="rId35"/>
          <w:headerReference w:type="first" r:id="rId36"/>
          <w:footerReference w:type="first" r:id="rId37"/>
          <w:pgSz w:w="11906" w:h="16838" w:code="9"/>
          <w:pgMar w:top="1134" w:right="1134" w:bottom="1134" w:left="1134" w:header="510" w:footer="624" w:gutter="0"/>
          <w:pgNumType w:start="1"/>
          <w:cols w:space="850"/>
          <w:docGrid w:linePitch="360"/>
        </w:sectPr>
      </w:pPr>
    </w:p>
    <w:p w14:paraId="2701E4E7" w14:textId="6173BA12" w:rsidR="00BE5ADA" w:rsidRPr="008B36AD" w:rsidRDefault="00BE5ADA" w:rsidP="00BE5ADA">
      <w:pPr>
        <w:pStyle w:val="Caption"/>
        <w:spacing w:after="60"/>
        <w:rPr>
          <w:color w:val="FFFFFF" w:themeColor="background1"/>
        </w:rPr>
      </w:pPr>
      <w:bookmarkStart w:id="17" w:name="_Ref42770995"/>
      <w:bookmarkStart w:id="18" w:name="_Toc52971056"/>
      <w:r>
        <w:lastRenderedPageBreak/>
        <w:t xml:space="preserve">Table </w:t>
      </w:r>
      <w:r>
        <w:fldChar w:fldCharType="begin"/>
      </w:r>
      <w:r>
        <w:instrText>SEQ Table \* ARABIC</w:instrText>
      </w:r>
      <w:r>
        <w:fldChar w:fldCharType="separate"/>
      </w:r>
      <w:r w:rsidR="00235F13">
        <w:rPr>
          <w:noProof/>
        </w:rPr>
        <w:t>1</w:t>
      </w:r>
      <w:r>
        <w:fldChar w:fldCharType="end"/>
      </w:r>
      <w:bookmarkEnd w:id="17"/>
      <w:r w:rsidRPr="00E274A6">
        <w:rPr>
          <w:b w:val="0"/>
          <w:bCs w:val="0"/>
        </w:rPr>
        <w:t xml:space="preserve">. List </w:t>
      </w:r>
      <w:r>
        <w:rPr>
          <w:b w:val="0"/>
          <w:bCs w:val="0"/>
        </w:rPr>
        <w:t xml:space="preserve">of </w:t>
      </w:r>
      <w:r w:rsidRPr="00E274A6">
        <w:rPr>
          <w:b w:val="0"/>
          <w:bCs w:val="0"/>
        </w:rPr>
        <w:t>ERF Methodologies inclu</w:t>
      </w:r>
      <w:r>
        <w:rPr>
          <w:b w:val="0"/>
          <w:bCs w:val="0"/>
        </w:rPr>
        <w:t>ded</w:t>
      </w:r>
      <w:r w:rsidRPr="00E274A6">
        <w:rPr>
          <w:b w:val="0"/>
          <w:bCs w:val="0"/>
        </w:rPr>
        <w:t xml:space="preserve"> in the analysis, classified into six broad activity categories.</w:t>
      </w:r>
      <w:r>
        <w:rPr>
          <w:b w:val="0"/>
          <w:bCs w:val="0"/>
        </w:rPr>
        <w:t xml:space="preserve"> ‘Included carbon pools’ are included in the abatement calculations for the methodology. ‘Excluded carbon pools’ and not included in the accounting, but may nevertheless be susceptible to loss.</w:t>
      </w:r>
      <w:bookmarkEnd w:id="18"/>
    </w:p>
    <w:tbl>
      <w:tblPr>
        <w:tblStyle w:val="TableCSIRO"/>
        <w:tblW w:w="14601" w:type="dxa"/>
        <w:tblInd w:w="0" w:type="dxa"/>
        <w:tblLayout w:type="fixed"/>
        <w:tblLook w:val="04A0" w:firstRow="1" w:lastRow="0" w:firstColumn="1" w:lastColumn="0" w:noHBand="0" w:noVBand="1"/>
      </w:tblPr>
      <w:tblGrid>
        <w:gridCol w:w="1668"/>
        <w:gridCol w:w="4144"/>
        <w:gridCol w:w="5245"/>
        <w:gridCol w:w="1843"/>
        <w:gridCol w:w="1701"/>
      </w:tblGrid>
      <w:tr w:rsidR="006A742B" w:rsidRPr="00096464" w14:paraId="7A153A71" w14:textId="77777777" w:rsidTr="00B35FDE">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0EB7265F" w14:textId="77777777" w:rsidR="00BE5ADA" w:rsidRPr="00096464" w:rsidRDefault="00BE5ADA" w:rsidP="007574B3">
            <w:pPr>
              <w:rPr>
                <w:rFonts w:asciiTheme="minorHAnsi" w:hAnsiTheme="minorHAnsi" w:cs="Arial"/>
                <w:sz w:val="20"/>
                <w:szCs w:val="20"/>
              </w:rPr>
            </w:pPr>
            <w:r w:rsidRPr="00096464">
              <w:rPr>
                <w:rFonts w:asciiTheme="minorHAnsi" w:hAnsiTheme="minorHAnsi" w:cs="Arial"/>
                <w:sz w:val="20"/>
                <w:szCs w:val="20"/>
              </w:rPr>
              <w:t>Activity category</w:t>
            </w:r>
          </w:p>
        </w:tc>
        <w:tc>
          <w:tcPr>
            <w:tcW w:w="4144" w:type="dxa"/>
            <w:vAlign w:val="center"/>
          </w:tcPr>
          <w:p w14:paraId="2347C3AF" w14:textId="77777777" w:rsidR="00BE5ADA" w:rsidRPr="00096464" w:rsidRDefault="00BE5ADA"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096464">
              <w:rPr>
                <w:rFonts w:asciiTheme="minorHAnsi" w:hAnsiTheme="minorHAnsi" w:cs="Arial"/>
                <w:sz w:val="20"/>
                <w:szCs w:val="20"/>
              </w:rPr>
              <w:t>ERF Method</w:t>
            </w:r>
            <w:r>
              <w:rPr>
                <w:rFonts w:asciiTheme="minorHAnsi" w:hAnsiTheme="minorHAnsi" w:cs="Arial"/>
                <w:sz w:val="20"/>
                <w:szCs w:val="20"/>
              </w:rPr>
              <w:t>ology</w:t>
            </w:r>
          </w:p>
        </w:tc>
        <w:tc>
          <w:tcPr>
            <w:tcW w:w="5245" w:type="dxa"/>
            <w:vAlign w:val="center"/>
          </w:tcPr>
          <w:p w14:paraId="132ADAC2" w14:textId="77777777" w:rsidR="00BE5ADA" w:rsidRPr="00096464" w:rsidRDefault="00BE5ADA"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Included activities</w:t>
            </w:r>
          </w:p>
        </w:tc>
        <w:tc>
          <w:tcPr>
            <w:tcW w:w="1843" w:type="dxa"/>
            <w:vAlign w:val="center"/>
          </w:tcPr>
          <w:p w14:paraId="6E16F135" w14:textId="77777777" w:rsidR="00BE5ADA" w:rsidRDefault="00BE5ADA"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Included</w:t>
            </w:r>
          </w:p>
          <w:p w14:paraId="013068F5" w14:textId="77777777" w:rsidR="00BE5ADA" w:rsidRDefault="00BE5ADA"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carbon</w:t>
            </w:r>
          </w:p>
          <w:p w14:paraId="3937254B" w14:textId="77777777" w:rsidR="00BE5ADA" w:rsidRDefault="00BE5ADA"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pools</w:t>
            </w:r>
          </w:p>
        </w:tc>
        <w:tc>
          <w:tcPr>
            <w:tcW w:w="1701" w:type="dxa"/>
            <w:vAlign w:val="center"/>
          </w:tcPr>
          <w:p w14:paraId="139E811F" w14:textId="77777777" w:rsidR="00BE5ADA" w:rsidRDefault="00BE5ADA"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 xml:space="preserve">Excluded </w:t>
            </w:r>
          </w:p>
          <w:p w14:paraId="42CC3D28" w14:textId="77777777" w:rsidR="00BE5ADA" w:rsidRDefault="00BE5ADA"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carbon</w:t>
            </w:r>
          </w:p>
          <w:p w14:paraId="3052F888" w14:textId="77777777" w:rsidR="00BE5ADA" w:rsidRDefault="00BE5ADA"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pools</w:t>
            </w:r>
          </w:p>
        </w:tc>
      </w:tr>
      <w:tr w:rsidR="00BE5ADA" w:rsidRPr="000E2DF1" w14:paraId="64021FEE" w14:textId="77777777" w:rsidTr="00AD6B58">
        <w:trPr>
          <w:cnfStyle w:val="000000100000" w:firstRow="0" w:lastRow="0" w:firstColumn="0" w:lastColumn="0" w:oddVBand="0" w:evenVBand="0" w:oddHBand="1" w:evenHBand="0" w:firstRowFirstColumn="0" w:firstRowLastColumn="0" w:lastRowFirstColumn="0" w:lastRowLastColumn="0"/>
          <w:trHeight w:hRule="exact" w:val="1169"/>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1B6FF45E" w14:textId="4919A13F" w:rsidR="00BE5ADA" w:rsidRPr="000E2DF1" w:rsidRDefault="00FB2D3A" w:rsidP="007574B3">
            <w:pPr>
              <w:pStyle w:val="BodyText"/>
              <w:spacing w:before="0" w:after="0" w:line="240" w:lineRule="auto"/>
              <w:rPr>
                <w:rFonts w:asciiTheme="minorHAnsi" w:hAnsiTheme="minorHAnsi"/>
                <w:b w:val="0"/>
                <w:bCs w:val="0"/>
                <w:sz w:val="20"/>
                <w:szCs w:val="20"/>
              </w:rPr>
            </w:pPr>
            <w:bookmarkStart w:id="19" w:name="OLE_LINK1"/>
            <w:r>
              <w:rPr>
                <w:rFonts w:asciiTheme="minorHAnsi" w:hAnsiTheme="minorHAnsi"/>
                <w:b w:val="0"/>
                <w:bCs w:val="0"/>
                <w:sz w:val="20"/>
                <w:szCs w:val="20"/>
              </w:rPr>
              <w:t>Re-establishment</w:t>
            </w:r>
            <w:r w:rsidR="00BD5C2F">
              <w:rPr>
                <w:rFonts w:asciiTheme="minorHAnsi" w:hAnsiTheme="minorHAnsi"/>
                <w:b w:val="0"/>
                <w:bCs w:val="0"/>
                <w:sz w:val="20"/>
                <w:szCs w:val="20"/>
              </w:rPr>
              <w:t xml:space="preserve"> </w:t>
            </w:r>
            <w:r w:rsidR="00BE5ADA" w:rsidRPr="000E2DF1">
              <w:rPr>
                <w:rFonts w:asciiTheme="minorHAnsi" w:hAnsiTheme="minorHAnsi"/>
                <w:b w:val="0"/>
                <w:bCs w:val="0"/>
                <w:sz w:val="20"/>
                <w:szCs w:val="20"/>
              </w:rPr>
              <w:t>of native forest cover</w:t>
            </w:r>
            <w:bookmarkEnd w:id="19"/>
          </w:p>
        </w:tc>
        <w:tc>
          <w:tcPr>
            <w:tcW w:w="4144" w:type="dxa"/>
            <w:vAlign w:val="center"/>
          </w:tcPr>
          <w:p w14:paraId="30FE829B" w14:textId="77777777" w:rsidR="00BE5ADA" w:rsidRPr="000E2DF1"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Human-Induced Regeneration of a Permanent Even-Aged Native Forest (2013)</w:t>
            </w:r>
          </w:p>
          <w:p w14:paraId="2EE54096" w14:textId="77777777" w:rsidR="00BE5ADA" w:rsidRPr="000E2DF1"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Native Forests from Managed Regrowth (2013)</w:t>
            </w:r>
          </w:p>
        </w:tc>
        <w:tc>
          <w:tcPr>
            <w:tcW w:w="5245" w:type="dxa"/>
            <w:vAlign w:val="center"/>
          </w:tcPr>
          <w:p w14:paraId="2BEB90E3" w14:textId="77777777" w:rsidR="00BE5ADA" w:rsidRPr="000E2DF1"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 change in land management (e.g. a change in grazing management; cessation of regular clearing; control of feral browsers) that facilitates the natural regeneration of forest cover</w:t>
            </w:r>
            <w:r w:rsidRPr="00A41044">
              <w:rPr>
                <w:rFonts w:asciiTheme="minorHAnsi" w:hAnsiTheme="minorHAnsi"/>
                <w:sz w:val="20"/>
                <w:szCs w:val="20"/>
                <w:vertAlign w:val="superscript"/>
              </w:rPr>
              <w:t>1</w:t>
            </w:r>
            <w:r>
              <w:rPr>
                <w:rFonts w:asciiTheme="minorHAnsi" w:hAnsiTheme="minorHAnsi"/>
                <w:sz w:val="20"/>
                <w:szCs w:val="20"/>
              </w:rPr>
              <w:t xml:space="preserve"> from an initial non-forest state.</w:t>
            </w:r>
          </w:p>
        </w:tc>
        <w:tc>
          <w:tcPr>
            <w:tcW w:w="1843" w:type="dxa"/>
            <w:vAlign w:val="center"/>
          </w:tcPr>
          <w:p w14:paraId="07221881" w14:textId="77777777" w:rsidR="00BE5ADA"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Above- and below-ground alive and dead biomass carbon</w:t>
            </w:r>
          </w:p>
        </w:tc>
        <w:tc>
          <w:tcPr>
            <w:tcW w:w="1701" w:type="dxa"/>
            <w:vAlign w:val="center"/>
          </w:tcPr>
          <w:p w14:paraId="4212BDA4" w14:textId="77777777" w:rsidR="00BE5ADA"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Soil organic carbon</w:t>
            </w:r>
          </w:p>
        </w:tc>
      </w:tr>
      <w:tr w:rsidR="00BE5ADA" w:rsidRPr="000E2DF1" w14:paraId="7355229C" w14:textId="77777777" w:rsidTr="00526F23">
        <w:trPr>
          <w:trHeight w:hRule="exact" w:val="1953"/>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408FE81E" w14:textId="77777777" w:rsidR="00BE5ADA" w:rsidRPr="000E2DF1" w:rsidRDefault="00BE5ADA" w:rsidP="007574B3">
            <w:pPr>
              <w:pStyle w:val="BodyText"/>
              <w:spacing w:before="0" w:after="0" w:line="240" w:lineRule="auto"/>
              <w:rPr>
                <w:rFonts w:asciiTheme="minorHAnsi" w:hAnsiTheme="minorHAnsi"/>
                <w:b w:val="0"/>
                <w:bCs w:val="0"/>
                <w:sz w:val="20"/>
                <w:szCs w:val="20"/>
              </w:rPr>
            </w:pPr>
            <w:bookmarkStart w:id="20" w:name="OLE_LINK2"/>
            <w:r>
              <w:rPr>
                <w:rFonts w:asciiTheme="minorHAnsi" w:hAnsiTheme="minorHAnsi"/>
                <w:b w:val="0"/>
                <w:bCs w:val="0"/>
                <w:sz w:val="20"/>
                <w:szCs w:val="20"/>
              </w:rPr>
              <w:t>Planting</w:t>
            </w:r>
            <w:r w:rsidRPr="000E2DF1">
              <w:rPr>
                <w:rFonts w:asciiTheme="minorHAnsi" w:hAnsiTheme="minorHAnsi"/>
                <w:b w:val="0"/>
                <w:bCs w:val="0"/>
                <w:sz w:val="20"/>
                <w:szCs w:val="20"/>
              </w:rPr>
              <w:t xml:space="preserve"> of new forests</w:t>
            </w:r>
            <w:bookmarkEnd w:id="20"/>
          </w:p>
        </w:tc>
        <w:tc>
          <w:tcPr>
            <w:tcW w:w="4144" w:type="dxa"/>
            <w:vAlign w:val="center"/>
          </w:tcPr>
          <w:p w14:paraId="6BC8ADFF" w14:textId="77777777" w:rsidR="00BE5ADA" w:rsidRPr="000E2DF1" w:rsidRDefault="00BE5ADA" w:rsidP="003D2F11">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Reforestation by Environmental or Mallee Plantings – FullCAM (2014)</w:t>
            </w:r>
          </w:p>
          <w:p w14:paraId="0CC80D72" w14:textId="77777777" w:rsidR="00BE5ADA" w:rsidRPr="000E2DF1" w:rsidRDefault="00BE5ADA" w:rsidP="007574B3">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Reforestation and Afforestation (2015)</w:t>
            </w:r>
          </w:p>
          <w:p w14:paraId="71B880FD" w14:textId="77777777" w:rsidR="00BE5ADA" w:rsidRPr="000E2DF1" w:rsidRDefault="00BE5ADA"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Plantation Forestry (2017)</w:t>
            </w:r>
          </w:p>
          <w:p w14:paraId="4E395B0D" w14:textId="77777777" w:rsidR="00BE5ADA" w:rsidRPr="000E2DF1" w:rsidRDefault="00BE5ADA"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Measurement Based Methods for New Farm Forestry Plantations (2014)</w:t>
            </w:r>
          </w:p>
        </w:tc>
        <w:tc>
          <w:tcPr>
            <w:tcW w:w="5245" w:type="dxa"/>
            <w:vAlign w:val="center"/>
          </w:tcPr>
          <w:p w14:paraId="0966E65B" w14:textId="356226E6" w:rsidR="00BE5ADA" w:rsidRPr="000E2DF1" w:rsidRDefault="00BE5ADA" w:rsidP="007574B3">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The establishment of forest cover on currently non-forested land, via direct seeding and/or planting of tube</w:t>
            </w:r>
            <w:r w:rsidR="00370DC3">
              <w:rPr>
                <w:rFonts w:asciiTheme="minorHAnsi" w:hAnsiTheme="minorHAnsi"/>
                <w:sz w:val="20"/>
                <w:szCs w:val="20"/>
              </w:rPr>
              <w:t xml:space="preserve"> </w:t>
            </w:r>
            <w:r>
              <w:rPr>
                <w:rFonts w:asciiTheme="minorHAnsi" w:hAnsiTheme="minorHAnsi"/>
                <w:sz w:val="20"/>
                <w:szCs w:val="20"/>
              </w:rPr>
              <w:t>stock seedlings. The methods include environmental plantings, as well as the establishment of commercial plantation species.</w:t>
            </w:r>
          </w:p>
        </w:tc>
        <w:tc>
          <w:tcPr>
            <w:tcW w:w="1843" w:type="dxa"/>
            <w:vAlign w:val="center"/>
          </w:tcPr>
          <w:p w14:paraId="4B9FE25C" w14:textId="77777777" w:rsidR="00BE5ADA" w:rsidRDefault="00BE5ADA" w:rsidP="007574B3">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Above- and below-ground alive and dead biomass carbon; harvested wood products (Plantation Forestry)</w:t>
            </w:r>
          </w:p>
        </w:tc>
        <w:tc>
          <w:tcPr>
            <w:tcW w:w="1701" w:type="dxa"/>
            <w:vAlign w:val="center"/>
          </w:tcPr>
          <w:p w14:paraId="4FBBD131" w14:textId="77777777" w:rsidR="00BE5ADA" w:rsidRDefault="00BE5ADA" w:rsidP="007574B3">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Soil organic carbon</w:t>
            </w:r>
          </w:p>
        </w:tc>
      </w:tr>
      <w:tr w:rsidR="00BE5ADA" w:rsidRPr="000E2DF1" w14:paraId="51C1BD01" w14:textId="77777777" w:rsidTr="00AD6B58">
        <w:trPr>
          <w:cnfStyle w:val="000000100000" w:firstRow="0" w:lastRow="0" w:firstColumn="0" w:lastColumn="0" w:oddVBand="0" w:evenVBand="0" w:oddHBand="1" w:evenHBand="0" w:firstRowFirstColumn="0" w:firstRowLastColumn="0" w:lastRowFirstColumn="0" w:lastRowLastColumn="0"/>
          <w:trHeight w:hRule="exact" w:val="1256"/>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241DA466" w14:textId="77777777" w:rsidR="00BE5ADA" w:rsidRPr="000E2DF1" w:rsidRDefault="00BE5ADA" w:rsidP="007574B3">
            <w:pPr>
              <w:pStyle w:val="BodyText"/>
              <w:spacing w:before="0" w:after="0" w:line="240" w:lineRule="auto"/>
              <w:rPr>
                <w:rFonts w:asciiTheme="minorHAnsi" w:hAnsiTheme="minorHAnsi"/>
                <w:b w:val="0"/>
                <w:bCs w:val="0"/>
                <w:sz w:val="20"/>
                <w:szCs w:val="20"/>
              </w:rPr>
            </w:pPr>
            <w:r w:rsidRPr="000E2DF1">
              <w:rPr>
                <w:rFonts w:asciiTheme="minorHAnsi" w:hAnsiTheme="minorHAnsi"/>
                <w:b w:val="0"/>
                <w:bCs w:val="0"/>
                <w:sz w:val="20"/>
                <w:szCs w:val="20"/>
              </w:rPr>
              <w:t>Protection of existing forests</w:t>
            </w:r>
          </w:p>
        </w:tc>
        <w:tc>
          <w:tcPr>
            <w:tcW w:w="4144" w:type="dxa"/>
            <w:vAlign w:val="center"/>
          </w:tcPr>
          <w:p w14:paraId="20389BEC" w14:textId="77777777" w:rsidR="00BE5ADA" w:rsidRPr="000E2DF1"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Avoided Deforestation (2015)</w:t>
            </w:r>
          </w:p>
          <w:p w14:paraId="36C26F6C" w14:textId="77777777" w:rsidR="00BE5ADA" w:rsidRPr="000E2DF1"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Avoided Clearing of Native Regrowth (2015)</w:t>
            </w:r>
          </w:p>
        </w:tc>
        <w:tc>
          <w:tcPr>
            <w:tcW w:w="5245" w:type="dxa"/>
            <w:vAlign w:val="center"/>
          </w:tcPr>
          <w:p w14:paraId="5C394F09" w14:textId="77777777" w:rsidR="00BE5ADA"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Includes the cessation of land clearing to facilitate forest recovery (Avoided Clearing), and the protection of existing forest cover through relinquishment of clearing permits awarded for the purposes of converting forest cover to cropland or grassland (Avoided Deforestation).</w:t>
            </w:r>
          </w:p>
          <w:p w14:paraId="1D99ED14" w14:textId="77777777" w:rsidR="00BE5ADA" w:rsidRPr="000E2DF1"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1843" w:type="dxa"/>
            <w:vAlign w:val="center"/>
          </w:tcPr>
          <w:p w14:paraId="3528E5D1" w14:textId="77777777" w:rsidR="00BE5ADA"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Above- and below-ground alive and dead biomass carbon</w:t>
            </w:r>
          </w:p>
        </w:tc>
        <w:tc>
          <w:tcPr>
            <w:tcW w:w="1701" w:type="dxa"/>
            <w:vAlign w:val="center"/>
          </w:tcPr>
          <w:p w14:paraId="7D055CB0" w14:textId="77777777" w:rsidR="00BE5ADA"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Soil Organic carbon</w:t>
            </w:r>
          </w:p>
        </w:tc>
      </w:tr>
      <w:tr w:rsidR="00BE5ADA" w:rsidRPr="000E2DF1" w14:paraId="0657DB79" w14:textId="77777777" w:rsidTr="00B35FDE">
        <w:trPr>
          <w:trHeight w:hRule="exact" w:val="1248"/>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107CACF4" w14:textId="77777777" w:rsidR="00BE5ADA" w:rsidRPr="000E2DF1" w:rsidRDefault="00BE5ADA" w:rsidP="007574B3">
            <w:pPr>
              <w:pStyle w:val="BodyText"/>
              <w:spacing w:before="0" w:after="0" w:line="240" w:lineRule="auto"/>
              <w:rPr>
                <w:rFonts w:asciiTheme="minorHAnsi" w:hAnsiTheme="minorHAnsi"/>
                <w:b w:val="0"/>
                <w:bCs w:val="0"/>
                <w:sz w:val="20"/>
                <w:szCs w:val="20"/>
              </w:rPr>
            </w:pPr>
            <w:bookmarkStart w:id="21" w:name="OLE_LINK3"/>
            <w:r w:rsidRPr="000E2DF1">
              <w:rPr>
                <w:rFonts w:asciiTheme="minorHAnsi" w:hAnsiTheme="minorHAnsi"/>
                <w:b w:val="0"/>
                <w:bCs w:val="0"/>
                <w:sz w:val="20"/>
                <w:szCs w:val="20"/>
              </w:rPr>
              <w:t>Management of agricultural soils</w:t>
            </w:r>
            <w:bookmarkEnd w:id="21"/>
          </w:p>
        </w:tc>
        <w:tc>
          <w:tcPr>
            <w:tcW w:w="4144" w:type="dxa"/>
            <w:vAlign w:val="center"/>
          </w:tcPr>
          <w:p w14:paraId="34C1D194" w14:textId="77777777" w:rsidR="00B35FDE" w:rsidRDefault="00BE5ADA"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0E2DF1">
              <w:rPr>
                <w:rFonts w:asciiTheme="minorHAnsi" w:hAnsiTheme="minorHAnsi" w:cs="Arial"/>
                <w:sz w:val="20"/>
                <w:szCs w:val="20"/>
              </w:rPr>
              <w:t>Measurement of soil carbon sequestration in agricultural syste</w:t>
            </w:r>
            <w:r w:rsidRPr="00B35FDE">
              <w:rPr>
                <w:rFonts w:asciiTheme="minorHAnsi" w:hAnsiTheme="minorHAnsi" w:cs="Arial"/>
                <w:sz w:val="20"/>
                <w:szCs w:val="20"/>
              </w:rPr>
              <w:t>ms (2018)</w:t>
            </w:r>
          </w:p>
          <w:p w14:paraId="5D974CC3" w14:textId="40841434" w:rsidR="00BE5ADA" w:rsidRDefault="00B35FDE"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B35FDE">
              <w:rPr>
                <w:color w:val="auto"/>
                <w:sz w:val="20"/>
                <w:szCs w:val="20"/>
              </w:rPr>
              <w:t>Estimating Sequestration of Carbon in Soil Using Default Values</w:t>
            </w:r>
            <w:r>
              <w:rPr>
                <w:color w:val="auto"/>
                <w:sz w:val="20"/>
                <w:szCs w:val="20"/>
              </w:rPr>
              <w:t xml:space="preserve"> (2015)</w:t>
            </w:r>
          </w:p>
          <w:p w14:paraId="1A03BB19" w14:textId="239D1E12" w:rsidR="00B35FDE" w:rsidRPr="000E2DF1" w:rsidRDefault="00B35FDE"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5245" w:type="dxa"/>
            <w:vAlign w:val="center"/>
          </w:tcPr>
          <w:p w14:paraId="1C2D793D" w14:textId="2729EDEF" w:rsidR="00BE5ADA" w:rsidRPr="000E2DF1" w:rsidRDefault="00BE5ADA"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Changes in land management that build and maintain soil organic carbon. A wide range of activities are allowed under the method, including</w:t>
            </w:r>
            <w:r w:rsidR="00827341">
              <w:rPr>
                <w:rFonts w:asciiTheme="minorHAnsi" w:hAnsiTheme="minorHAnsi" w:cs="Arial"/>
                <w:sz w:val="20"/>
                <w:szCs w:val="20"/>
              </w:rPr>
              <w:t xml:space="preserve"> adding nutrients, lime, </w:t>
            </w:r>
            <w:r w:rsidR="008B46D1">
              <w:rPr>
                <w:rFonts w:asciiTheme="minorHAnsi" w:hAnsiTheme="minorHAnsi" w:cs="Arial"/>
                <w:sz w:val="20"/>
                <w:szCs w:val="20"/>
              </w:rPr>
              <w:t>gypsum</w:t>
            </w:r>
            <w:r w:rsidR="00C42FEE">
              <w:rPr>
                <w:rFonts w:asciiTheme="minorHAnsi" w:hAnsiTheme="minorHAnsi" w:cs="Arial"/>
                <w:sz w:val="20"/>
                <w:szCs w:val="20"/>
              </w:rPr>
              <w:t xml:space="preserve">; </w:t>
            </w:r>
            <w:r w:rsidR="00C442A6">
              <w:rPr>
                <w:rFonts w:asciiTheme="minorHAnsi" w:hAnsiTheme="minorHAnsi" w:cs="Arial"/>
                <w:sz w:val="20"/>
                <w:szCs w:val="20"/>
              </w:rPr>
              <w:t>Irrigation</w:t>
            </w:r>
            <w:r w:rsidR="00EE3573">
              <w:rPr>
                <w:rFonts w:asciiTheme="minorHAnsi" w:hAnsiTheme="minorHAnsi" w:cs="Arial"/>
                <w:sz w:val="20"/>
                <w:szCs w:val="20"/>
              </w:rPr>
              <w:t xml:space="preserve">; </w:t>
            </w:r>
            <w:r w:rsidR="004C3893">
              <w:rPr>
                <w:rFonts w:asciiTheme="minorHAnsi" w:hAnsiTheme="minorHAnsi" w:cs="Arial"/>
                <w:sz w:val="20"/>
                <w:szCs w:val="20"/>
              </w:rPr>
              <w:t>p</w:t>
            </w:r>
            <w:r w:rsidR="00EE3573">
              <w:rPr>
                <w:rFonts w:asciiTheme="minorHAnsi" w:hAnsiTheme="minorHAnsi" w:cs="Arial"/>
                <w:sz w:val="20"/>
                <w:szCs w:val="20"/>
              </w:rPr>
              <w:t>asture management</w:t>
            </w:r>
            <w:r w:rsidR="00F42E41">
              <w:rPr>
                <w:rFonts w:asciiTheme="minorHAnsi" w:hAnsiTheme="minorHAnsi" w:cs="Arial"/>
                <w:sz w:val="20"/>
                <w:szCs w:val="20"/>
              </w:rPr>
              <w:t>; stubble retention and no/reduced till</w:t>
            </w:r>
          </w:p>
        </w:tc>
        <w:tc>
          <w:tcPr>
            <w:tcW w:w="1843" w:type="dxa"/>
            <w:vAlign w:val="center"/>
          </w:tcPr>
          <w:p w14:paraId="1790D3C2" w14:textId="77777777" w:rsidR="00BE5ADA" w:rsidRDefault="00BE5ADA"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Soil organic carbon</w:t>
            </w:r>
          </w:p>
        </w:tc>
        <w:tc>
          <w:tcPr>
            <w:tcW w:w="1701" w:type="dxa"/>
            <w:vAlign w:val="center"/>
          </w:tcPr>
          <w:p w14:paraId="2A186E9A" w14:textId="77777777" w:rsidR="00BE5ADA" w:rsidRDefault="00BE5ADA"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sz w:val="20"/>
                <w:szCs w:val="20"/>
              </w:rPr>
              <w:t>Above- and below-ground alive and dead biomass carbon</w:t>
            </w:r>
          </w:p>
        </w:tc>
      </w:tr>
      <w:tr w:rsidR="00BE5ADA" w:rsidRPr="000E2DF1" w14:paraId="5F81E623" w14:textId="77777777" w:rsidTr="00AD6B58">
        <w:trPr>
          <w:cnfStyle w:val="000000100000" w:firstRow="0" w:lastRow="0" w:firstColumn="0" w:lastColumn="0" w:oddVBand="0" w:evenVBand="0" w:oddHBand="1" w:evenHBand="0" w:firstRowFirstColumn="0" w:firstRowLastColumn="0" w:lastRowFirstColumn="0" w:lastRowLastColumn="0"/>
          <w:trHeight w:hRule="exact" w:val="1014"/>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738B560B" w14:textId="77777777" w:rsidR="00BE5ADA" w:rsidRPr="000E2DF1" w:rsidRDefault="00BE5ADA" w:rsidP="007574B3">
            <w:pPr>
              <w:pStyle w:val="BodyText"/>
              <w:spacing w:before="0" w:after="0" w:line="240" w:lineRule="auto"/>
              <w:rPr>
                <w:rFonts w:asciiTheme="minorHAnsi" w:hAnsiTheme="minorHAnsi"/>
                <w:b w:val="0"/>
                <w:bCs w:val="0"/>
                <w:sz w:val="20"/>
                <w:szCs w:val="20"/>
              </w:rPr>
            </w:pPr>
            <w:r w:rsidRPr="000E2DF1">
              <w:rPr>
                <w:rFonts w:asciiTheme="minorHAnsi" w:hAnsiTheme="minorHAnsi"/>
                <w:b w:val="0"/>
                <w:bCs w:val="0"/>
                <w:sz w:val="20"/>
                <w:szCs w:val="20"/>
              </w:rPr>
              <w:t>Savanna fire management</w:t>
            </w:r>
          </w:p>
        </w:tc>
        <w:tc>
          <w:tcPr>
            <w:tcW w:w="4144" w:type="dxa"/>
            <w:vAlign w:val="center"/>
          </w:tcPr>
          <w:p w14:paraId="4370E0D4" w14:textId="77777777" w:rsidR="00BE5ADA" w:rsidRPr="000E2DF1"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E2DF1">
              <w:rPr>
                <w:rFonts w:asciiTheme="minorHAnsi" w:hAnsiTheme="minorHAnsi"/>
                <w:sz w:val="20"/>
                <w:szCs w:val="20"/>
              </w:rPr>
              <w:t xml:space="preserve">Savanna Fire Management </w:t>
            </w:r>
            <w:r>
              <w:rPr>
                <w:rFonts w:asciiTheme="minorHAnsi" w:hAnsiTheme="minorHAnsi"/>
                <w:sz w:val="20"/>
                <w:szCs w:val="20"/>
              </w:rPr>
              <w:t xml:space="preserve">Sequestration and </w:t>
            </w:r>
            <w:r w:rsidRPr="000E2DF1">
              <w:rPr>
                <w:rFonts w:asciiTheme="minorHAnsi" w:hAnsiTheme="minorHAnsi"/>
                <w:sz w:val="20"/>
                <w:szCs w:val="20"/>
              </w:rPr>
              <w:t>Emissions Avoidance (2018)</w:t>
            </w:r>
          </w:p>
        </w:tc>
        <w:tc>
          <w:tcPr>
            <w:tcW w:w="5245" w:type="dxa"/>
            <w:vAlign w:val="center"/>
          </w:tcPr>
          <w:p w14:paraId="5C6DF02B" w14:textId="77777777" w:rsidR="00BE5ADA" w:rsidRPr="000E2DF1"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Manipulation of the timing and extent of fire management in the northern Savanna to reduce GHG emissions and to sequester additional carbon in woody debris.</w:t>
            </w:r>
          </w:p>
        </w:tc>
        <w:tc>
          <w:tcPr>
            <w:tcW w:w="1843" w:type="dxa"/>
            <w:vAlign w:val="center"/>
          </w:tcPr>
          <w:p w14:paraId="00A38295" w14:textId="2628B942" w:rsidR="00BE5ADA"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Above-ground dead biomass</w:t>
            </w:r>
          </w:p>
        </w:tc>
        <w:tc>
          <w:tcPr>
            <w:tcW w:w="1701" w:type="dxa"/>
            <w:vAlign w:val="center"/>
          </w:tcPr>
          <w:p w14:paraId="1BD54341" w14:textId="012BCDFE" w:rsidR="00BE5ADA" w:rsidRDefault="00BE5ADA"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Below-ground dead biomass; So</w:t>
            </w:r>
            <w:r w:rsidR="00CC42A3">
              <w:rPr>
                <w:rFonts w:asciiTheme="minorHAnsi" w:hAnsiTheme="minorHAnsi"/>
                <w:sz w:val="20"/>
                <w:szCs w:val="20"/>
              </w:rPr>
              <w:t>i</w:t>
            </w:r>
            <w:r>
              <w:rPr>
                <w:rFonts w:asciiTheme="minorHAnsi" w:hAnsiTheme="minorHAnsi"/>
                <w:sz w:val="20"/>
                <w:szCs w:val="20"/>
              </w:rPr>
              <w:t>l organic carbon</w:t>
            </w:r>
            <w:r w:rsidR="0077718E">
              <w:rPr>
                <w:rFonts w:asciiTheme="minorHAnsi" w:hAnsiTheme="minorHAnsi"/>
                <w:sz w:val="20"/>
                <w:szCs w:val="20"/>
              </w:rPr>
              <w:t>; Live biomass.</w:t>
            </w:r>
          </w:p>
        </w:tc>
      </w:tr>
      <w:tr w:rsidR="00BE5ADA" w:rsidRPr="000E2DF1" w14:paraId="7227CA40" w14:textId="77777777" w:rsidTr="00AD6B58">
        <w:trPr>
          <w:trHeight w:hRule="exact" w:val="1020"/>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1566A3AC" w14:textId="30BD442E" w:rsidR="00BE5ADA" w:rsidRPr="000E2DF1" w:rsidRDefault="00157B2F" w:rsidP="007574B3">
            <w:pPr>
              <w:rPr>
                <w:rFonts w:asciiTheme="minorHAnsi" w:hAnsiTheme="minorHAnsi" w:cs="Arial"/>
                <w:b w:val="0"/>
                <w:bCs w:val="0"/>
                <w:sz w:val="20"/>
                <w:szCs w:val="20"/>
              </w:rPr>
            </w:pPr>
            <w:r>
              <w:rPr>
                <w:rFonts w:asciiTheme="minorHAnsi" w:hAnsiTheme="minorHAnsi" w:cs="Arial"/>
                <w:b w:val="0"/>
                <w:bCs w:val="0"/>
                <w:sz w:val="20"/>
                <w:szCs w:val="20"/>
              </w:rPr>
              <w:t xml:space="preserve">Management of </w:t>
            </w:r>
            <w:r w:rsidR="00AC2F7A">
              <w:rPr>
                <w:rFonts w:asciiTheme="minorHAnsi" w:hAnsiTheme="minorHAnsi" w:cs="Arial"/>
                <w:b w:val="0"/>
                <w:bCs w:val="0"/>
                <w:sz w:val="20"/>
                <w:szCs w:val="20"/>
              </w:rPr>
              <w:t xml:space="preserve">intertidal </w:t>
            </w:r>
            <w:r>
              <w:rPr>
                <w:rFonts w:asciiTheme="minorHAnsi" w:hAnsiTheme="minorHAnsi" w:cs="Arial"/>
                <w:b w:val="0"/>
                <w:bCs w:val="0"/>
                <w:sz w:val="20"/>
                <w:szCs w:val="20"/>
              </w:rPr>
              <w:t xml:space="preserve"> ecosystems</w:t>
            </w:r>
          </w:p>
        </w:tc>
        <w:tc>
          <w:tcPr>
            <w:tcW w:w="4144" w:type="dxa"/>
            <w:vAlign w:val="center"/>
          </w:tcPr>
          <w:p w14:paraId="1DA1BC47" w14:textId="597FC85D" w:rsidR="00BE5ADA" w:rsidRPr="000E2DF1" w:rsidRDefault="00BE5ADA" w:rsidP="007574B3">
            <w:pPr>
              <w:spacing w:after="60"/>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Blue carbon</w:t>
            </w:r>
            <w:r w:rsidR="009C49C2">
              <w:rPr>
                <w:rFonts w:asciiTheme="minorHAnsi" w:hAnsiTheme="minorHAnsi" w:cs="Arial"/>
                <w:sz w:val="20"/>
                <w:szCs w:val="20"/>
              </w:rPr>
              <w:t xml:space="preserve"> (proposed new</w:t>
            </w:r>
            <w:r w:rsidR="009C49C2" w:rsidRPr="000E2DF1">
              <w:rPr>
                <w:rFonts w:asciiTheme="minorHAnsi" w:hAnsiTheme="minorHAnsi" w:cs="Arial"/>
                <w:sz w:val="20"/>
                <w:szCs w:val="20"/>
              </w:rPr>
              <w:t xml:space="preserve"> method</w:t>
            </w:r>
            <w:r w:rsidR="009C49C2">
              <w:rPr>
                <w:rFonts w:asciiTheme="minorHAnsi" w:hAnsiTheme="minorHAnsi" w:cs="Arial"/>
                <w:sz w:val="20"/>
                <w:szCs w:val="20"/>
              </w:rPr>
              <w:t>)</w:t>
            </w:r>
          </w:p>
        </w:tc>
        <w:tc>
          <w:tcPr>
            <w:tcW w:w="5245" w:type="dxa"/>
            <w:vAlign w:val="center"/>
          </w:tcPr>
          <w:p w14:paraId="60C0AB82" w14:textId="77777777" w:rsidR="00BE5ADA" w:rsidRDefault="00BE5ADA" w:rsidP="007574B3">
            <w:pPr>
              <w:spacing w:after="60"/>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Manipulation of tidal flooding to restore coastal ecosystems and build soil carbon.</w:t>
            </w:r>
          </w:p>
        </w:tc>
        <w:tc>
          <w:tcPr>
            <w:tcW w:w="1843" w:type="dxa"/>
            <w:vAlign w:val="center"/>
          </w:tcPr>
          <w:p w14:paraId="5A809183" w14:textId="69924B76" w:rsidR="00BE5ADA" w:rsidRDefault="004378D9" w:rsidP="007574B3">
            <w:pPr>
              <w:spacing w:after="60"/>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Soil organic carbon</w:t>
            </w:r>
            <w:r w:rsidR="00CC42A3">
              <w:rPr>
                <w:rFonts w:asciiTheme="minorHAnsi" w:hAnsiTheme="minorHAnsi" w:cs="Arial"/>
                <w:sz w:val="20"/>
                <w:szCs w:val="20"/>
              </w:rPr>
              <w:t>;</w:t>
            </w:r>
            <w:r w:rsidR="00BD0274">
              <w:rPr>
                <w:rFonts w:asciiTheme="minorHAnsi" w:hAnsiTheme="minorHAnsi"/>
                <w:sz w:val="20"/>
                <w:szCs w:val="20"/>
              </w:rPr>
              <w:t xml:space="preserve"> </w:t>
            </w:r>
            <w:r w:rsidR="0057023C">
              <w:rPr>
                <w:rFonts w:asciiTheme="minorHAnsi" w:hAnsiTheme="minorHAnsi"/>
                <w:sz w:val="20"/>
                <w:szCs w:val="20"/>
              </w:rPr>
              <w:t xml:space="preserve">Above- and below-ground live biomass </w:t>
            </w:r>
          </w:p>
        </w:tc>
        <w:tc>
          <w:tcPr>
            <w:tcW w:w="1701" w:type="dxa"/>
            <w:vAlign w:val="center"/>
          </w:tcPr>
          <w:p w14:paraId="115B2F07" w14:textId="2081645B" w:rsidR="00BE5ADA" w:rsidRDefault="00BE5ADA" w:rsidP="007574B3">
            <w:pPr>
              <w:spacing w:after="60"/>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sz w:val="20"/>
                <w:szCs w:val="20"/>
              </w:rPr>
              <w:t>Above- and below-ground dead biomass</w:t>
            </w:r>
            <w:r w:rsidR="00BD0274">
              <w:rPr>
                <w:rFonts w:asciiTheme="minorHAnsi" w:hAnsiTheme="minorHAnsi"/>
                <w:sz w:val="20"/>
                <w:szCs w:val="20"/>
              </w:rPr>
              <w:t>.</w:t>
            </w:r>
            <w:r>
              <w:rPr>
                <w:rFonts w:asciiTheme="minorHAnsi" w:hAnsiTheme="minorHAnsi"/>
                <w:sz w:val="20"/>
                <w:szCs w:val="20"/>
              </w:rPr>
              <w:t xml:space="preserve"> </w:t>
            </w:r>
          </w:p>
        </w:tc>
      </w:tr>
    </w:tbl>
    <w:p w14:paraId="7B86E79E" w14:textId="77777777" w:rsidR="00BE5ADA" w:rsidRPr="00E51958" w:rsidRDefault="00BE5ADA" w:rsidP="00BE5ADA">
      <w:pPr>
        <w:pStyle w:val="CCSNormalText"/>
        <w:spacing w:line="264" w:lineRule="auto"/>
        <w:rPr>
          <w:rFonts w:asciiTheme="minorHAnsi" w:hAnsiTheme="minorHAnsi" w:cstheme="minorHAnsi"/>
          <w:sz w:val="20"/>
          <w:szCs w:val="20"/>
        </w:rPr>
      </w:pPr>
      <w:r w:rsidRPr="00E51958">
        <w:rPr>
          <w:rFonts w:asciiTheme="minorHAnsi" w:hAnsiTheme="minorHAnsi" w:cstheme="minorHAnsi"/>
          <w:sz w:val="20"/>
          <w:szCs w:val="20"/>
          <w:vertAlign w:val="superscript"/>
        </w:rPr>
        <w:t>1</w:t>
      </w:r>
      <w:r w:rsidRPr="00E51958">
        <w:rPr>
          <w:rFonts w:asciiTheme="minorHAnsi" w:hAnsiTheme="minorHAnsi" w:cstheme="minorHAnsi"/>
          <w:sz w:val="20"/>
          <w:szCs w:val="20"/>
        </w:rPr>
        <w:t>Forests include all vegetation with a tree height of at least 2 metres and crown canopy cover of 20 per cent or more, of an area of at least 0.2 ha</w:t>
      </w:r>
    </w:p>
    <w:p w14:paraId="017087AC" w14:textId="77777777" w:rsidR="00BE5ADA" w:rsidRDefault="00BE5ADA" w:rsidP="00BE5ADA">
      <w:pPr>
        <w:pStyle w:val="BodyText"/>
        <w:rPr>
          <w:color w:val="C00000"/>
        </w:rPr>
        <w:sectPr w:rsidR="00BE5ADA" w:rsidSect="002B2E7D">
          <w:pgSz w:w="16838" w:h="11906" w:orient="landscape" w:code="9"/>
          <w:pgMar w:top="1134" w:right="1134" w:bottom="1134" w:left="1134" w:header="510" w:footer="624" w:gutter="0"/>
          <w:cols w:space="850"/>
          <w:docGrid w:linePitch="360"/>
        </w:sectPr>
      </w:pPr>
    </w:p>
    <w:p w14:paraId="25C8ABCD" w14:textId="44F37835" w:rsidR="00745C90" w:rsidRDefault="009A1C03" w:rsidP="004859A7">
      <w:pPr>
        <w:pStyle w:val="Heading1"/>
      </w:pPr>
      <w:bookmarkStart w:id="22" w:name="_Ref45979560"/>
      <w:bookmarkStart w:id="23" w:name="_Toc52873086"/>
      <w:bookmarkStart w:id="24" w:name="_Toc53075117"/>
      <w:r>
        <w:lastRenderedPageBreak/>
        <w:t>A</w:t>
      </w:r>
      <w:r w:rsidRPr="009A1C03">
        <w:t xml:space="preserve">ssessment of the </w:t>
      </w:r>
      <w:r>
        <w:t xml:space="preserve">key </w:t>
      </w:r>
      <w:r w:rsidRPr="009A1C03">
        <w:t xml:space="preserve">climate </w:t>
      </w:r>
      <w:r w:rsidR="00A3251D">
        <w:t xml:space="preserve">risk </w:t>
      </w:r>
      <w:r w:rsidRPr="009A1C03">
        <w:t>impact drivers for land-based sequestration</w:t>
      </w:r>
      <w:bookmarkEnd w:id="22"/>
      <w:bookmarkEnd w:id="23"/>
      <w:bookmarkEnd w:id="24"/>
    </w:p>
    <w:p w14:paraId="1EE5B16C" w14:textId="77777777" w:rsidR="00F677E0" w:rsidRDefault="00F677E0" w:rsidP="00F677E0">
      <w:pPr>
        <w:pStyle w:val="Heading2"/>
      </w:pPr>
      <w:bookmarkStart w:id="25" w:name="_Toc52873087"/>
      <w:bookmarkStart w:id="26" w:name="_Toc53075118"/>
      <w:r>
        <w:t>Defining and reporting risk</w:t>
      </w:r>
      <w:bookmarkEnd w:id="25"/>
      <w:bookmarkEnd w:id="26"/>
      <w:r>
        <w:t xml:space="preserve"> </w:t>
      </w:r>
    </w:p>
    <w:p w14:paraId="2593CFDA" w14:textId="07BE3081" w:rsidR="00DD0679" w:rsidRDefault="00A51A34" w:rsidP="009032DE">
      <w:pPr>
        <w:pStyle w:val="BodyText"/>
      </w:pPr>
      <w:r>
        <w:t>Risk is broadly defined as</w:t>
      </w:r>
      <w:r w:rsidR="00B42507">
        <w:t xml:space="preserve"> the effect of uncertainty on objectives, </w:t>
      </w:r>
      <w:r w:rsidR="000A4619">
        <w:t xml:space="preserve">where objectives </w:t>
      </w:r>
      <w:r w:rsidR="00B42507">
        <w:t xml:space="preserve">can have financial, health and </w:t>
      </w:r>
      <w:r w:rsidR="000A4619">
        <w:t xml:space="preserve">safety, and </w:t>
      </w:r>
      <w:r w:rsidR="00B42507">
        <w:t>environmental</w:t>
      </w:r>
      <w:r w:rsidR="000A4619">
        <w:t xml:space="preserve"> aspects</w:t>
      </w:r>
      <w:r w:rsidR="00A04A37">
        <w:t xml:space="preserve"> (ISO Guide 73:2009)</w:t>
      </w:r>
      <w:r w:rsidR="00376395">
        <w:t xml:space="preserve">. </w:t>
      </w:r>
      <w:r w:rsidR="009032DE">
        <w:t>A number of approache</w:t>
      </w:r>
      <w:r w:rsidR="000A0A2F">
        <w:t>s</w:t>
      </w:r>
      <w:r w:rsidR="009032DE">
        <w:t xml:space="preserve"> can be taken to the analysis of </w:t>
      </w:r>
      <w:r w:rsidR="00DA5BF0">
        <w:t xml:space="preserve">risk. In this report </w:t>
      </w:r>
      <w:r w:rsidR="0076159F">
        <w:t xml:space="preserve">we follow the </w:t>
      </w:r>
      <w:r w:rsidR="009D34E9">
        <w:t xml:space="preserve">general </w:t>
      </w:r>
      <w:r w:rsidR="00F254E1">
        <w:t xml:space="preserve">risk analysis procedure of </w:t>
      </w:r>
      <w:r w:rsidR="008178C1" w:rsidRPr="008178C1">
        <w:t xml:space="preserve">Hennessy </w:t>
      </w:r>
      <w:r w:rsidR="008178C1">
        <w:t xml:space="preserve">et al. </w:t>
      </w:r>
      <w:r w:rsidR="008178C1" w:rsidRPr="008178C1">
        <w:t>(2015)</w:t>
      </w:r>
      <w:r w:rsidR="00706F75">
        <w:t xml:space="preserve">, which is itself based on </w:t>
      </w:r>
      <w:r w:rsidR="00B678A6">
        <w:t>Standards Australia</w:t>
      </w:r>
      <w:r w:rsidR="00A71ED2">
        <w:t xml:space="preserve"> (2009)</w:t>
      </w:r>
      <w:r w:rsidR="00A71ED2">
        <w:rPr>
          <w:rStyle w:val="FootnoteReference"/>
        </w:rPr>
        <w:footnoteReference w:id="7"/>
      </w:r>
      <w:r w:rsidR="00363D57">
        <w:t xml:space="preserve">. </w:t>
      </w:r>
      <w:r w:rsidR="002E5E7C">
        <w:t>T</w:t>
      </w:r>
      <w:r w:rsidR="001C7279">
        <w:t>he</w:t>
      </w:r>
      <w:r w:rsidR="00363D57">
        <w:t xml:space="preserve"> </w:t>
      </w:r>
      <w:r w:rsidR="004F6377">
        <w:t>S</w:t>
      </w:r>
      <w:r w:rsidR="00363D57">
        <w:t>tandard risk assessment involves three broad steps</w:t>
      </w:r>
      <w:r w:rsidR="00B25BF5">
        <w:t xml:space="preserve">, which </w:t>
      </w:r>
      <w:r w:rsidR="00646866">
        <w:t xml:space="preserve">also </w:t>
      </w:r>
      <w:r w:rsidR="001F327B">
        <w:t>guide the structure of this report</w:t>
      </w:r>
      <w:r w:rsidR="00363D57">
        <w:t xml:space="preserve"> (</w:t>
      </w:r>
      <w:r w:rsidR="00363D57">
        <w:fldChar w:fldCharType="begin"/>
      </w:r>
      <w:r w:rsidR="00363D57">
        <w:instrText xml:space="preserve"> REF _Ref46086722 \h </w:instrText>
      </w:r>
      <w:r w:rsidR="00363D57">
        <w:fldChar w:fldCharType="separate"/>
      </w:r>
      <w:r w:rsidR="00235F13">
        <w:t xml:space="preserve">Figure </w:t>
      </w:r>
      <w:r w:rsidR="00235F13">
        <w:rPr>
          <w:noProof/>
        </w:rPr>
        <w:t>2</w:t>
      </w:r>
      <w:r w:rsidR="00363D57">
        <w:fldChar w:fldCharType="end"/>
      </w:r>
      <w:r w:rsidR="00DE3CA4">
        <w:t>, grey box</w:t>
      </w:r>
      <w:r w:rsidR="00363D57">
        <w:t>).</w:t>
      </w:r>
      <w:r w:rsidR="0066239F">
        <w:t xml:space="preserve"> Prior to</w:t>
      </w:r>
      <w:r w:rsidR="00F03192">
        <w:t xml:space="preserve"> risk assessment the context</w:t>
      </w:r>
      <w:r w:rsidR="001F3912">
        <w:t xml:space="preserve"> </w:t>
      </w:r>
      <w:r w:rsidR="007A62BE">
        <w:t xml:space="preserve">first </w:t>
      </w:r>
      <w:r w:rsidR="001F3912">
        <w:t>needs to be defined</w:t>
      </w:r>
      <w:r w:rsidR="00AB1EE1">
        <w:t xml:space="preserve"> (</w:t>
      </w:r>
      <w:r w:rsidR="004A7395">
        <w:t xml:space="preserve">outlined in </w:t>
      </w:r>
      <w:r w:rsidR="00AB1EE1">
        <w:t>Section 1</w:t>
      </w:r>
      <w:r w:rsidR="004A7395">
        <w:t xml:space="preserve"> above</w:t>
      </w:r>
      <w:r w:rsidR="00AB1EE1">
        <w:t>)</w:t>
      </w:r>
      <w:r w:rsidR="006B06D1">
        <w:t xml:space="preserve">. </w:t>
      </w:r>
      <w:r w:rsidR="00D62E17">
        <w:t xml:space="preserve">The risk assessment </w:t>
      </w:r>
      <w:r w:rsidR="00080098">
        <w:t xml:space="preserve">step is the primary focus of this study, and is explained further below. </w:t>
      </w:r>
      <w:r w:rsidR="006B06D1">
        <w:t xml:space="preserve">Following </w:t>
      </w:r>
      <w:r w:rsidR="00F95154">
        <w:t>risk assessment</w:t>
      </w:r>
      <w:r w:rsidR="000A15F6">
        <w:t>,</w:t>
      </w:r>
      <w:r w:rsidR="00F95154">
        <w:t xml:space="preserve"> </w:t>
      </w:r>
      <w:r w:rsidR="00BB2A35">
        <w:t xml:space="preserve">it is then recommended </w:t>
      </w:r>
      <w:r w:rsidR="000031CD">
        <w:t xml:space="preserve">that </w:t>
      </w:r>
      <w:r w:rsidR="004A7395">
        <w:t xml:space="preserve">decisions </w:t>
      </w:r>
      <w:r w:rsidR="004D7D1D">
        <w:t xml:space="preserve">are </w:t>
      </w:r>
      <w:r w:rsidR="004A7395">
        <w:t xml:space="preserve">made on appropriate actions to mitigate and/or adapt to the </w:t>
      </w:r>
      <w:r w:rsidR="00896858">
        <w:t xml:space="preserve">identified </w:t>
      </w:r>
      <w:r w:rsidR="004A7395">
        <w:t>risks</w:t>
      </w:r>
      <w:r w:rsidR="004D72ED">
        <w:t xml:space="preserve">, with this </w:t>
      </w:r>
      <w:r w:rsidR="00AC25C0">
        <w:t>‘</w:t>
      </w:r>
      <w:r w:rsidR="004D72ED">
        <w:t>r</w:t>
      </w:r>
      <w:r w:rsidR="00AC25C0">
        <w:t xml:space="preserve">isk treatment’ step </w:t>
      </w:r>
      <w:r w:rsidR="004E6F89">
        <w:t>l</w:t>
      </w:r>
      <w:r w:rsidR="005C0025">
        <w:t xml:space="preserve">ying </w:t>
      </w:r>
      <w:r w:rsidR="004E6F89">
        <w:t>outside of the scope of this study</w:t>
      </w:r>
      <w:r w:rsidR="00B01B84">
        <w:t>.</w:t>
      </w:r>
      <w:r w:rsidR="004A7395">
        <w:t xml:space="preserve"> </w:t>
      </w:r>
    </w:p>
    <w:p w14:paraId="089C3C9D" w14:textId="77777777" w:rsidR="00DD0679" w:rsidRDefault="00DD0679" w:rsidP="00DD0679">
      <w:pPr>
        <w:pStyle w:val="BodyText"/>
        <w:jc w:val="center"/>
        <w:rPr>
          <w:color w:val="C00000"/>
        </w:rPr>
      </w:pPr>
      <w:r w:rsidRPr="00AC2838">
        <w:rPr>
          <w:noProof/>
        </w:rPr>
        <w:drawing>
          <wp:inline distT="0" distB="0" distL="0" distR="0" wp14:anchorId="39FE9D2E" wp14:editId="2BFF73B4">
            <wp:extent cx="2840997" cy="3854450"/>
            <wp:effectExtent l="0" t="0" r="0" b="0"/>
            <wp:docPr id="1302523904" name="Picture 130252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8389" cy="3905180"/>
                    </a:xfrm>
                    <a:prstGeom prst="rect">
                      <a:avLst/>
                    </a:prstGeom>
                    <a:noFill/>
                    <a:ln>
                      <a:noFill/>
                    </a:ln>
                  </pic:spPr>
                </pic:pic>
              </a:graphicData>
            </a:graphic>
          </wp:inline>
        </w:drawing>
      </w:r>
    </w:p>
    <w:p w14:paraId="6CCE1B6A" w14:textId="24870BE6" w:rsidR="00DD0679" w:rsidRDefault="00DD0679" w:rsidP="00DD0679">
      <w:pPr>
        <w:pStyle w:val="Caption"/>
        <w:rPr>
          <w:b w:val="0"/>
          <w:bCs w:val="0"/>
        </w:rPr>
      </w:pPr>
      <w:bookmarkStart w:id="27" w:name="_Ref46086722"/>
      <w:bookmarkStart w:id="28" w:name="_Toc52968232"/>
      <w:r>
        <w:t xml:space="preserve">Figure </w:t>
      </w:r>
      <w:r>
        <w:fldChar w:fldCharType="begin"/>
      </w:r>
      <w:r>
        <w:instrText>SEQ Figure \* ARABIC</w:instrText>
      </w:r>
      <w:r>
        <w:fldChar w:fldCharType="separate"/>
      </w:r>
      <w:r w:rsidR="00235F13">
        <w:rPr>
          <w:noProof/>
        </w:rPr>
        <w:t>2</w:t>
      </w:r>
      <w:r>
        <w:fldChar w:fldCharType="end"/>
      </w:r>
      <w:bookmarkEnd w:id="27"/>
      <w:r>
        <w:t xml:space="preserve">. </w:t>
      </w:r>
      <w:r w:rsidRPr="00387EFD">
        <w:rPr>
          <w:b w:val="0"/>
          <w:bCs w:val="0"/>
        </w:rPr>
        <w:t>Simplified climate change impact assessment pathway</w:t>
      </w:r>
      <w:r>
        <w:rPr>
          <w:b w:val="0"/>
          <w:bCs w:val="0"/>
        </w:rPr>
        <w:t xml:space="preserve">. This </w:t>
      </w:r>
      <w:r w:rsidR="009768D6">
        <w:rPr>
          <w:b w:val="0"/>
          <w:bCs w:val="0"/>
        </w:rPr>
        <w:t>study</w:t>
      </w:r>
      <w:r>
        <w:rPr>
          <w:b w:val="0"/>
          <w:bCs w:val="0"/>
        </w:rPr>
        <w:t xml:space="preserve"> is primarily concerned with the steps within the ‘Risk assessment’ boundary. Adapted from Hennessy et al. (2015).</w:t>
      </w:r>
      <w:bookmarkEnd w:id="28"/>
    </w:p>
    <w:p w14:paraId="29340652" w14:textId="77777777" w:rsidR="00DD0679" w:rsidRPr="00DD0679" w:rsidRDefault="00DD0679" w:rsidP="00DD0679">
      <w:pPr>
        <w:pStyle w:val="BodyText"/>
      </w:pPr>
    </w:p>
    <w:p w14:paraId="3082B51B" w14:textId="5999C0F1" w:rsidR="009032DE" w:rsidRPr="009032DE" w:rsidRDefault="00363D57" w:rsidP="009032DE">
      <w:pPr>
        <w:pStyle w:val="BodyText"/>
      </w:pPr>
      <w:r>
        <w:lastRenderedPageBreak/>
        <w:t>The first</w:t>
      </w:r>
      <w:r w:rsidR="00DD0679">
        <w:t xml:space="preserve"> </w:t>
      </w:r>
      <w:r w:rsidR="005C0025">
        <w:t>component</w:t>
      </w:r>
      <w:r w:rsidR="00E07074">
        <w:t xml:space="preserve"> of </w:t>
      </w:r>
      <w:r w:rsidR="005C0025">
        <w:t xml:space="preserve">the </w:t>
      </w:r>
      <w:r w:rsidR="00E07074">
        <w:t>risk assessment</w:t>
      </w:r>
      <w:r w:rsidR="005C0025">
        <w:t xml:space="preserve"> </w:t>
      </w:r>
      <w:r w:rsidR="005C0025" w:rsidRPr="006D5D2C">
        <w:t>step</w:t>
      </w:r>
      <w:r w:rsidRPr="006D5D2C">
        <w:t xml:space="preserve">, Identification, </w:t>
      </w:r>
      <w:r w:rsidR="00E132C1" w:rsidRPr="006D5D2C">
        <w:t xml:space="preserve">involves </w:t>
      </w:r>
      <w:r w:rsidR="002620CA" w:rsidRPr="006D5D2C">
        <w:t>recognising and describing the risk factors relevant to the context under consideration</w:t>
      </w:r>
      <w:r w:rsidR="008B1D0B" w:rsidRPr="006D5D2C">
        <w:t xml:space="preserve">. </w:t>
      </w:r>
      <w:r w:rsidR="00055079" w:rsidRPr="006D5D2C">
        <w:t xml:space="preserve">Within the context of this study this requires </w:t>
      </w:r>
      <w:r w:rsidR="008B1D0B" w:rsidRPr="006D5D2C">
        <w:t>identifying the ris</w:t>
      </w:r>
      <w:r w:rsidR="008E656A" w:rsidRPr="006D5D2C">
        <w:t>k factors that could potentially impact, either positively or negatively</w:t>
      </w:r>
      <w:r w:rsidR="000437DF" w:rsidRPr="006D5D2C">
        <w:t xml:space="preserve">, abatement </w:t>
      </w:r>
      <w:r w:rsidR="00F77ECF">
        <w:t>accumulation</w:t>
      </w:r>
      <w:r w:rsidR="000437DF" w:rsidRPr="006D5D2C">
        <w:t xml:space="preserve"> and </w:t>
      </w:r>
      <w:r w:rsidR="00F77ECF">
        <w:t>maintenance</w:t>
      </w:r>
      <w:r w:rsidR="000437DF" w:rsidRPr="006D5D2C">
        <w:t xml:space="preserve"> for ERF sequestration projects.</w:t>
      </w:r>
      <w:r w:rsidR="000803D2" w:rsidRPr="006D5D2C">
        <w:t xml:space="preserve"> The second step, Analysis, </w:t>
      </w:r>
      <w:r w:rsidR="005F6827" w:rsidRPr="006D5D2C">
        <w:t xml:space="preserve">involves understanding the consequences of </w:t>
      </w:r>
      <w:r w:rsidR="00A51A71" w:rsidRPr="006D5D2C">
        <w:t>the risk factors, together with their likelihood</w:t>
      </w:r>
      <w:r w:rsidR="001C2914" w:rsidRPr="006D5D2C">
        <w:t xml:space="preserve"> (or probability of occurrence)</w:t>
      </w:r>
      <w:r w:rsidR="00A40BB6" w:rsidRPr="006D5D2C">
        <w:t xml:space="preserve">. When combined, consequences and likelihoods provide the framework for </w:t>
      </w:r>
      <w:r w:rsidR="00297FD0" w:rsidRPr="006D5D2C">
        <w:t xml:space="preserve">establishing the </w:t>
      </w:r>
      <w:r w:rsidR="001C2914" w:rsidRPr="006D5D2C">
        <w:t xml:space="preserve">overall </w:t>
      </w:r>
      <w:r w:rsidR="00297FD0" w:rsidRPr="006D5D2C">
        <w:t xml:space="preserve">level of risk. </w:t>
      </w:r>
      <w:r w:rsidR="00B114C3" w:rsidRPr="006D5D2C">
        <w:t>Consequences are</w:t>
      </w:r>
      <w:r w:rsidR="00CD6AB8" w:rsidRPr="006D5D2C">
        <w:t xml:space="preserve"> defined relative to the magnitude of </w:t>
      </w:r>
      <w:r w:rsidR="00E130CE" w:rsidRPr="006D5D2C">
        <w:t xml:space="preserve">change in abatement expected </w:t>
      </w:r>
      <w:r w:rsidR="00B316BB" w:rsidRPr="006D5D2C">
        <w:t xml:space="preserve">as a function of both </w:t>
      </w:r>
      <w:r w:rsidR="005C0825" w:rsidRPr="006D5D2C">
        <w:t>expos</w:t>
      </w:r>
      <w:r w:rsidR="00B316BB" w:rsidRPr="006D5D2C">
        <w:t xml:space="preserve">ure </w:t>
      </w:r>
      <w:r w:rsidR="005C0825" w:rsidRPr="006D5D2C">
        <w:t>to the risk factor</w:t>
      </w:r>
      <w:r w:rsidR="00B316BB" w:rsidRPr="006D5D2C">
        <w:t>, and the sensitivit</w:t>
      </w:r>
      <w:r w:rsidR="00806406" w:rsidRPr="006D5D2C">
        <w:t>y to the factor</w:t>
      </w:r>
      <w:r w:rsidR="005C0825" w:rsidRPr="006D5D2C">
        <w:t xml:space="preserve">. </w:t>
      </w:r>
      <w:r w:rsidR="00806406" w:rsidRPr="006D5D2C">
        <w:t xml:space="preserve">The third step, </w:t>
      </w:r>
      <w:r w:rsidR="00417134" w:rsidRPr="006D5D2C">
        <w:t xml:space="preserve">Evaluation, </w:t>
      </w:r>
      <w:r w:rsidR="00AD5A57" w:rsidRPr="006D5D2C">
        <w:t>involves</w:t>
      </w:r>
      <w:r w:rsidR="00AD5A57">
        <w:t xml:space="preserve"> </w:t>
      </w:r>
      <w:r w:rsidR="00192DD4">
        <w:t>the assessment of the risk analysis</w:t>
      </w:r>
      <w:r w:rsidR="00DC0622">
        <w:t xml:space="preserve"> in the context of </w:t>
      </w:r>
      <w:r w:rsidR="00A86F30">
        <w:t>future</w:t>
      </w:r>
      <w:r w:rsidR="00E864A2">
        <w:t xml:space="preserve"> climate impacts or benefits, </w:t>
      </w:r>
      <w:r w:rsidR="00BF3429">
        <w:t>across all of the risk factors identified.</w:t>
      </w:r>
      <w:r w:rsidR="000C1D4A">
        <w:t xml:space="preserve"> </w:t>
      </w:r>
    </w:p>
    <w:p w14:paraId="49C87C42" w14:textId="39A8862A" w:rsidR="00F677E0" w:rsidRDefault="008B3B93" w:rsidP="00F677E0">
      <w:pPr>
        <w:pStyle w:val="BodyText"/>
      </w:pPr>
      <w:r>
        <w:t xml:space="preserve">In this </w:t>
      </w:r>
      <w:r w:rsidR="0092113E">
        <w:t>study</w:t>
      </w:r>
      <w:r>
        <w:t xml:space="preserve"> consequences are </w:t>
      </w:r>
      <w:r w:rsidR="00F8733E">
        <w:t xml:space="preserve">specified separately for abatement </w:t>
      </w:r>
      <w:r w:rsidR="00F77ECF">
        <w:t xml:space="preserve">maintenance </w:t>
      </w:r>
      <w:r w:rsidR="00F8733E">
        <w:t xml:space="preserve">and </w:t>
      </w:r>
      <w:r w:rsidR="00F77ECF">
        <w:t>accumulation</w:t>
      </w:r>
      <w:r w:rsidR="001C5B4E">
        <w:t xml:space="preserve"> (</w:t>
      </w:r>
      <w:r w:rsidR="001C5B4E">
        <w:fldChar w:fldCharType="begin"/>
      </w:r>
      <w:r w:rsidR="001C5B4E">
        <w:instrText xml:space="preserve"> REF _Ref46088668 \h </w:instrText>
      </w:r>
      <w:r w:rsidR="001C5B4E">
        <w:fldChar w:fldCharType="separate"/>
      </w:r>
      <w:r w:rsidR="00235F13">
        <w:t xml:space="preserve">Table </w:t>
      </w:r>
      <w:r w:rsidR="00235F13">
        <w:rPr>
          <w:noProof/>
        </w:rPr>
        <w:t>2</w:t>
      </w:r>
      <w:r w:rsidR="001C5B4E">
        <w:fldChar w:fldCharType="end"/>
      </w:r>
      <w:r w:rsidR="001C5B4E">
        <w:t>)</w:t>
      </w:r>
      <w:r w:rsidR="00C90AEA">
        <w:t>, and include only environmental consequences (with financial and other non-environmental impacts beyond the scope of this review)</w:t>
      </w:r>
      <w:r w:rsidR="00FA2FAD">
        <w:t>. A five-class classification is adopted, ranging from ‘Insignificant</w:t>
      </w:r>
      <w:r w:rsidR="00C74668">
        <w:t>’, with less than a 5% expected loss of abatement over the long term, through to ‘Catastrophic’</w:t>
      </w:r>
      <w:r w:rsidR="002617BD">
        <w:t>, where greater than 80% of achieved abatement is lost (or less than 20% of planned abatement is achieved</w:t>
      </w:r>
      <w:r w:rsidR="005D223B">
        <w:t>)</w:t>
      </w:r>
      <w:r w:rsidR="00210890">
        <w:t>,</w:t>
      </w:r>
      <w:r w:rsidR="005D223B">
        <w:t xml:space="preserve"> combined with a subsequent loss in capacity to sequester </w:t>
      </w:r>
      <w:r w:rsidR="008C7052">
        <w:t>additional</w:t>
      </w:r>
      <w:r w:rsidR="005D223B">
        <w:t xml:space="preserve"> carbon into the future.</w:t>
      </w:r>
      <w:r w:rsidR="0024663C">
        <w:t xml:space="preserve"> Although the consequence</w:t>
      </w:r>
      <w:r w:rsidR="008C7052">
        <w:t xml:space="preserve"> classes </w:t>
      </w:r>
      <w:r w:rsidR="0024663C">
        <w:t xml:space="preserve">are </w:t>
      </w:r>
      <w:r w:rsidR="00BD3BE4">
        <w:t>defined</w:t>
      </w:r>
      <w:r w:rsidR="0024663C">
        <w:t xml:space="preserve"> numerically, in the absence of </w:t>
      </w:r>
      <w:r w:rsidR="00026B6F">
        <w:t xml:space="preserve">detailed modelling to quantify </w:t>
      </w:r>
      <w:r w:rsidR="00F71E93">
        <w:t xml:space="preserve">the </w:t>
      </w:r>
      <w:r w:rsidR="00026B6F">
        <w:t xml:space="preserve">possible impacts of the risk factors </w:t>
      </w:r>
      <w:r w:rsidR="006A1D8B">
        <w:t>across the different ERF activities</w:t>
      </w:r>
      <w:r w:rsidR="009E54C4">
        <w:t xml:space="preserve"> on sequestration outcomes</w:t>
      </w:r>
      <w:r w:rsidR="006A1D8B">
        <w:t xml:space="preserve">, </w:t>
      </w:r>
      <w:r w:rsidR="00026B6F">
        <w:t xml:space="preserve">the numerical classes </w:t>
      </w:r>
      <w:r w:rsidR="006A1D8B">
        <w:t xml:space="preserve">are here used as a guide </w:t>
      </w:r>
      <w:r w:rsidR="009E54C4">
        <w:t xml:space="preserve">to ranking </w:t>
      </w:r>
      <w:r w:rsidR="00B83C2F">
        <w:t>outcomes, based largely on qualitative information</w:t>
      </w:r>
      <w:r w:rsidR="00F374DC">
        <w:t>.</w:t>
      </w:r>
      <w:r w:rsidR="00B83C2F">
        <w:t xml:space="preserve"> </w:t>
      </w:r>
    </w:p>
    <w:p w14:paraId="7FDA226A" w14:textId="0E6166C2" w:rsidR="00F8733E" w:rsidRPr="00FD67BF" w:rsidRDefault="00F8733E" w:rsidP="00F8733E">
      <w:pPr>
        <w:pStyle w:val="Caption"/>
        <w:spacing w:after="60"/>
        <w:rPr>
          <w:color w:val="FFFFFF" w:themeColor="background1"/>
        </w:rPr>
      </w:pPr>
      <w:bookmarkStart w:id="29" w:name="_Ref46088668"/>
      <w:bookmarkStart w:id="30" w:name="_Toc52971057"/>
      <w:r>
        <w:t xml:space="preserve">Table </w:t>
      </w:r>
      <w:r>
        <w:fldChar w:fldCharType="begin"/>
      </w:r>
      <w:r>
        <w:instrText>SEQ Table \* ARABIC</w:instrText>
      </w:r>
      <w:r>
        <w:fldChar w:fldCharType="separate"/>
      </w:r>
      <w:r w:rsidR="00235F13">
        <w:rPr>
          <w:noProof/>
        </w:rPr>
        <w:t>2</w:t>
      </w:r>
      <w:r>
        <w:fldChar w:fldCharType="end"/>
      </w:r>
      <w:bookmarkEnd w:id="29"/>
      <w:r>
        <w:t xml:space="preserve">. </w:t>
      </w:r>
      <w:r w:rsidR="001C5B4E" w:rsidRPr="001C5B4E">
        <w:rPr>
          <w:b w:val="0"/>
          <w:bCs w:val="0"/>
        </w:rPr>
        <w:t xml:space="preserve">Five-class classification of the consequences of identified risk factors to abatement </w:t>
      </w:r>
      <w:r w:rsidR="006B3316">
        <w:rPr>
          <w:b w:val="0"/>
          <w:bCs w:val="0"/>
        </w:rPr>
        <w:t>accumulation</w:t>
      </w:r>
      <w:r w:rsidR="001C5B4E" w:rsidRPr="001C5B4E">
        <w:rPr>
          <w:b w:val="0"/>
          <w:bCs w:val="0"/>
        </w:rPr>
        <w:t xml:space="preserve"> and </w:t>
      </w:r>
      <w:r w:rsidR="006B3316">
        <w:rPr>
          <w:b w:val="0"/>
          <w:bCs w:val="0"/>
        </w:rPr>
        <w:t>maintenance</w:t>
      </w:r>
      <w:r w:rsidR="001C5B4E" w:rsidRPr="001C5B4E">
        <w:rPr>
          <w:b w:val="0"/>
          <w:bCs w:val="0"/>
        </w:rPr>
        <w:t>.</w:t>
      </w:r>
      <w:bookmarkEnd w:id="30"/>
    </w:p>
    <w:tbl>
      <w:tblPr>
        <w:tblStyle w:val="TableCSIRO"/>
        <w:tblW w:w="7938" w:type="dxa"/>
        <w:tblInd w:w="0" w:type="dxa"/>
        <w:tblLayout w:type="fixed"/>
        <w:tblLook w:val="04A0" w:firstRow="1" w:lastRow="0" w:firstColumn="1" w:lastColumn="0" w:noHBand="0" w:noVBand="1"/>
      </w:tblPr>
      <w:tblGrid>
        <w:gridCol w:w="1560"/>
        <w:gridCol w:w="3118"/>
        <w:gridCol w:w="3260"/>
      </w:tblGrid>
      <w:tr w:rsidR="006A742B" w:rsidRPr="00096464" w14:paraId="123F6332" w14:textId="77777777" w:rsidTr="00F913D2">
        <w:trPr>
          <w:cnfStyle w:val="100000000000" w:firstRow="1" w:lastRow="0" w:firstColumn="0" w:lastColumn="0" w:oddVBand="0" w:evenVBand="0" w:oddHBand="0"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3461387" w14:textId="77777777" w:rsidR="00F677E0" w:rsidRPr="00096464" w:rsidRDefault="00F677E0" w:rsidP="007574B3">
            <w:pPr>
              <w:rPr>
                <w:rFonts w:asciiTheme="minorHAnsi" w:hAnsiTheme="minorHAnsi" w:cs="Arial"/>
                <w:sz w:val="20"/>
                <w:szCs w:val="20"/>
              </w:rPr>
            </w:pPr>
            <w:r>
              <w:rPr>
                <w:rFonts w:asciiTheme="minorHAnsi" w:hAnsiTheme="minorHAnsi" w:cs="Arial"/>
                <w:sz w:val="20"/>
                <w:szCs w:val="20"/>
              </w:rPr>
              <w:t>Rating</w:t>
            </w:r>
          </w:p>
        </w:tc>
        <w:tc>
          <w:tcPr>
            <w:tcW w:w="3118" w:type="dxa"/>
            <w:vAlign w:val="center"/>
          </w:tcPr>
          <w:p w14:paraId="4267F67D" w14:textId="03372737" w:rsidR="00F677E0" w:rsidRPr="00096464" w:rsidRDefault="00F677E0"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Abatement </w:t>
            </w:r>
            <w:r w:rsidR="00F77ECF">
              <w:rPr>
                <w:rFonts w:asciiTheme="minorHAnsi" w:hAnsiTheme="minorHAnsi" w:cs="Arial"/>
                <w:sz w:val="20"/>
                <w:szCs w:val="20"/>
              </w:rPr>
              <w:t>accumulation</w:t>
            </w:r>
          </w:p>
        </w:tc>
        <w:tc>
          <w:tcPr>
            <w:tcW w:w="3260" w:type="dxa"/>
            <w:vAlign w:val="center"/>
          </w:tcPr>
          <w:p w14:paraId="2967E816" w14:textId="75E808F9" w:rsidR="00F677E0" w:rsidRPr="00096464" w:rsidRDefault="00F677E0"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Abatement </w:t>
            </w:r>
            <w:r w:rsidR="00F77ECF">
              <w:rPr>
                <w:rFonts w:asciiTheme="minorHAnsi" w:hAnsiTheme="minorHAnsi" w:cs="Arial"/>
                <w:sz w:val="20"/>
                <w:szCs w:val="20"/>
              </w:rPr>
              <w:t>maintenance</w:t>
            </w:r>
          </w:p>
        </w:tc>
      </w:tr>
      <w:tr w:rsidR="00F677E0" w:rsidRPr="000E2DF1" w14:paraId="7B363657" w14:textId="77777777" w:rsidTr="007574B3">
        <w:trPr>
          <w:cnfStyle w:val="000000100000" w:firstRow="0" w:lastRow="0" w:firstColumn="0" w:lastColumn="0" w:oddVBand="0" w:evenVBand="0" w:oddHBand="1" w:evenHBand="0" w:firstRowFirstColumn="0" w:firstRowLastColumn="0" w:lastRowFirstColumn="0" w:lastRowLastColumn="0"/>
          <w:trHeight w:hRule="exact" w:val="1074"/>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4CD286B"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Catastrophic</w:t>
            </w:r>
          </w:p>
        </w:tc>
        <w:tc>
          <w:tcPr>
            <w:tcW w:w="3118" w:type="dxa"/>
            <w:vAlign w:val="center"/>
          </w:tcPr>
          <w:p w14:paraId="6D944DA3" w14:textId="77777777"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&lt;20% of expected abatement achieved, and/or lost capacity to re-establish activity.</w:t>
            </w:r>
          </w:p>
        </w:tc>
        <w:tc>
          <w:tcPr>
            <w:tcW w:w="3260" w:type="dxa"/>
          </w:tcPr>
          <w:p w14:paraId="6D734BF7" w14:textId="77777777"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&gt;80% of all previously sequestered abatement lost back to the atmosphere, and/or lost capacity re-sequester lost carbon.</w:t>
            </w:r>
          </w:p>
        </w:tc>
      </w:tr>
      <w:tr w:rsidR="00F677E0" w:rsidRPr="000E2DF1" w14:paraId="61F480EB" w14:textId="77777777" w:rsidTr="007574B3">
        <w:trPr>
          <w:trHeight w:hRule="exact" w:val="977"/>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9CFB24C"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Major</w:t>
            </w:r>
          </w:p>
        </w:tc>
        <w:tc>
          <w:tcPr>
            <w:tcW w:w="3118" w:type="dxa"/>
            <w:vAlign w:val="center"/>
          </w:tcPr>
          <w:p w14:paraId="5FF7EFD7" w14:textId="77777777" w:rsidR="00F677E0" w:rsidRPr="000E2DF1" w:rsidRDefault="00F677E0"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20-50% of expected abatement achieved, with potential to re-establish activity.</w:t>
            </w:r>
          </w:p>
        </w:tc>
        <w:tc>
          <w:tcPr>
            <w:tcW w:w="3260" w:type="dxa"/>
            <w:vAlign w:val="center"/>
          </w:tcPr>
          <w:p w14:paraId="45B8E9F7" w14:textId="77777777" w:rsidR="00F677E0" w:rsidRPr="000E2DF1" w:rsidRDefault="00F677E0" w:rsidP="007574B3">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50-80% of sequestered abatement lost, with potential to re-establish activity.</w:t>
            </w:r>
          </w:p>
        </w:tc>
      </w:tr>
      <w:tr w:rsidR="00F677E0" w:rsidRPr="000E2DF1" w14:paraId="32EC03A6" w14:textId="77777777" w:rsidTr="007574B3">
        <w:trPr>
          <w:cnfStyle w:val="000000100000" w:firstRow="0" w:lastRow="0" w:firstColumn="0" w:lastColumn="0" w:oddVBand="0" w:evenVBand="0" w:oddHBand="1" w:evenHBand="0" w:firstRowFirstColumn="0" w:firstRowLastColumn="0" w:lastRowFirstColumn="0" w:lastRowLastColumn="0"/>
          <w:trHeight w:hRule="exact" w:val="999"/>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C02AF8D"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Moderate</w:t>
            </w:r>
          </w:p>
        </w:tc>
        <w:tc>
          <w:tcPr>
            <w:tcW w:w="3118" w:type="dxa"/>
            <w:vAlign w:val="center"/>
          </w:tcPr>
          <w:p w14:paraId="0E15C1EA" w14:textId="77777777"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50-80% of expected abatement achieved, with potential to re-establish activity.</w:t>
            </w:r>
          </w:p>
        </w:tc>
        <w:tc>
          <w:tcPr>
            <w:tcW w:w="3260" w:type="dxa"/>
            <w:vAlign w:val="center"/>
          </w:tcPr>
          <w:p w14:paraId="73BCF410" w14:textId="77777777"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20-50% of sequestered abatement lost, with potential to re-establish activity.</w:t>
            </w:r>
          </w:p>
        </w:tc>
      </w:tr>
      <w:tr w:rsidR="00F677E0" w:rsidRPr="000E2DF1" w14:paraId="20C13602" w14:textId="77777777" w:rsidTr="007574B3">
        <w:trPr>
          <w:trHeight w:hRule="exact" w:val="92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354B845"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Minor</w:t>
            </w:r>
          </w:p>
        </w:tc>
        <w:tc>
          <w:tcPr>
            <w:tcW w:w="3118" w:type="dxa"/>
            <w:vAlign w:val="center"/>
          </w:tcPr>
          <w:p w14:paraId="042DF50E" w14:textId="77777777" w:rsidR="00F677E0" w:rsidRPr="000E2DF1" w:rsidRDefault="00F677E0"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80-95% of expected abatement achieved, with potential to re-establish activity.</w:t>
            </w:r>
          </w:p>
        </w:tc>
        <w:tc>
          <w:tcPr>
            <w:tcW w:w="3260" w:type="dxa"/>
            <w:vAlign w:val="center"/>
          </w:tcPr>
          <w:p w14:paraId="721EC039" w14:textId="77777777" w:rsidR="00F677E0" w:rsidRPr="000E2DF1" w:rsidRDefault="00F677E0"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sz w:val="20"/>
                <w:szCs w:val="20"/>
              </w:rPr>
              <w:t>5-20% of sequestered abatement lost, with potential to re-establish activity.</w:t>
            </w:r>
          </w:p>
        </w:tc>
      </w:tr>
      <w:tr w:rsidR="00F677E0" w:rsidRPr="000E2DF1" w14:paraId="139B7DF9" w14:textId="77777777" w:rsidTr="007574B3">
        <w:trPr>
          <w:cnfStyle w:val="000000100000" w:firstRow="0" w:lastRow="0" w:firstColumn="0" w:lastColumn="0" w:oddVBand="0" w:evenVBand="0" w:oddHBand="1" w:evenHBand="0" w:firstRowFirstColumn="0" w:firstRowLastColumn="0" w:lastRowFirstColumn="0" w:lastRowLastColumn="0"/>
          <w:trHeight w:hRule="exact" w:val="537"/>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F41A266"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Insignificant</w:t>
            </w:r>
          </w:p>
        </w:tc>
        <w:tc>
          <w:tcPr>
            <w:tcW w:w="3118" w:type="dxa"/>
            <w:vAlign w:val="center"/>
          </w:tcPr>
          <w:p w14:paraId="03FFFB53" w14:textId="1DC0AFE7" w:rsidR="00F677E0" w:rsidRPr="000E2DF1" w:rsidRDefault="00415FFF"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cstheme="minorHAnsi"/>
                <w:sz w:val="20"/>
                <w:szCs w:val="20"/>
              </w:rPr>
              <w:t>≥</w:t>
            </w:r>
            <w:r w:rsidR="00F677E0">
              <w:rPr>
                <w:rFonts w:asciiTheme="minorHAnsi" w:hAnsiTheme="minorHAnsi"/>
                <w:sz w:val="20"/>
                <w:szCs w:val="20"/>
              </w:rPr>
              <w:t>95% of expected abatement achieved</w:t>
            </w:r>
          </w:p>
        </w:tc>
        <w:tc>
          <w:tcPr>
            <w:tcW w:w="3260" w:type="dxa"/>
          </w:tcPr>
          <w:p w14:paraId="0E595195" w14:textId="6CD69F6D"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Abatement maintained </w:t>
            </w:r>
            <w:r w:rsidR="00506CF8">
              <w:rPr>
                <w:rFonts w:asciiTheme="minorHAnsi" w:hAnsiTheme="minorHAnsi"/>
                <w:sz w:val="20"/>
                <w:szCs w:val="20"/>
              </w:rPr>
              <w:t xml:space="preserve">or increased </w:t>
            </w:r>
            <w:r>
              <w:rPr>
                <w:rFonts w:asciiTheme="minorHAnsi" w:hAnsiTheme="minorHAnsi"/>
                <w:sz w:val="20"/>
                <w:szCs w:val="20"/>
              </w:rPr>
              <w:t>through time with no material losses (&lt; 5%)</w:t>
            </w:r>
          </w:p>
        </w:tc>
      </w:tr>
    </w:tbl>
    <w:p w14:paraId="4F3C7FD0" w14:textId="77777777" w:rsidR="00F677E0" w:rsidRDefault="00F677E0" w:rsidP="00F677E0">
      <w:pPr>
        <w:pStyle w:val="BodyText"/>
        <w:rPr>
          <w:color w:val="C00000"/>
        </w:rPr>
      </w:pPr>
    </w:p>
    <w:p w14:paraId="66B605B7" w14:textId="5144E928" w:rsidR="00F374DC" w:rsidRDefault="00DF3019" w:rsidP="00F677E0">
      <w:pPr>
        <w:pStyle w:val="BodyText"/>
        <w:rPr>
          <w:color w:val="C00000"/>
        </w:rPr>
      </w:pPr>
      <w:r>
        <w:t xml:space="preserve">Given the large uncertainty on the </w:t>
      </w:r>
      <w:r w:rsidR="00113603">
        <w:t>magnitude and direction of future changes to m</w:t>
      </w:r>
      <w:r>
        <w:t>any climate factors</w:t>
      </w:r>
      <w:r w:rsidR="00113603">
        <w:t>, and also uncertainties associated with</w:t>
      </w:r>
      <w:r w:rsidR="007C7EC2">
        <w:t xml:space="preserve"> the likely impacts of those factors f</w:t>
      </w:r>
      <w:r w:rsidR="004F6377">
        <w:t>or</w:t>
      </w:r>
      <w:r w:rsidR="007C7EC2">
        <w:t xml:space="preserve"> sequestration, a</w:t>
      </w:r>
      <w:r w:rsidR="00F374DC">
        <w:t xml:space="preserve"> </w:t>
      </w:r>
      <w:r w:rsidR="007C7EC2">
        <w:t xml:space="preserve">relatively </w:t>
      </w:r>
      <w:r w:rsidR="00F374DC">
        <w:t xml:space="preserve">simple three-class </w:t>
      </w:r>
      <w:r w:rsidR="004859CE">
        <w:t xml:space="preserve">classification of likelihoods is </w:t>
      </w:r>
      <w:r w:rsidR="000F5150">
        <w:t xml:space="preserve">adopted. Risk factors </w:t>
      </w:r>
      <w:r w:rsidR="000F5150">
        <w:lastRenderedPageBreak/>
        <w:t>are assessed as being likely to occur (with &gt;66% probability)</w:t>
      </w:r>
      <w:r w:rsidR="00C21638">
        <w:t>, unlikely to occur (with &lt; 33% probability), or as likely to occur as not (</w:t>
      </w:r>
      <w:r w:rsidR="00F25161">
        <w:t xml:space="preserve">33-66% probability). As </w:t>
      </w:r>
      <w:r w:rsidR="008A3576">
        <w:t>per</w:t>
      </w:r>
      <w:r w:rsidR="00F25161">
        <w:t xml:space="preserve"> the </w:t>
      </w:r>
      <w:r w:rsidR="00E03EBB">
        <w:t xml:space="preserve">consequences </w:t>
      </w:r>
      <w:r w:rsidR="0043409D">
        <w:t>classification</w:t>
      </w:r>
      <w:r w:rsidR="00BE6F89">
        <w:t xml:space="preserve"> (Table 2)</w:t>
      </w:r>
      <w:r w:rsidR="00F25161">
        <w:t>, where quantitative information is not available, then these numeric</w:t>
      </w:r>
      <w:r w:rsidR="0043409D">
        <w:t xml:space="preserve"> constraints are used to guide</w:t>
      </w:r>
      <w:r w:rsidR="00F665D2">
        <w:t xml:space="preserve"> the analysis based on the </w:t>
      </w:r>
      <w:r w:rsidR="004F6377">
        <w:t xml:space="preserve">available </w:t>
      </w:r>
      <w:r w:rsidR="00F665D2">
        <w:t>qualitative information.</w:t>
      </w:r>
      <w:r w:rsidR="0043409D">
        <w:t xml:space="preserve"> </w:t>
      </w:r>
      <w:r w:rsidR="00365930">
        <w:t>Where appropriate</w:t>
      </w:r>
      <w:r w:rsidR="008B6E85">
        <w:t>,</w:t>
      </w:r>
      <w:r w:rsidR="00365930">
        <w:t xml:space="preserve"> the likelihood classification is applied at both the scale of an individual project, and also at the scale of the </w:t>
      </w:r>
      <w:r w:rsidR="009F5696">
        <w:t>ERF scheme as a whole. At the project scale</w:t>
      </w:r>
      <w:r w:rsidR="00002EA6">
        <w:t xml:space="preserve">, and depending on the likelihood and the spatial and temporal distribution of the risk factors, it is possible for individual projects to be significantly impacted, but </w:t>
      </w:r>
      <w:r w:rsidR="00F60756">
        <w:t xml:space="preserve">where </w:t>
      </w:r>
      <w:r w:rsidR="00002EA6">
        <w:t xml:space="preserve">the </w:t>
      </w:r>
      <w:r w:rsidR="003014A5">
        <w:t xml:space="preserve">net </w:t>
      </w:r>
      <w:r w:rsidR="00002EA6">
        <w:t xml:space="preserve">impact at the portfolio-level </w:t>
      </w:r>
      <w:r w:rsidR="000A5939">
        <w:t>may</w:t>
      </w:r>
      <w:r w:rsidR="00002EA6">
        <w:t xml:space="preserve"> be minimal. However</w:t>
      </w:r>
      <w:r w:rsidR="0031231A">
        <w:t>,</w:t>
      </w:r>
      <w:r w:rsidR="00002EA6">
        <w:t xml:space="preserve"> if the risk factors </w:t>
      </w:r>
      <w:r w:rsidR="00394305">
        <w:t>operate simultaneously over large spatial domains, or are correlated through time, then</w:t>
      </w:r>
      <w:r w:rsidR="00FD488D">
        <w:t xml:space="preserve"> there is the potential for </w:t>
      </w:r>
      <w:r w:rsidR="00583ADE">
        <w:t>co-ordinated losses (or failures), which could</w:t>
      </w:r>
      <w:r w:rsidR="00BF7B0B">
        <w:t xml:space="preserve"> have immediate and long-lasting consequences for the portfolio as a whole.</w:t>
      </w:r>
      <w:r w:rsidR="00394305">
        <w:t xml:space="preserve"> </w:t>
      </w:r>
      <w:r w:rsidR="009F5696">
        <w:t xml:space="preserve"> </w:t>
      </w:r>
      <w:r w:rsidR="004859CE">
        <w:t xml:space="preserve"> </w:t>
      </w:r>
    </w:p>
    <w:p w14:paraId="145E3A56" w14:textId="5C689BA7" w:rsidR="00CC551E" w:rsidRPr="00FD67BF" w:rsidRDefault="00CC551E" w:rsidP="00CC551E">
      <w:pPr>
        <w:pStyle w:val="Caption"/>
        <w:spacing w:after="60"/>
        <w:rPr>
          <w:color w:val="FFFFFF" w:themeColor="background1"/>
        </w:rPr>
      </w:pPr>
      <w:bookmarkStart w:id="31" w:name="_Ref46090407"/>
      <w:bookmarkStart w:id="32" w:name="_Toc52971058"/>
      <w:r>
        <w:t xml:space="preserve">Table </w:t>
      </w:r>
      <w:r>
        <w:fldChar w:fldCharType="begin"/>
      </w:r>
      <w:r>
        <w:instrText>SEQ Table \* ARABIC</w:instrText>
      </w:r>
      <w:r>
        <w:fldChar w:fldCharType="separate"/>
      </w:r>
      <w:r w:rsidR="00235F13">
        <w:rPr>
          <w:noProof/>
        </w:rPr>
        <w:t>3</w:t>
      </w:r>
      <w:r>
        <w:fldChar w:fldCharType="end"/>
      </w:r>
      <w:bookmarkEnd w:id="31"/>
      <w:r>
        <w:t xml:space="preserve">. </w:t>
      </w:r>
      <w:r w:rsidRPr="00CC551E">
        <w:rPr>
          <w:b w:val="0"/>
          <w:bCs w:val="0"/>
        </w:rPr>
        <w:t>Three</w:t>
      </w:r>
      <w:r w:rsidRPr="001C5B4E">
        <w:rPr>
          <w:b w:val="0"/>
          <w:bCs w:val="0"/>
        </w:rPr>
        <w:t xml:space="preserve">-class classification of the </w:t>
      </w:r>
      <w:r>
        <w:rPr>
          <w:b w:val="0"/>
          <w:bCs w:val="0"/>
        </w:rPr>
        <w:t>like</w:t>
      </w:r>
      <w:r w:rsidR="00CC6D15">
        <w:rPr>
          <w:b w:val="0"/>
          <w:bCs w:val="0"/>
        </w:rPr>
        <w:t>li</w:t>
      </w:r>
      <w:r>
        <w:rPr>
          <w:b w:val="0"/>
          <w:bCs w:val="0"/>
        </w:rPr>
        <w:t xml:space="preserve">hoods of </w:t>
      </w:r>
      <w:r w:rsidR="00CC6D15">
        <w:rPr>
          <w:b w:val="0"/>
          <w:bCs w:val="0"/>
        </w:rPr>
        <w:t>i</w:t>
      </w:r>
      <w:r w:rsidRPr="001C5B4E">
        <w:rPr>
          <w:b w:val="0"/>
          <w:bCs w:val="0"/>
        </w:rPr>
        <w:t>dentified risk factors</w:t>
      </w:r>
      <w:r>
        <w:rPr>
          <w:b w:val="0"/>
          <w:bCs w:val="0"/>
        </w:rPr>
        <w:t>, considered both at the portfolio level, and the individual project level.</w:t>
      </w:r>
      <w:bookmarkEnd w:id="32"/>
    </w:p>
    <w:tbl>
      <w:tblPr>
        <w:tblStyle w:val="TableCSIRO"/>
        <w:tblW w:w="8931" w:type="dxa"/>
        <w:tblInd w:w="0" w:type="dxa"/>
        <w:tblLayout w:type="fixed"/>
        <w:tblLook w:val="04A0" w:firstRow="1" w:lastRow="0" w:firstColumn="1" w:lastColumn="0" w:noHBand="0" w:noVBand="1"/>
      </w:tblPr>
      <w:tblGrid>
        <w:gridCol w:w="1985"/>
        <w:gridCol w:w="2268"/>
        <w:gridCol w:w="2268"/>
        <w:gridCol w:w="2410"/>
      </w:tblGrid>
      <w:tr w:rsidR="006F78F2" w:rsidRPr="00096464" w14:paraId="35D40282" w14:textId="77777777" w:rsidTr="00F913D2">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753C3FA" w14:textId="77777777" w:rsidR="00F677E0" w:rsidRPr="00096464" w:rsidRDefault="00F677E0" w:rsidP="007574B3">
            <w:pPr>
              <w:rPr>
                <w:rFonts w:asciiTheme="minorHAnsi" w:hAnsiTheme="minorHAnsi" w:cs="Arial"/>
                <w:sz w:val="20"/>
                <w:szCs w:val="20"/>
              </w:rPr>
            </w:pPr>
            <w:r>
              <w:rPr>
                <w:rFonts w:asciiTheme="minorHAnsi" w:hAnsiTheme="minorHAnsi" w:cs="Arial"/>
                <w:sz w:val="20"/>
                <w:szCs w:val="20"/>
              </w:rPr>
              <w:t>Rating</w:t>
            </w:r>
          </w:p>
        </w:tc>
        <w:tc>
          <w:tcPr>
            <w:tcW w:w="2268" w:type="dxa"/>
            <w:vAlign w:val="center"/>
          </w:tcPr>
          <w:p w14:paraId="5392075D" w14:textId="77777777" w:rsidR="00F677E0" w:rsidRPr="00096464" w:rsidRDefault="00F677E0"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268" w:type="dxa"/>
            <w:vAlign w:val="center"/>
          </w:tcPr>
          <w:p w14:paraId="243167CF" w14:textId="77777777" w:rsidR="00F677E0" w:rsidRPr="00096464" w:rsidRDefault="00F677E0" w:rsidP="007574B3">
            <w:pP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Project-level risks</w:t>
            </w:r>
          </w:p>
        </w:tc>
        <w:tc>
          <w:tcPr>
            <w:tcW w:w="2410" w:type="dxa"/>
            <w:vAlign w:val="center"/>
          </w:tcPr>
          <w:p w14:paraId="16682EB1" w14:textId="77777777" w:rsidR="00F677E0" w:rsidRPr="00096464" w:rsidRDefault="00F677E0"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Portfolio-level risks</w:t>
            </w:r>
          </w:p>
        </w:tc>
      </w:tr>
      <w:tr w:rsidR="00F677E0" w:rsidRPr="000E2DF1" w14:paraId="0AC66AD9" w14:textId="77777777" w:rsidTr="007574B3">
        <w:trPr>
          <w:cnfStyle w:val="000000100000" w:firstRow="0" w:lastRow="0" w:firstColumn="0" w:lastColumn="0" w:oddVBand="0" w:evenVBand="0" w:oddHBand="1" w:evenHBand="0" w:firstRowFirstColumn="0" w:firstRowLastColumn="0" w:lastRowFirstColumn="0" w:lastRowLastColumn="0"/>
          <w:trHeight w:hRule="exact" w:val="535"/>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17116A3" w14:textId="77777777" w:rsidR="00F677E0" w:rsidRPr="0013169D" w:rsidRDefault="00F677E0" w:rsidP="007574B3">
            <w:pPr>
              <w:pStyle w:val="BodyText"/>
              <w:spacing w:before="0" w:after="0" w:line="240" w:lineRule="auto"/>
              <w:rPr>
                <w:rFonts w:asciiTheme="minorHAnsi" w:hAnsiTheme="minorHAnsi"/>
                <w:b w:val="0"/>
                <w:sz w:val="20"/>
                <w:szCs w:val="20"/>
              </w:rPr>
            </w:pPr>
            <w:r w:rsidRPr="0013169D">
              <w:rPr>
                <w:rFonts w:asciiTheme="minorHAnsi" w:hAnsiTheme="minorHAnsi"/>
                <w:b w:val="0"/>
                <w:sz w:val="20"/>
                <w:szCs w:val="20"/>
              </w:rPr>
              <w:t>Likely</w:t>
            </w:r>
          </w:p>
        </w:tc>
        <w:tc>
          <w:tcPr>
            <w:tcW w:w="2268" w:type="dxa"/>
            <w:vAlign w:val="center"/>
          </w:tcPr>
          <w:p w14:paraId="0A7E23CA" w14:textId="77777777"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&gt;66% probability</w:t>
            </w:r>
          </w:p>
        </w:tc>
        <w:tc>
          <w:tcPr>
            <w:tcW w:w="2268" w:type="dxa"/>
            <w:vMerge w:val="restart"/>
            <w:tcBorders>
              <w:bottom w:val="nil"/>
            </w:tcBorders>
            <w:shd w:val="clear" w:color="auto" w:fill="auto"/>
          </w:tcPr>
          <w:p w14:paraId="242FB52E" w14:textId="77777777" w:rsidR="00F677E0"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cs="Arial"/>
                <w:sz w:val="20"/>
                <w:szCs w:val="20"/>
              </w:rPr>
              <w:t>Likelihood of individual projects being impacted, but risk factors not necessarily coordinated in time or space</w:t>
            </w:r>
          </w:p>
        </w:tc>
        <w:tc>
          <w:tcPr>
            <w:tcW w:w="2410" w:type="dxa"/>
            <w:vMerge w:val="restart"/>
            <w:tcBorders>
              <w:bottom w:val="nil"/>
            </w:tcBorders>
            <w:shd w:val="clear" w:color="auto" w:fill="auto"/>
          </w:tcPr>
          <w:p w14:paraId="55467369" w14:textId="012D95F9" w:rsidR="00F677E0"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cs="Arial"/>
                <w:sz w:val="20"/>
                <w:szCs w:val="20"/>
              </w:rPr>
              <w:t xml:space="preserve">Likelihood of risk factors impacting sequestration simultaneously across space or time, with </w:t>
            </w:r>
            <w:r w:rsidR="00CC6D15">
              <w:rPr>
                <w:rFonts w:asciiTheme="minorHAnsi" w:hAnsiTheme="minorHAnsi" w:cs="Arial"/>
                <w:sz w:val="20"/>
                <w:szCs w:val="20"/>
              </w:rPr>
              <w:t xml:space="preserve">greater opportunity for </w:t>
            </w:r>
            <w:r>
              <w:rPr>
                <w:rFonts w:asciiTheme="minorHAnsi" w:hAnsiTheme="minorHAnsi" w:cs="Arial"/>
                <w:sz w:val="20"/>
                <w:szCs w:val="20"/>
              </w:rPr>
              <w:t>portfolio-wide consequences</w:t>
            </w:r>
          </w:p>
        </w:tc>
      </w:tr>
      <w:tr w:rsidR="00F677E0" w:rsidRPr="000E2DF1" w14:paraId="610447C6" w14:textId="77777777" w:rsidTr="007574B3">
        <w:trPr>
          <w:trHeight w:hRule="exact" w:val="685"/>
        </w:trPr>
        <w:tc>
          <w:tcPr>
            <w:cnfStyle w:val="001000000000" w:firstRow="0" w:lastRow="0" w:firstColumn="1" w:lastColumn="0" w:oddVBand="0" w:evenVBand="0" w:oddHBand="0" w:evenHBand="0" w:firstRowFirstColumn="0" w:firstRowLastColumn="0" w:lastRowFirstColumn="0" w:lastRowLastColumn="0"/>
            <w:tcW w:w="1985" w:type="dxa"/>
            <w:tcBorders>
              <w:bottom w:val="nil"/>
            </w:tcBorders>
            <w:vAlign w:val="center"/>
          </w:tcPr>
          <w:p w14:paraId="78FDC94A" w14:textId="77777777" w:rsidR="00F677E0" w:rsidRPr="0013169D" w:rsidRDefault="00F677E0" w:rsidP="007574B3">
            <w:pPr>
              <w:pStyle w:val="BodyText"/>
              <w:spacing w:before="0" w:after="0" w:line="240" w:lineRule="auto"/>
              <w:rPr>
                <w:rFonts w:asciiTheme="minorHAnsi" w:hAnsiTheme="minorHAnsi"/>
                <w:b w:val="0"/>
                <w:sz w:val="20"/>
                <w:szCs w:val="20"/>
              </w:rPr>
            </w:pPr>
            <w:r w:rsidRPr="0013169D">
              <w:rPr>
                <w:rFonts w:asciiTheme="minorHAnsi" w:hAnsiTheme="minorHAnsi"/>
                <w:b w:val="0"/>
                <w:sz w:val="20"/>
                <w:szCs w:val="20"/>
              </w:rPr>
              <w:t>About as likely as not</w:t>
            </w:r>
          </w:p>
        </w:tc>
        <w:tc>
          <w:tcPr>
            <w:tcW w:w="2268" w:type="dxa"/>
            <w:tcBorders>
              <w:bottom w:val="nil"/>
            </w:tcBorders>
            <w:vAlign w:val="center"/>
          </w:tcPr>
          <w:p w14:paraId="3B202082" w14:textId="77777777" w:rsidR="00F677E0" w:rsidRPr="000E2DF1" w:rsidRDefault="00F677E0"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 33-66% probability</w:t>
            </w:r>
          </w:p>
        </w:tc>
        <w:tc>
          <w:tcPr>
            <w:tcW w:w="2268" w:type="dxa"/>
            <w:vMerge/>
            <w:tcBorders>
              <w:bottom w:val="nil"/>
            </w:tcBorders>
            <w:shd w:val="clear" w:color="auto" w:fill="auto"/>
          </w:tcPr>
          <w:p w14:paraId="5A8BE22F" w14:textId="77777777" w:rsidR="00F677E0" w:rsidRDefault="00F677E0"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410" w:type="dxa"/>
            <w:vMerge/>
            <w:tcBorders>
              <w:bottom w:val="nil"/>
            </w:tcBorders>
            <w:shd w:val="clear" w:color="auto" w:fill="auto"/>
          </w:tcPr>
          <w:p w14:paraId="4370FF70" w14:textId="77777777" w:rsidR="00F677E0" w:rsidRDefault="00F677E0"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r w:rsidR="00F677E0" w:rsidRPr="000E2DF1" w14:paraId="4463B812" w14:textId="77777777" w:rsidTr="007574B3">
        <w:trPr>
          <w:cnfStyle w:val="000000100000" w:firstRow="0" w:lastRow="0" w:firstColumn="0" w:lastColumn="0" w:oddVBand="0" w:evenVBand="0" w:oddHBand="1" w:evenHBand="0" w:firstRowFirstColumn="0" w:firstRowLastColumn="0" w:lastRowFirstColumn="0" w:lastRowLastColumn="0"/>
          <w:trHeight w:hRule="exact" w:val="539"/>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auto"/>
            </w:tcBorders>
            <w:vAlign w:val="center"/>
          </w:tcPr>
          <w:p w14:paraId="7C4259D5"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Unlikely</w:t>
            </w:r>
          </w:p>
        </w:tc>
        <w:tc>
          <w:tcPr>
            <w:tcW w:w="2268" w:type="dxa"/>
            <w:tcBorders>
              <w:bottom w:val="single" w:sz="4" w:space="0" w:color="auto"/>
            </w:tcBorders>
            <w:vAlign w:val="center"/>
          </w:tcPr>
          <w:p w14:paraId="187D3798" w14:textId="77777777"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&lt;33% probability</w:t>
            </w:r>
          </w:p>
        </w:tc>
        <w:tc>
          <w:tcPr>
            <w:tcW w:w="2268" w:type="dxa"/>
            <w:vMerge/>
            <w:tcBorders>
              <w:bottom w:val="single" w:sz="4" w:space="0" w:color="auto"/>
            </w:tcBorders>
            <w:shd w:val="clear" w:color="auto" w:fill="auto"/>
          </w:tcPr>
          <w:p w14:paraId="16CA7566" w14:textId="77777777" w:rsidR="00F677E0"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410" w:type="dxa"/>
            <w:vMerge/>
            <w:tcBorders>
              <w:bottom w:val="single" w:sz="4" w:space="0" w:color="auto"/>
            </w:tcBorders>
            <w:shd w:val="clear" w:color="auto" w:fill="auto"/>
          </w:tcPr>
          <w:p w14:paraId="70067FDA" w14:textId="77777777" w:rsidR="00F677E0"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r>
    </w:tbl>
    <w:p w14:paraId="40995757" w14:textId="77777777" w:rsidR="00F677E0" w:rsidRDefault="00F677E0" w:rsidP="00F677E0">
      <w:pPr>
        <w:pStyle w:val="BodyText"/>
        <w:rPr>
          <w:color w:val="C00000"/>
        </w:rPr>
      </w:pPr>
    </w:p>
    <w:p w14:paraId="5669F8DB" w14:textId="73E2D050" w:rsidR="00AE042E" w:rsidRDefault="00AE042E" w:rsidP="00F677E0">
      <w:pPr>
        <w:pStyle w:val="BodyText"/>
        <w:rPr>
          <w:color w:val="C00000"/>
        </w:rPr>
      </w:pPr>
      <w:r>
        <w:t>Combining the consequence (</w:t>
      </w:r>
      <w:r w:rsidR="00F83854">
        <w:fldChar w:fldCharType="begin"/>
      </w:r>
      <w:r w:rsidR="00F83854">
        <w:instrText xml:space="preserve"> REF _Ref46088668 \h </w:instrText>
      </w:r>
      <w:r w:rsidR="00F83854">
        <w:fldChar w:fldCharType="separate"/>
      </w:r>
      <w:r w:rsidR="00235F13">
        <w:t xml:space="preserve">Table </w:t>
      </w:r>
      <w:r w:rsidR="00235F13">
        <w:rPr>
          <w:noProof/>
        </w:rPr>
        <w:t>2</w:t>
      </w:r>
      <w:r w:rsidR="00F83854">
        <w:fldChar w:fldCharType="end"/>
      </w:r>
      <w:r>
        <w:t xml:space="preserve">) and likelihood </w:t>
      </w:r>
      <w:r w:rsidR="00C456D4">
        <w:t>(</w:t>
      </w:r>
      <w:r w:rsidR="00C456D4">
        <w:fldChar w:fldCharType="begin"/>
      </w:r>
      <w:r w:rsidR="00C456D4">
        <w:instrText xml:space="preserve"> REF _Ref46090407 \h </w:instrText>
      </w:r>
      <w:r w:rsidR="00C456D4">
        <w:fldChar w:fldCharType="separate"/>
      </w:r>
      <w:r w:rsidR="00235F13">
        <w:t xml:space="preserve">Table </w:t>
      </w:r>
      <w:r w:rsidR="00235F13">
        <w:rPr>
          <w:noProof/>
        </w:rPr>
        <w:t>3</w:t>
      </w:r>
      <w:r w:rsidR="00C456D4">
        <w:fldChar w:fldCharType="end"/>
      </w:r>
      <w:r w:rsidR="00C456D4">
        <w:t xml:space="preserve">) </w:t>
      </w:r>
      <w:r>
        <w:t>classification</w:t>
      </w:r>
      <w:r w:rsidR="00F81C6A">
        <w:t>s</w:t>
      </w:r>
      <w:r>
        <w:t xml:space="preserve"> </w:t>
      </w:r>
      <w:r w:rsidR="00A701B6">
        <w:t>gives a matrix of risk priority classes that can be assigned to combinations of ERF activit</w:t>
      </w:r>
      <w:r w:rsidR="002B6DDB">
        <w:t>ies</w:t>
      </w:r>
      <w:r w:rsidR="00A701B6">
        <w:t xml:space="preserve"> and risk factor</w:t>
      </w:r>
      <w:r w:rsidR="002B6DDB">
        <w:t>s</w:t>
      </w:r>
      <w:r w:rsidR="00F83854">
        <w:t xml:space="preserve"> (</w:t>
      </w:r>
      <w:r w:rsidR="00F83854">
        <w:fldChar w:fldCharType="begin"/>
      </w:r>
      <w:r w:rsidR="00F83854">
        <w:instrText xml:space="preserve"> REF _Ref46090374 \h </w:instrText>
      </w:r>
      <w:r w:rsidR="00F83854">
        <w:fldChar w:fldCharType="separate"/>
      </w:r>
      <w:r w:rsidR="00235F13">
        <w:t xml:space="preserve">Table </w:t>
      </w:r>
      <w:r w:rsidR="00235F13">
        <w:rPr>
          <w:noProof/>
        </w:rPr>
        <w:t>4</w:t>
      </w:r>
      <w:r w:rsidR="00F83854">
        <w:fldChar w:fldCharType="end"/>
      </w:r>
      <w:r w:rsidR="00F83854">
        <w:t>).</w:t>
      </w:r>
      <w:r w:rsidR="00307134">
        <w:t xml:space="preserve"> Four classes are defined relative to the various combinations of </w:t>
      </w:r>
      <w:r w:rsidR="00723AF5">
        <w:t>consequence and likelihood; low, medium, high and extreme.</w:t>
      </w:r>
    </w:p>
    <w:p w14:paraId="55B88569" w14:textId="4C44C279" w:rsidR="00F677E0" w:rsidRPr="00BF7B0B" w:rsidRDefault="00BF7B0B" w:rsidP="00BF7B0B">
      <w:pPr>
        <w:pStyle w:val="Caption"/>
        <w:spacing w:after="60"/>
        <w:rPr>
          <w:color w:val="FFFFFF" w:themeColor="background1"/>
        </w:rPr>
      </w:pPr>
      <w:bookmarkStart w:id="33" w:name="_Ref46090374"/>
      <w:bookmarkStart w:id="34" w:name="_Toc52971059"/>
      <w:r>
        <w:t xml:space="preserve">Table </w:t>
      </w:r>
      <w:r>
        <w:fldChar w:fldCharType="begin"/>
      </w:r>
      <w:r>
        <w:instrText>SEQ Table \* ARABIC</w:instrText>
      </w:r>
      <w:r>
        <w:fldChar w:fldCharType="separate"/>
      </w:r>
      <w:r w:rsidR="00235F13">
        <w:rPr>
          <w:noProof/>
        </w:rPr>
        <w:t>4</w:t>
      </w:r>
      <w:r>
        <w:fldChar w:fldCharType="end"/>
      </w:r>
      <w:bookmarkEnd w:id="33"/>
      <w:r>
        <w:t xml:space="preserve">. </w:t>
      </w:r>
      <w:r w:rsidR="009814A2">
        <w:rPr>
          <w:b w:val="0"/>
          <w:bCs w:val="0"/>
        </w:rPr>
        <w:t>R</w:t>
      </w:r>
      <w:r w:rsidR="008D6A19">
        <w:rPr>
          <w:b w:val="0"/>
          <w:bCs w:val="0"/>
        </w:rPr>
        <w:t xml:space="preserve">isk priority </w:t>
      </w:r>
      <w:r w:rsidRPr="001C5B4E">
        <w:rPr>
          <w:b w:val="0"/>
          <w:bCs w:val="0"/>
        </w:rPr>
        <w:t xml:space="preserve">classification </w:t>
      </w:r>
      <w:r w:rsidR="009814A2">
        <w:rPr>
          <w:b w:val="0"/>
          <w:bCs w:val="0"/>
        </w:rPr>
        <w:t>arising from the various combinations of consequence and likelihood</w:t>
      </w:r>
      <w:r>
        <w:rPr>
          <w:b w:val="0"/>
          <w:bCs w:val="0"/>
        </w:rPr>
        <w:t>.</w:t>
      </w:r>
      <w:bookmarkEnd w:id="34"/>
    </w:p>
    <w:tbl>
      <w:tblPr>
        <w:tblStyle w:val="TableCSIRO"/>
        <w:tblW w:w="8929" w:type="dxa"/>
        <w:tblInd w:w="0" w:type="dxa"/>
        <w:tblLayout w:type="fixed"/>
        <w:tblLook w:val="04A0" w:firstRow="1" w:lastRow="0" w:firstColumn="1" w:lastColumn="0" w:noHBand="0" w:noVBand="1"/>
      </w:tblPr>
      <w:tblGrid>
        <w:gridCol w:w="2127"/>
        <w:gridCol w:w="1417"/>
        <w:gridCol w:w="1276"/>
        <w:gridCol w:w="1417"/>
        <w:gridCol w:w="1418"/>
        <w:gridCol w:w="1274"/>
      </w:tblGrid>
      <w:tr w:rsidR="00F677E0" w:rsidRPr="00284A3B" w14:paraId="683FE6AF" w14:textId="77777777" w:rsidTr="002339F1">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2E30110" w14:textId="77777777" w:rsidR="00F677E0" w:rsidRPr="00284A3B" w:rsidRDefault="00F677E0" w:rsidP="007574B3">
            <w:pPr>
              <w:rPr>
                <w:rFonts w:asciiTheme="minorHAnsi" w:hAnsiTheme="minorHAnsi" w:cs="Arial"/>
                <w:b w:val="0"/>
                <w:bCs w:val="0"/>
                <w:sz w:val="20"/>
                <w:szCs w:val="20"/>
              </w:rPr>
            </w:pPr>
          </w:p>
        </w:tc>
        <w:tc>
          <w:tcPr>
            <w:tcW w:w="6802" w:type="dxa"/>
            <w:gridSpan w:val="5"/>
            <w:vAlign w:val="center"/>
          </w:tcPr>
          <w:p w14:paraId="79AC7636" w14:textId="77777777" w:rsidR="00F677E0" w:rsidRPr="008A5333" w:rsidRDefault="00F677E0" w:rsidP="007574B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8A5333">
              <w:rPr>
                <w:rFonts w:asciiTheme="minorHAnsi" w:hAnsiTheme="minorHAnsi" w:cs="Arial"/>
                <w:sz w:val="20"/>
                <w:szCs w:val="20"/>
              </w:rPr>
              <w:t>Consequences</w:t>
            </w:r>
          </w:p>
        </w:tc>
      </w:tr>
      <w:tr w:rsidR="00F677E0" w:rsidRPr="00284A3B" w14:paraId="6FC17351" w14:textId="77777777" w:rsidTr="00FF1395">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27" w:type="dxa"/>
            <w:tcBorders>
              <w:bottom w:val="single" w:sz="4" w:space="0" w:color="D9D9D9" w:themeColor="background1" w:themeShade="D9"/>
            </w:tcBorders>
            <w:shd w:val="clear" w:color="auto" w:fill="000000" w:themeFill="text1"/>
            <w:vAlign w:val="center"/>
          </w:tcPr>
          <w:p w14:paraId="7681A528" w14:textId="77777777" w:rsidR="00F677E0" w:rsidRPr="008A5333" w:rsidRDefault="00F677E0" w:rsidP="007574B3">
            <w:pPr>
              <w:rPr>
                <w:rFonts w:asciiTheme="minorHAnsi" w:hAnsiTheme="minorHAnsi" w:cs="Arial"/>
                <w:color w:val="FFFFFF" w:themeColor="background1"/>
                <w:sz w:val="20"/>
                <w:szCs w:val="20"/>
              </w:rPr>
            </w:pPr>
            <w:r w:rsidRPr="008A5333">
              <w:rPr>
                <w:rFonts w:asciiTheme="minorHAnsi" w:hAnsiTheme="minorHAnsi" w:cs="Arial"/>
                <w:color w:val="FFFFFF" w:themeColor="background1"/>
                <w:sz w:val="20"/>
                <w:szCs w:val="20"/>
              </w:rPr>
              <w:t>Likelihood</w:t>
            </w:r>
          </w:p>
        </w:tc>
        <w:tc>
          <w:tcPr>
            <w:tcW w:w="1417" w:type="dxa"/>
            <w:tcBorders>
              <w:bottom w:val="single" w:sz="4" w:space="0" w:color="D9D9D9" w:themeColor="background1" w:themeShade="D9"/>
            </w:tcBorders>
            <w:shd w:val="clear" w:color="auto" w:fill="000000" w:themeFill="text1"/>
            <w:vAlign w:val="center"/>
          </w:tcPr>
          <w:p w14:paraId="66A9EAB6" w14:textId="77777777" w:rsidR="00F677E0" w:rsidRPr="00284A3B" w:rsidRDefault="00F677E0" w:rsidP="007574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FFFFFF" w:themeColor="background1"/>
                <w:sz w:val="20"/>
                <w:szCs w:val="20"/>
              </w:rPr>
            </w:pPr>
            <w:r w:rsidRPr="00284A3B">
              <w:rPr>
                <w:rFonts w:asciiTheme="minorHAnsi" w:hAnsiTheme="minorHAnsi" w:cs="Arial"/>
                <w:color w:val="FFFFFF" w:themeColor="background1"/>
                <w:sz w:val="20"/>
                <w:szCs w:val="20"/>
              </w:rPr>
              <w:t>Insignificant</w:t>
            </w:r>
          </w:p>
        </w:tc>
        <w:tc>
          <w:tcPr>
            <w:tcW w:w="1276" w:type="dxa"/>
            <w:tcBorders>
              <w:bottom w:val="single" w:sz="4" w:space="0" w:color="D9D9D9" w:themeColor="background1" w:themeShade="D9"/>
            </w:tcBorders>
            <w:shd w:val="clear" w:color="auto" w:fill="000000" w:themeFill="text1"/>
            <w:vAlign w:val="center"/>
          </w:tcPr>
          <w:p w14:paraId="1F9E39A3" w14:textId="77777777" w:rsidR="00F677E0" w:rsidRPr="00284A3B" w:rsidRDefault="00F677E0" w:rsidP="007574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FFFFFF" w:themeColor="background1"/>
                <w:sz w:val="20"/>
                <w:szCs w:val="20"/>
              </w:rPr>
            </w:pPr>
            <w:r w:rsidRPr="00284A3B">
              <w:rPr>
                <w:rFonts w:asciiTheme="minorHAnsi" w:hAnsiTheme="minorHAnsi" w:cs="Arial"/>
                <w:color w:val="FFFFFF" w:themeColor="background1"/>
                <w:sz w:val="20"/>
                <w:szCs w:val="20"/>
              </w:rPr>
              <w:t>Minor</w:t>
            </w:r>
          </w:p>
        </w:tc>
        <w:tc>
          <w:tcPr>
            <w:tcW w:w="1417" w:type="dxa"/>
            <w:tcBorders>
              <w:bottom w:val="single" w:sz="4" w:space="0" w:color="D9D9D9" w:themeColor="background1" w:themeShade="D9"/>
            </w:tcBorders>
            <w:shd w:val="clear" w:color="auto" w:fill="000000" w:themeFill="text1"/>
            <w:vAlign w:val="center"/>
          </w:tcPr>
          <w:p w14:paraId="1415DCD0" w14:textId="77777777" w:rsidR="00F677E0" w:rsidRPr="00284A3B" w:rsidRDefault="00F677E0" w:rsidP="007574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FFFFFF" w:themeColor="background1"/>
                <w:sz w:val="20"/>
                <w:szCs w:val="20"/>
              </w:rPr>
            </w:pPr>
            <w:r w:rsidRPr="00284A3B">
              <w:rPr>
                <w:rFonts w:asciiTheme="minorHAnsi" w:hAnsiTheme="minorHAnsi" w:cs="Arial"/>
                <w:color w:val="FFFFFF" w:themeColor="background1"/>
                <w:sz w:val="20"/>
                <w:szCs w:val="20"/>
              </w:rPr>
              <w:t>Moderate</w:t>
            </w:r>
          </w:p>
        </w:tc>
        <w:tc>
          <w:tcPr>
            <w:tcW w:w="1418" w:type="dxa"/>
            <w:tcBorders>
              <w:bottom w:val="single" w:sz="4" w:space="0" w:color="D9D9D9" w:themeColor="background1" w:themeShade="D9"/>
            </w:tcBorders>
            <w:shd w:val="clear" w:color="auto" w:fill="000000" w:themeFill="text1"/>
            <w:vAlign w:val="center"/>
          </w:tcPr>
          <w:p w14:paraId="25C4CCB0" w14:textId="77777777" w:rsidR="00F677E0" w:rsidRPr="00284A3B" w:rsidRDefault="00F677E0" w:rsidP="007574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FFFFFF" w:themeColor="background1"/>
                <w:sz w:val="20"/>
                <w:szCs w:val="20"/>
              </w:rPr>
            </w:pPr>
            <w:r w:rsidRPr="00284A3B">
              <w:rPr>
                <w:rFonts w:asciiTheme="minorHAnsi" w:hAnsiTheme="minorHAnsi" w:cs="Arial"/>
                <w:color w:val="FFFFFF" w:themeColor="background1"/>
                <w:sz w:val="20"/>
                <w:szCs w:val="20"/>
              </w:rPr>
              <w:t>Major</w:t>
            </w:r>
          </w:p>
        </w:tc>
        <w:tc>
          <w:tcPr>
            <w:tcW w:w="1274" w:type="dxa"/>
            <w:tcBorders>
              <w:bottom w:val="single" w:sz="4" w:space="0" w:color="D9D9D9" w:themeColor="background1" w:themeShade="D9"/>
            </w:tcBorders>
            <w:shd w:val="clear" w:color="auto" w:fill="000000" w:themeFill="text1"/>
            <w:vAlign w:val="center"/>
          </w:tcPr>
          <w:p w14:paraId="09ED4D77" w14:textId="77777777" w:rsidR="00F677E0" w:rsidRPr="00284A3B" w:rsidRDefault="00F677E0" w:rsidP="007574B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FFFFFF" w:themeColor="background1"/>
                <w:sz w:val="20"/>
                <w:szCs w:val="20"/>
              </w:rPr>
            </w:pPr>
            <w:r w:rsidRPr="00284A3B">
              <w:rPr>
                <w:rFonts w:asciiTheme="minorHAnsi" w:hAnsiTheme="minorHAnsi" w:cs="Arial"/>
                <w:color w:val="FFFFFF" w:themeColor="background1"/>
                <w:sz w:val="20"/>
                <w:szCs w:val="20"/>
              </w:rPr>
              <w:t>Catastrophic</w:t>
            </w:r>
          </w:p>
        </w:tc>
      </w:tr>
      <w:tr w:rsidR="0007371F" w:rsidRPr="000E2DF1" w14:paraId="5F025833" w14:textId="77777777" w:rsidTr="00A75AC4">
        <w:trPr>
          <w:trHeight w:hRule="exact" w:val="537"/>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B71E741" w14:textId="77777777" w:rsidR="0007371F" w:rsidRPr="00284A3B" w:rsidRDefault="0007371F" w:rsidP="0007371F">
            <w:pPr>
              <w:pStyle w:val="BodyText"/>
              <w:spacing w:before="0" w:after="0" w:line="240" w:lineRule="auto"/>
              <w:rPr>
                <w:rFonts w:asciiTheme="minorHAnsi" w:hAnsiTheme="minorHAnsi"/>
                <w:b w:val="0"/>
                <w:bCs w:val="0"/>
                <w:sz w:val="20"/>
                <w:szCs w:val="20"/>
              </w:rPr>
            </w:pPr>
            <w:r w:rsidRPr="00284A3B">
              <w:rPr>
                <w:rFonts w:asciiTheme="minorHAnsi" w:hAnsiTheme="minorHAnsi"/>
                <w:b w:val="0"/>
                <w:bCs w:val="0"/>
                <w:sz w:val="20"/>
                <w:szCs w:val="20"/>
              </w:rPr>
              <w:t>Likely</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0BC19A22" w14:textId="77777777" w:rsidR="0007371F" w:rsidRPr="000E2DF1" w:rsidRDefault="0007371F" w:rsidP="0007371F">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Low</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1D42C506" w14:textId="05D1A11A" w:rsidR="0007371F" w:rsidRPr="000E2DF1" w:rsidRDefault="00FF1395" w:rsidP="0007371F">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Low</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258D3346" w14:textId="22B4EF3A" w:rsidR="0007371F" w:rsidRDefault="00281007" w:rsidP="0007371F">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Medium</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34F4D1D5" w14:textId="77777777" w:rsidR="0007371F" w:rsidRPr="00A75AC4" w:rsidRDefault="0007371F" w:rsidP="0007371F">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rPr>
            </w:pPr>
            <w:r w:rsidRPr="00A75AC4">
              <w:rPr>
                <w:rFonts w:asciiTheme="minorHAnsi" w:hAnsiTheme="minorHAnsi"/>
                <w:color w:val="FFFFFF" w:themeColor="background1"/>
                <w:sz w:val="20"/>
                <w:szCs w:val="20"/>
              </w:rPr>
              <w:t>High</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960000"/>
            <w:vAlign w:val="center"/>
          </w:tcPr>
          <w:p w14:paraId="2F22A435" w14:textId="77777777" w:rsidR="0007371F" w:rsidRPr="00A75AC4" w:rsidRDefault="0007371F" w:rsidP="0007371F">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rPr>
            </w:pPr>
            <w:r w:rsidRPr="00A75AC4">
              <w:rPr>
                <w:rFonts w:asciiTheme="minorHAnsi" w:hAnsiTheme="minorHAnsi"/>
                <w:color w:val="FFFFFF" w:themeColor="background1"/>
                <w:sz w:val="20"/>
                <w:szCs w:val="20"/>
              </w:rPr>
              <w:t>Extreme</w:t>
            </w:r>
          </w:p>
        </w:tc>
      </w:tr>
      <w:tr w:rsidR="00F677E0" w:rsidRPr="000E2DF1" w14:paraId="54C56505" w14:textId="77777777" w:rsidTr="00A75AC4">
        <w:trPr>
          <w:cnfStyle w:val="000000100000" w:firstRow="0" w:lastRow="0" w:firstColumn="0" w:lastColumn="0" w:oddVBand="0" w:evenVBand="0" w:oddHBand="1" w:evenHBand="0" w:firstRowFirstColumn="0" w:firstRowLastColumn="0" w:lastRowFirstColumn="0" w:lastRowLastColumn="0"/>
          <w:trHeight w:hRule="exact" w:val="663"/>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77FE7949" w14:textId="77777777" w:rsidR="00F677E0" w:rsidRPr="00284A3B" w:rsidRDefault="00F677E0" w:rsidP="007574B3">
            <w:pPr>
              <w:pStyle w:val="BodyText"/>
              <w:spacing w:before="0" w:after="0" w:line="240" w:lineRule="auto"/>
              <w:rPr>
                <w:rFonts w:asciiTheme="minorHAnsi" w:hAnsiTheme="minorHAnsi"/>
                <w:b w:val="0"/>
                <w:bCs w:val="0"/>
                <w:sz w:val="20"/>
                <w:szCs w:val="20"/>
              </w:rPr>
            </w:pPr>
            <w:r w:rsidRPr="00284A3B">
              <w:rPr>
                <w:rFonts w:asciiTheme="minorHAnsi" w:hAnsiTheme="minorHAnsi"/>
                <w:b w:val="0"/>
                <w:bCs w:val="0"/>
                <w:sz w:val="20"/>
                <w:szCs w:val="20"/>
              </w:rPr>
              <w:t>About as likely as not</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787FE0C6" w14:textId="77777777" w:rsidR="00F677E0" w:rsidRPr="000E2DF1" w:rsidRDefault="00F677E0" w:rsidP="007574B3">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Low</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5CDF047D" w14:textId="77777777" w:rsidR="00F677E0" w:rsidRPr="000E2DF1" w:rsidRDefault="00F677E0" w:rsidP="007574B3">
            <w:pPr>
              <w:pStyle w:val="BodyText"/>
              <w:spacing w:before="0"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Low</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72BC1349" w14:textId="77777777" w:rsidR="00F677E0" w:rsidRDefault="00F677E0" w:rsidP="007574B3">
            <w:pPr>
              <w:pStyle w:val="BodyText"/>
              <w:spacing w:before="0"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Medium</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343CDC98" w14:textId="77777777" w:rsidR="00F677E0" w:rsidRPr="00A75AC4" w:rsidRDefault="00F677E0" w:rsidP="007574B3">
            <w:pPr>
              <w:pStyle w:val="BodyText"/>
              <w:spacing w:before="0"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FFFF" w:themeColor="background1"/>
                <w:sz w:val="20"/>
                <w:szCs w:val="20"/>
              </w:rPr>
            </w:pPr>
            <w:r w:rsidRPr="00A75AC4">
              <w:rPr>
                <w:rFonts w:asciiTheme="minorHAnsi" w:hAnsiTheme="minorHAnsi"/>
                <w:color w:val="FFFFFF" w:themeColor="background1"/>
                <w:sz w:val="20"/>
                <w:szCs w:val="20"/>
              </w:rPr>
              <w:t>High</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960000"/>
            <w:vAlign w:val="center"/>
          </w:tcPr>
          <w:p w14:paraId="1DE77D7A" w14:textId="77777777" w:rsidR="00F677E0" w:rsidRPr="00A75AC4" w:rsidRDefault="00F677E0" w:rsidP="007574B3">
            <w:pPr>
              <w:pStyle w:val="BodyText"/>
              <w:spacing w:before="0"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FFFFFF" w:themeColor="background1"/>
                <w:sz w:val="20"/>
                <w:szCs w:val="20"/>
              </w:rPr>
            </w:pPr>
            <w:r w:rsidRPr="00A75AC4">
              <w:rPr>
                <w:rFonts w:asciiTheme="minorHAnsi" w:hAnsiTheme="minorHAnsi"/>
                <w:color w:val="FFFFFF" w:themeColor="background1"/>
                <w:sz w:val="20"/>
                <w:szCs w:val="20"/>
              </w:rPr>
              <w:t>Extreme</w:t>
            </w:r>
          </w:p>
        </w:tc>
      </w:tr>
      <w:tr w:rsidR="00F677E0" w:rsidRPr="000E2DF1" w14:paraId="2B6E4CDB" w14:textId="77777777" w:rsidTr="00A75AC4">
        <w:trPr>
          <w:trHeight w:hRule="exact" w:val="591"/>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3C15765" w14:textId="77777777" w:rsidR="00F677E0" w:rsidRPr="00284A3B" w:rsidRDefault="00F677E0" w:rsidP="007574B3">
            <w:pPr>
              <w:pStyle w:val="BodyText"/>
              <w:spacing w:before="0" w:after="0" w:line="240" w:lineRule="auto"/>
              <w:rPr>
                <w:rFonts w:asciiTheme="minorHAnsi" w:hAnsiTheme="minorHAnsi"/>
                <w:b w:val="0"/>
                <w:bCs w:val="0"/>
                <w:sz w:val="20"/>
                <w:szCs w:val="20"/>
              </w:rPr>
            </w:pPr>
            <w:r w:rsidRPr="00284A3B">
              <w:rPr>
                <w:rFonts w:asciiTheme="minorHAnsi" w:hAnsiTheme="minorHAnsi"/>
                <w:b w:val="0"/>
                <w:bCs w:val="0"/>
                <w:sz w:val="20"/>
                <w:szCs w:val="20"/>
              </w:rPr>
              <w:t>Unlikely</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1B428AB8" w14:textId="77777777" w:rsidR="00F677E0" w:rsidRPr="000E2DF1" w:rsidRDefault="00F677E0" w:rsidP="007574B3">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Low</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62D08431" w14:textId="77777777" w:rsidR="00F677E0" w:rsidRPr="000E2DF1" w:rsidRDefault="00F677E0" w:rsidP="007574B3">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Low</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746C3359" w14:textId="77777777" w:rsidR="00F677E0" w:rsidRDefault="00F677E0" w:rsidP="007574B3">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Low</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75FADE95" w14:textId="77777777" w:rsidR="00F677E0" w:rsidRDefault="00F677E0" w:rsidP="007574B3">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Medium</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3439E0B5" w14:textId="77777777" w:rsidR="00F677E0" w:rsidRPr="00A75AC4" w:rsidRDefault="00F677E0" w:rsidP="007574B3">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rPr>
            </w:pPr>
            <w:r w:rsidRPr="00A75AC4">
              <w:rPr>
                <w:rFonts w:asciiTheme="minorHAnsi" w:hAnsiTheme="minorHAnsi"/>
                <w:color w:val="FFFFFF" w:themeColor="background1"/>
                <w:sz w:val="20"/>
                <w:szCs w:val="20"/>
              </w:rPr>
              <w:t>High</w:t>
            </w:r>
          </w:p>
        </w:tc>
      </w:tr>
    </w:tbl>
    <w:p w14:paraId="418743E0" w14:textId="77777777" w:rsidR="00F677E0" w:rsidRDefault="00F677E0" w:rsidP="00F677E0">
      <w:pPr>
        <w:pStyle w:val="BodyText"/>
        <w:rPr>
          <w:color w:val="C00000"/>
        </w:rPr>
      </w:pPr>
    </w:p>
    <w:p w14:paraId="163FE919" w14:textId="0A2E6B04" w:rsidR="00394DFC" w:rsidRDefault="006500DC" w:rsidP="00F677E0">
      <w:pPr>
        <w:pStyle w:val="BodyText"/>
      </w:pPr>
      <w:r>
        <w:t xml:space="preserve">Climate projection science is inexact, with varying levels of confidence ascribed to </w:t>
      </w:r>
      <w:r w:rsidR="00AD1062">
        <w:t xml:space="preserve">predicted changes </w:t>
      </w:r>
      <w:r w:rsidR="0009562B">
        <w:t xml:space="preserve">across different </w:t>
      </w:r>
      <w:r w:rsidR="000876CB">
        <w:t>climate variables</w:t>
      </w:r>
      <w:r w:rsidR="00300164">
        <w:t>. This has additional implications for the interpretation of the risk priority classes</w:t>
      </w:r>
      <w:r w:rsidR="00EB0D3F">
        <w:t xml:space="preserve"> in </w:t>
      </w:r>
      <w:r w:rsidR="00EB0D3F">
        <w:fldChar w:fldCharType="begin"/>
      </w:r>
      <w:r w:rsidR="00EB0D3F">
        <w:instrText xml:space="preserve"> REF _Ref46090374 \h </w:instrText>
      </w:r>
      <w:r w:rsidR="00EB0D3F">
        <w:fldChar w:fldCharType="separate"/>
      </w:r>
      <w:r w:rsidR="00235F13">
        <w:t xml:space="preserve">Table </w:t>
      </w:r>
      <w:r w:rsidR="00235F13">
        <w:rPr>
          <w:noProof/>
        </w:rPr>
        <w:t>4</w:t>
      </w:r>
      <w:r w:rsidR="00EB0D3F">
        <w:fldChar w:fldCharType="end"/>
      </w:r>
      <w:r w:rsidR="004868F9">
        <w:t>. F</w:t>
      </w:r>
      <w:r w:rsidR="00163434">
        <w:t>or example</w:t>
      </w:r>
      <w:r w:rsidR="00A42A1F">
        <w:t>,</w:t>
      </w:r>
      <w:r w:rsidR="00163434">
        <w:t xml:space="preserve"> </w:t>
      </w:r>
      <w:r w:rsidR="00690691">
        <w:t xml:space="preserve">a rating of ‘medium’ risk may be </w:t>
      </w:r>
      <w:r w:rsidR="00146849">
        <w:t>based on knowledge that is well established and accepted (</w:t>
      </w:r>
      <w:r w:rsidR="00BC0B38">
        <w:t xml:space="preserve">i.e. </w:t>
      </w:r>
      <w:r w:rsidR="001E58A6">
        <w:t xml:space="preserve">with </w:t>
      </w:r>
      <w:r w:rsidR="00EE431A">
        <w:t>‘</w:t>
      </w:r>
      <w:r w:rsidR="00146849">
        <w:t>high</w:t>
      </w:r>
      <w:r w:rsidR="00EE431A">
        <w:t>’</w:t>
      </w:r>
      <w:r w:rsidR="00146849">
        <w:t xml:space="preserve"> confidence)</w:t>
      </w:r>
      <w:r w:rsidR="00FA1455">
        <w:t>;</w:t>
      </w:r>
      <w:r w:rsidR="008519A9">
        <w:t xml:space="preserve"> or may be based on knowledge that is </w:t>
      </w:r>
      <w:r w:rsidR="000766DF">
        <w:t xml:space="preserve">fragmentary </w:t>
      </w:r>
      <w:r w:rsidR="0061177E">
        <w:t xml:space="preserve">and/or with </w:t>
      </w:r>
      <w:r w:rsidR="00EE431A">
        <w:t>limited scientific consensus</w:t>
      </w:r>
      <w:r w:rsidR="00146849">
        <w:t xml:space="preserve"> </w:t>
      </w:r>
      <w:r w:rsidR="00EE431A">
        <w:t>(</w:t>
      </w:r>
      <w:r w:rsidR="0062645D">
        <w:t xml:space="preserve">i.e. with </w:t>
      </w:r>
      <w:r w:rsidR="00EE431A">
        <w:t>‘low’ confidence)</w:t>
      </w:r>
      <w:r w:rsidR="00004A16">
        <w:t xml:space="preserve">. </w:t>
      </w:r>
      <w:r w:rsidR="0040467D">
        <w:t xml:space="preserve">To </w:t>
      </w:r>
      <w:r w:rsidR="0077581C">
        <w:t xml:space="preserve">recognise </w:t>
      </w:r>
      <w:r w:rsidR="00EF0C1D">
        <w:t xml:space="preserve">this </w:t>
      </w:r>
      <w:r w:rsidR="00437F6C">
        <w:t>e</w:t>
      </w:r>
      <w:r w:rsidR="00394DFC">
        <w:t>mbedded</w:t>
      </w:r>
      <w:r w:rsidR="0040467D">
        <w:t xml:space="preserve"> uncertainty</w:t>
      </w:r>
      <w:r w:rsidR="00F4386B">
        <w:t xml:space="preserve">, </w:t>
      </w:r>
      <w:r w:rsidR="00B16A3B">
        <w:t xml:space="preserve">the </w:t>
      </w:r>
      <w:r w:rsidR="002A6B30">
        <w:t xml:space="preserve">confidence </w:t>
      </w:r>
      <w:r w:rsidR="00D91289">
        <w:t xml:space="preserve">ratings </w:t>
      </w:r>
      <w:r w:rsidR="004C61D9">
        <w:t xml:space="preserve">determined by the </w:t>
      </w:r>
      <w:r w:rsidR="00E73FF0">
        <w:rPr>
          <w:i/>
          <w:iCs/>
        </w:rPr>
        <w:t xml:space="preserve">Climate Change in Australia </w:t>
      </w:r>
      <w:r w:rsidR="00E73FF0" w:rsidRPr="00C26F33">
        <w:t>synthesis</w:t>
      </w:r>
      <w:r w:rsidR="00E73FF0">
        <w:rPr>
          <w:i/>
          <w:iCs/>
        </w:rPr>
        <w:t xml:space="preserve"> </w:t>
      </w:r>
      <w:r w:rsidR="00E73FF0" w:rsidRPr="009D4561">
        <w:t>(</w:t>
      </w:r>
      <w:r w:rsidR="00E73FF0" w:rsidRPr="00817C0D">
        <w:t>CSIRO and Bureau of Meteorology 2015</w:t>
      </w:r>
      <w:r w:rsidR="00E73FF0">
        <w:t>)</w:t>
      </w:r>
      <w:r w:rsidR="00D91289">
        <w:t xml:space="preserve"> are applied</w:t>
      </w:r>
      <w:r w:rsidR="004F6377">
        <w:t xml:space="preserve"> where </w:t>
      </w:r>
      <w:r w:rsidR="004F6377">
        <w:lastRenderedPageBreak/>
        <w:t>available</w:t>
      </w:r>
      <w:r w:rsidR="003870E3">
        <w:t>. These confidence ratings are based on the IPCC approach, whereby overall confidence</w:t>
      </w:r>
      <w:r w:rsidR="003503DD">
        <w:t xml:space="preserve"> is determined</w:t>
      </w:r>
      <w:r w:rsidR="00885089">
        <w:t xml:space="preserve"> through combining </w:t>
      </w:r>
      <w:r w:rsidR="0030504D">
        <w:t xml:space="preserve">a ranking of </w:t>
      </w:r>
      <w:r w:rsidR="00F703DE">
        <w:t xml:space="preserve">the degree of scientific agreement (low, medium and high) </w:t>
      </w:r>
      <w:r w:rsidR="00421DD9">
        <w:t xml:space="preserve">together with a ranking of the degree of confidence in the scientific evidence base </w:t>
      </w:r>
      <w:r w:rsidR="00D2550D">
        <w:t xml:space="preserve">(limited, medium, robust). The resulting classification yields </w:t>
      </w:r>
      <w:r w:rsidR="00AA1B4C">
        <w:t>four</w:t>
      </w:r>
      <w:r w:rsidR="00167B84">
        <w:t xml:space="preserve"> confidence ratings (</w:t>
      </w:r>
      <w:r w:rsidR="007E0DC9">
        <w:t>low, medium, high and very high</w:t>
      </w:r>
      <w:r w:rsidR="003E49B7">
        <w:t xml:space="preserve">; </w:t>
      </w:r>
      <w:r w:rsidR="003E49B7">
        <w:fldChar w:fldCharType="begin"/>
      </w:r>
      <w:r w:rsidR="003E49B7">
        <w:instrText xml:space="preserve"> REF _Ref46169254 \h </w:instrText>
      </w:r>
      <w:r w:rsidR="003E49B7">
        <w:fldChar w:fldCharType="separate"/>
      </w:r>
      <w:r w:rsidR="00235F13">
        <w:t xml:space="preserve">Table </w:t>
      </w:r>
      <w:r w:rsidR="00235F13">
        <w:rPr>
          <w:noProof/>
        </w:rPr>
        <w:t>5</w:t>
      </w:r>
      <w:r w:rsidR="003E49B7">
        <w:fldChar w:fldCharType="end"/>
      </w:r>
      <w:r w:rsidR="007275CA" w:rsidRPr="006D5D2C">
        <w:t>)</w:t>
      </w:r>
      <w:r w:rsidR="007A768C" w:rsidRPr="006D5D2C">
        <w:t>.</w:t>
      </w:r>
      <w:r w:rsidR="0063296C" w:rsidRPr="006D5D2C">
        <w:t xml:space="preserve"> </w:t>
      </w:r>
      <w:r w:rsidR="00394DFC" w:rsidRPr="006D5D2C">
        <w:t>Therefore</w:t>
      </w:r>
      <w:r w:rsidR="00D1641D" w:rsidRPr="006D5D2C">
        <w:t>,</w:t>
      </w:r>
      <w:r w:rsidR="00394DFC" w:rsidRPr="006D5D2C">
        <w:t xml:space="preserve"> when results </w:t>
      </w:r>
      <w:r w:rsidR="006C090B" w:rsidRPr="006D5D2C">
        <w:t xml:space="preserve">of the risk </w:t>
      </w:r>
      <w:r w:rsidR="00B74982" w:rsidRPr="006D5D2C">
        <w:t>assessment</w:t>
      </w:r>
      <w:r w:rsidR="006C090B" w:rsidRPr="006D5D2C">
        <w:t xml:space="preserve"> are discussed</w:t>
      </w:r>
      <w:r w:rsidR="00394DFC" w:rsidRPr="006D5D2C">
        <w:t xml:space="preserve">, </w:t>
      </w:r>
      <w:r w:rsidR="006C090B" w:rsidRPr="006D5D2C">
        <w:t xml:space="preserve">both </w:t>
      </w:r>
      <w:r w:rsidR="00394DFC" w:rsidRPr="006D5D2C">
        <w:t xml:space="preserve">a </w:t>
      </w:r>
      <w:r w:rsidR="005073AC" w:rsidRPr="006D5D2C">
        <w:t xml:space="preserve">risk rating </w:t>
      </w:r>
      <w:r w:rsidR="00310F32" w:rsidRPr="006D5D2C">
        <w:t xml:space="preserve">is </w:t>
      </w:r>
      <w:r w:rsidR="005073AC" w:rsidRPr="006D5D2C">
        <w:t>given (e.g. medium risk)</w:t>
      </w:r>
      <w:r w:rsidR="00354036" w:rsidRPr="006D5D2C">
        <w:t>,</w:t>
      </w:r>
      <w:r w:rsidR="005073AC" w:rsidRPr="006D5D2C">
        <w:t xml:space="preserve"> together</w:t>
      </w:r>
      <w:r w:rsidR="004F0E22" w:rsidRPr="006D5D2C">
        <w:t xml:space="preserve"> with an indication of the level of uncertainty associated</w:t>
      </w:r>
      <w:r w:rsidR="00E365A2" w:rsidRPr="006D5D2C">
        <w:t xml:space="preserve"> with </w:t>
      </w:r>
      <w:r w:rsidR="00E365A2">
        <w:t xml:space="preserve">the climate projection data underpinning </w:t>
      </w:r>
      <w:r w:rsidR="004F0E22" w:rsidRPr="006D5D2C">
        <w:t>that rating (e.g. with Low confidence).</w:t>
      </w:r>
      <w:r w:rsidR="00354036" w:rsidRPr="006D5D2C">
        <w:t xml:space="preserve"> </w:t>
      </w:r>
      <w:r w:rsidR="006A2344">
        <w:t>In this study a formal propagation of the uncertainties associated with the climate projection</w:t>
      </w:r>
      <w:r w:rsidR="0032718A">
        <w:t>s</w:t>
      </w:r>
      <w:r w:rsidR="006A2344">
        <w:t xml:space="preserve"> </w:t>
      </w:r>
      <w:r w:rsidR="0081681F">
        <w:t>through to the final risk rating</w:t>
      </w:r>
      <w:r w:rsidR="009130C7">
        <w:t>s</w:t>
      </w:r>
      <w:r w:rsidR="0081681F">
        <w:t xml:space="preserve"> was beyond scope, hence the </w:t>
      </w:r>
      <w:r w:rsidR="00CC52DA" w:rsidRPr="00CC52DA">
        <w:t xml:space="preserve">level of scientific uncertainty </w:t>
      </w:r>
      <w:r w:rsidR="009130C7">
        <w:t xml:space="preserve">associated with the risk ratings </w:t>
      </w:r>
      <w:r w:rsidR="00C220F3">
        <w:t xml:space="preserve">was not </w:t>
      </w:r>
      <w:r w:rsidR="00CC52DA" w:rsidRPr="00CC52DA">
        <w:t>formally assessed</w:t>
      </w:r>
      <w:r w:rsidR="007A1A81" w:rsidRPr="007A1A81">
        <w:t>.</w:t>
      </w:r>
      <w:r w:rsidR="00C220F3">
        <w:t xml:space="preserve"> </w:t>
      </w:r>
      <w:r w:rsidR="00354036" w:rsidRPr="006D5D2C">
        <w:t>For</w:t>
      </w:r>
      <w:r w:rsidR="00354036">
        <w:t xml:space="preserve"> the climate variables on which the analyses here are based</w:t>
      </w:r>
      <w:r w:rsidR="006A24BD">
        <w:t xml:space="preserve">, the associated </w:t>
      </w:r>
      <w:r w:rsidR="00354036">
        <w:t>confidence rating</w:t>
      </w:r>
      <w:r w:rsidR="006A24BD">
        <w:t>s</w:t>
      </w:r>
      <w:r w:rsidR="00310F32">
        <w:t>,</w:t>
      </w:r>
      <w:r w:rsidR="006A24BD">
        <w:t xml:space="preserve"> as </w:t>
      </w:r>
      <w:r w:rsidR="00354036">
        <w:t xml:space="preserve">synthesised </w:t>
      </w:r>
      <w:r w:rsidR="00FC4BD1">
        <w:t xml:space="preserve">by </w:t>
      </w:r>
      <w:r w:rsidR="00FC4BD1" w:rsidRPr="00817C0D">
        <w:t xml:space="preserve">CSIRO and Bureau of Meteorology </w:t>
      </w:r>
      <w:r w:rsidR="00DF4E37">
        <w:t>(</w:t>
      </w:r>
      <w:r w:rsidR="00FC4BD1" w:rsidRPr="00817C0D">
        <w:t>2015</w:t>
      </w:r>
      <w:r w:rsidR="00DF4E37">
        <w:t>)</w:t>
      </w:r>
      <w:r w:rsidR="00310F32">
        <w:t>,</w:t>
      </w:r>
      <w:r w:rsidR="00DF4E37">
        <w:t xml:space="preserve"> </w:t>
      </w:r>
      <w:r w:rsidR="00FC4BD1">
        <w:t xml:space="preserve">are summarised in </w:t>
      </w:r>
      <w:r w:rsidR="00354036">
        <w:t>Appendix C.</w:t>
      </w:r>
    </w:p>
    <w:p w14:paraId="080C8270" w14:textId="77677FA2" w:rsidR="005766C3" w:rsidRPr="00BF7B0B" w:rsidRDefault="005766C3" w:rsidP="005766C3">
      <w:pPr>
        <w:pStyle w:val="Caption"/>
        <w:spacing w:after="60"/>
        <w:rPr>
          <w:color w:val="FFFFFF" w:themeColor="background1"/>
        </w:rPr>
      </w:pPr>
      <w:bookmarkStart w:id="35" w:name="_Ref46169254"/>
      <w:bookmarkStart w:id="36" w:name="_Toc52971060"/>
      <w:r>
        <w:t xml:space="preserve">Table </w:t>
      </w:r>
      <w:r>
        <w:fldChar w:fldCharType="begin"/>
      </w:r>
      <w:r>
        <w:instrText>SEQ Table \* ARABIC</w:instrText>
      </w:r>
      <w:r>
        <w:fldChar w:fldCharType="separate"/>
      </w:r>
      <w:r w:rsidR="00235F13">
        <w:rPr>
          <w:noProof/>
        </w:rPr>
        <w:t>5</w:t>
      </w:r>
      <w:r>
        <w:fldChar w:fldCharType="end"/>
      </w:r>
      <w:bookmarkEnd w:id="35"/>
      <w:r>
        <w:t xml:space="preserve">. </w:t>
      </w:r>
      <w:r w:rsidR="00656431" w:rsidRPr="00656431">
        <w:rPr>
          <w:b w:val="0"/>
          <w:bCs w:val="0"/>
        </w:rPr>
        <w:t xml:space="preserve">Levels of confidence </w:t>
      </w:r>
      <w:r w:rsidR="00656431">
        <w:rPr>
          <w:b w:val="0"/>
          <w:bCs w:val="0"/>
        </w:rPr>
        <w:t xml:space="preserve">in model projections </w:t>
      </w:r>
      <w:r w:rsidR="00656431" w:rsidRPr="00656431">
        <w:rPr>
          <w:b w:val="0"/>
          <w:bCs w:val="0"/>
        </w:rPr>
        <w:t xml:space="preserve">as defined by </w:t>
      </w:r>
      <w:r w:rsidR="00384DB3">
        <w:rPr>
          <w:b w:val="0"/>
          <w:bCs w:val="0"/>
        </w:rPr>
        <w:t xml:space="preserve">the degree of robustness of the understanding of the underlying science evidence base, and the </w:t>
      </w:r>
      <w:r w:rsidR="0042543A">
        <w:rPr>
          <w:b w:val="0"/>
          <w:bCs w:val="0"/>
        </w:rPr>
        <w:t xml:space="preserve">consensus across different </w:t>
      </w:r>
      <w:r w:rsidR="00B16A3B">
        <w:rPr>
          <w:b w:val="0"/>
          <w:bCs w:val="0"/>
        </w:rPr>
        <w:t>GCMs</w:t>
      </w:r>
      <w:r>
        <w:rPr>
          <w:b w:val="0"/>
          <w:bCs w:val="0"/>
        </w:rPr>
        <w:t>.</w:t>
      </w:r>
      <w:bookmarkEnd w:id="36"/>
    </w:p>
    <w:tbl>
      <w:tblPr>
        <w:tblStyle w:val="TableCSIRO"/>
        <w:tblW w:w="5812" w:type="dxa"/>
        <w:tblInd w:w="0" w:type="dxa"/>
        <w:tblLayout w:type="fixed"/>
        <w:tblLook w:val="04A0" w:firstRow="1" w:lastRow="0" w:firstColumn="1" w:lastColumn="0" w:noHBand="0" w:noVBand="1"/>
      </w:tblPr>
      <w:tblGrid>
        <w:gridCol w:w="1854"/>
        <w:gridCol w:w="1832"/>
        <w:gridCol w:w="283"/>
        <w:gridCol w:w="1843"/>
      </w:tblGrid>
      <w:tr w:rsidR="006F78F2" w:rsidRPr="00096464" w14:paraId="49D33A5A" w14:textId="77777777" w:rsidTr="00F913D2">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54" w:type="dxa"/>
            <w:vAlign w:val="center"/>
          </w:tcPr>
          <w:p w14:paraId="2CEE791A" w14:textId="4761ACB0" w:rsidR="00F677E0" w:rsidRPr="00096464" w:rsidRDefault="00C002F5" w:rsidP="007574B3">
            <w:pPr>
              <w:rPr>
                <w:rFonts w:asciiTheme="minorHAnsi" w:hAnsiTheme="minorHAnsi" w:cs="Arial"/>
                <w:sz w:val="20"/>
                <w:szCs w:val="20"/>
              </w:rPr>
            </w:pPr>
            <w:r>
              <w:rPr>
                <w:rFonts w:asciiTheme="minorHAnsi" w:hAnsiTheme="minorHAnsi" w:cs="Arial"/>
                <w:sz w:val="20"/>
                <w:szCs w:val="20"/>
              </w:rPr>
              <w:t>Confidence r</w:t>
            </w:r>
            <w:r w:rsidR="00F677E0">
              <w:rPr>
                <w:rFonts w:asciiTheme="minorHAnsi" w:hAnsiTheme="minorHAnsi" w:cs="Arial"/>
                <w:sz w:val="20"/>
                <w:szCs w:val="20"/>
              </w:rPr>
              <w:t>ating</w:t>
            </w:r>
          </w:p>
        </w:tc>
        <w:tc>
          <w:tcPr>
            <w:tcW w:w="1832" w:type="dxa"/>
            <w:vAlign w:val="center"/>
          </w:tcPr>
          <w:p w14:paraId="53A89736" w14:textId="77777777" w:rsidR="00F677E0" w:rsidRPr="00096464" w:rsidRDefault="00F677E0" w:rsidP="007574B3">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Scientific agreement</w:t>
            </w:r>
          </w:p>
        </w:tc>
        <w:tc>
          <w:tcPr>
            <w:tcW w:w="283" w:type="dxa"/>
          </w:tcPr>
          <w:p w14:paraId="05BDD860" w14:textId="77777777" w:rsidR="00F677E0" w:rsidRDefault="00F677E0"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1843" w:type="dxa"/>
            <w:vAlign w:val="center"/>
          </w:tcPr>
          <w:p w14:paraId="5F22819D" w14:textId="77777777" w:rsidR="00F677E0" w:rsidRPr="00096464" w:rsidRDefault="00F677E0" w:rsidP="007574B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Evidence base</w:t>
            </w:r>
          </w:p>
        </w:tc>
      </w:tr>
      <w:tr w:rsidR="00F677E0" w:rsidRPr="000E2DF1" w14:paraId="7AD674C6" w14:textId="77777777" w:rsidTr="007574B3">
        <w:trPr>
          <w:cnfStyle w:val="000000100000" w:firstRow="0" w:lastRow="0" w:firstColumn="0" w:lastColumn="0" w:oddVBand="0" w:evenVBand="0" w:oddHBand="1" w:evenHBand="0"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1854" w:type="dxa"/>
            <w:vAlign w:val="center"/>
          </w:tcPr>
          <w:p w14:paraId="47727220"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Very high</w:t>
            </w:r>
          </w:p>
        </w:tc>
        <w:tc>
          <w:tcPr>
            <w:tcW w:w="1832" w:type="dxa"/>
            <w:vAlign w:val="center"/>
          </w:tcPr>
          <w:p w14:paraId="0C9110E4" w14:textId="77777777" w:rsidR="00F677E0" w:rsidRPr="000E2DF1" w:rsidRDefault="00F677E0" w:rsidP="007574B3">
            <w:pPr>
              <w:pStyle w:val="BodyText"/>
              <w:spacing w:before="0" w:after="6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High agreement</w:t>
            </w:r>
          </w:p>
        </w:tc>
        <w:tc>
          <w:tcPr>
            <w:tcW w:w="283" w:type="dxa"/>
          </w:tcPr>
          <w:p w14:paraId="3441B772" w14:textId="77777777" w:rsidR="00F677E0"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p>
        </w:tc>
        <w:tc>
          <w:tcPr>
            <w:tcW w:w="1843" w:type="dxa"/>
            <w:vAlign w:val="center"/>
          </w:tcPr>
          <w:p w14:paraId="5827683B" w14:textId="77777777"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Robust evidence</w:t>
            </w:r>
          </w:p>
        </w:tc>
      </w:tr>
      <w:tr w:rsidR="00F677E0" w:rsidRPr="000E2DF1" w14:paraId="592E94D4" w14:textId="77777777" w:rsidTr="007574B3">
        <w:trPr>
          <w:trHeight w:hRule="exact" w:val="535"/>
        </w:trPr>
        <w:tc>
          <w:tcPr>
            <w:cnfStyle w:val="001000000000" w:firstRow="0" w:lastRow="0" w:firstColumn="1" w:lastColumn="0" w:oddVBand="0" w:evenVBand="0" w:oddHBand="0" w:evenHBand="0" w:firstRowFirstColumn="0" w:firstRowLastColumn="0" w:lastRowFirstColumn="0" w:lastRowLastColumn="0"/>
            <w:tcW w:w="1854" w:type="dxa"/>
            <w:vAlign w:val="center"/>
          </w:tcPr>
          <w:p w14:paraId="104ACBDD"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High</w:t>
            </w:r>
          </w:p>
        </w:tc>
        <w:tc>
          <w:tcPr>
            <w:tcW w:w="1832" w:type="dxa"/>
            <w:vAlign w:val="center"/>
          </w:tcPr>
          <w:p w14:paraId="207BA18C" w14:textId="77777777" w:rsidR="00F677E0" w:rsidRPr="000E2DF1" w:rsidRDefault="00F677E0" w:rsidP="007574B3">
            <w:pPr>
              <w:pStyle w:val="BodyText"/>
              <w:spacing w:before="0" w:after="6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High agreement</w:t>
            </w:r>
            <w:r>
              <w:rPr>
                <w:rFonts w:asciiTheme="minorHAnsi" w:hAnsiTheme="minorHAnsi"/>
                <w:sz w:val="20"/>
                <w:szCs w:val="20"/>
              </w:rPr>
              <w:br/>
              <w:t>Medium agreement</w:t>
            </w:r>
          </w:p>
        </w:tc>
        <w:tc>
          <w:tcPr>
            <w:tcW w:w="283" w:type="dxa"/>
          </w:tcPr>
          <w:p w14:paraId="41F13D8B" w14:textId="77777777" w:rsidR="00F677E0" w:rsidRDefault="00F677E0" w:rsidP="007574B3">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Pr>
                <w:rFonts w:asciiTheme="minorHAnsi" w:hAnsiTheme="minorHAnsi"/>
                <w:sz w:val="20"/>
                <w:szCs w:val="20"/>
              </w:rPr>
              <w:br/>
              <w:t>+</w:t>
            </w:r>
          </w:p>
        </w:tc>
        <w:tc>
          <w:tcPr>
            <w:tcW w:w="1843" w:type="dxa"/>
            <w:vAlign w:val="center"/>
          </w:tcPr>
          <w:p w14:paraId="5ED2D47C" w14:textId="77777777" w:rsidR="00F677E0" w:rsidRPr="000E2DF1" w:rsidRDefault="00F677E0" w:rsidP="007574B3">
            <w:pPr>
              <w:pStyle w:val="BodyText"/>
              <w:spacing w:before="0" w:after="6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Medium evidence</w:t>
            </w:r>
            <w:r>
              <w:rPr>
                <w:rFonts w:asciiTheme="minorHAnsi" w:hAnsiTheme="minorHAnsi"/>
                <w:sz w:val="20"/>
                <w:szCs w:val="20"/>
              </w:rPr>
              <w:br/>
              <w:t>Robust evidence</w:t>
            </w:r>
          </w:p>
        </w:tc>
      </w:tr>
      <w:tr w:rsidR="00F677E0" w:rsidRPr="000E2DF1" w14:paraId="3C891D6D" w14:textId="77777777" w:rsidTr="007574B3">
        <w:trPr>
          <w:cnfStyle w:val="000000100000" w:firstRow="0" w:lastRow="0" w:firstColumn="0" w:lastColumn="0" w:oddVBand="0" w:evenVBand="0" w:oddHBand="1" w:evenHBand="0" w:firstRowFirstColumn="0" w:firstRowLastColumn="0" w:lastRowFirstColumn="0" w:lastRowLastColumn="0"/>
          <w:trHeight w:hRule="exact" w:val="727"/>
        </w:trPr>
        <w:tc>
          <w:tcPr>
            <w:cnfStyle w:val="001000000000" w:firstRow="0" w:lastRow="0" w:firstColumn="1" w:lastColumn="0" w:oddVBand="0" w:evenVBand="0" w:oddHBand="0" w:evenHBand="0" w:firstRowFirstColumn="0" w:firstRowLastColumn="0" w:lastRowFirstColumn="0" w:lastRowLastColumn="0"/>
            <w:tcW w:w="1854" w:type="dxa"/>
            <w:vAlign w:val="center"/>
          </w:tcPr>
          <w:p w14:paraId="6B10658D"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Medium</w:t>
            </w:r>
          </w:p>
        </w:tc>
        <w:tc>
          <w:tcPr>
            <w:tcW w:w="1832" w:type="dxa"/>
            <w:vAlign w:val="center"/>
          </w:tcPr>
          <w:p w14:paraId="6F14B892" w14:textId="77777777" w:rsidR="00F677E0" w:rsidRPr="000E2DF1" w:rsidRDefault="00F677E0" w:rsidP="007574B3">
            <w:pPr>
              <w:pStyle w:val="BodyText"/>
              <w:spacing w:before="0" w:after="6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High agreement</w:t>
            </w:r>
            <w:r>
              <w:rPr>
                <w:rFonts w:asciiTheme="minorHAnsi" w:hAnsiTheme="minorHAnsi"/>
                <w:sz w:val="20"/>
                <w:szCs w:val="20"/>
              </w:rPr>
              <w:br/>
              <w:t>Medium agreement</w:t>
            </w:r>
            <w:r>
              <w:rPr>
                <w:rFonts w:asciiTheme="minorHAnsi" w:hAnsiTheme="minorHAnsi"/>
                <w:sz w:val="20"/>
                <w:szCs w:val="20"/>
              </w:rPr>
              <w:br/>
              <w:t>Low agreement</w:t>
            </w:r>
            <w:r>
              <w:rPr>
                <w:rFonts w:asciiTheme="minorHAnsi" w:hAnsiTheme="minorHAnsi"/>
                <w:sz w:val="20"/>
                <w:szCs w:val="20"/>
              </w:rPr>
              <w:br/>
            </w:r>
          </w:p>
        </w:tc>
        <w:tc>
          <w:tcPr>
            <w:tcW w:w="283" w:type="dxa"/>
          </w:tcPr>
          <w:p w14:paraId="08F9BE0A" w14:textId="77777777" w:rsidR="00F677E0"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Pr>
                <w:rFonts w:asciiTheme="minorHAnsi" w:hAnsiTheme="minorHAnsi"/>
                <w:sz w:val="20"/>
                <w:szCs w:val="20"/>
              </w:rPr>
              <w:br/>
              <w:t>+</w:t>
            </w:r>
            <w:r>
              <w:rPr>
                <w:rFonts w:asciiTheme="minorHAnsi" w:hAnsiTheme="minorHAnsi"/>
                <w:sz w:val="20"/>
                <w:szCs w:val="20"/>
              </w:rPr>
              <w:br/>
              <w:t>+</w:t>
            </w:r>
          </w:p>
        </w:tc>
        <w:tc>
          <w:tcPr>
            <w:tcW w:w="1843" w:type="dxa"/>
            <w:vAlign w:val="center"/>
          </w:tcPr>
          <w:p w14:paraId="6FFC48FE" w14:textId="77777777" w:rsidR="00F677E0" w:rsidRPr="000E2DF1" w:rsidRDefault="00F677E0" w:rsidP="007574B3">
            <w:pPr>
              <w:pStyle w:val="BodyText"/>
              <w:spacing w:before="0" w:after="6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Limited evidence</w:t>
            </w:r>
            <w:r>
              <w:rPr>
                <w:rFonts w:asciiTheme="minorHAnsi" w:hAnsiTheme="minorHAnsi"/>
                <w:sz w:val="20"/>
                <w:szCs w:val="20"/>
              </w:rPr>
              <w:br/>
              <w:t>Medium evidence</w:t>
            </w:r>
            <w:r>
              <w:rPr>
                <w:rFonts w:asciiTheme="minorHAnsi" w:hAnsiTheme="minorHAnsi"/>
                <w:sz w:val="20"/>
                <w:szCs w:val="20"/>
              </w:rPr>
              <w:br/>
              <w:t>Robust evidence</w:t>
            </w:r>
          </w:p>
        </w:tc>
      </w:tr>
      <w:tr w:rsidR="00F677E0" w:rsidRPr="000E2DF1" w14:paraId="5C64FF3E" w14:textId="77777777" w:rsidTr="007574B3">
        <w:trPr>
          <w:trHeight w:hRule="exact" w:val="539"/>
        </w:trPr>
        <w:tc>
          <w:tcPr>
            <w:cnfStyle w:val="001000000000" w:firstRow="0" w:lastRow="0" w:firstColumn="1" w:lastColumn="0" w:oddVBand="0" w:evenVBand="0" w:oddHBand="0" w:evenHBand="0" w:firstRowFirstColumn="0" w:firstRowLastColumn="0" w:lastRowFirstColumn="0" w:lastRowLastColumn="0"/>
            <w:tcW w:w="1854" w:type="dxa"/>
            <w:vAlign w:val="center"/>
          </w:tcPr>
          <w:p w14:paraId="733AC0D3" w14:textId="77777777" w:rsidR="00F677E0" w:rsidRPr="000E2DF1" w:rsidRDefault="00F677E0" w:rsidP="007574B3">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Low</w:t>
            </w:r>
          </w:p>
        </w:tc>
        <w:tc>
          <w:tcPr>
            <w:tcW w:w="1832" w:type="dxa"/>
            <w:vAlign w:val="center"/>
          </w:tcPr>
          <w:p w14:paraId="300463E0" w14:textId="77777777" w:rsidR="00F677E0" w:rsidRPr="000E2DF1" w:rsidRDefault="00F677E0" w:rsidP="007574B3">
            <w:pPr>
              <w:pStyle w:val="BodyText"/>
              <w:spacing w:before="0" w:after="6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Low agreement</w:t>
            </w:r>
            <w:r>
              <w:rPr>
                <w:rFonts w:asciiTheme="minorHAnsi" w:hAnsiTheme="minorHAnsi"/>
                <w:sz w:val="20"/>
                <w:szCs w:val="20"/>
              </w:rPr>
              <w:br/>
              <w:t>Medium agreement</w:t>
            </w:r>
            <w:r>
              <w:rPr>
                <w:rFonts w:asciiTheme="minorHAnsi" w:hAnsiTheme="minorHAnsi"/>
                <w:sz w:val="20"/>
                <w:szCs w:val="20"/>
              </w:rPr>
              <w:br/>
            </w:r>
          </w:p>
        </w:tc>
        <w:tc>
          <w:tcPr>
            <w:tcW w:w="283" w:type="dxa"/>
          </w:tcPr>
          <w:p w14:paraId="337860B7" w14:textId="77777777" w:rsidR="00F677E0" w:rsidRDefault="00F677E0"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Pr>
                <w:rFonts w:asciiTheme="minorHAnsi" w:hAnsiTheme="minorHAnsi"/>
                <w:sz w:val="20"/>
                <w:szCs w:val="20"/>
              </w:rPr>
              <w:br/>
              <w:t>+</w:t>
            </w:r>
          </w:p>
        </w:tc>
        <w:tc>
          <w:tcPr>
            <w:tcW w:w="1843" w:type="dxa"/>
            <w:vAlign w:val="center"/>
          </w:tcPr>
          <w:p w14:paraId="2C232C3E" w14:textId="77777777" w:rsidR="00F677E0" w:rsidRPr="000E2DF1" w:rsidRDefault="00F677E0" w:rsidP="007574B3">
            <w:pPr>
              <w:pStyle w:val="BodyText"/>
              <w:spacing w:before="0" w:after="6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sz w:val="20"/>
                <w:szCs w:val="20"/>
              </w:rPr>
              <w:t>Medium evidence</w:t>
            </w:r>
            <w:r>
              <w:rPr>
                <w:rFonts w:asciiTheme="minorHAnsi" w:hAnsiTheme="minorHAnsi"/>
                <w:sz w:val="20"/>
                <w:szCs w:val="20"/>
              </w:rPr>
              <w:br/>
              <w:t>Limited evidence</w:t>
            </w:r>
          </w:p>
        </w:tc>
      </w:tr>
    </w:tbl>
    <w:p w14:paraId="29A0DA9F" w14:textId="77777777" w:rsidR="00F677E0" w:rsidRDefault="00F677E0" w:rsidP="00F677E0">
      <w:pPr>
        <w:rPr>
          <w:rFonts w:ascii="Calibri" w:eastAsia="Calibri" w:hAnsi="Calibri"/>
          <w:color w:val="C00000"/>
          <w:szCs w:val="22"/>
        </w:rPr>
      </w:pPr>
    </w:p>
    <w:p w14:paraId="4DD5D99E" w14:textId="77777777" w:rsidR="00243325" w:rsidRDefault="00243325" w:rsidP="00243325">
      <w:pPr>
        <w:pStyle w:val="Heading2"/>
      </w:pPr>
      <w:bookmarkStart w:id="37" w:name="_Toc52873088"/>
      <w:bookmarkStart w:id="38" w:name="_Toc53075119"/>
      <w:r>
        <w:t>A spatial framework for risk analysis and reporting</w:t>
      </w:r>
      <w:bookmarkEnd w:id="37"/>
      <w:bookmarkEnd w:id="38"/>
    </w:p>
    <w:p w14:paraId="200A6981" w14:textId="14541556" w:rsidR="00243325" w:rsidRPr="00982B05" w:rsidRDefault="00243325" w:rsidP="00982B05">
      <w:pPr>
        <w:pStyle w:val="BodyText"/>
        <w:rPr>
          <w:color w:val="auto"/>
        </w:rPr>
      </w:pPr>
      <w:r w:rsidRPr="00982B05">
        <w:rPr>
          <w:color w:val="auto"/>
        </w:rPr>
        <w:t xml:space="preserve">Current climate projections are based on results from global circulation modelling, and by necessity are often of low spatial (but high temporal) resolution (Appendix </w:t>
      </w:r>
      <w:r w:rsidR="006C2203">
        <w:rPr>
          <w:color w:val="auto"/>
        </w:rPr>
        <w:t>A</w:t>
      </w:r>
      <w:r w:rsidRPr="00982B05">
        <w:rPr>
          <w:color w:val="auto"/>
        </w:rPr>
        <w:t>)</w:t>
      </w:r>
      <w:r w:rsidR="00B755F7">
        <w:rPr>
          <w:color w:val="auto"/>
        </w:rPr>
        <w:t>. The</w:t>
      </w:r>
      <w:r w:rsidR="00C709F1" w:rsidRPr="006D5D2C">
        <w:rPr>
          <w:color w:val="auto"/>
        </w:rPr>
        <w:t xml:space="preserve"> </w:t>
      </w:r>
      <w:r w:rsidR="00C709F1">
        <w:t>spatial resolution of GCMs varies, but is typically in the order of 200km x 200km.</w:t>
      </w:r>
      <w:r w:rsidRPr="00982B05">
        <w:rPr>
          <w:color w:val="auto"/>
        </w:rPr>
        <w:t xml:space="preserve"> National-scale climate projection analyses are therefore typically undertaken at a regional level, given low sub-regional confidence in model outputs at finer </w:t>
      </w:r>
      <w:r w:rsidR="00BF4101">
        <w:rPr>
          <w:color w:val="auto"/>
        </w:rPr>
        <w:t xml:space="preserve">spatial </w:t>
      </w:r>
      <w:r w:rsidRPr="00982B05">
        <w:rPr>
          <w:color w:val="auto"/>
        </w:rPr>
        <w:t>scales.</w:t>
      </w:r>
      <w:r w:rsidR="00CD3D7D">
        <w:rPr>
          <w:color w:val="auto"/>
        </w:rPr>
        <w:t xml:space="preserve"> </w:t>
      </w:r>
      <w:r w:rsidR="00CD3D7D">
        <w:t xml:space="preserve">To </w:t>
      </w:r>
      <w:r w:rsidR="00254140">
        <w:t xml:space="preserve">provide greater spatial </w:t>
      </w:r>
      <w:r w:rsidR="00A47D24">
        <w:t xml:space="preserve">resolution </w:t>
      </w:r>
      <w:r w:rsidR="00B002EA">
        <w:t xml:space="preserve">a number of </w:t>
      </w:r>
      <w:r w:rsidR="00E365A2">
        <w:t xml:space="preserve">prior </w:t>
      </w:r>
      <w:r w:rsidR="00B002EA">
        <w:t xml:space="preserve">studies have applied </w:t>
      </w:r>
      <w:r w:rsidR="00CD3D7D">
        <w:t>regional down-scaling algorithms to the global data (e.g. CSIRO 2012). Such down-scaled analyses are relevant to this project, and are included in the overall consideration of the risk factors where appropriate, and where available (</w:t>
      </w:r>
      <w:r w:rsidR="00A47D24">
        <w:t xml:space="preserve">Section </w:t>
      </w:r>
      <w:r w:rsidR="00A40F8B">
        <w:t>2.3.2</w:t>
      </w:r>
      <w:r w:rsidR="00CD3D7D">
        <w:t>)</w:t>
      </w:r>
      <w:r w:rsidR="0019757A">
        <w:t>;</w:t>
      </w:r>
      <w:r w:rsidR="00CD3D7D">
        <w:t xml:space="preserve"> although development of a spatial analysis capability for assimilating and integrating down-scaled climate projection data across the continent was beyond the scope of this review</w:t>
      </w:r>
      <w:r w:rsidR="00A40F8B">
        <w:t>.</w:t>
      </w:r>
    </w:p>
    <w:p w14:paraId="4A7E2AF1" w14:textId="73DB1AF2" w:rsidR="00243325" w:rsidRPr="00982B05" w:rsidRDefault="00243325" w:rsidP="00982B05">
      <w:pPr>
        <w:pStyle w:val="BodyText"/>
        <w:rPr>
          <w:color w:val="auto"/>
        </w:rPr>
      </w:pPr>
      <w:r w:rsidRPr="00982B05">
        <w:rPr>
          <w:color w:val="auto"/>
        </w:rPr>
        <w:t xml:space="preserve">Much prior thought has been given to the appropriate scale at which climate projection information is best summarised at a regional level for Australia. Here we adopt the NRM-regional based classification (Figure </w:t>
      </w:r>
      <w:r w:rsidR="00854964">
        <w:rPr>
          <w:color w:val="auto"/>
        </w:rPr>
        <w:t>3</w:t>
      </w:r>
      <w:r w:rsidRPr="00982B05">
        <w:rPr>
          <w:color w:val="auto"/>
        </w:rPr>
        <w:t>) that formed the basis of the CSIRO Climate Change in Australia synthesis (Whetton et al. 2015). Eight regions, with seven sub-clusters, form the basis of the synthesised reporting and data summaries. This existing information forms the basis for both guiding the required regionalisation, and for providing the information on trends in key climate drivers, under both current and future climate conditions.</w:t>
      </w:r>
    </w:p>
    <w:p w14:paraId="49975D22" w14:textId="0970C846" w:rsidR="00B437E4" w:rsidRDefault="0034118E" w:rsidP="00982B05">
      <w:pPr>
        <w:pStyle w:val="BodyText"/>
        <w:rPr>
          <w:color w:val="auto"/>
        </w:rPr>
      </w:pPr>
      <w:r>
        <w:rPr>
          <w:color w:val="auto"/>
        </w:rPr>
        <w:lastRenderedPageBreak/>
        <w:t xml:space="preserve">Consideration was given to conducting </w:t>
      </w:r>
      <w:r w:rsidR="0040575E">
        <w:rPr>
          <w:color w:val="auto"/>
        </w:rPr>
        <w:t xml:space="preserve">a </w:t>
      </w:r>
      <w:r w:rsidR="00604049">
        <w:rPr>
          <w:color w:val="auto"/>
        </w:rPr>
        <w:t xml:space="preserve">further </w:t>
      </w:r>
      <w:r w:rsidR="005E2E1D">
        <w:rPr>
          <w:color w:val="auto"/>
        </w:rPr>
        <w:t xml:space="preserve">finer-scaled sub-regionalisation of the </w:t>
      </w:r>
      <w:r w:rsidR="00604049">
        <w:rPr>
          <w:color w:val="auto"/>
        </w:rPr>
        <w:t xml:space="preserve">two large </w:t>
      </w:r>
      <w:r w:rsidR="00854964">
        <w:rPr>
          <w:color w:val="auto"/>
        </w:rPr>
        <w:t>rangeland</w:t>
      </w:r>
      <w:r w:rsidR="00604049">
        <w:rPr>
          <w:color w:val="auto"/>
        </w:rPr>
        <w:t xml:space="preserve">s sub-clusters, given the importance of </w:t>
      </w:r>
      <w:r w:rsidR="00635102">
        <w:rPr>
          <w:color w:val="auto"/>
        </w:rPr>
        <w:t xml:space="preserve">the Human Induced Regeneration </w:t>
      </w:r>
      <w:r w:rsidR="00EA6FFB">
        <w:rPr>
          <w:color w:val="auto"/>
        </w:rPr>
        <w:t>ERF methodology in south-west Queensland and north west NSW</w:t>
      </w:r>
      <w:r w:rsidR="00EB3F35">
        <w:rPr>
          <w:color w:val="auto"/>
        </w:rPr>
        <w:t xml:space="preserve">, </w:t>
      </w:r>
      <w:r w:rsidR="002F2EAD">
        <w:rPr>
          <w:color w:val="auto"/>
        </w:rPr>
        <w:t>with also</w:t>
      </w:r>
      <w:r w:rsidR="00EB3F35">
        <w:rPr>
          <w:color w:val="auto"/>
        </w:rPr>
        <w:t xml:space="preserve"> a number of registered (but </w:t>
      </w:r>
      <w:r w:rsidR="0040575E">
        <w:rPr>
          <w:color w:val="auto"/>
        </w:rPr>
        <w:t xml:space="preserve">yet </w:t>
      </w:r>
      <w:r w:rsidR="00EB3F35">
        <w:rPr>
          <w:color w:val="auto"/>
        </w:rPr>
        <w:t>uncontracted</w:t>
      </w:r>
      <w:r w:rsidR="0040575E">
        <w:rPr>
          <w:color w:val="auto"/>
        </w:rPr>
        <w:t>)</w:t>
      </w:r>
      <w:r w:rsidR="00EB3F35">
        <w:rPr>
          <w:color w:val="auto"/>
        </w:rPr>
        <w:t xml:space="preserve"> project</w:t>
      </w:r>
      <w:r w:rsidR="0040575E">
        <w:rPr>
          <w:color w:val="auto"/>
        </w:rPr>
        <w:t>s</w:t>
      </w:r>
      <w:r w:rsidR="00EB3F35">
        <w:rPr>
          <w:color w:val="auto"/>
        </w:rPr>
        <w:t xml:space="preserve"> in western Australia. However</w:t>
      </w:r>
      <w:r w:rsidR="00A42A1F">
        <w:rPr>
          <w:color w:val="auto"/>
        </w:rPr>
        <w:t>,</w:t>
      </w:r>
      <w:r w:rsidR="00EB3F35">
        <w:rPr>
          <w:color w:val="auto"/>
        </w:rPr>
        <w:t xml:space="preserve"> </w:t>
      </w:r>
      <w:r w:rsidR="001335D8">
        <w:rPr>
          <w:color w:val="auto"/>
        </w:rPr>
        <w:t xml:space="preserve">it was deemed the </w:t>
      </w:r>
      <w:r w:rsidR="00B437E4">
        <w:rPr>
          <w:color w:val="auto"/>
        </w:rPr>
        <w:t>extensive</w:t>
      </w:r>
      <w:r w:rsidR="001335D8">
        <w:rPr>
          <w:color w:val="auto"/>
        </w:rPr>
        <w:t xml:space="preserve"> additional analyses required to </w:t>
      </w:r>
      <w:r w:rsidR="005D7AAB">
        <w:rPr>
          <w:color w:val="auto"/>
        </w:rPr>
        <w:t xml:space="preserve">further </w:t>
      </w:r>
      <w:r w:rsidR="00476B83">
        <w:rPr>
          <w:color w:val="auto"/>
        </w:rPr>
        <w:t xml:space="preserve">sub-divide the rangelands zones would not be matched by </w:t>
      </w:r>
      <w:r w:rsidR="00CA0077">
        <w:rPr>
          <w:color w:val="auto"/>
        </w:rPr>
        <w:t xml:space="preserve">an appreciably improved or discriminated </w:t>
      </w:r>
      <w:r w:rsidR="00495BA3">
        <w:rPr>
          <w:color w:val="auto"/>
        </w:rPr>
        <w:t>set of climate project</w:t>
      </w:r>
      <w:r w:rsidR="005D7AAB">
        <w:rPr>
          <w:color w:val="auto"/>
        </w:rPr>
        <w:t>ion data</w:t>
      </w:r>
      <w:r w:rsidR="00495BA3">
        <w:rPr>
          <w:color w:val="auto"/>
        </w:rPr>
        <w:t xml:space="preserve">, given the high level of between-model variability in most </w:t>
      </w:r>
      <w:r w:rsidR="00761EF5">
        <w:rPr>
          <w:color w:val="auto"/>
        </w:rPr>
        <w:t>climate variables, particularly those associated with rainfall</w:t>
      </w:r>
      <w:r w:rsidR="00F672FA">
        <w:rPr>
          <w:color w:val="auto"/>
        </w:rPr>
        <w:t xml:space="preserve"> which is the predominant driver of vegetation and soil dynamics in arid Australia</w:t>
      </w:r>
      <w:r w:rsidR="0058200B">
        <w:rPr>
          <w:color w:val="auto"/>
        </w:rPr>
        <w:t>.</w:t>
      </w:r>
      <w:r w:rsidR="00CA0077">
        <w:rPr>
          <w:color w:val="auto"/>
        </w:rPr>
        <w:t xml:space="preserve"> </w:t>
      </w:r>
      <w:r w:rsidR="00801A48">
        <w:rPr>
          <w:color w:val="auto"/>
        </w:rPr>
        <w:t xml:space="preserve">The summary data for the two </w:t>
      </w:r>
      <w:r w:rsidR="00854964">
        <w:rPr>
          <w:color w:val="auto"/>
        </w:rPr>
        <w:t>rangeland</w:t>
      </w:r>
      <w:r w:rsidR="00801A48">
        <w:rPr>
          <w:color w:val="auto"/>
        </w:rPr>
        <w:t xml:space="preserve"> sub-clusters was therefore retained, but augmented as required </w:t>
      </w:r>
      <w:r w:rsidR="005F33E9">
        <w:rPr>
          <w:color w:val="auto"/>
        </w:rPr>
        <w:t xml:space="preserve">with </w:t>
      </w:r>
      <w:r w:rsidR="00801A48">
        <w:rPr>
          <w:color w:val="auto"/>
        </w:rPr>
        <w:t>additional re</w:t>
      </w:r>
      <w:r w:rsidR="005F33E9">
        <w:rPr>
          <w:color w:val="auto"/>
        </w:rPr>
        <w:t xml:space="preserve">levant </w:t>
      </w:r>
      <w:r w:rsidR="00801A48">
        <w:rPr>
          <w:color w:val="auto"/>
        </w:rPr>
        <w:t>information</w:t>
      </w:r>
      <w:r w:rsidR="005F33E9">
        <w:rPr>
          <w:color w:val="auto"/>
        </w:rPr>
        <w:t xml:space="preserve"> such as </w:t>
      </w:r>
      <w:r w:rsidR="00772C3F">
        <w:rPr>
          <w:color w:val="auto"/>
        </w:rPr>
        <w:t xml:space="preserve">finer-scaled vegetation </w:t>
      </w:r>
      <w:r w:rsidR="008257C9">
        <w:rPr>
          <w:color w:val="auto"/>
        </w:rPr>
        <w:t xml:space="preserve">type </w:t>
      </w:r>
      <w:r w:rsidR="00772C3F">
        <w:rPr>
          <w:color w:val="auto"/>
        </w:rPr>
        <w:t xml:space="preserve">and soil mapping. </w:t>
      </w:r>
    </w:p>
    <w:p w14:paraId="5FDA67EA" w14:textId="77777777" w:rsidR="00243325" w:rsidRDefault="00243325" w:rsidP="00243325">
      <w:pPr>
        <w:pStyle w:val="BodyText"/>
        <w:rPr>
          <w:color w:val="C00000"/>
        </w:rPr>
      </w:pPr>
    </w:p>
    <w:p w14:paraId="58D1758A" w14:textId="77777777" w:rsidR="00243325" w:rsidRDefault="00243325" w:rsidP="00243325">
      <w:pPr>
        <w:pStyle w:val="BodyText"/>
      </w:pPr>
      <w:r>
        <w:rPr>
          <w:noProof/>
        </w:rPr>
        <w:drawing>
          <wp:inline distT="0" distB="0" distL="0" distR="0" wp14:anchorId="1ED22101" wp14:editId="02069D4E">
            <wp:extent cx="4742992" cy="3422650"/>
            <wp:effectExtent l="0" t="0" r="635" b="6350"/>
            <wp:docPr id="17362328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9">
                      <a:extLst>
                        <a:ext uri="{28A0092B-C50C-407E-A947-70E740481C1C}">
                          <a14:useLocalDpi xmlns:a14="http://schemas.microsoft.com/office/drawing/2010/main" val="0"/>
                        </a:ext>
                      </a:extLst>
                    </a:blip>
                    <a:stretch>
                      <a:fillRect/>
                    </a:stretch>
                  </pic:blipFill>
                  <pic:spPr>
                    <a:xfrm>
                      <a:off x="0" y="0"/>
                      <a:ext cx="4742992" cy="3422650"/>
                    </a:xfrm>
                    <a:prstGeom prst="rect">
                      <a:avLst/>
                    </a:prstGeom>
                  </pic:spPr>
                </pic:pic>
              </a:graphicData>
            </a:graphic>
          </wp:inline>
        </w:drawing>
      </w:r>
    </w:p>
    <w:p w14:paraId="769720CC" w14:textId="08907507" w:rsidR="00243325" w:rsidRDefault="00243325" w:rsidP="00243325">
      <w:pPr>
        <w:pStyle w:val="Caption"/>
      </w:pPr>
      <w:bookmarkStart w:id="39" w:name="_Toc52968233"/>
      <w:r>
        <w:t xml:space="preserve">Figure </w:t>
      </w:r>
      <w:r>
        <w:fldChar w:fldCharType="begin"/>
      </w:r>
      <w:r>
        <w:instrText>SEQ Figure \* ARABIC</w:instrText>
      </w:r>
      <w:r>
        <w:fldChar w:fldCharType="separate"/>
      </w:r>
      <w:r w:rsidR="00235F13">
        <w:rPr>
          <w:noProof/>
        </w:rPr>
        <w:t>3</w:t>
      </w:r>
      <w:r>
        <w:fldChar w:fldCharType="end"/>
      </w:r>
      <w:r>
        <w:t xml:space="preserve">. </w:t>
      </w:r>
      <w:r w:rsidRPr="00373A3E">
        <w:rPr>
          <w:b w:val="0"/>
          <w:bCs w:val="0"/>
        </w:rPr>
        <w:t xml:space="preserve">NRM </w:t>
      </w:r>
      <w:r w:rsidR="006E2CE9">
        <w:rPr>
          <w:b w:val="0"/>
          <w:bCs w:val="0"/>
        </w:rPr>
        <w:t xml:space="preserve">sub-cluster </w:t>
      </w:r>
      <w:r w:rsidRPr="00373A3E">
        <w:rPr>
          <w:b w:val="0"/>
          <w:bCs w:val="0"/>
        </w:rPr>
        <w:t>regionalisation f</w:t>
      </w:r>
      <w:r>
        <w:rPr>
          <w:b w:val="0"/>
          <w:bCs w:val="0"/>
        </w:rPr>
        <w:t>or</w:t>
      </w:r>
      <w:r w:rsidRPr="00373A3E">
        <w:rPr>
          <w:b w:val="0"/>
          <w:bCs w:val="0"/>
        </w:rPr>
        <w:t xml:space="preserve"> climate projection</w:t>
      </w:r>
      <w:r>
        <w:rPr>
          <w:b w:val="0"/>
          <w:bCs w:val="0"/>
        </w:rPr>
        <w:t xml:space="preserve"> summaries.</w:t>
      </w:r>
      <w:bookmarkEnd w:id="39"/>
    </w:p>
    <w:p w14:paraId="288B95FD" w14:textId="77777777" w:rsidR="003406E5" w:rsidRDefault="003406E5" w:rsidP="00F677E0">
      <w:pPr>
        <w:rPr>
          <w:rFonts w:ascii="Calibri" w:eastAsia="Calibri" w:hAnsi="Calibri"/>
          <w:color w:val="C00000"/>
          <w:szCs w:val="22"/>
        </w:rPr>
      </w:pPr>
    </w:p>
    <w:p w14:paraId="0DF084C1" w14:textId="7CC63DFA" w:rsidR="00314070" w:rsidRDefault="00314070" w:rsidP="00314070">
      <w:pPr>
        <w:pStyle w:val="Heading2"/>
      </w:pPr>
      <w:bookmarkStart w:id="40" w:name="_Toc52873089"/>
      <w:bookmarkStart w:id="41" w:name="_Toc53075120"/>
      <w:r>
        <w:t>Review and classification of key climate impact drivers</w:t>
      </w:r>
      <w:bookmarkEnd w:id="40"/>
      <w:bookmarkEnd w:id="41"/>
    </w:p>
    <w:p w14:paraId="6E765130" w14:textId="20AC70A3" w:rsidR="0047235A" w:rsidRDefault="008A6969" w:rsidP="00D1420E">
      <w:pPr>
        <w:pStyle w:val="BodyText"/>
      </w:pPr>
      <w:r>
        <w:t xml:space="preserve">The list of </w:t>
      </w:r>
      <w:r w:rsidR="00D50661">
        <w:t xml:space="preserve">primary </w:t>
      </w:r>
      <w:r>
        <w:t xml:space="preserve">climate </w:t>
      </w:r>
      <w:r w:rsidR="00A56736">
        <w:t>variable</w:t>
      </w:r>
      <w:r w:rsidR="00CA6CC7">
        <w:t>s</w:t>
      </w:r>
      <w:r>
        <w:t xml:space="preserve"> and </w:t>
      </w:r>
      <w:r w:rsidR="001C5020">
        <w:t xml:space="preserve">their potential </w:t>
      </w:r>
      <w:r w:rsidR="00250413">
        <w:t xml:space="preserve">impacts on sequestration </w:t>
      </w:r>
      <w:r w:rsidR="00902768">
        <w:t>was</w:t>
      </w:r>
      <w:r w:rsidR="00250413">
        <w:t xml:space="preserve"> </w:t>
      </w:r>
      <w:r w:rsidR="006534A8">
        <w:t xml:space="preserve">based on </w:t>
      </w:r>
      <w:r w:rsidR="00CB7782">
        <w:t xml:space="preserve">the generic classification provided </w:t>
      </w:r>
      <w:r w:rsidR="00044F44">
        <w:t xml:space="preserve">by </w:t>
      </w:r>
      <w:r w:rsidR="004F6377">
        <w:t>t</w:t>
      </w:r>
      <w:r w:rsidR="008F0186">
        <w:t>he Australian Greenhouse Office (2006)</w:t>
      </w:r>
      <w:r w:rsidR="006534A8">
        <w:t xml:space="preserve">, </w:t>
      </w:r>
      <w:r w:rsidR="004F6377">
        <w:t xml:space="preserve">although </w:t>
      </w:r>
      <w:r w:rsidR="006534A8">
        <w:t xml:space="preserve">modified and </w:t>
      </w:r>
      <w:r w:rsidR="00CA6CC7">
        <w:t>extended</w:t>
      </w:r>
      <w:r w:rsidR="006534A8">
        <w:t xml:space="preserve"> </w:t>
      </w:r>
      <w:r w:rsidR="00727083">
        <w:t xml:space="preserve">specifically </w:t>
      </w:r>
      <w:r w:rsidR="006534A8">
        <w:t xml:space="preserve">for land-based </w:t>
      </w:r>
      <w:r w:rsidR="006534A8" w:rsidRPr="00E024CA">
        <w:rPr>
          <w:color w:val="auto"/>
          <w:szCs w:val="24"/>
        </w:rPr>
        <w:t>sequestration</w:t>
      </w:r>
      <w:r w:rsidR="00727083" w:rsidRPr="00E024CA">
        <w:rPr>
          <w:color w:val="auto"/>
          <w:szCs w:val="24"/>
        </w:rPr>
        <w:t xml:space="preserve"> (</w:t>
      </w:r>
      <w:r w:rsidR="00727083" w:rsidRPr="00E024CA">
        <w:rPr>
          <w:color w:val="auto"/>
          <w:szCs w:val="24"/>
        </w:rPr>
        <w:fldChar w:fldCharType="begin"/>
      </w:r>
      <w:r w:rsidR="00727083" w:rsidRPr="00E024CA">
        <w:rPr>
          <w:color w:val="auto"/>
          <w:szCs w:val="24"/>
        </w:rPr>
        <w:instrText xml:space="preserve"> REF _Ref46174204 \h </w:instrText>
      </w:r>
      <w:r w:rsidR="003B767C" w:rsidRPr="00E024CA">
        <w:rPr>
          <w:color w:val="auto"/>
          <w:szCs w:val="24"/>
        </w:rPr>
        <w:instrText xml:space="preserve"> \* MERGEFORMAT </w:instrText>
      </w:r>
      <w:r w:rsidR="00727083" w:rsidRPr="00E024CA">
        <w:rPr>
          <w:color w:val="auto"/>
          <w:szCs w:val="24"/>
        </w:rPr>
      </w:r>
      <w:r w:rsidR="00727083" w:rsidRPr="00E024CA">
        <w:rPr>
          <w:color w:val="auto"/>
          <w:szCs w:val="24"/>
        </w:rPr>
        <w:fldChar w:fldCharType="separate"/>
      </w:r>
      <w:r w:rsidR="00235F13" w:rsidRPr="00235F13">
        <w:rPr>
          <w:color w:val="auto"/>
          <w:szCs w:val="24"/>
        </w:rPr>
        <w:t xml:space="preserve">Table </w:t>
      </w:r>
      <w:r w:rsidR="00235F13" w:rsidRPr="00235F13">
        <w:rPr>
          <w:noProof/>
          <w:color w:val="auto"/>
          <w:szCs w:val="24"/>
        </w:rPr>
        <w:t>6</w:t>
      </w:r>
      <w:r w:rsidR="00727083" w:rsidRPr="00E024CA">
        <w:rPr>
          <w:color w:val="auto"/>
          <w:szCs w:val="24"/>
        </w:rPr>
        <w:fldChar w:fldCharType="end"/>
      </w:r>
      <w:r w:rsidR="00727083" w:rsidRPr="00E024CA">
        <w:rPr>
          <w:color w:val="auto"/>
          <w:szCs w:val="24"/>
        </w:rPr>
        <w:t>)</w:t>
      </w:r>
      <w:r w:rsidR="00A56736" w:rsidRPr="00E024CA">
        <w:rPr>
          <w:color w:val="auto"/>
          <w:szCs w:val="24"/>
        </w:rPr>
        <w:t xml:space="preserve">. </w:t>
      </w:r>
      <w:r w:rsidR="008C2CF6" w:rsidRPr="003B767C">
        <w:rPr>
          <w:szCs w:val="24"/>
        </w:rPr>
        <w:t>Secondary</w:t>
      </w:r>
      <w:r w:rsidR="008C2CF6">
        <w:t xml:space="preserve"> climate variables (</w:t>
      </w:r>
      <w:r w:rsidR="008C2CF6" w:rsidRPr="008C2CF6">
        <w:t>direct or indirect impacts of primary climate variables</w:t>
      </w:r>
      <w:r w:rsidR="008C2CF6">
        <w:t xml:space="preserve">, e.g. sea-level rise, </w:t>
      </w:r>
      <w:r w:rsidR="0056650E">
        <w:t>drought, fire risks</w:t>
      </w:r>
      <w:r w:rsidR="008C2CF6">
        <w:t>)</w:t>
      </w:r>
      <w:r w:rsidR="0056650E">
        <w:t xml:space="preserve"> and elevated atmospheric CO</w:t>
      </w:r>
      <w:r w:rsidR="0056650E" w:rsidRPr="008D11AD">
        <w:rPr>
          <w:vertAlign w:val="subscript"/>
        </w:rPr>
        <w:t>2</w:t>
      </w:r>
      <w:r w:rsidR="0056650E">
        <w:t xml:space="preserve"> concentrations were also considered given th</w:t>
      </w:r>
      <w:r w:rsidR="007A419D">
        <w:t>eir impact on land-based sequestration</w:t>
      </w:r>
      <w:r w:rsidR="00BF2234">
        <w:t xml:space="preserve">. </w:t>
      </w:r>
      <w:r w:rsidR="004E6002">
        <w:t xml:space="preserve">The </w:t>
      </w:r>
      <w:r w:rsidR="00F92382">
        <w:t xml:space="preserve">impacts </w:t>
      </w:r>
      <w:r w:rsidR="004E6002">
        <w:t>include those that arise directly from changes in individual climate forcing variables (such as temperature directly affecting seedling germination, or soil respiration), in addition to changes in disturbance regimes associated with an overall changing climate (such as fire, drought, and coastal storm surges). A comparison of projected changes in the</w:t>
      </w:r>
      <w:r w:rsidR="00937956">
        <w:t xml:space="preserve"> </w:t>
      </w:r>
      <w:r w:rsidR="00427F42">
        <w:t xml:space="preserve">impact drivers </w:t>
      </w:r>
      <w:r w:rsidR="004E6002">
        <w:t xml:space="preserve">relative to current climate conditions and disturbance regimes provides a basis for both assessing </w:t>
      </w:r>
      <w:r w:rsidR="004E6002">
        <w:lastRenderedPageBreak/>
        <w:t>the risks under current conditions, and how those risks might change into the future.</w:t>
      </w:r>
      <w:r w:rsidR="006A7F2E">
        <w:t xml:space="preserve"> </w:t>
      </w:r>
      <w:r w:rsidR="0047235A">
        <w:t xml:space="preserve">The potential </w:t>
      </w:r>
      <w:r w:rsidR="008259FE">
        <w:t>importance</w:t>
      </w:r>
      <w:r w:rsidR="0047235A">
        <w:t xml:space="preserve"> to both the risk of abatement </w:t>
      </w:r>
      <w:r w:rsidR="006B3316">
        <w:t>maintenance</w:t>
      </w:r>
      <w:r w:rsidR="0047235A">
        <w:t>, and</w:t>
      </w:r>
      <w:r w:rsidR="008259FE">
        <w:t xml:space="preserve"> </w:t>
      </w:r>
      <w:r w:rsidR="006B3316">
        <w:t>accumulation</w:t>
      </w:r>
      <w:r w:rsidR="008259FE">
        <w:t xml:space="preserve">, for each of the </w:t>
      </w:r>
      <w:r w:rsidR="00333377">
        <w:t xml:space="preserve">identified impacts is also </w:t>
      </w:r>
      <w:r w:rsidR="00333377" w:rsidRPr="007A1B61">
        <w:t xml:space="preserve">indicated in </w:t>
      </w:r>
      <w:r w:rsidR="00333377" w:rsidRPr="007A1B61">
        <w:fldChar w:fldCharType="begin"/>
      </w:r>
      <w:r w:rsidR="00333377" w:rsidRPr="007A1B61">
        <w:instrText xml:space="preserve"> REF _Ref46174204 \h </w:instrText>
      </w:r>
      <w:r w:rsidR="007A1B61" w:rsidRPr="007A1B61">
        <w:instrText xml:space="preserve"> \* MERGEFORMAT </w:instrText>
      </w:r>
      <w:r w:rsidR="00333377" w:rsidRPr="007A1B61">
        <w:fldChar w:fldCharType="separate"/>
      </w:r>
      <w:r w:rsidR="00235F13" w:rsidRPr="00235F13">
        <w:t>Table 6</w:t>
      </w:r>
      <w:r w:rsidR="00333377" w:rsidRPr="007A1B61">
        <w:fldChar w:fldCharType="end"/>
      </w:r>
      <w:r w:rsidR="00333377">
        <w:t>.</w:t>
      </w:r>
    </w:p>
    <w:p w14:paraId="4301A229" w14:textId="2F96D426" w:rsidR="00D1420E" w:rsidRDefault="00785D9F" w:rsidP="00D1420E">
      <w:pPr>
        <w:pStyle w:val="BodyText"/>
      </w:pPr>
      <w:bookmarkStart w:id="42" w:name="_Ref46174204"/>
      <w:bookmarkStart w:id="43" w:name="_Toc52971061"/>
      <w:r w:rsidRPr="008D11AD">
        <w:rPr>
          <w:b/>
          <w:bCs/>
          <w:color w:val="008CAC" w:themeColor="accent2" w:themeTint="BF"/>
          <w:sz w:val="20"/>
          <w:szCs w:val="20"/>
        </w:rPr>
        <w:t xml:space="preserve">Table </w:t>
      </w:r>
      <w:r w:rsidRPr="008D11AD">
        <w:rPr>
          <w:b/>
          <w:bCs/>
          <w:color w:val="008CAC" w:themeColor="accent2" w:themeTint="BF"/>
          <w:sz w:val="20"/>
          <w:szCs w:val="20"/>
        </w:rPr>
        <w:fldChar w:fldCharType="begin"/>
      </w:r>
      <w:r w:rsidRPr="008D11AD">
        <w:rPr>
          <w:b/>
          <w:bCs/>
          <w:color w:val="008CAC" w:themeColor="accent2" w:themeTint="BF"/>
          <w:sz w:val="20"/>
          <w:szCs w:val="20"/>
        </w:rPr>
        <w:instrText>SEQ Table \* ARABIC</w:instrText>
      </w:r>
      <w:r w:rsidRPr="008D11AD">
        <w:rPr>
          <w:b/>
          <w:bCs/>
          <w:color w:val="008CAC" w:themeColor="accent2" w:themeTint="BF"/>
          <w:sz w:val="20"/>
          <w:szCs w:val="20"/>
        </w:rPr>
        <w:fldChar w:fldCharType="separate"/>
      </w:r>
      <w:r w:rsidR="00235F13">
        <w:rPr>
          <w:b/>
          <w:bCs/>
          <w:noProof/>
          <w:color w:val="008CAC" w:themeColor="accent2" w:themeTint="BF"/>
          <w:sz w:val="20"/>
          <w:szCs w:val="20"/>
        </w:rPr>
        <w:t>6</w:t>
      </w:r>
      <w:r w:rsidRPr="008D11AD">
        <w:rPr>
          <w:b/>
          <w:bCs/>
          <w:color w:val="008CAC" w:themeColor="accent2" w:themeTint="BF"/>
          <w:sz w:val="20"/>
          <w:szCs w:val="20"/>
        </w:rPr>
        <w:fldChar w:fldCharType="end"/>
      </w:r>
      <w:bookmarkEnd w:id="42"/>
      <w:r w:rsidRPr="008D11AD">
        <w:rPr>
          <w:color w:val="008CAC" w:themeColor="accent2" w:themeTint="BF"/>
          <w:sz w:val="20"/>
          <w:szCs w:val="20"/>
        </w:rPr>
        <w:t xml:space="preserve">. Key primary and secondary climate </w:t>
      </w:r>
      <w:r w:rsidR="00385FB8" w:rsidRPr="008D11AD">
        <w:rPr>
          <w:color w:val="008CAC" w:themeColor="accent2" w:themeTint="BF"/>
          <w:sz w:val="20"/>
          <w:szCs w:val="20"/>
        </w:rPr>
        <w:t>variables,</w:t>
      </w:r>
      <w:r w:rsidRPr="008D11AD">
        <w:rPr>
          <w:color w:val="008CAC" w:themeColor="accent2" w:themeTint="BF"/>
          <w:sz w:val="20"/>
          <w:szCs w:val="20"/>
        </w:rPr>
        <w:t xml:space="preserve"> and their potential impacts on risk to abatement and maintenance of carbon stocks that are sequestered by ERF projects</w:t>
      </w:r>
      <w:r w:rsidRPr="008D11AD">
        <w:rPr>
          <w:sz w:val="20"/>
          <w:szCs w:val="20"/>
        </w:rPr>
        <w:t>.</w:t>
      </w:r>
      <w:bookmarkEnd w:id="43"/>
    </w:p>
    <w:tbl>
      <w:tblPr>
        <w:tblStyle w:val="TableCSIRO"/>
        <w:tblW w:w="9641" w:type="dxa"/>
        <w:tblInd w:w="-142" w:type="dxa"/>
        <w:tblLayout w:type="fixed"/>
        <w:tblLook w:val="04A0" w:firstRow="1" w:lastRow="0" w:firstColumn="1" w:lastColumn="0" w:noHBand="0" w:noVBand="1"/>
      </w:tblPr>
      <w:tblGrid>
        <w:gridCol w:w="3970"/>
        <w:gridCol w:w="4536"/>
        <w:gridCol w:w="567"/>
        <w:gridCol w:w="568"/>
      </w:tblGrid>
      <w:tr w:rsidR="009755B7" w:rsidRPr="007C7BC1" w14:paraId="6CAC1DE0" w14:textId="77777777" w:rsidTr="003D231C">
        <w:trPr>
          <w:cnfStyle w:val="100000000000" w:firstRow="1" w:lastRow="0" w:firstColumn="0" w:lastColumn="0" w:oddVBand="0" w:evenVBand="0" w:oddHBand="0" w:evenHBand="0" w:firstRowFirstColumn="0" w:firstRowLastColumn="0" w:lastRowFirstColumn="0" w:lastRowLastColumn="0"/>
          <w:cantSplit/>
          <w:trHeight w:val="1648"/>
        </w:trPr>
        <w:tc>
          <w:tcPr>
            <w:cnfStyle w:val="001000000000" w:firstRow="0" w:lastRow="0" w:firstColumn="1" w:lastColumn="0" w:oddVBand="0" w:evenVBand="0" w:oddHBand="0" w:evenHBand="0" w:firstRowFirstColumn="0" w:firstRowLastColumn="0" w:lastRowFirstColumn="0" w:lastRowLastColumn="0"/>
            <w:tcW w:w="3970" w:type="dxa"/>
            <w:vAlign w:val="bottom"/>
          </w:tcPr>
          <w:p w14:paraId="24F175C1" w14:textId="71DB787E" w:rsidR="00DD0E45" w:rsidRPr="008D11AD" w:rsidRDefault="00DD0E45" w:rsidP="007C7BC1">
            <w:pPr>
              <w:pStyle w:val="BodyText"/>
              <w:rPr>
                <w:b w:val="0"/>
                <w:bCs w:val="0"/>
                <w:color w:val="FFFFFF"/>
                <w:sz w:val="20"/>
                <w:szCs w:val="20"/>
              </w:rPr>
            </w:pPr>
            <w:r w:rsidRPr="008D11AD">
              <w:rPr>
                <w:color w:val="FFFFFF"/>
                <w:sz w:val="20"/>
                <w:szCs w:val="20"/>
              </w:rPr>
              <w:t>Change in climate variable</w:t>
            </w:r>
          </w:p>
        </w:tc>
        <w:tc>
          <w:tcPr>
            <w:tcW w:w="4536" w:type="dxa"/>
            <w:vAlign w:val="bottom"/>
          </w:tcPr>
          <w:p w14:paraId="5E3F3618" w14:textId="77777777" w:rsidR="00DD0E45" w:rsidRPr="008D11AD" w:rsidRDefault="00DD0E45" w:rsidP="007C7BC1">
            <w:pPr>
              <w:pStyle w:val="BodyText"/>
              <w:cnfStyle w:val="100000000000" w:firstRow="1" w:lastRow="0" w:firstColumn="0" w:lastColumn="0" w:oddVBand="0" w:evenVBand="0" w:oddHBand="0" w:evenHBand="0" w:firstRowFirstColumn="0" w:firstRowLastColumn="0" w:lastRowFirstColumn="0" w:lastRowLastColumn="0"/>
              <w:rPr>
                <w:b w:val="0"/>
                <w:bCs w:val="0"/>
                <w:sz w:val="20"/>
                <w:szCs w:val="20"/>
              </w:rPr>
            </w:pPr>
            <w:r w:rsidRPr="008D11AD">
              <w:rPr>
                <w:color w:val="FFFFFF"/>
                <w:sz w:val="20"/>
                <w:szCs w:val="20"/>
              </w:rPr>
              <w:t>Impacts</w:t>
            </w:r>
          </w:p>
        </w:tc>
        <w:tc>
          <w:tcPr>
            <w:tcW w:w="567" w:type="dxa"/>
            <w:textDirection w:val="btLr"/>
            <w:vAlign w:val="bottom"/>
          </w:tcPr>
          <w:p w14:paraId="3A0B0D69" w14:textId="6394C9D5" w:rsidR="00DD0E45" w:rsidRPr="008D11AD" w:rsidRDefault="008F1189" w:rsidP="008D11AD">
            <w:pPr>
              <w:pStyle w:val="BodyText"/>
              <w:cnfStyle w:val="100000000000" w:firstRow="1" w:lastRow="0" w:firstColumn="0" w:lastColumn="0" w:oddVBand="0" w:evenVBand="0" w:oddHBand="0" w:evenHBand="0" w:firstRowFirstColumn="0" w:firstRowLastColumn="0" w:lastRowFirstColumn="0" w:lastRowLastColumn="0"/>
              <w:rPr>
                <w:b w:val="0"/>
                <w:bCs w:val="0"/>
                <w:color w:val="FFFFFF"/>
                <w:sz w:val="20"/>
                <w:szCs w:val="20"/>
              </w:rPr>
            </w:pPr>
            <w:r>
              <w:rPr>
                <w:color w:val="FFFFFF"/>
                <w:sz w:val="20"/>
                <w:szCs w:val="20"/>
              </w:rPr>
              <w:t xml:space="preserve"> </w:t>
            </w:r>
            <w:r w:rsidR="00DD0E45" w:rsidRPr="008D11AD">
              <w:rPr>
                <w:color w:val="FFFFFF"/>
                <w:sz w:val="20"/>
                <w:szCs w:val="20"/>
              </w:rPr>
              <w:t>Accumulation  risk</w:t>
            </w:r>
          </w:p>
        </w:tc>
        <w:tc>
          <w:tcPr>
            <w:tcW w:w="568" w:type="dxa"/>
            <w:textDirection w:val="btLr"/>
            <w:vAlign w:val="bottom"/>
          </w:tcPr>
          <w:p w14:paraId="550E550D" w14:textId="192C9DCA" w:rsidR="00DD0E45" w:rsidRPr="008D11AD" w:rsidRDefault="008F1189" w:rsidP="007C7BC1">
            <w:pPr>
              <w:pStyle w:val="BodyText"/>
              <w:cnfStyle w:val="100000000000" w:firstRow="1" w:lastRow="0" w:firstColumn="0" w:lastColumn="0" w:oddVBand="0" w:evenVBand="0" w:oddHBand="0" w:evenHBand="0" w:firstRowFirstColumn="0" w:firstRowLastColumn="0" w:lastRowFirstColumn="0" w:lastRowLastColumn="0"/>
              <w:rPr>
                <w:b w:val="0"/>
                <w:bCs w:val="0"/>
                <w:color w:val="FFFFFF"/>
                <w:sz w:val="20"/>
                <w:szCs w:val="20"/>
              </w:rPr>
            </w:pPr>
            <w:r>
              <w:rPr>
                <w:color w:val="FFFFFF"/>
                <w:sz w:val="20"/>
                <w:szCs w:val="20"/>
              </w:rPr>
              <w:t xml:space="preserve"> </w:t>
            </w:r>
            <w:r w:rsidR="00DD0E45" w:rsidRPr="008D11AD">
              <w:rPr>
                <w:color w:val="FFFFFF"/>
                <w:sz w:val="20"/>
                <w:szCs w:val="20"/>
              </w:rPr>
              <w:t>Maintenance risk</w:t>
            </w:r>
          </w:p>
          <w:p w14:paraId="21E1C0BF" w14:textId="77777777" w:rsidR="00DD0E45" w:rsidRPr="008D11AD" w:rsidRDefault="00DD0E45" w:rsidP="008D11AD">
            <w:pPr>
              <w:pStyle w:val="BodyText"/>
              <w:cnfStyle w:val="100000000000" w:firstRow="1" w:lastRow="0" w:firstColumn="0" w:lastColumn="0" w:oddVBand="0" w:evenVBand="0" w:oddHBand="0" w:evenHBand="0" w:firstRowFirstColumn="0" w:firstRowLastColumn="0" w:lastRowFirstColumn="0" w:lastRowLastColumn="0"/>
              <w:rPr>
                <w:b w:val="0"/>
                <w:bCs w:val="0"/>
                <w:color w:val="FFFFFF"/>
                <w:sz w:val="20"/>
                <w:szCs w:val="20"/>
              </w:rPr>
            </w:pPr>
          </w:p>
        </w:tc>
      </w:tr>
      <w:tr w:rsidR="00DD0E45" w:rsidRPr="00314070" w14:paraId="59D5ED55" w14:textId="77777777" w:rsidTr="00DC3C21">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9641" w:type="dxa"/>
            <w:gridSpan w:val="4"/>
            <w:shd w:val="clear" w:color="auto" w:fill="auto"/>
            <w:tcMar>
              <w:top w:w="28" w:type="dxa"/>
              <w:left w:w="28" w:type="dxa"/>
              <w:bottom w:w="28" w:type="dxa"/>
              <w:right w:w="28" w:type="dxa"/>
            </w:tcMar>
            <w:vAlign w:val="center"/>
          </w:tcPr>
          <w:p w14:paraId="08A8F849" w14:textId="7F1364D7" w:rsidR="00DD0E45" w:rsidRPr="008D11AD" w:rsidRDefault="00DD0E45" w:rsidP="00DD0E45">
            <w:pPr>
              <w:ind w:left="203"/>
              <w:jc w:val="center"/>
              <w:rPr>
                <w:rFonts w:asciiTheme="minorHAnsi" w:hAnsiTheme="minorHAnsi" w:cstheme="minorHAnsi"/>
                <w:i/>
                <w:iCs/>
                <w:sz w:val="20"/>
                <w:szCs w:val="20"/>
              </w:rPr>
            </w:pPr>
            <w:r w:rsidRPr="008D11AD">
              <w:rPr>
                <w:rFonts w:asciiTheme="minorHAnsi" w:hAnsiTheme="minorHAnsi" w:cstheme="minorHAnsi"/>
                <w:i/>
                <w:iCs/>
                <w:sz w:val="20"/>
                <w:szCs w:val="20"/>
              </w:rPr>
              <w:t>Primary climate variables</w:t>
            </w:r>
          </w:p>
        </w:tc>
      </w:tr>
      <w:tr w:rsidR="008D11AD" w:rsidRPr="00314070" w14:paraId="66A22448" w14:textId="77777777" w:rsidTr="003D231C">
        <w:trPr>
          <w:trHeight w:val="72"/>
        </w:trPr>
        <w:tc>
          <w:tcPr>
            <w:cnfStyle w:val="001000000000" w:firstRow="0" w:lastRow="0" w:firstColumn="1" w:lastColumn="0" w:oddVBand="0" w:evenVBand="0" w:oddHBand="0" w:evenHBand="0" w:firstRowFirstColumn="0" w:firstRowLastColumn="0" w:lastRowFirstColumn="0" w:lastRowLastColumn="0"/>
            <w:tcW w:w="3970" w:type="dxa"/>
            <w:vMerge w:val="restart"/>
            <w:shd w:val="clear" w:color="auto" w:fill="F2F2F2" w:themeFill="background1" w:themeFillShade="F2"/>
            <w:tcMar>
              <w:top w:w="28" w:type="dxa"/>
              <w:left w:w="28" w:type="dxa"/>
              <w:bottom w:w="28" w:type="dxa"/>
              <w:right w:w="28" w:type="dxa"/>
            </w:tcMar>
            <w:vAlign w:val="center"/>
          </w:tcPr>
          <w:p w14:paraId="6A5E80A9" w14:textId="77777777" w:rsidR="00B45B14" w:rsidRDefault="00B45B14" w:rsidP="003D71D6">
            <w:pPr>
              <w:rPr>
                <w:rFonts w:asciiTheme="minorHAnsi" w:hAnsiTheme="minorHAnsi" w:cstheme="minorHAnsi"/>
                <w:sz w:val="20"/>
                <w:szCs w:val="20"/>
              </w:rPr>
            </w:pPr>
            <w:r>
              <w:rPr>
                <w:rFonts w:asciiTheme="minorHAnsi" w:hAnsiTheme="minorHAnsi" w:cstheme="minorHAnsi"/>
                <w:b w:val="0"/>
                <w:bCs w:val="0"/>
                <w:sz w:val="20"/>
                <w:szCs w:val="20"/>
              </w:rPr>
              <w:t>Higher average temperature, with associated:</w:t>
            </w:r>
          </w:p>
          <w:p w14:paraId="467AC237" w14:textId="77777777" w:rsidR="00B45B14" w:rsidRDefault="00B45B14" w:rsidP="003D71D6">
            <w:pPr>
              <w:ind w:left="203"/>
              <w:rPr>
                <w:rFonts w:asciiTheme="minorHAnsi" w:hAnsiTheme="minorHAnsi" w:cstheme="minorHAnsi"/>
                <w:sz w:val="20"/>
                <w:szCs w:val="20"/>
              </w:rPr>
            </w:pPr>
            <w:r>
              <w:rPr>
                <w:rFonts w:asciiTheme="minorHAnsi" w:hAnsiTheme="minorHAnsi" w:cstheme="minorHAnsi"/>
                <w:b w:val="0"/>
                <w:bCs w:val="0"/>
                <w:sz w:val="20"/>
                <w:szCs w:val="20"/>
              </w:rPr>
              <w:t>Increased evapotranspiration</w:t>
            </w:r>
          </w:p>
          <w:p w14:paraId="6E798441" w14:textId="77777777" w:rsidR="00B45B14" w:rsidRDefault="00B45B14" w:rsidP="003D71D6">
            <w:pPr>
              <w:ind w:left="203"/>
              <w:rPr>
                <w:rFonts w:asciiTheme="minorHAnsi" w:hAnsiTheme="minorHAnsi" w:cstheme="minorHAnsi"/>
                <w:sz w:val="20"/>
                <w:szCs w:val="20"/>
              </w:rPr>
            </w:pPr>
            <w:r>
              <w:rPr>
                <w:rFonts w:asciiTheme="minorHAnsi" w:hAnsiTheme="minorHAnsi" w:cstheme="minorHAnsi"/>
                <w:b w:val="0"/>
                <w:bCs w:val="0"/>
                <w:sz w:val="20"/>
                <w:szCs w:val="20"/>
              </w:rPr>
              <w:t>Lower runoff</w:t>
            </w:r>
          </w:p>
          <w:p w14:paraId="46D3AE5E" w14:textId="77777777" w:rsidR="00B45B14" w:rsidRDefault="00B45B14" w:rsidP="003D71D6">
            <w:pPr>
              <w:ind w:left="203"/>
              <w:rPr>
                <w:rFonts w:asciiTheme="minorHAnsi" w:hAnsiTheme="minorHAnsi" w:cstheme="minorHAnsi"/>
                <w:sz w:val="20"/>
                <w:szCs w:val="20"/>
              </w:rPr>
            </w:pPr>
            <w:r>
              <w:rPr>
                <w:rFonts w:asciiTheme="minorHAnsi" w:hAnsiTheme="minorHAnsi" w:cstheme="minorHAnsi"/>
                <w:b w:val="0"/>
                <w:bCs w:val="0"/>
                <w:sz w:val="20"/>
                <w:szCs w:val="20"/>
              </w:rPr>
              <w:t>Reduced soil water content</w:t>
            </w:r>
          </w:p>
          <w:p w14:paraId="23BFE352" w14:textId="2FAD77F2" w:rsidR="00B45B14" w:rsidRDefault="00B45B14" w:rsidP="003D71D6">
            <w:pPr>
              <w:ind w:left="203"/>
              <w:rPr>
                <w:rFonts w:asciiTheme="minorHAnsi" w:hAnsiTheme="minorHAnsi" w:cstheme="minorHAnsi"/>
                <w:sz w:val="20"/>
                <w:szCs w:val="20"/>
              </w:rPr>
            </w:pPr>
            <w:r>
              <w:rPr>
                <w:rFonts w:asciiTheme="minorHAnsi" w:hAnsiTheme="minorHAnsi" w:cstheme="minorHAnsi"/>
                <w:b w:val="0"/>
                <w:bCs w:val="0"/>
                <w:sz w:val="20"/>
                <w:szCs w:val="20"/>
              </w:rPr>
              <w:t>Reduction in frost risk days</w:t>
            </w:r>
          </w:p>
        </w:tc>
        <w:tc>
          <w:tcPr>
            <w:tcW w:w="4536" w:type="dxa"/>
            <w:tcBorders>
              <w:bottom w:val="nil"/>
            </w:tcBorders>
            <w:shd w:val="clear" w:color="auto" w:fill="F2F2F2" w:themeFill="background1" w:themeFillShade="F2"/>
            <w:tcMar>
              <w:top w:w="28" w:type="dxa"/>
              <w:left w:w="28" w:type="dxa"/>
              <w:bottom w:w="28" w:type="dxa"/>
              <w:right w:w="28" w:type="dxa"/>
            </w:tcMar>
            <w:vAlign w:val="center"/>
          </w:tcPr>
          <w:p w14:paraId="138098FC" w14:textId="5E9C7749" w:rsidR="00B45B14" w:rsidRDefault="00B45B14"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Changes to timing/seasonality of crop</w:t>
            </w:r>
            <w:r w:rsidR="003D5C34">
              <w:rPr>
                <w:rFonts w:asciiTheme="minorHAnsi" w:hAnsiTheme="minorHAnsi" w:cstheme="minorHAnsi"/>
                <w:color w:val="000000" w:themeColor="text1"/>
                <w:sz w:val="20"/>
                <w:szCs w:val="20"/>
              </w:rPr>
              <w:t>/forest</w:t>
            </w:r>
            <w:r>
              <w:rPr>
                <w:rFonts w:asciiTheme="minorHAnsi" w:hAnsiTheme="minorHAnsi" w:cstheme="minorHAnsi"/>
                <w:color w:val="000000" w:themeColor="text1"/>
                <w:sz w:val="20"/>
                <w:szCs w:val="20"/>
              </w:rPr>
              <w:t xml:space="preserve"> growth.</w:t>
            </w:r>
          </w:p>
        </w:tc>
        <w:tc>
          <w:tcPr>
            <w:tcW w:w="567" w:type="dxa"/>
            <w:tcBorders>
              <w:bottom w:val="nil"/>
            </w:tcBorders>
            <w:shd w:val="clear" w:color="auto" w:fill="F2F2F2" w:themeFill="background1" w:themeFillShade="F2"/>
            <w:tcMar>
              <w:top w:w="28" w:type="dxa"/>
              <w:left w:w="28" w:type="dxa"/>
              <w:bottom w:w="28" w:type="dxa"/>
              <w:right w:w="28" w:type="dxa"/>
            </w:tcMar>
            <w:vAlign w:val="center"/>
          </w:tcPr>
          <w:p w14:paraId="4779A701" w14:textId="2876E6F1" w:rsidR="00B45B14" w:rsidRDefault="00B45B14"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bottom w:val="nil"/>
            </w:tcBorders>
            <w:shd w:val="clear" w:color="auto" w:fill="F2F2F2" w:themeFill="background1" w:themeFillShade="F2"/>
            <w:tcMar>
              <w:top w:w="28" w:type="dxa"/>
              <w:left w:w="28" w:type="dxa"/>
              <w:bottom w:w="28" w:type="dxa"/>
              <w:right w:w="28" w:type="dxa"/>
            </w:tcMar>
            <w:vAlign w:val="center"/>
          </w:tcPr>
          <w:p w14:paraId="2108B8B1" w14:textId="77777777" w:rsidR="00B45B14" w:rsidRDefault="00B45B14"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r>
      <w:tr w:rsidR="008D11AD" w:rsidRPr="00314070" w14:paraId="5B491709" w14:textId="77777777" w:rsidTr="003D231C">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3970" w:type="dxa"/>
            <w:vMerge/>
            <w:shd w:val="clear" w:color="auto" w:fill="F2F2F2" w:themeFill="background1" w:themeFillShade="F2"/>
            <w:tcMar>
              <w:top w:w="28" w:type="dxa"/>
              <w:left w:w="28" w:type="dxa"/>
              <w:bottom w:w="28" w:type="dxa"/>
              <w:right w:w="28" w:type="dxa"/>
            </w:tcMar>
            <w:vAlign w:val="center"/>
          </w:tcPr>
          <w:p w14:paraId="71AFE047" w14:textId="77777777" w:rsidR="00B45B14" w:rsidRDefault="00B45B14" w:rsidP="003D71D6">
            <w:pPr>
              <w:rPr>
                <w:rFonts w:asciiTheme="minorHAnsi" w:hAnsiTheme="minorHAnsi" w:cstheme="minorHAnsi"/>
                <w:sz w:val="20"/>
                <w:szCs w:val="20"/>
              </w:rPr>
            </w:pPr>
          </w:p>
        </w:tc>
        <w:tc>
          <w:tcPr>
            <w:tcW w:w="4536" w:type="dxa"/>
            <w:tcBorders>
              <w:bottom w:val="nil"/>
            </w:tcBorders>
            <w:shd w:val="clear" w:color="auto" w:fill="F2F2F2" w:themeFill="background1" w:themeFillShade="F2"/>
            <w:tcMar>
              <w:top w:w="28" w:type="dxa"/>
              <w:left w:w="28" w:type="dxa"/>
              <w:bottom w:w="28" w:type="dxa"/>
              <w:right w:w="28" w:type="dxa"/>
            </w:tcMar>
            <w:vAlign w:val="center"/>
          </w:tcPr>
          <w:p w14:paraId="033BFD8E" w14:textId="0DE5C47D" w:rsidR="00B45B14" w:rsidRDefault="00B45B14"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Reduced soil water availability, leading to reduced crop and tree growth and greater potential for plant stress.</w:t>
            </w:r>
          </w:p>
        </w:tc>
        <w:tc>
          <w:tcPr>
            <w:tcW w:w="567" w:type="dxa"/>
            <w:tcBorders>
              <w:bottom w:val="nil"/>
            </w:tcBorders>
            <w:shd w:val="clear" w:color="auto" w:fill="F2F2F2" w:themeFill="background1" w:themeFillShade="F2"/>
            <w:tcMar>
              <w:top w:w="28" w:type="dxa"/>
              <w:left w:w="28" w:type="dxa"/>
              <w:bottom w:w="28" w:type="dxa"/>
              <w:right w:w="28" w:type="dxa"/>
            </w:tcMar>
            <w:vAlign w:val="center"/>
          </w:tcPr>
          <w:p w14:paraId="2F7AEA82" w14:textId="188F587C"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bottom w:val="nil"/>
            </w:tcBorders>
            <w:shd w:val="clear" w:color="auto" w:fill="F2F2F2" w:themeFill="background1" w:themeFillShade="F2"/>
            <w:tcMar>
              <w:top w:w="28" w:type="dxa"/>
              <w:left w:w="28" w:type="dxa"/>
              <w:bottom w:w="28" w:type="dxa"/>
              <w:right w:w="28" w:type="dxa"/>
            </w:tcMar>
            <w:vAlign w:val="center"/>
          </w:tcPr>
          <w:p w14:paraId="1983405E" w14:textId="77777777"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p>
        </w:tc>
      </w:tr>
      <w:tr w:rsidR="008D11AD" w:rsidRPr="00314070" w14:paraId="63650C51" w14:textId="77777777" w:rsidTr="003D231C">
        <w:trPr>
          <w:trHeight w:val="376"/>
        </w:trPr>
        <w:tc>
          <w:tcPr>
            <w:cnfStyle w:val="001000000000" w:firstRow="0" w:lastRow="0" w:firstColumn="1" w:lastColumn="0" w:oddVBand="0" w:evenVBand="0" w:oddHBand="0" w:evenHBand="0" w:firstRowFirstColumn="0" w:firstRowLastColumn="0" w:lastRowFirstColumn="0" w:lastRowLastColumn="0"/>
            <w:tcW w:w="3970" w:type="dxa"/>
            <w:vMerge/>
            <w:shd w:val="clear" w:color="auto" w:fill="F2F2F2" w:themeFill="background1" w:themeFillShade="F2"/>
            <w:tcMar>
              <w:top w:w="28" w:type="dxa"/>
              <w:left w:w="28" w:type="dxa"/>
              <w:bottom w:w="28" w:type="dxa"/>
              <w:right w:w="28" w:type="dxa"/>
            </w:tcMar>
            <w:vAlign w:val="center"/>
          </w:tcPr>
          <w:p w14:paraId="001E963E" w14:textId="77777777" w:rsidR="00B45B14" w:rsidRDefault="00B45B14" w:rsidP="003D71D6">
            <w:pPr>
              <w:rPr>
                <w:rFonts w:asciiTheme="minorHAnsi" w:hAnsiTheme="minorHAnsi" w:cstheme="minorHAnsi"/>
                <w:sz w:val="20"/>
                <w:szCs w:val="20"/>
              </w:rPr>
            </w:pPr>
          </w:p>
        </w:tc>
        <w:tc>
          <w:tcPr>
            <w:tcW w:w="4536" w:type="dxa"/>
            <w:tcBorders>
              <w:bottom w:val="nil"/>
            </w:tcBorders>
            <w:shd w:val="clear" w:color="auto" w:fill="F2F2F2" w:themeFill="background1" w:themeFillShade="F2"/>
            <w:tcMar>
              <w:top w:w="28" w:type="dxa"/>
              <w:left w:w="28" w:type="dxa"/>
              <w:bottom w:w="28" w:type="dxa"/>
              <w:right w:w="28" w:type="dxa"/>
            </w:tcMar>
            <w:vAlign w:val="center"/>
          </w:tcPr>
          <w:p w14:paraId="3076752F" w14:textId="5F3437BE" w:rsidR="00B45B14" w:rsidRDefault="00B45B14"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Reduction in timing of suitable conditions for tree and crop establishment</w:t>
            </w:r>
          </w:p>
        </w:tc>
        <w:tc>
          <w:tcPr>
            <w:tcW w:w="567" w:type="dxa"/>
            <w:tcBorders>
              <w:bottom w:val="nil"/>
            </w:tcBorders>
            <w:shd w:val="clear" w:color="auto" w:fill="F2F2F2" w:themeFill="background1" w:themeFillShade="F2"/>
            <w:tcMar>
              <w:top w:w="28" w:type="dxa"/>
              <w:left w:w="28" w:type="dxa"/>
              <w:bottom w:w="28" w:type="dxa"/>
              <w:right w:w="28" w:type="dxa"/>
            </w:tcMar>
            <w:vAlign w:val="center"/>
          </w:tcPr>
          <w:p w14:paraId="4B7A4971" w14:textId="11280C32" w:rsidR="00B45B14" w:rsidRDefault="00B45B14"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bottom w:val="nil"/>
            </w:tcBorders>
            <w:shd w:val="clear" w:color="auto" w:fill="F2F2F2" w:themeFill="background1" w:themeFillShade="F2"/>
            <w:tcMar>
              <w:top w:w="28" w:type="dxa"/>
              <w:left w:w="28" w:type="dxa"/>
              <w:bottom w:w="28" w:type="dxa"/>
              <w:right w:w="28" w:type="dxa"/>
            </w:tcMar>
            <w:vAlign w:val="center"/>
          </w:tcPr>
          <w:p w14:paraId="2D605336" w14:textId="77777777" w:rsidR="00B45B14" w:rsidRDefault="00B45B14"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r>
      <w:tr w:rsidR="008D11AD" w:rsidRPr="00314070" w14:paraId="105D5777" w14:textId="77777777" w:rsidTr="003D231C">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3970" w:type="dxa"/>
            <w:vMerge/>
            <w:tcBorders>
              <w:bottom w:val="nil"/>
            </w:tcBorders>
            <w:shd w:val="clear" w:color="auto" w:fill="F2F2F2" w:themeFill="background1" w:themeFillShade="F2"/>
            <w:tcMar>
              <w:top w:w="28" w:type="dxa"/>
              <w:left w:w="28" w:type="dxa"/>
              <w:bottom w:w="28" w:type="dxa"/>
              <w:right w:w="28" w:type="dxa"/>
            </w:tcMar>
            <w:vAlign w:val="center"/>
          </w:tcPr>
          <w:p w14:paraId="2F3BFAC8" w14:textId="77777777" w:rsidR="00B45B14" w:rsidRDefault="00B45B14" w:rsidP="003D71D6">
            <w:pPr>
              <w:rPr>
                <w:rFonts w:asciiTheme="minorHAnsi" w:hAnsiTheme="minorHAnsi" w:cstheme="minorHAnsi"/>
                <w:sz w:val="20"/>
                <w:szCs w:val="20"/>
              </w:rPr>
            </w:pPr>
          </w:p>
        </w:tc>
        <w:tc>
          <w:tcPr>
            <w:tcW w:w="4536" w:type="dxa"/>
            <w:tcBorders>
              <w:bottom w:val="nil"/>
            </w:tcBorders>
            <w:shd w:val="clear" w:color="auto" w:fill="F2F2F2" w:themeFill="background1" w:themeFillShade="F2"/>
            <w:tcMar>
              <w:top w:w="28" w:type="dxa"/>
              <w:left w:w="28" w:type="dxa"/>
              <w:bottom w:w="28" w:type="dxa"/>
              <w:right w:w="28" w:type="dxa"/>
            </w:tcMar>
            <w:vAlign w:val="center"/>
          </w:tcPr>
          <w:p w14:paraId="2B10A971" w14:textId="68F93922" w:rsidR="00B45B14" w:rsidRDefault="00B45B14"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Extended range of pests/diseases</w:t>
            </w:r>
          </w:p>
        </w:tc>
        <w:tc>
          <w:tcPr>
            <w:tcW w:w="567" w:type="dxa"/>
            <w:tcBorders>
              <w:bottom w:val="nil"/>
            </w:tcBorders>
            <w:shd w:val="clear" w:color="auto" w:fill="F2F2F2" w:themeFill="background1" w:themeFillShade="F2"/>
            <w:tcMar>
              <w:top w:w="28" w:type="dxa"/>
              <w:left w:w="28" w:type="dxa"/>
              <w:bottom w:w="28" w:type="dxa"/>
              <w:right w:w="28" w:type="dxa"/>
            </w:tcMar>
            <w:vAlign w:val="center"/>
          </w:tcPr>
          <w:p w14:paraId="39412546" w14:textId="4995A27E"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bottom w:val="nil"/>
            </w:tcBorders>
            <w:shd w:val="clear" w:color="auto" w:fill="F2F2F2" w:themeFill="background1" w:themeFillShade="F2"/>
            <w:tcMar>
              <w:top w:w="28" w:type="dxa"/>
              <w:left w:w="28" w:type="dxa"/>
              <w:bottom w:w="28" w:type="dxa"/>
              <w:right w:w="28" w:type="dxa"/>
            </w:tcMar>
            <w:vAlign w:val="center"/>
          </w:tcPr>
          <w:p w14:paraId="133FC460" w14:textId="401F2143"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990F60" w:rsidRPr="00314070" w14:paraId="01FEA635" w14:textId="77777777" w:rsidTr="003D231C">
        <w:trPr>
          <w:trHeight w:val="144"/>
        </w:trPr>
        <w:tc>
          <w:tcPr>
            <w:cnfStyle w:val="001000000000" w:firstRow="0" w:lastRow="0" w:firstColumn="1" w:lastColumn="0" w:oddVBand="0" w:evenVBand="0" w:oddHBand="0" w:evenHBand="0" w:firstRowFirstColumn="0" w:firstRowLastColumn="0" w:lastRowFirstColumn="0" w:lastRowLastColumn="0"/>
            <w:tcW w:w="3970" w:type="dxa"/>
            <w:tcBorders>
              <w:bottom w:val="nil"/>
            </w:tcBorders>
            <w:shd w:val="clear" w:color="auto" w:fill="F2F2F2" w:themeFill="background1" w:themeFillShade="F2"/>
            <w:tcMar>
              <w:top w:w="28" w:type="dxa"/>
              <w:left w:w="28" w:type="dxa"/>
              <w:bottom w:w="28" w:type="dxa"/>
              <w:right w:w="28" w:type="dxa"/>
            </w:tcMar>
            <w:vAlign w:val="center"/>
          </w:tcPr>
          <w:p w14:paraId="1787F30D" w14:textId="77777777" w:rsidR="00200686" w:rsidRDefault="00200686" w:rsidP="003D71D6">
            <w:pPr>
              <w:rPr>
                <w:rFonts w:asciiTheme="minorHAnsi" w:hAnsiTheme="minorHAnsi" w:cstheme="minorHAnsi"/>
                <w:sz w:val="20"/>
                <w:szCs w:val="20"/>
              </w:rPr>
            </w:pPr>
          </w:p>
        </w:tc>
        <w:tc>
          <w:tcPr>
            <w:tcW w:w="4536" w:type="dxa"/>
            <w:tcBorders>
              <w:bottom w:val="nil"/>
            </w:tcBorders>
            <w:shd w:val="clear" w:color="auto" w:fill="F2F2F2" w:themeFill="background1" w:themeFillShade="F2"/>
            <w:tcMar>
              <w:top w:w="28" w:type="dxa"/>
              <w:left w:w="28" w:type="dxa"/>
              <w:bottom w:w="28" w:type="dxa"/>
              <w:right w:w="28" w:type="dxa"/>
            </w:tcMar>
            <w:vAlign w:val="center"/>
          </w:tcPr>
          <w:p w14:paraId="5583ED6C" w14:textId="7CD83A2E" w:rsidR="00200686" w:rsidRDefault="00591605"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Changes to soil respiration</w:t>
            </w:r>
            <w:r w:rsidR="00FD2EE9">
              <w:rPr>
                <w:rFonts w:asciiTheme="minorHAnsi" w:hAnsiTheme="minorHAnsi" w:cstheme="minorHAnsi"/>
                <w:sz w:val="20"/>
                <w:szCs w:val="20"/>
              </w:rPr>
              <w:t xml:space="preserve"> and soil microbial processes</w:t>
            </w:r>
          </w:p>
        </w:tc>
        <w:tc>
          <w:tcPr>
            <w:tcW w:w="567" w:type="dxa"/>
            <w:tcBorders>
              <w:bottom w:val="nil"/>
            </w:tcBorders>
            <w:shd w:val="clear" w:color="auto" w:fill="F2F2F2" w:themeFill="background1" w:themeFillShade="F2"/>
            <w:tcMar>
              <w:top w:w="28" w:type="dxa"/>
              <w:left w:w="28" w:type="dxa"/>
              <w:bottom w:w="28" w:type="dxa"/>
              <w:right w:w="28" w:type="dxa"/>
            </w:tcMar>
            <w:vAlign w:val="center"/>
          </w:tcPr>
          <w:p w14:paraId="41382ED0" w14:textId="73C0B6E6" w:rsidR="00200686" w:rsidRDefault="00591605"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X</w:t>
            </w:r>
          </w:p>
        </w:tc>
        <w:tc>
          <w:tcPr>
            <w:tcW w:w="568" w:type="dxa"/>
            <w:tcBorders>
              <w:bottom w:val="nil"/>
            </w:tcBorders>
            <w:shd w:val="clear" w:color="auto" w:fill="F2F2F2" w:themeFill="background1" w:themeFillShade="F2"/>
            <w:tcMar>
              <w:top w:w="28" w:type="dxa"/>
              <w:left w:w="28" w:type="dxa"/>
              <w:bottom w:w="28" w:type="dxa"/>
              <w:right w:w="28" w:type="dxa"/>
            </w:tcMar>
            <w:vAlign w:val="center"/>
          </w:tcPr>
          <w:p w14:paraId="2368AE97" w14:textId="0D465468" w:rsidR="00200686" w:rsidRDefault="00591605"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X</w:t>
            </w:r>
          </w:p>
        </w:tc>
      </w:tr>
      <w:tr w:rsidR="008D11AD" w:rsidRPr="00314070" w14:paraId="1C395974" w14:textId="77777777" w:rsidTr="003D231C">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3970" w:type="dxa"/>
            <w:tcBorders>
              <w:bottom w:val="nil"/>
            </w:tcBorders>
            <w:shd w:val="clear" w:color="auto" w:fill="FFFFFF" w:themeFill="background1"/>
            <w:tcMar>
              <w:top w:w="28" w:type="dxa"/>
              <w:left w:w="28" w:type="dxa"/>
              <w:bottom w:w="28" w:type="dxa"/>
              <w:right w:w="28" w:type="dxa"/>
            </w:tcMar>
            <w:vAlign w:val="center"/>
          </w:tcPr>
          <w:p w14:paraId="15C1D09F" w14:textId="77777777" w:rsidR="00B45B14" w:rsidRDefault="00B45B14" w:rsidP="003D71D6">
            <w:pPr>
              <w:rPr>
                <w:rFonts w:asciiTheme="minorHAnsi" w:hAnsiTheme="minorHAnsi" w:cstheme="minorHAnsi"/>
                <w:sz w:val="20"/>
                <w:szCs w:val="20"/>
              </w:rPr>
            </w:pPr>
            <w:r>
              <w:rPr>
                <w:rFonts w:asciiTheme="minorHAnsi" w:hAnsiTheme="minorHAnsi" w:cstheme="minorHAnsi"/>
                <w:b w:val="0"/>
                <w:bCs w:val="0"/>
                <w:sz w:val="20"/>
                <w:szCs w:val="20"/>
              </w:rPr>
              <w:t xml:space="preserve">Higher minimum temperatures </w:t>
            </w:r>
          </w:p>
        </w:tc>
        <w:tc>
          <w:tcPr>
            <w:tcW w:w="4536" w:type="dxa"/>
            <w:tcBorders>
              <w:bottom w:val="nil"/>
            </w:tcBorders>
            <w:shd w:val="clear" w:color="auto" w:fill="FFFFFF" w:themeFill="background1"/>
            <w:tcMar>
              <w:top w:w="28" w:type="dxa"/>
              <w:left w:w="28" w:type="dxa"/>
              <w:bottom w:w="28" w:type="dxa"/>
              <w:right w:w="28" w:type="dxa"/>
            </w:tcMar>
            <w:vAlign w:val="center"/>
          </w:tcPr>
          <w:p w14:paraId="476D23AD" w14:textId="51EFFFD6" w:rsidR="00B45B14" w:rsidRPr="0008740D" w:rsidRDefault="00B45B14"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Reduction in frost risk days</w:t>
            </w:r>
          </w:p>
        </w:tc>
        <w:tc>
          <w:tcPr>
            <w:tcW w:w="567" w:type="dxa"/>
            <w:tcBorders>
              <w:bottom w:val="nil"/>
            </w:tcBorders>
            <w:shd w:val="clear" w:color="auto" w:fill="FFFFFF" w:themeFill="background1"/>
            <w:tcMar>
              <w:top w:w="28" w:type="dxa"/>
              <w:left w:w="28" w:type="dxa"/>
              <w:bottom w:w="28" w:type="dxa"/>
              <w:right w:w="28" w:type="dxa"/>
            </w:tcMar>
            <w:vAlign w:val="center"/>
          </w:tcPr>
          <w:p w14:paraId="40FE7B5D" w14:textId="77777777"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X</w:t>
            </w:r>
          </w:p>
        </w:tc>
        <w:tc>
          <w:tcPr>
            <w:tcW w:w="568" w:type="dxa"/>
            <w:tcBorders>
              <w:bottom w:val="nil"/>
            </w:tcBorders>
            <w:shd w:val="clear" w:color="auto" w:fill="FFFFFF" w:themeFill="background1"/>
            <w:tcMar>
              <w:top w:w="28" w:type="dxa"/>
              <w:left w:w="28" w:type="dxa"/>
              <w:bottom w:w="28" w:type="dxa"/>
              <w:right w:w="28" w:type="dxa"/>
            </w:tcMar>
            <w:vAlign w:val="center"/>
          </w:tcPr>
          <w:p w14:paraId="7DCF7E9D" w14:textId="77777777"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r>
      <w:tr w:rsidR="00990F60" w:rsidRPr="00314070" w14:paraId="0DA66416" w14:textId="77777777" w:rsidTr="003D231C">
        <w:trPr>
          <w:trHeight w:val="515"/>
        </w:trPr>
        <w:tc>
          <w:tcPr>
            <w:cnfStyle w:val="001000000000" w:firstRow="0" w:lastRow="0" w:firstColumn="1" w:lastColumn="0" w:oddVBand="0" w:evenVBand="0" w:oddHBand="0" w:evenHBand="0" w:firstRowFirstColumn="0" w:firstRowLastColumn="0" w:lastRowFirstColumn="0" w:lastRowLastColumn="0"/>
            <w:tcW w:w="3970" w:type="dxa"/>
            <w:tcBorders>
              <w:bottom w:val="nil"/>
            </w:tcBorders>
            <w:shd w:val="clear" w:color="auto" w:fill="FFFFFF" w:themeFill="background1"/>
            <w:tcMar>
              <w:top w:w="28" w:type="dxa"/>
              <w:left w:w="28" w:type="dxa"/>
              <w:bottom w:w="28" w:type="dxa"/>
              <w:right w:w="28" w:type="dxa"/>
            </w:tcMar>
            <w:vAlign w:val="center"/>
          </w:tcPr>
          <w:p w14:paraId="1E5B5BD0" w14:textId="77777777" w:rsidR="00B06960" w:rsidRDefault="00B06960" w:rsidP="003D71D6">
            <w:pPr>
              <w:rPr>
                <w:rFonts w:asciiTheme="minorHAnsi" w:hAnsiTheme="minorHAnsi" w:cstheme="minorHAnsi"/>
                <w:sz w:val="20"/>
                <w:szCs w:val="20"/>
              </w:rPr>
            </w:pPr>
          </w:p>
        </w:tc>
        <w:tc>
          <w:tcPr>
            <w:tcW w:w="4536" w:type="dxa"/>
            <w:tcBorders>
              <w:bottom w:val="nil"/>
            </w:tcBorders>
            <w:shd w:val="clear" w:color="auto" w:fill="FFFFFF" w:themeFill="background1"/>
            <w:tcMar>
              <w:top w:w="28" w:type="dxa"/>
              <w:left w:w="28" w:type="dxa"/>
              <w:bottom w:w="28" w:type="dxa"/>
              <w:right w:w="28" w:type="dxa"/>
            </w:tcMar>
            <w:vAlign w:val="center"/>
          </w:tcPr>
          <w:p w14:paraId="31DE009F" w14:textId="72510355" w:rsidR="00B06960" w:rsidRDefault="00EC2530"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 xml:space="preserve">Reduced cold temperature hardening leading to greater </w:t>
            </w:r>
            <w:r w:rsidR="00D82FFF">
              <w:rPr>
                <w:rFonts w:asciiTheme="minorHAnsi" w:hAnsiTheme="minorHAnsi" w:cstheme="minorHAnsi"/>
                <w:sz w:val="20"/>
                <w:szCs w:val="20"/>
              </w:rPr>
              <w:t>frost damage</w:t>
            </w:r>
          </w:p>
        </w:tc>
        <w:tc>
          <w:tcPr>
            <w:tcW w:w="567" w:type="dxa"/>
            <w:tcBorders>
              <w:bottom w:val="nil"/>
            </w:tcBorders>
            <w:shd w:val="clear" w:color="auto" w:fill="FFFFFF" w:themeFill="background1"/>
            <w:tcMar>
              <w:top w:w="28" w:type="dxa"/>
              <w:left w:w="28" w:type="dxa"/>
              <w:bottom w:w="28" w:type="dxa"/>
              <w:right w:w="28" w:type="dxa"/>
            </w:tcMar>
            <w:vAlign w:val="center"/>
          </w:tcPr>
          <w:p w14:paraId="2CCAA73C" w14:textId="673C3E85" w:rsidR="00B06960" w:rsidRDefault="008E77E5"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X</w:t>
            </w:r>
          </w:p>
        </w:tc>
        <w:tc>
          <w:tcPr>
            <w:tcW w:w="568" w:type="dxa"/>
            <w:tcBorders>
              <w:bottom w:val="nil"/>
            </w:tcBorders>
            <w:shd w:val="clear" w:color="auto" w:fill="FFFFFF" w:themeFill="background1"/>
            <w:tcMar>
              <w:top w:w="28" w:type="dxa"/>
              <w:left w:w="28" w:type="dxa"/>
              <w:bottom w:w="28" w:type="dxa"/>
              <w:right w:w="28" w:type="dxa"/>
            </w:tcMar>
            <w:vAlign w:val="center"/>
          </w:tcPr>
          <w:p w14:paraId="757E699B" w14:textId="77777777" w:rsidR="00B06960" w:rsidRDefault="00B06960"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8D11AD" w:rsidRPr="00314070" w14:paraId="64361828" w14:textId="77777777" w:rsidTr="003D231C">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3970" w:type="dxa"/>
            <w:tcBorders>
              <w:bottom w:val="nil"/>
            </w:tcBorders>
            <w:shd w:val="clear" w:color="auto" w:fill="FFFFFF" w:themeFill="background1"/>
            <w:tcMar>
              <w:top w:w="28" w:type="dxa"/>
              <w:left w:w="28" w:type="dxa"/>
              <w:bottom w:w="28" w:type="dxa"/>
              <w:right w:w="28" w:type="dxa"/>
            </w:tcMar>
            <w:vAlign w:val="center"/>
          </w:tcPr>
          <w:p w14:paraId="0C38CDB1" w14:textId="77777777" w:rsidR="00C90F59" w:rsidRDefault="00C90F59" w:rsidP="003D71D6">
            <w:pPr>
              <w:rPr>
                <w:rFonts w:asciiTheme="minorHAnsi" w:hAnsiTheme="minorHAnsi" w:cstheme="minorHAnsi"/>
                <w:sz w:val="20"/>
                <w:szCs w:val="20"/>
              </w:rPr>
            </w:pPr>
          </w:p>
        </w:tc>
        <w:tc>
          <w:tcPr>
            <w:tcW w:w="4536" w:type="dxa"/>
            <w:tcBorders>
              <w:bottom w:val="nil"/>
            </w:tcBorders>
            <w:shd w:val="clear" w:color="auto" w:fill="FFFFFF" w:themeFill="background1"/>
            <w:tcMar>
              <w:top w:w="28" w:type="dxa"/>
              <w:left w:w="28" w:type="dxa"/>
              <w:bottom w:w="28" w:type="dxa"/>
              <w:right w:w="28" w:type="dxa"/>
            </w:tcMar>
            <w:vAlign w:val="center"/>
          </w:tcPr>
          <w:p w14:paraId="7A37C129" w14:textId="12E4DCD0" w:rsidR="00C90F59" w:rsidRDefault="00CB09A4"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 xml:space="preserve">Increased overwintering of </w:t>
            </w:r>
            <w:r w:rsidR="00661F67">
              <w:rPr>
                <w:rFonts w:asciiTheme="minorHAnsi" w:hAnsiTheme="minorHAnsi" w:cstheme="minorHAnsi"/>
                <w:sz w:val="20"/>
                <w:szCs w:val="20"/>
              </w:rPr>
              <w:t xml:space="preserve">some </w:t>
            </w:r>
            <w:r>
              <w:rPr>
                <w:rFonts w:asciiTheme="minorHAnsi" w:hAnsiTheme="minorHAnsi" w:cstheme="minorHAnsi"/>
                <w:sz w:val="20"/>
                <w:szCs w:val="20"/>
              </w:rPr>
              <w:t>pests and diseases resulting in faster build-up in the growing season</w:t>
            </w:r>
          </w:p>
        </w:tc>
        <w:tc>
          <w:tcPr>
            <w:tcW w:w="567" w:type="dxa"/>
            <w:tcBorders>
              <w:bottom w:val="nil"/>
            </w:tcBorders>
            <w:shd w:val="clear" w:color="auto" w:fill="FFFFFF" w:themeFill="background1"/>
            <w:tcMar>
              <w:top w:w="28" w:type="dxa"/>
              <w:left w:w="28" w:type="dxa"/>
              <w:bottom w:w="28" w:type="dxa"/>
              <w:right w:w="28" w:type="dxa"/>
            </w:tcMar>
            <w:vAlign w:val="center"/>
          </w:tcPr>
          <w:p w14:paraId="47FA3522" w14:textId="4E7E5F88" w:rsidR="00C90F59" w:rsidRDefault="008E77E5"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X</w:t>
            </w:r>
          </w:p>
        </w:tc>
        <w:tc>
          <w:tcPr>
            <w:tcW w:w="568" w:type="dxa"/>
            <w:tcBorders>
              <w:bottom w:val="nil"/>
            </w:tcBorders>
            <w:shd w:val="clear" w:color="auto" w:fill="FFFFFF" w:themeFill="background1"/>
            <w:tcMar>
              <w:top w:w="28" w:type="dxa"/>
              <w:left w:w="28" w:type="dxa"/>
              <w:bottom w:w="28" w:type="dxa"/>
              <w:right w:w="28" w:type="dxa"/>
            </w:tcMar>
            <w:vAlign w:val="center"/>
          </w:tcPr>
          <w:p w14:paraId="64D54146" w14:textId="34F9F7CF" w:rsidR="00C90F59" w:rsidRDefault="008E77E5"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X</w:t>
            </w:r>
          </w:p>
        </w:tc>
      </w:tr>
      <w:tr w:rsidR="00990F60" w:rsidRPr="00314070" w14:paraId="22E23E3F" w14:textId="77777777" w:rsidTr="003D231C">
        <w:trPr>
          <w:trHeight w:val="515"/>
        </w:trPr>
        <w:tc>
          <w:tcPr>
            <w:cnfStyle w:val="001000000000" w:firstRow="0" w:lastRow="0" w:firstColumn="1" w:lastColumn="0" w:oddVBand="0" w:evenVBand="0" w:oddHBand="0" w:evenHBand="0" w:firstRowFirstColumn="0" w:firstRowLastColumn="0" w:lastRowFirstColumn="0" w:lastRowLastColumn="0"/>
            <w:tcW w:w="3970" w:type="dxa"/>
            <w:tcBorders>
              <w:bottom w:val="nil"/>
            </w:tcBorders>
            <w:shd w:val="clear" w:color="auto" w:fill="FFFFFF" w:themeFill="background1"/>
            <w:tcMar>
              <w:top w:w="28" w:type="dxa"/>
              <w:left w:w="28" w:type="dxa"/>
              <w:bottom w:w="28" w:type="dxa"/>
              <w:right w:w="28" w:type="dxa"/>
            </w:tcMar>
            <w:vAlign w:val="center"/>
          </w:tcPr>
          <w:p w14:paraId="342CBF8B" w14:textId="77777777" w:rsidR="00CB09A4" w:rsidRDefault="00CB09A4" w:rsidP="00CB09A4">
            <w:pPr>
              <w:rPr>
                <w:rFonts w:asciiTheme="minorHAnsi" w:hAnsiTheme="minorHAnsi" w:cstheme="minorHAnsi"/>
                <w:sz w:val="20"/>
                <w:szCs w:val="20"/>
              </w:rPr>
            </w:pPr>
          </w:p>
        </w:tc>
        <w:tc>
          <w:tcPr>
            <w:tcW w:w="4536" w:type="dxa"/>
            <w:tcBorders>
              <w:bottom w:val="nil"/>
            </w:tcBorders>
            <w:shd w:val="clear" w:color="auto" w:fill="FFFFFF" w:themeFill="background1"/>
            <w:tcMar>
              <w:top w:w="28" w:type="dxa"/>
              <w:left w:w="28" w:type="dxa"/>
              <w:bottom w:w="28" w:type="dxa"/>
              <w:right w:w="28" w:type="dxa"/>
            </w:tcMar>
            <w:vAlign w:val="center"/>
          </w:tcPr>
          <w:p w14:paraId="33BD15C2" w14:textId="357229F2" w:rsidR="00CB09A4" w:rsidRDefault="00CB09A4" w:rsidP="00CB09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Increased dormancy in seed related to lack of cold stratification, resulting in reduced germination rates</w:t>
            </w:r>
          </w:p>
        </w:tc>
        <w:tc>
          <w:tcPr>
            <w:tcW w:w="567" w:type="dxa"/>
            <w:tcBorders>
              <w:bottom w:val="nil"/>
            </w:tcBorders>
            <w:shd w:val="clear" w:color="auto" w:fill="FFFFFF" w:themeFill="background1"/>
            <w:tcMar>
              <w:top w:w="28" w:type="dxa"/>
              <w:left w:w="28" w:type="dxa"/>
              <w:bottom w:w="28" w:type="dxa"/>
              <w:right w:w="28" w:type="dxa"/>
            </w:tcMar>
            <w:vAlign w:val="center"/>
          </w:tcPr>
          <w:p w14:paraId="77F87A48" w14:textId="7A811B01" w:rsidR="00CB09A4" w:rsidRDefault="008E77E5" w:rsidP="00CB09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X</w:t>
            </w:r>
          </w:p>
        </w:tc>
        <w:tc>
          <w:tcPr>
            <w:tcW w:w="568" w:type="dxa"/>
            <w:tcBorders>
              <w:bottom w:val="nil"/>
            </w:tcBorders>
            <w:shd w:val="clear" w:color="auto" w:fill="FFFFFF" w:themeFill="background1"/>
            <w:tcMar>
              <w:top w:w="28" w:type="dxa"/>
              <w:left w:w="28" w:type="dxa"/>
              <w:bottom w:w="28" w:type="dxa"/>
              <w:right w:w="28" w:type="dxa"/>
            </w:tcMar>
            <w:vAlign w:val="center"/>
          </w:tcPr>
          <w:p w14:paraId="12780EF3" w14:textId="77777777" w:rsidR="00CB09A4" w:rsidRDefault="00CB09A4" w:rsidP="00CB09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8D11AD" w:rsidRPr="00314070" w14:paraId="059BB619" w14:textId="77777777" w:rsidTr="003D231C">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3970" w:type="dxa"/>
            <w:vMerge w:val="restart"/>
            <w:tcBorders>
              <w:top w:val="nil"/>
            </w:tcBorders>
            <w:shd w:val="clear" w:color="auto" w:fill="F2F2F2" w:themeFill="background1" w:themeFillShade="F2"/>
            <w:tcMar>
              <w:top w:w="28" w:type="dxa"/>
              <w:left w:w="28" w:type="dxa"/>
              <w:bottom w:w="28" w:type="dxa"/>
              <w:right w:w="28" w:type="dxa"/>
            </w:tcMar>
            <w:vAlign w:val="center"/>
          </w:tcPr>
          <w:p w14:paraId="5FF44C5B" w14:textId="77777777" w:rsidR="00B45B14" w:rsidRDefault="00B45B14" w:rsidP="003D71D6">
            <w:pPr>
              <w:rPr>
                <w:rFonts w:asciiTheme="minorHAnsi" w:hAnsiTheme="minorHAnsi" w:cstheme="minorHAnsi"/>
                <w:sz w:val="20"/>
                <w:szCs w:val="20"/>
              </w:rPr>
            </w:pPr>
            <w:r>
              <w:rPr>
                <w:rFonts w:asciiTheme="minorHAnsi" w:hAnsiTheme="minorHAnsi" w:cstheme="minorHAnsi"/>
                <w:b w:val="0"/>
                <w:bCs w:val="0"/>
                <w:sz w:val="20"/>
                <w:szCs w:val="20"/>
              </w:rPr>
              <w:t>Higher maximum temperatures; increased number of hot days and heat waves.</w:t>
            </w:r>
          </w:p>
          <w:p w14:paraId="1CC9E8F1" w14:textId="77777777" w:rsidR="00B45B14" w:rsidRDefault="00B45B14" w:rsidP="003D71D6">
            <w:pPr>
              <w:rPr>
                <w:rFonts w:asciiTheme="minorHAnsi" w:hAnsiTheme="minorHAnsi" w:cstheme="minorHAnsi"/>
                <w:sz w:val="20"/>
                <w:szCs w:val="20"/>
              </w:rPr>
            </w:pPr>
          </w:p>
        </w:tc>
        <w:tc>
          <w:tcPr>
            <w:tcW w:w="4536" w:type="dxa"/>
            <w:tcBorders>
              <w:top w:val="nil"/>
            </w:tcBorders>
            <w:shd w:val="clear" w:color="auto" w:fill="F2F2F2" w:themeFill="background1" w:themeFillShade="F2"/>
            <w:tcMar>
              <w:top w:w="28" w:type="dxa"/>
              <w:left w:w="28" w:type="dxa"/>
              <w:bottom w:w="28" w:type="dxa"/>
              <w:right w:w="28" w:type="dxa"/>
            </w:tcMar>
            <w:vAlign w:val="center"/>
          </w:tcPr>
          <w:p w14:paraId="08FA359E" w14:textId="08AE0637" w:rsidR="00B45B14" w:rsidRDefault="00B45B14"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Heat-induced mortality of crops and trees, particularly during early growth / establishment leading to recruitment failure.</w:t>
            </w:r>
          </w:p>
        </w:tc>
        <w:tc>
          <w:tcPr>
            <w:tcW w:w="567" w:type="dxa"/>
            <w:tcBorders>
              <w:top w:val="nil"/>
            </w:tcBorders>
            <w:shd w:val="clear" w:color="auto" w:fill="F2F2F2" w:themeFill="background1" w:themeFillShade="F2"/>
            <w:tcMar>
              <w:top w:w="28" w:type="dxa"/>
              <w:left w:w="28" w:type="dxa"/>
              <w:bottom w:w="28" w:type="dxa"/>
              <w:right w:w="28" w:type="dxa"/>
            </w:tcMar>
            <w:vAlign w:val="center"/>
          </w:tcPr>
          <w:p w14:paraId="01E791E2" w14:textId="4670CA02"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tcBorders>
            <w:shd w:val="clear" w:color="auto" w:fill="F2F2F2" w:themeFill="background1" w:themeFillShade="F2"/>
            <w:tcMar>
              <w:top w:w="28" w:type="dxa"/>
              <w:left w:w="28" w:type="dxa"/>
              <w:bottom w:w="28" w:type="dxa"/>
              <w:right w:w="28" w:type="dxa"/>
            </w:tcMar>
            <w:vAlign w:val="center"/>
          </w:tcPr>
          <w:p w14:paraId="2BD42BA9" w14:textId="122FA3D4"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8D11AD" w:rsidRPr="00314070" w14:paraId="0C2F6467" w14:textId="77777777" w:rsidTr="003D231C">
        <w:trPr>
          <w:trHeight w:val="511"/>
        </w:trPr>
        <w:tc>
          <w:tcPr>
            <w:cnfStyle w:val="001000000000" w:firstRow="0" w:lastRow="0" w:firstColumn="1" w:lastColumn="0" w:oddVBand="0" w:evenVBand="0" w:oddHBand="0" w:evenHBand="0" w:firstRowFirstColumn="0" w:firstRowLastColumn="0" w:lastRowFirstColumn="0" w:lastRowLastColumn="0"/>
            <w:tcW w:w="3970" w:type="dxa"/>
            <w:vMerge/>
            <w:shd w:val="clear" w:color="auto" w:fill="F2F2F2" w:themeFill="background1" w:themeFillShade="F2"/>
            <w:tcMar>
              <w:top w:w="28" w:type="dxa"/>
              <w:left w:w="28" w:type="dxa"/>
              <w:bottom w:w="28" w:type="dxa"/>
              <w:right w:w="28" w:type="dxa"/>
            </w:tcMar>
            <w:vAlign w:val="center"/>
          </w:tcPr>
          <w:p w14:paraId="507D4FD5" w14:textId="77777777" w:rsidR="00B45B14" w:rsidRDefault="00B45B14" w:rsidP="003D71D6">
            <w:pPr>
              <w:rPr>
                <w:rFonts w:asciiTheme="minorHAnsi" w:hAnsiTheme="minorHAnsi" w:cstheme="minorHAnsi"/>
                <w:sz w:val="20"/>
                <w:szCs w:val="20"/>
              </w:rPr>
            </w:pPr>
          </w:p>
        </w:tc>
        <w:tc>
          <w:tcPr>
            <w:tcW w:w="4536" w:type="dxa"/>
            <w:tcBorders>
              <w:top w:val="nil"/>
            </w:tcBorders>
            <w:shd w:val="clear" w:color="auto" w:fill="F2F2F2" w:themeFill="background1" w:themeFillShade="F2"/>
            <w:tcMar>
              <w:top w:w="28" w:type="dxa"/>
              <w:left w:w="28" w:type="dxa"/>
              <w:bottom w:w="28" w:type="dxa"/>
              <w:right w:w="28" w:type="dxa"/>
            </w:tcMar>
            <w:vAlign w:val="center"/>
          </w:tcPr>
          <w:p w14:paraId="726C83FB" w14:textId="6E1110F3" w:rsidR="00B45B14" w:rsidRDefault="00B45B14"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Greater plant stress leading to lower growth and greater susceptibility to pests/diseases.</w:t>
            </w:r>
          </w:p>
        </w:tc>
        <w:tc>
          <w:tcPr>
            <w:tcW w:w="567" w:type="dxa"/>
            <w:tcBorders>
              <w:top w:val="nil"/>
            </w:tcBorders>
            <w:shd w:val="clear" w:color="auto" w:fill="F2F2F2" w:themeFill="background1" w:themeFillShade="F2"/>
            <w:tcMar>
              <w:top w:w="28" w:type="dxa"/>
              <w:left w:w="28" w:type="dxa"/>
              <w:bottom w:w="28" w:type="dxa"/>
              <w:right w:w="28" w:type="dxa"/>
            </w:tcMar>
            <w:vAlign w:val="center"/>
          </w:tcPr>
          <w:p w14:paraId="481019B6" w14:textId="6A214CB8" w:rsidR="00B45B14" w:rsidRDefault="00B45B14"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tcBorders>
            <w:shd w:val="clear" w:color="auto" w:fill="F2F2F2" w:themeFill="background1" w:themeFillShade="F2"/>
            <w:tcMar>
              <w:top w:w="28" w:type="dxa"/>
              <w:left w:w="28" w:type="dxa"/>
              <w:bottom w:w="28" w:type="dxa"/>
              <w:right w:w="28" w:type="dxa"/>
            </w:tcMar>
            <w:vAlign w:val="center"/>
          </w:tcPr>
          <w:p w14:paraId="2CB739C1" w14:textId="70459520" w:rsidR="00B45B14" w:rsidRDefault="00B45B14"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8D11AD" w:rsidRPr="00314070" w14:paraId="5492AB5A" w14:textId="77777777" w:rsidTr="003D231C">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3970" w:type="dxa"/>
            <w:vMerge/>
            <w:tcBorders>
              <w:bottom w:val="nil"/>
            </w:tcBorders>
            <w:shd w:val="clear" w:color="auto" w:fill="F2F2F2" w:themeFill="background1" w:themeFillShade="F2"/>
            <w:tcMar>
              <w:top w:w="28" w:type="dxa"/>
              <w:left w:w="28" w:type="dxa"/>
              <w:bottom w:w="28" w:type="dxa"/>
              <w:right w:w="28" w:type="dxa"/>
            </w:tcMar>
            <w:vAlign w:val="center"/>
          </w:tcPr>
          <w:p w14:paraId="52A0F295" w14:textId="77777777" w:rsidR="00B45B14" w:rsidRDefault="00B45B14" w:rsidP="003D71D6">
            <w:pPr>
              <w:rPr>
                <w:rFonts w:asciiTheme="minorHAnsi" w:hAnsiTheme="minorHAnsi" w:cstheme="minorHAnsi"/>
                <w:sz w:val="20"/>
                <w:szCs w:val="20"/>
              </w:rPr>
            </w:pPr>
          </w:p>
        </w:tc>
        <w:tc>
          <w:tcPr>
            <w:tcW w:w="4536" w:type="dxa"/>
            <w:tcBorders>
              <w:top w:val="nil"/>
            </w:tcBorders>
            <w:shd w:val="clear" w:color="auto" w:fill="F2F2F2" w:themeFill="background1" w:themeFillShade="F2"/>
            <w:tcMar>
              <w:top w:w="28" w:type="dxa"/>
              <w:left w:w="28" w:type="dxa"/>
              <w:bottom w:w="28" w:type="dxa"/>
              <w:right w:w="28" w:type="dxa"/>
            </w:tcMar>
            <w:vAlign w:val="center"/>
          </w:tcPr>
          <w:p w14:paraId="03871AE5" w14:textId="63593A59" w:rsidR="00B45B14" w:rsidRDefault="00B45B14"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Reduced opportunities for undertaking planned burning for wildfire mitigation.</w:t>
            </w:r>
          </w:p>
        </w:tc>
        <w:tc>
          <w:tcPr>
            <w:tcW w:w="567" w:type="dxa"/>
            <w:tcBorders>
              <w:top w:val="nil"/>
            </w:tcBorders>
            <w:shd w:val="clear" w:color="auto" w:fill="F2F2F2" w:themeFill="background1" w:themeFillShade="F2"/>
            <w:tcMar>
              <w:top w:w="28" w:type="dxa"/>
              <w:left w:w="28" w:type="dxa"/>
              <w:bottom w:w="28" w:type="dxa"/>
              <w:right w:w="28" w:type="dxa"/>
            </w:tcMar>
            <w:vAlign w:val="center"/>
          </w:tcPr>
          <w:p w14:paraId="711F71B8" w14:textId="18089978"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tcBorders>
            <w:shd w:val="clear" w:color="auto" w:fill="F2F2F2" w:themeFill="background1" w:themeFillShade="F2"/>
            <w:tcMar>
              <w:top w:w="28" w:type="dxa"/>
              <w:left w:w="28" w:type="dxa"/>
              <w:bottom w:w="28" w:type="dxa"/>
              <w:right w:w="28" w:type="dxa"/>
            </w:tcMar>
            <w:vAlign w:val="center"/>
          </w:tcPr>
          <w:p w14:paraId="5E5A9854" w14:textId="6D14A61C" w:rsidR="00B45B14" w:rsidRDefault="00B45B14"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8D11AD" w:rsidRPr="005713AC" w14:paraId="18944862" w14:textId="77777777" w:rsidTr="003D231C">
        <w:trPr>
          <w:trHeight w:val="781"/>
        </w:trPr>
        <w:tc>
          <w:tcPr>
            <w:cnfStyle w:val="001000000000" w:firstRow="0" w:lastRow="0" w:firstColumn="1" w:lastColumn="0" w:oddVBand="0" w:evenVBand="0" w:oddHBand="0" w:evenHBand="0" w:firstRowFirstColumn="0" w:firstRowLastColumn="0" w:lastRowFirstColumn="0" w:lastRowLastColumn="0"/>
            <w:tcW w:w="3970" w:type="dxa"/>
            <w:vMerge w:val="restart"/>
            <w:tcBorders>
              <w:top w:val="nil"/>
            </w:tcBorders>
            <w:shd w:val="clear" w:color="auto" w:fill="FFFFFF" w:themeFill="background1"/>
            <w:tcMar>
              <w:top w:w="28" w:type="dxa"/>
              <w:left w:w="28" w:type="dxa"/>
              <w:bottom w:w="28" w:type="dxa"/>
              <w:right w:w="28" w:type="dxa"/>
            </w:tcMar>
            <w:vAlign w:val="center"/>
          </w:tcPr>
          <w:p w14:paraId="56033AA9" w14:textId="1BCF98E0" w:rsidR="0026213E" w:rsidRDefault="0026213E" w:rsidP="003D71D6">
            <w:pPr>
              <w:rPr>
                <w:rFonts w:asciiTheme="minorHAnsi" w:hAnsiTheme="minorHAnsi" w:cstheme="minorHAnsi"/>
                <w:sz w:val="20"/>
                <w:szCs w:val="20"/>
              </w:rPr>
            </w:pPr>
            <w:r>
              <w:rPr>
                <w:rFonts w:asciiTheme="minorHAnsi" w:hAnsiTheme="minorHAnsi" w:cstheme="minorHAnsi"/>
                <w:b w:val="0"/>
                <w:bCs w:val="0"/>
                <w:sz w:val="20"/>
                <w:szCs w:val="20"/>
              </w:rPr>
              <w:t>Decrease in rainfall (annual and/or seasonal)</w:t>
            </w:r>
          </w:p>
        </w:tc>
        <w:tc>
          <w:tcPr>
            <w:tcW w:w="4536" w:type="dxa"/>
            <w:tcBorders>
              <w:top w:val="nil"/>
              <w:bottom w:val="nil"/>
            </w:tcBorders>
            <w:shd w:val="clear" w:color="auto" w:fill="FFFFFF" w:themeFill="background1"/>
            <w:tcMar>
              <w:top w:w="28" w:type="dxa"/>
              <w:left w:w="28" w:type="dxa"/>
              <w:bottom w:w="28" w:type="dxa"/>
              <w:right w:w="28" w:type="dxa"/>
            </w:tcMar>
            <w:vAlign w:val="center"/>
          </w:tcPr>
          <w:p w14:paraId="54EE3F75" w14:textId="5423CC9E" w:rsidR="0026213E" w:rsidRDefault="0026213E"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Reduced soil water availability, leading to reduced crop and tree growth and greater potential for plant stress</w:t>
            </w:r>
            <w:r w:rsidR="00563026">
              <w:rPr>
                <w:rFonts w:asciiTheme="minorHAnsi" w:hAnsiTheme="minorHAnsi" w:cstheme="minorHAnsi"/>
                <w:color w:val="000000" w:themeColor="text1"/>
                <w:sz w:val="20"/>
                <w:szCs w:val="20"/>
              </w:rPr>
              <w:t xml:space="preserve"> and </w:t>
            </w:r>
            <w:r w:rsidR="00192A07">
              <w:rPr>
                <w:rFonts w:asciiTheme="minorHAnsi" w:hAnsiTheme="minorHAnsi" w:cstheme="minorHAnsi"/>
                <w:color w:val="000000" w:themeColor="text1"/>
                <w:sz w:val="20"/>
                <w:szCs w:val="20"/>
              </w:rPr>
              <w:t>greater susceptibility to pests and diseases</w:t>
            </w:r>
            <w:r>
              <w:rPr>
                <w:rFonts w:asciiTheme="minorHAnsi" w:hAnsiTheme="minorHAnsi" w:cstheme="minorHAnsi"/>
                <w:color w:val="000000" w:themeColor="text1"/>
                <w:sz w:val="20"/>
                <w:szCs w:val="20"/>
              </w:rPr>
              <w:t>.</w:t>
            </w:r>
          </w:p>
        </w:tc>
        <w:tc>
          <w:tcPr>
            <w:tcW w:w="567" w:type="dxa"/>
            <w:tcBorders>
              <w:top w:val="nil"/>
              <w:bottom w:val="nil"/>
            </w:tcBorders>
            <w:shd w:val="clear" w:color="auto" w:fill="FFFFFF" w:themeFill="background1"/>
            <w:tcMar>
              <w:top w:w="28" w:type="dxa"/>
              <w:left w:w="28" w:type="dxa"/>
              <w:bottom w:w="28" w:type="dxa"/>
              <w:right w:w="28" w:type="dxa"/>
            </w:tcMar>
            <w:vAlign w:val="center"/>
          </w:tcPr>
          <w:p w14:paraId="53055214" w14:textId="03F7B63B" w:rsidR="0026213E" w:rsidRDefault="00BE63E0"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FFFFF" w:themeFill="background1"/>
            <w:tcMar>
              <w:top w:w="28" w:type="dxa"/>
              <w:left w:w="28" w:type="dxa"/>
              <w:bottom w:w="28" w:type="dxa"/>
              <w:right w:w="28" w:type="dxa"/>
            </w:tcMar>
            <w:vAlign w:val="center"/>
          </w:tcPr>
          <w:p w14:paraId="0E2ABCA9" w14:textId="77777777" w:rsidR="0026213E" w:rsidRDefault="0026213E"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r>
      <w:tr w:rsidR="008D11AD" w:rsidRPr="005713AC" w14:paraId="1E8D007C" w14:textId="77777777" w:rsidTr="003D231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970" w:type="dxa"/>
            <w:vMerge/>
            <w:shd w:val="clear" w:color="auto" w:fill="FFFFFF" w:themeFill="background1"/>
            <w:tcMar>
              <w:top w:w="28" w:type="dxa"/>
              <w:left w:w="28" w:type="dxa"/>
              <w:bottom w:w="28" w:type="dxa"/>
              <w:right w:w="28" w:type="dxa"/>
            </w:tcMar>
            <w:vAlign w:val="center"/>
          </w:tcPr>
          <w:p w14:paraId="69034D40" w14:textId="77777777" w:rsidR="0026213E" w:rsidRDefault="0026213E" w:rsidP="003D71D6">
            <w:pPr>
              <w:rPr>
                <w:rFonts w:asciiTheme="minorHAnsi" w:hAnsiTheme="minorHAnsi" w:cstheme="minorHAnsi"/>
                <w:sz w:val="20"/>
                <w:szCs w:val="20"/>
              </w:rPr>
            </w:pPr>
          </w:p>
        </w:tc>
        <w:tc>
          <w:tcPr>
            <w:tcW w:w="4536" w:type="dxa"/>
            <w:tcBorders>
              <w:top w:val="nil"/>
              <w:bottom w:val="nil"/>
            </w:tcBorders>
            <w:shd w:val="clear" w:color="auto" w:fill="FFFFFF" w:themeFill="background1"/>
            <w:tcMar>
              <w:top w:w="28" w:type="dxa"/>
              <w:left w:w="28" w:type="dxa"/>
              <w:bottom w:w="28" w:type="dxa"/>
              <w:right w:w="28" w:type="dxa"/>
            </w:tcMar>
            <w:vAlign w:val="center"/>
          </w:tcPr>
          <w:p w14:paraId="3EB78B82" w14:textId="3C23E2F6" w:rsidR="0026213E" w:rsidRDefault="0026213E"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Reduction in </w:t>
            </w:r>
            <w:r w:rsidR="0058577A">
              <w:rPr>
                <w:rFonts w:asciiTheme="minorHAnsi" w:hAnsiTheme="minorHAnsi" w:cstheme="minorHAnsi"/>
                <w:color w:val="000000" w:themeColor="text1"/>
                <w:sz w:val="20"/>
                <w:szCs w:val="20"/>
              </w:rPr>
              <w:t>the operational window</w:t>
            </w:r>
            <w:r>
              <w:rPr>
                <w:rFonts w:asciiTheme="minorHAnsi" w:hAnsiTheme="minorHAnsi" w:cstheme="minorHAnsi"/>
                <w:color w:val="000000" w:themeColor="text1"/>
                <w:sz w:val="20"/>
                <w:szCs w:val="20"/>
              </w:rPr>
              <w:t xml:space="preserve"> for tree and crop establishment.</w:t>
            </w:r>
          </w:p>
        </w:tc>
        <w:tc>
          <w:tcPr>
            <w:tcW w:w="567" w:type="dxa"/>
            <w:tcBorders>
              <w:top w:val="nil"/>
              <w:bottom w:val="nil"/>
            </w:tcBorders>
            <w:shd w:val="clear" w:color="auto" w:fill="FFFFFF" w:themeFill="background1"/>
            <w:tcMar>
              <w:top w:w="28" w:type="dxa"/>
              <w:left w:w="28" w:type="dxa"/>
              <w:bottom w:w="28" w:type="dxa"/>
              <w:right w:w="28" w:type="dxa"/>
            </w:tcMar>
            <w:vAlign w:val="center"/>
          </w:tcPr>
          <w:p w14:paraId="226FCC5A" w14:textId="74D5C1AC" w:rsidR="0026213E" w:rsidRDefault="00BA0250"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FFFFF" w:themeFill="background1"/>
            <w:tcMar>
              <w:top w:w="28" w:type="dxa"/>
              <w:left w:w="28" w:type="dxa"/>
              <w:bottom w:w="28" w:type="dxa"/>
              <w:right w:w="28" w:type="dxa"/>
            </w:tcMar>
            <w:vAlign w:val="center"/>
          </w:tcPr>
          <w:p w14:paraId="35FF4F2B" w14:textId="77777777" w:rsidR="0026213E" w:rsidRDefault="0026213E"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p>
        </w:tc>
      </w:tr>
      <w:tr w:rsidR="008D11AD" w:rsidRPr="005713AC" w14:paraId="7DA95178" w14:textId="77777777" w:rsidTr="003D231C">
        <w:trPr>
          <w:trHeight w:val="44"/>
        </w:trPr>
        <w:tc>
          <w:tcPr>
            <w:cnfStyle w:val="001000000000" w:firstRow="0" w:lastRow="0" w:firstColumn="1" w:lastColumn="0" w:oddVBand="0" w:evenVBand="0" w:oddHBand="0" w:evenHBand="0" w:firstRowFirstColumn="0" w:firstRowLastColumn="0" w:lastRowFirstColumn="0" w:lastRowLastColumn="0"/>
            <w:tcW w:w="3970" w:type="dxa"/>
            <w:vMerge/>
            <w:tcBorders>
              <w:bottom w:val="nil"/>
            </w:tcBorders>
            <w:shd w:val="clear" w:color="auto" w:fill="FFFFFF" w:themeFill="background1"/>
            <w:tcMar>
              <w:top w:w="28" w:type="dxa"/>
              <w:left w:w="28" w:type="dxa"/>
              <w:bottom w:w="28" w:type="dxa"/>
              <w:right w:w="28" w:type="dxa"/>
            </w:tcMar>
            <w:vAlign w:val="center"/>
          </w:tcPr>
          <w:p w14:paraId="78E11AE1" w14:textId="77777777" w:rsidR="0026213E" w:rsidRDefault="0026213E" w:rsidP="003D71D6">
            <w:pPr>
              <w:rPr>
                <w:rFonts w:asciiTheme="minorHAnsi" w:hAnsiTheme="minorHAnsi" w:cstheme="minorHAnsi"/>
                <w:sz w:val="20"/>
                <w:szCs w:val="20"/>
              </w:rPr>
            </w:pPr>
          </w:p>
        </w:tc>
        <w:tc>
          <w:tcPr>
            <w:tcW w:w="4536" w:type="dxa"/>
            <w:tcBorders>
              <w:top w:val="nil"/>
              <w:bottom w:val="nil"/>
            </w:tcBorders>
            <w:shd w:val="clear" w:color="auto" w:fill="FFFFFF" w:themeFill="background1"/>
            <w:tcMar>
              <w:top w:w="28" w:type="dxa"/>
              <w:left w:w="28" w:type="dxa"/>
              <w:bottom w:w="28" w:type="dxa"/>
              <w:right w:w="28" w:type="dxa"/>
            </w:tcMar>
            <w:vAlign w:val="center"/>
          </w:tcPr>
          <w:p w14:paraId="6ED116D5" w14:textId="05552FBB" w:rsidR="0026213E" w:rsidRDefault="0026213E"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Decreased landscape moisture content, with implications for fire risk.</w:t>
            </w:r>
          </w:p>
        </w:tc>
        <w:tc>
          <w:tcPr>
            <w:tcW w:w="567" w:type="dxa"/>
            <w:tcBorders>
              <w:top w:val="nil"/>
              <w:bottom w:val="nil"/>
            </w:tcBorders>
            <w:shd w:val="clear" w:color="auto" w:fill="FFFFFF" w:themeFill="background1"/>
            <w:tcMar>
              <w:top w:w="28" w:type="dxa"/>
              <w:left w:w="28" w:type="dxa"/>
              <w:bottom w:w="28" w:type="dxa"/>
              <w:right w:w="28" w:type="dxa"/>
            </w:tcMar>
            <w:vAlign w:val="center"/>
          </w:tcPr>
          <w:p w14:paraId="6665D533" w14:textId="0B555092" w:rsidR="0026213E" w:rsidRDefault="00BA0250"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FFFFF" w:themeFill="background1"/>
            <w:tcMar>
              <w:top w:w="28" w:type="dxa"/>
              <w:left w:w="28" w:type="dxa"/>
              <w:bottom w:w="28" w:type="dxa"/>
              <w:right w:w="28" w:type="dxa"/>
            </w:tcMar>
            <w:vAlign w:val="center"/>
          </w:tcPr>
          <w:p w14:paraId="6BB0EE0D" w14:textId="648F62F5" w:rsidR="0026213E" w:rsidRDefault="00BA0250"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8D11AD" w:rsidRPr="005713AC" w14:paraId="355ED8B3" w14:textId="77777777" w:rsidTr="003D231C">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970" w:type="dxa"/>
            <w:tcBorders>
              <w:top w:val="nil"/>
              <w:bottom w:val="nil"/>
            </w:tcBorders>
            <w:shd w:val="clear" w:color="auto" w:fill="F2F2F2" w:themeFill="background1" w:themeFillShade="F2"/>
            <w:tcMar>
              <w:top w:w="28" w:type="dxa"/>
              <w:left w:w="28" w:type="dxa"/>
              <w:bottom w:w="28" w:type="dxa"/>
              <w:right w:w="28" w:type="dxa"/>
            </w:tcMar>
            <w:vAlign w:val="center"/>
          </w:tcPr>
          <w:p w14:paraId="5519C99E" w14:textId="2499CB34" w:rsidR="0026213E" w:rsidRDefault="0026213E" w:rsidP="003D71D6">
            <w:pPr>
              <w:rPr>
                <w:rFonts w:asciiTheme="minorHAnsi" w:hAnsiTheme="minorHAnsi" w:cstheme="minorHAnsi"/>
                <w:sz w:val="20"/>
                <w:szCs w:val="20"/>
              </w:rPr>
            </w:pPr>
            <w:r>
              <w:rPr>
                <w:rFonts w:asciiTheme="minorHAnsi" w:hAnsiTheme="minorHAnsi" w:cstheme="minorHAnsi"/>
                <w:b w:val="0"/>
                <w:bCs w:val="0"/>
                <w:sz w:val="20"/>
                <w:szCs w:val="20"/>
              </w:rPr>
              <w:t>Decreased relative humidity</w:t>
            </w:r>
          </w:p>
        </w:tc>
        <w:tc>
          <w:tcPr>
            <w:tcW w:w="4536" w:type="dxa"/>
            <w:tcBorders>
              <w:top w:val="nil"/>
              <w:bottom w:val="nil"/>
            </w:tcBorders>
            <w:shd w:val="clear" w:color="auto" w:fill="F2F2F2" w:themeFill="background1" w:themeFillShade="F2"/>
            <w:tcMar>
              <w:top w:w="28" w:type="dxa"/>
              <w:left w:w="28" w:type="dxa"/>
              <w:bottom w:w="28" w:type="dxa"/>
              <w:right w:w="28" w:type="dxa"/>
            </w:tcMar>
            <w:vAlign w:val="center"/>
          </w:tcPr>
          <w:p w14:paraId="59588F29" w14:textId="53B7297B" w:rsidR="0026213E" w:rsidRDefault="0026213E"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Potential implications for stomatal function and plant growth</w:t>
            </w:r>
          </w:p>
        </w:tc>
        <w:tc>
          <w:tcPr>
            <w:tcW w:w="567" w:type="dxa"/>
            <w:tcBorders>
              <w:top w:val="nil"/>
              <w:bottom w:val="nil"/>
            </w:tcBorders>
            <w:shd w:val="clear" w:color="auto" w:fill="F2F2F2" w:themeFill="background1" w:themeFillShade="F2"/>
            <w:tcMar>
              <w:top w:w="28" w:type="dxa"/>
              <w:left w:w="28" w:type="dxa"/>
              <w:bottom w:w="28" w:type="dxa"/>
              <w:right w:w="28" w:type="dxa"/>
            </w:tcMar>
            <w:vAlign w:val="center"/>
          </w:tcPr>
          <w:p w14:paraId="3578ECCA" w14:textId="4A243F2D" w:rsidR="0026213E" w:rsidRDefault="00BA0250"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2F2F2" w:themeFill="background1" w:themeFillShade="F2"/>
            <w:tcMar>
              <w:top w:w="28" w:type="dxa"/>
              <w:left w:w="28" w:type="dxa"/>
              <w:bottom w:w="28" w:type="dxa"/>
              <w:right w:w="28" w:type="dxa"/>
            </w:tcMar>
            <w:vAlign w:val="center"/>
          </w:tcPr>
          <w:p w14:paraId="7B20D380" w14:textId="77777777" w:rsidR="0026213E" w:rsidRDefault="0026213E"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p>
        </w:tc>
      </w:tr>
    </w:tbl>
    <w:p w14:paraId="7D5354A0" w14:textId="21242E89" w:rsidR="00854964" w:rsidRDefault="00854964"/>
    <w:p w14:paraId="0419F632" w14:textId="77777777" w:rsidR="00854964" w:rsidRDefault="00854964">
      <w:r>
        <w:br w:type="page"/>
      </w:r>
    </w:p>
    <w:p w14:paraId="54AD8DC2" w14:textId="4E8FB45A" w:rsidR="00854964" w:rsidRPr="00854964" w:rsidRDefault="00854964" w:rsidP="00854964">
      <w:pPr>
        <w:pStyle w:val="BodyText"/>
        <w:rPr>
          <w:sz w:val="20"/>
          <w:szCs w:val="20"/>
        </w:rPr>
      </w:pPr>
      <w:r w:rsidRPr="00854964">
        <w:rPr>
          <w:sz w:val="20"/>
          <w:szCs w:val="20"/>
        </w:rPr>
        <w:lastRenderedPageBreak/>
        <w:t>Table 6. Contd.</w:t>
      </w:r>
    </w:p>
    <w:tbl>
      <w:tblPr>
        <w:tblStyle w:val="TableCSIRO"/>
        <w:tblW w:w="9641" w:type="dxa"/>
        <w:tblInd w:w="-142" w:type="dxa"/>
        <w:tblLayout w:type="fixed"/>
        <w:tblLook w:val="04A0" w:firstRow="1" w:lastRow="0" w:firstColumn="1" w:lastColumn="0" w:noHBand="0" w:noVBand="1"/>
      </w:tblPr>
      <w:tblGrid>
        <w:gridCol w:w="3970"/>
        <w:gridCol w:w="4536"/>
        <w:gridCol w:w="567"/>
        <w:gridCol w:w="568"/>
      </w:tblGrid>
      <w:tr w:rsidR="008D11AD" w:rsidRPr="005713AC" w14:paraId="25FDF1E4" w14:textId="77777777" w:rsidTr="003D231C">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970" w:type="dxa"/>
            <w:shd w:val="clear" w:color="auto" w:fill="F2F2F2" w:themeFill="background1" w:themeFillShade="F2"/>
            <w:tcMar>
              <w:top w:w="28" w:type="dxa"/>
              <w:left w:w="28" w:type="dxa"/>
              <w:bottom w:w="28" w:type="dxa"/>
              <w:right w:w="28" w:type="dxa"/>
            </w:tcMar>
            <w:vAlign w:val="center"/>
          </w:tcPr>
          <w:p w14:paraId="357BE4DD" w14:textId="66D81C08" w:rsidR="0026213E" w:rsidRDefault="0026213E" w:rsidP="003D71D6">
            <w:pPr>
              <w:rPr>
                <w:rFonts w:asciiTheme="minorHAnsi" w:hAnsiTheme="minorHAnsi" w:cstheme="minorHAnsi"/>
                <w:b w:val="0"/>
                <w:bCs w:val="0"/>
                <w:sz w:val="20"/>
                <w:szCs w:val="20"/>
              </w:rPr>
            </w:pPr>
          </w:p>
        </w:tc>
        <w:tc>
          <w:tcPr>
            <w:tcW w:w="4536" w:type="dxa"/>
            <w:shd w:val="clear" w:color="auto" w:fill="F2F2F2" w:themeFill="background1" w:themeFillShade="F2"/>
            <w:tcMar>
              <w:top w:w="28" w:type="dxa"/>
              <w:left w:w="28" w:type="dxa"/>
              <w:bottom w:w="28" w:type="dxa"/>
              <w:right w:w="28" w:type="dxa"/>
            </w:tcMar>
            <w:vAlign w:val="center"/>
          </w:tcPr>
          <w:p w14:paraId="5F9634A4" w14:textId="77777777" w:rsidR="0026213E" w:rsidRDefault="0026213E" w:rsidP="003D71D6">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Increased fire danger</w:t>
            </w:r>
          </w:p>
        </w:tc>
        <w:tc>
          <w:tcPr>
            <w:tcW w:w="567" w:type="dxa"/>
            <w:shd w:val="clear" w:color="auto" w:fill="F2F2F2" w:themeFill="background1" w:themeFillShade="F2"/>
            <w:tcMar>
              <w:top w:w="28" w:type="dxa"/>
              <w:left w:w="28" w:type="dxa"/>
              <w:bottom w:w="28" w:type="dxa"/>
              <w:right w:w="28" w:type="dxa"/>
            </w:tcMar>
            <w:vAlign w:val="center"/>
          </w:tcPr>
          <w:p w14:paraId="206E5637" w14:textId="77777777" w:rsidR="0026213E" w:rsidRDefault="0026213E" w:rsidP="00FB531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568" w:type="dxa"/>
            <w:shd w:val="clear" w:color="auto" w:fill="F2F2F2" w:themeFill="background1" w:themeFillShade="F2"/>
            <w:tcMar>
              <w:top w:w="28" w:type="dxa"/>
              <w:left w:w="28" w:type="dxa"/>
              <w:bottom w:w="28" w:type="dxa"/>
              <w:right w:w="28" w:type="dxa"/>
            </w:tcMar>
            <w:vAlign w:val="center"/>
          </w:tcPr>
          <w:p w14:paraId="43EE3F44" w14:textId="2EF38822" w:rsidR="0026213E" w:rsidRDefault="00BA0250" w:rsidP="00FB531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8D11AD" w:rsidRPr="00314070" w14:paraId="2940D375" w14:textId="77777777" w:rsidTr="003D231C">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3970" w:type="dxa"/>
            <w:vMerge w:val="restart"/>
            <w:tcBorders>
              <w:top w:val="nil"/>
              <w:bottom w:val="nil"/>
            </w:tcBorders>
            <w:shd w:val="clear" w:color="auto" w:fill="FFFFFF" w:themeFill="background1"/>
            <w:tcMar>
              <w:top w:w="28" w:type="dxa"/>
              <w:left w:w="28" w:type="dxa"/>
              <w:bottom w:w="28" w:type="dxa"/>
              <w:right w:w="28" w:type="dxa"/>
            </w:tcMar>
            <w:vAlign w:val="center"/>
          </w:tcPr>
          <w:p w14:paraId="3D0A42D7" w14:textId="17523E1B" w:rsidR="00E0733A" w:rsidRDefault="00E0733A" w:rsidP="003D71D6">
            <w:pPr>
              <w:rPr>
                <w:rFonts w:asciiTheme="minorHAnsi" w:hAnsiTheme="minorHAnsi" w:cstheme="minorHAnsi"/>
                <w:sz w:val="20"/>
                <w:szCs w:val="20"/>
              </w:rPr>
            </w:pPr>
            <w:r>
              <w:rPr>
                <w:rFonts w:asciiTheme="minorHAnsi" w:hAnsiTheme="minorHAnsi" w:cstheme="minorHAnsi"/>
                <w:b w:val="0"/>
                <w:bCs w:val="0"/>
                <w:sz w:val="20"/>
                <w:szCs w:val="20"/>
              </w:rPr>
              <w:t>Greater intensity of rainfall events</w:t>
            </w:r>
          </w:p>
        </w:tc>
        <w:tc>
          <w:tcPr>
            <w:tcW w:w="4536" w:type="dxa"/>
            <w:tcBorders>
              <w:top w:val="nil"/>
              <w:bottom w:val="nil"/>
            </w:tcBorders>
            <w:shd w:val="clear" w:color="auto" w:fill="FFFFFF" w:themeFill="background1"/>
            <w:tcMar>
              <w:top w:w="28" w:type="dxa"/>
              <w:left w:w="28" w:type="dxa"/>
              <w:bottom w:w="28" w:type="dxa"/>
              <w:right w:w="28" w:type="dxa"/>
            </w:tcMar>
            <w:vAlign w:val="center"/>
          </w:tcPr>
          <w:p w14:paraId="4DB3049A" w14:textId="1489842D" w:rsidR="00E0733A" w:rsidRDefault="00E0733A"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Increased flooding, with implications for young and establishing crops and trees</w:t>
            </w:r>
            <w:r w:rsidR="001239D2">
              <w:rPr>
                <w:rFonts w:asciiTheme="minorHAnsi" w:hAnsiTheme="minorHAnsi" w:cstheme="minorHAnsi"/>
                <w:color w:val="000000" w:themeColor="text1"/>
                <w:sz w:val="20"/>
                <w:szCs w:val="20"/>
              </w:rPr>
              <w:t xml:space="preserve"> in terms of growth and survival, and greater susceptibility to some pests and diseases</w:t>
            </w:r>
          </w:p>
        </w:tc>
        <w:tc>
          <w:tcPr>
            <w:tcW w:w="567" w:type="dxa"/>
            <w:tcBorders>
              <w:top w:val="nil"/>
              <w:bottom w:val="nil"/>
            </w:tcBorders>
            <w:shd w:val="clear" w:color="auto" w:fill="FFFFFF" w:themeFill="background1"/>
            <w:tcMar>
              <w:top w:w="28" w:type="dxa"/>
              <w:left w:w="28" w:type="dxa"/>
              <w:bottom w:w="28" w:type="dxa"/>
              <w:right w:w="28" w:type="dxa"/>
            </w:tcMar>
            <w:vAlign w:val="center"/>
          </w:tcPr>
          <w:p w14:paraId="67C46142" w14:textId="278A8B98" w:rsidR="00E0733A" w:rsidRDefault="00BA0250"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FFFFF" w:themeFill="background1"/>
            <w:tcMar>
              <w:top w:w="28" w:type="dxa"/>
              <w:left w:w="28" w:type="dxa"/>
              <w:bottom w:w="28" w:type="dxa"/>
              <w:right w:w="28" w:type="dxa"/>
            </w:tcMar>
            <w:vAlign w:val="center"/>
          </w:tcPr>
          <w:p w14:paraId="73D40E98" w14:textId="250ED295" w:rsidR="00E0733A" w:rsidRDefault="00BA0250"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990F60" w:rsidRPr="00314070" w14:paraId="428ACAC8" w14:textId="77777777" w:rsidTr="003D231C">
        <w:trPr>
          <w:trHeight w:val="255"/>
        </w:trPr>
        <w:tc>
          <w:tcPr>
            <w:cnfStyle w:val="001000000000" w:firstRow="0" w:lastRow="0" w:firstColumn="1" w:lastColumn="0" w:oddVBand="0" w:evenVBand="0" w:oddHBand="0" w:evenHBand="0" w:firstRowFirstColumn="0" w:firstRowLastColumn="0" w:lastRowFirstColumn="0" w:lastRowLastColumn="0"/>
            <w:tcW w:w="3970" w:type="dxa"/>
            <w:vMerge/>
            <w:tcBorders>
              <w:top w:val="nil"/>
              <w:bottom w:val="nil"/>
            </w:tcBorders>
            <w:tcMar>
              <w:top w:w="28" w:type="dxa"/>
              <w:left w:w="28" w:type="dxa"/>
              <w:bottom w:w="28" w:type="dxa"/>
              <w:right w:w="28" w:type="dxa"/>
            </w:tcMar>
            <w:vAlign w:val="center"/>
          </w:tcPr>
          <w:p w14:paraId="1A3577AB" w14:textId="6E57FB22" w:rsidR="00E0733A" w:rsidRPr="00314070" w:rsidRDefault="00E0733A" w:rsidP="003D71D6">
            <w:pPr>
              <w:rPr>
                <w:rFonts w:asciiTheme="minorHAnsi" w:hAnsiTheme="minorHAnsi" w:cstheme="minorHAnsi"/>
                <w:color w:val="008000"/>
                <w:sz w:val="20"/>
                <w:szCs w:val="20"/>
              </w:rPr>
            </w:pPr>
          </w:p>
        </w:tc>
        <w:tc>
          <w:tcPr>
            <w:tcW w:w="4536" w:type="dxa"/>
            <w:tcBorders>
              <w:top w:val="nil"/>
              <w:bottom w:val="nil"/>
            </w:tcBorders>
            <w:shd w:val="clear" w:color="auto" w:fill="FFFFFF" w:themeFill="background1"/>
            <w:tcMar>
              <w:top w:w="28" w:type="dxa"/>
              <w:left w:w="28" w:type="dxa"/>
              <w:bottom w:w="28" w:type="dxa"/>
              <w:right w:w="28" w:type="dxa"/>
            </w:tcMar>
            <w:vAlign w:val="center"/>
          </w:tcPr>
          <w:p w14:paraId="0292A314" w14:textId="77777777" w:rsidR="00E0733A" w:rsidRPr="00174CA3" w:rsidRDefault="00E0733A"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Increased soil erosion and deposition</w:t>
            </w:r>
          </w:p>
        </w:tc>
        <w:tc>
          <w:tcPr>
            <w:tcW w:w="567" w:type="dxa"/>
            <w:tcBorders>
              <w:top w:val="nil"/>
              <w:bottom w:val="nil"/>
            </w:tcBorders>
            <w:shd w:val="clear" w:color="auto" w:fill="FFFFFF" w:themeFill="background1"/>
            <w:tcMar>
              <w:top w:w="28" w:type="dxa"/>
              <w:left w:w="28" w:type="dxa"/>
              <w:bottom w:w="28" w:type="dxa"/>
              <w:right w:w="28" w:type="dxa"/>
            </w:tcMar>
            <w:vAlign w:val="center"/>
          </w:tcPr>
          <w:p w14:paraId="4E86F594" w14:textId="6FC13D5B" w:rsidR="00E0733A" w:rsidRDefault="000C3E30"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FFFFF" w:themeFill="background1"/>
            <w:tcMar>
              <w:top w:w="28" w:type="dxa"/>
              <w:left w:w="28" w:type="dxa"/>
              <w:bottom w:w="28" w:type="dxa"/>
              <w:right w:w="28" w:type="dxa"/>
            </w:tcMar>
            <w:vAlign w:val="center"/>
          </w:tcPr>
          <w:p w14:paraId="2A881B44" w14:textId="21650A63" w:rsidR="00E0733A" w:rsidRDefault="000C3E30"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8D11AD" w:rsidRPr="005713AC" w14:paraId="35272506" w14:textId="77777777" w:rsidTr="003D231C">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970" w:type="dxa"/>
            <w:vMerge w:val="restart"/>
            <w:tcBorders>
              <w:bottom w:val="nil"/>
            </w:tcBorders>
            <w:shd w:val="clear" w:color="auto" w:fill="F2F2F2" w:themeFill="background1" w:themeFillShade="F2"/>
            <w:tcMar>
              <w:top w:w="28" w:type="dxa"/>
              <w:left w:w="28" w:type="dxa"/>
              <w:bottom w:w="28" w:type="dxa"/>
              <w:right w:w="28" w:type="dxa"/>
            </w:tcMar>
            <w:vAlign w:val="center"/>
          </w:tcPr>
          <w:p w14:paraId="600912F1" w14:textId="154EA4E1" w:rsidR="00E0733A" w:rsidRDefault="00E0733A" w:rsidP="003D71D6">
            <w:pPr>
              <w:rPr>
                <w:rFonts w:asciiTheme="minorHAnsi" w:hAnsiTheme="minorHAnsi" w:cstheme="minorHAnsi"/>
                <w:sz w:val="20"/>
                <w:szCs w:val="20"/>
              </w:rPr>
            </w:pPr>
            <w:r>
              <w:rPr>
                <w:rFonts w:asciiTheme="minorHAnsi" w:hAnsiTheme="minorHAnsi" w:cstheme="minorHAnsi"/>
                <w:b w:val="0"/>
                <w:bCs w:val="0"/>
                <w:sz w:val="20"/>
                <w:szCs w:val="20"/>
              </w:rPr>
              <w:t>Increased intensity of storms/cyclones</w:t>
            </w:r>
          </w:p>
        </w:tc>
        <w:tc>
          <w:tcPr>
            <w:tcW w:w="4536" w:type="dxa"/>
            <w:tcBorders>
              <w:top w:val="nil"/>
              <w:bottom w:val="nil"/>
            </w:tcBorders>
            <w:shd w:val="clear" w:color="auto" w:fill="F2F2F2" w:themeFill="background1" w:themeFillShade="F2"/>
            <w:tcMar>
              <w:top w:w="28" w:type="dxa"/>
              <w:left w:w="28" w:type="dxa"/>
              <w:bottom w:w="28" w:type="dxa"/>
              <w:right w:w="28" w:type="dxa"/>
            </w:tcMar>
            <w:vAlign w:val="center"/>
          </w:tcPr>
          <w:p w14:paraId="57288E20" w14:textId="50987924" w:rsidR="00E0733A" w:rsidRDefault="00E0733A" w:rsidP="003D71D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Potential for mechanical damage to tree plantings</w:t>
            </w:r>
          </w:p>
        </w:tc>
        <w:tc>
          <w:tcPr>
            <w:tcW w:w="567" w:type="dxa"/>
            <w:tcBorders>
              <w:bottom w:val="nil"/>
            </w:tcBorders>
            <w:shd w:val="clear" w:color="auto" w:fill="F2F2F2" w:themeFill="background1" w:themeFillShade="F2"/>
            <w:tcMar>
              <w:top w:w="28" w:type="dxa"/>
              <w:left w:w="28" w:type="dxa"/>
              <w:bottom w:w="28" w:type="dxa"/>
              <w:right w:w="28" w:type="dxa"/>
            </w:tcMar>
            <w:vAlign w:val="center"/>
          </w:tcPr>
          <w:p w14:paraId="49E15504" w14:textId="4C126B94" w:rsidR="00E0733A" w:rsidRDefault="000C3E30"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bottom w:val="nil"/>
            </w:tcBorders>
            <w:shd w:val="clear" w:color="auto" w:fill="F2F2F2" w:themeFill="background1" w:themeFillShade="F2"/>
            <w:tcMar>
              <w:top w:w="28" w:type="dxa"/>
              <w:left w:w="28" w:type="dxa"/>
              <w:bottom w:w="28" w:type="dxa"/>
              <w:right w:w="28" w:type="dxa"/>
            </w:tcMar>
            <w:vAlign w:val="center"/>
          </w:tcPr>
          <w:p w14:paraId="648749CD" w14:textId="2F8B0B4F" w:rsidR="00E0733A" w:rsidRDefault="000C3E30" w:rsidP="00FB531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8D11AD" w:rsidRPr="005713AC" w14:paraId="0E625865" w14:textId="77777777" w:rsidTr="003D231C">
        <w:trPr>
          <w:trHeight w:val="336"/>
        </w:trPr>
        <w:tc>
          <w:tcPr>
            <w:cnfStyle w:val="001000000000" w:firstRow="0" w:lastRow="0" w:firstColumn="1" w:lastColumn="0" w:oddVBand="0" w:evenVBand="0" w:oddHBand="0" w:evenHBand="0" w:firstRowFirstColumn="0" w:firstRowLastColumn="0" w:lastRowFirstColumn="0" w:lastRowLastColumn="0"/>
            <w:tcW w:w="3970" w:type="dxa"/>
            <w:vMerge/>
            <w:tcBorders>
              <w:bottom w:val="nil"/>
            </w:tcBorders>
            <w:shd w:val="clear" w:color="auto" w:fill="F2F2F2" w:themeFill="background1" w:themeFillShade="F2"/>
            <w:tcMar>
              <w:top w:w="28" w:type="dxa"/>
              <w:left w:w="28" w:type="dxa"/>
              <w:bottom w:w="28" w:type="dxa"/>
              <w:right w:w="28" w:type="dxa"/>
            </w:tcMar>
            <w:vAlign w:val="center"/>
          </w:tcPr>
          <w:p w14:paraId="619234A5" w14:textId="4EFC32E1" w:rsidR="00E0733A" w:rsidRDefault="00E0733A" w:rsidP="003D71D6">
            <w:pPr>
              <w:rPr>
                <w:rFonts w:asciiTheme="minorHAnsi" w:hAnsiTheme="minorHAnsi" w:cstheme="minorHAnsi"/>
                <w:b w:val="0"/>
                <w:bCs w:val="0"/>
                <w:sz w:val="20"/>
                <w:szCs w:val="20"/>
              </w:rPr>
            </w:pPr>
          </w:p>
        </w:tc>
        <w:tc>
          <w:tcPr>
            <w:tcW w:w="4536" w:type="dxa"/>
            <w:tcBorders>
              <w:bottom w:val="nil"/>
            </w:tcBorders>
            <w:shd w:val="clear" w:color="auto" w:fill="F2F2F2" w:themeFill="background1" w:themeFillShade="F2"/>
            <w:tcMar>
              <w:top w:w="28" w:type="dxa"/>
              <w:left w:w="28" w:type="dxa"/>
              <w:bottom w:w="28" w:type="dxa"/>
              <w:right w:w="28" w:type="dxa"/>
            </w:tcMar>
            <w:vAlign w:val="center"/>
          </w:tcPr>
          <w:p w14:paraId="64AF5B5E" w14:textId="77777777" w:rsidR="00E0733A" w:rsidRDefault="00E0733A" w:rsidP="003D71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Coastal storm surges with implications for blue carbon stability</w:t>
            </w:r>
          </w:p>
        </w:tc>
        <w:tc>
          <w:tcPr>
            <w:tcW w:w="567" w:type="dxa"/>
            <w:tcBorders>
              <w:bottom w:val="nil"/>
            </w:tcBorders>
            <w:shd w:val="clear" w:color="auto" w:fill="F2F2F2" w:themeFill="background1" w:themeFillShade="F2"/>
            <w:tcMar>
              <w:top w:w="28" w:type="dxa"/>
              <w:left w:w="28" w:type="dxa"/>
              <w:bottom w:w="28" w:type="dxa"/>
              <w:right w:w="28" w:type="dxa"/>
            </w:tcMar>
            <w:vAlign w:val="center"/>
          </w:tcPr>
          <w:p w14:paraId="36511A7D" w14:textId="45BBF0C4" w:rsidR="00E0733A" w:rsidRDefault="00C60782"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bottom w:val="nil"/>
            </w:tcBorders>
            <w:shd w:val="clear" w:color="auto" w:fill="F2F2F2" w:themeFill="background1" w:themeFillShade="F2"/>
            <w:tcMar>
              <w:top w:w="28" w:type="dxa"/>
              <w:left w:w="28" w:type="dxa"/>
              <w:bottom w:w="28" w:type="dxa"/>
              <w:right w:w="28" w:type="dxa"/>
            </w:tcMar>
            <w:vAlign w:val="center"/>
          </w:tcPr>
          <w:p w14:paraId="6071F21E" w14:textId="2BFBE6E0" w:rsidR="00E0733A" w:rsidRDefault="00C60782" w:rsidP="00FB531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5A0FA2" w:rsidRPr="00314070" w14:paraId="41A3A030" w14:textId="77777777" w:rsidTr="00DC3C21">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9641" w:type="dxa"/>
            <w:gridSpan w:val="4"/>
            <w:shd w:val="clear" w:color="auto" w:fill="auto"/>
            <w:tcMar>
              <w:top w:w="28" w:type="dxa"/>
              <w:left w:w="28" w:type="dxa"/>
              <w:bottom w:w="28" w:type="dxa"/>
              <w:right w:w="28" w:type="dxa"/>
            </w:tcMar>
            <w:vAlign w:val="center"/>
          </w:tcPr>
          <w:p w14:paraId="0BA12F63" w14:textId="77777777" w:rsidR="005A0FA2" w:rsidRPr="008D11AD" w:rsidRDefault="005A0FA2" w:rsidP="00AB7787">
            <w:pPr>
              <w:ind w:left="203"/>
              <w:jc w:val="center"/>
              <w:rPr>
                <w:rFonts w:asciiTheme="minorHAnsi" w:hAnsiTheme="minorHAnsi" w:cstheme="minorHAnsi"/>
                <w:i/>
                <w:iCs/>
                <w:sz w:val="20"/>
                <w:szCs w:val="20"/>
              </w:rPr>
            </w:pPr>
            <w:r w:rsidRPr="008D11AD">
              <w:rPr>
                <w:rFonts w:asciiTheme="minorHAnsi" w:hAnsiTheme="minorHAnsi" w:cstheme="minorHAnsi"/>
                <w:i/>
                <w:iCs/>
                <w:sz w:val="20"/>
                <w:szCs w:val="20"/>
              </w:rPr>
              <w:t>Secondary climate variables (direct or indirect impacts of primary climate variables)</w:t>
            </w:r>
          </w:p>
        </w:tc>
      </w:tr>
      <w:tr w:rsidR="00990F60" w:rsidRPr="00314070" w14:paraId="727DD6F0" w14:textId="77777777" w:rsidTr="003D231C">
        <w:trPr>
          <w:trHeight w:val="426"/>
        </w:trPr>
        <w:tc>
          <w:tcPr>
            <w:cnfStyle w:val="001000000000" w:firstRow="0" w:lastRow="0" w:firstColumn="1" w:lastColumn="0" w:oddVBand="0" w:evenVBand="0" w:oddHBand="0" w:evenHBand="0" w:firstRowFirstColumn="0" w:firstRowLastColumn="0" w:lastRowFirstColumn="0" w:lastRowLastColumn="0"/>
            <w:tcW w:w="3970" w:type="dxa"/>
            <w:tcBorders>
              <w:top w:val="nil"/>
              <w:bottom w:val="nil"/>
            </w:tcBorders>
            <w:shd w:val="clear" w:color="auto" w:fill="FFFFFF" w:themeFill="background1"/>
            <w:tcMar>
              <w:top w:w="28" w:type="dxa"/>
              <w:left w:w="28" w:type="dxa"/>
              <w:bottom w:w="28" w:type="dxa"/>
              <w:right w:w="28" w:type="dxa"/>
            </w:tcMar>
            <w:vAlign w:val="center"/>
          </w:tcPr>
          <w:p w14:paraId="3D452642" w14:textId="77777777" w:rsidR="005A0FA2" w:rsidRPr="00314070" w:rsidRDefault="005A0FA2" w:rsidP="00AB7787">
            <w:pPr>
              <w:rPr>
                <w:rFonts w:asciiTheme="minorHAnsi" w:hAnsiTheme="minorHAnsi" w:cstheme="minorHAnsi"/>
                <w:color w:val="008000"/>
                <w:sz w:val="20"/>
                <w:szCs w:val="20"/>
              </w:rPr>
            </w:pPr>
            <w:r>
              <w:rPr>
                <w:rFonts w:asciiTheme="minorHAnsi" w:hAnsiTheme="minorHAnsi" w:cstheme="minorHAnsi"/>
                <w:b w:val="0"/>
                <w:bCs w:val="0"/>
                <w:sz w:val="20"/>
                <w:szCs w:val="20"/>
              </w:rPr>
              <w:t>Changes in mean sea level</w:t>
            </w:r>
          </w:p>
        </w:tc>
        <w:tc>
          <w:tcPr>
            <w:tcW w:w="4536" w:type="dxa"/>
            <w:tcBorders>
              <w:top w:val="nil"/>
              <w:bottom w:val="nil"/>
            </w:tcBorders>
            <w:shd w:val="clear" w:color="auto" w:fill="FFFFFF" w:themeFill="background1"/>
            <w:tcMar>
              <w:top w:w="28" w:type="dxa"/>
              <w:left w:w="28" w:type="dxa"/>
              <w:bottom w:w="28" w:type="dxa"/>
              <w:right w:w="28" w:type="dxa"/>
            </w:tcMar>
            <w:vAlign w:val="center"/>
          </w:tcPr>
          <w:p w14:paraId="20D97D22" w14:textId="77777777" w:rsidR="005A0FA2" w:rsidRPr="00174CA3" w:rsidRDefault="005A0FA2" w:rsidP="00AB778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When combined with coastal storm surges, implications for blue carbon stability</w:t>
            </w:r>
          </w:p>
        </w:tc>
        <w:tc>
          <w:tcPr>
            <w:tcW w:w="567" w:type="dxa"/>
            <w:tcBorders>
              <w:top w:val="nil"/>
              <w:bottom w:val="nil"/>
            </w:tcBorders>
            <w:shd w:val="clear" w:color="auto" w:fill="FFFFFF" w:themeFill="background1"/>
            <w:tcMar>
              <w:top w:w="28" w:type="dxa"/>
              <w:left w:w="28" w:type="dxa"/>
              <w:bottom w:w="28" w:type="dxa"/>
              <w:right w:w="28" w:type="dxa"/>
            </w:tcMar>
            <w:vAlign w:val="center"/>
          </w:tcPr>
          <w:p w14:paraId="52A23BF2" w14:textId="77777777" w:rsidR="005A0FA2" w:rsidRDefault="005A0FA2"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FFFFF" w:themeFill="background1"/>
            <w:tcMar>
              <w:top w:w="28" w:type="dxa"/>
              <w:left w:w="28" w:type="dxa"/>
              <w:bottom w:w="28" w:type="dxa"/>
              <w:right w:w="28" w:type="dxa"/>
            </w:tcMar>
            <w:vAlign w:val="center"/>
          </w:tcPr>
          <w:p w14:paraId="34E28E67" w14:textId="77777777" w:rsidR="005A0FA2" w:rsidRDefault="005A0FA2"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8D11AD" w:rsidRPr="005713AC" w14:paraId="4B67B67B" w14:textId="77777777" w:rsidTr="003D231C">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3970" w:type="dxa"/>
            <w:tcBorders>
              <w:top w:val="nil"/>
              <w:bottom w:val="nil"/>
            </w:tcBorders>
            <w:shd w:val="clear" w:color="auto" w:fill="F2F2F2" w:themeFill="background1" w:themeFillShade="F2"/>
            <w:tcMar>
              <w:top w:w="28" w:type="dxa"/>
              <w:left w:w="28" w:type="dxa"/>
              <w:bottom w:w="28" w:type="dxa"/>
              <w:right w:w="28" w:type="dxa"/>
            </w:tcMar>
            <w:vAlign w:val="center"/>
          </w:tcPr>
          <w:p w14:paraId="14A94C38" w14:textId="77777777" w:rsidR="00D50661" w:rsidRDefault="00D50661" w:rsidP="00AB7787">
            <w:pPr>
              <w:rPr>
                <w:rFonts w:asciiTheme="minorHAnsi" w:hAnsiTheme="minorHAnsi" w:cstheme="minorHAnsi"/>
                <w:sz w:val="20"/>
                <w:szCs w:val="20"/>
              </w:rPr>
            </w:pPr>
            <w:r>
              <w:rPr>
                <w:rFonts w:asciiTheme="minorHAnsi" w:hAnsiTheme="minorHAnsi" w:cstheme="minorHAnsi"/>
                <w:b w:val="0"/>
                <w:bCs w:val="0"/>
                <w:sz w:val="20"/>
                <w:szCs w:val="20"/>
              </w:rPr>
              <w:t>Increased drought severity/occurrence</w:t>
            </w:r>
          </w:p>
        </w:tc>
        <w:tc>
          <w:tcPr>
            <w:tcW w:w="4536" w:type="dxa"/>
            <w:tcBorders>
              <w:top w:val="nil"/>
              <w:bottom w:val="nil"/>
            </w:tcBorders>
            <w:shd w:val="clear" w:color="auto" w:fill="F2F2F2" w:themeFill="background1" w:themeFillShade="F2"/>
            <w:tcMar>
              <w:top w:w="28" w:type="dxa"/>
              <w:left w:w="28" w:type="dxa"/>
              <w:bottom w:w="28" w:type="dxa"/>
              <w:right w:w="28" w:type="dxa"/>
            </w:tcMar>
            <w:vAlign w:val="center"/>
          </w:tcPr>
          <w:p w14:paraId="3DDDB6AB" w14:textId="77777777" w:rsidR="00D50661" w:rsidRDefault="00D50661" w:rsidP="00AB778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Decreased growth and survival in crops and trees, and possibility of recruitment failure.</w:t>
            </w:r>
          </w:p>
        </w:tc>
        <w:tc>
          <w:tcPr>
            <w:tcW w:w="567" w:type="dxa"/>
            <w:tcBorders>
              <w:top w:val="nil"/>
              <w:bottom w:val="nil"/>
            </w:tcBorders>
            <w:shd w:val="clear" w:color="auto" w:fill="F2F2F2" w:themeFill="background1" w:themeFillShade="F2"/>
            <w:tcMar>
              <w:top w:w="28" w:type="dxa"/>
              <w:left w:w="28" w:type="dxa"/>
              <w:bottom w:w="28" w:type="dxa"/>
              <w:right w:w="28" w:type="dxa"/>
            </w:tcMar>
            <w:vAlign w:val="center"/>
          </w:tcPr>
          <w:p w14:paraId="7DB58C0B" w14:textId="77777777" w:rsidR="00D50661" w:rsidRDefault="00D50661"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2F2F2" w:themeFill="background1" w:themeFillShade="F2"/>
            <w:tcMar>
              <w:top w:w="28" w:type="dxa"/>
              <w:left w:w="28" w:type="dxa"/>
              <w:bottom w:w="28" w:type="dxa"/>
              <w:right w:w="28" w:type="dxa"/>
            </w:tcMar>
            <w:vAlign w:val="center"/>
          </w:tcPr>
          <w:p w14:paraId="38CA7E9A" w14:textId="77777777" w:rsidR="00D50661" w:rsidRDefault="00D50661"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p>
        </w:tc>
      </w:tr>
      <w:tr w:rsidR="00990F60" w:rsidRPr="005713AC" w14:paraId="6BA96AB1" w14:textId="77777777" w:rsidTr="003D231C">
        <w:trPr>
          <w:trHeight w:val="94"/>
        </w:trPr>
        <w:tc>
          <w:tcPr>
            <w:cnfStyle w:val="001000000000" w:firstRow="0" w:lastRow="0" w:firstColumn="1" w:lastColumn="0" w:oddVBand="0" w:evenVBand="0" w:oddHBand="0" w:evenHBand="0" w:firstRowFirstColumn="0" w:firstRowLastColumn="0" w:lastRowFirstColumn="0" w:lastRowLastColumn="0"/>
            <w:tcW w:w="3970" w:type="dxa"/>
            <w:tcBorders>
              <w:top w:val="nil"/>
              <w:bottom w:val="nil"/>
            </w:tcBorders>
            <w:shd w:val="clear" w:color="auto" w:fill="F2F2F2" w:themeFill="background1" w:themeFillShade="F2"/>
            <w:tcMar>
              <w:top w:w="28" w:type="dxa"/>
              <w:left w:w="28" w:type="dxa"/>
              <w:bottom w:w="28" w:type="dxa"/>
              <w:right w:w="28" w:type="dxa"/>
            </w:tcMar>
            <w:vAlign w:val="center"/>
          </w:tcPr>
          <w:p w14:paraId="60ABA700" w14:textId="649E937A" w:rsidR="005A0FA2" w:rsidRPr="008D11AD" w:rsidRDefault="00D50661" w:rsidP="00AB7787">
            <w:pPr>
              <w:rPr>
                <w:rFonts w:asciiTheme="minorHAnsi" w:hAnsiTheme="minorHAnsi" w:cstheme="minorHAnsi"/>
                <w:b w:val="0"/>
                <w:bCs w:val="0"/>
                <w:sz w:val="20"/>
                <w:szCs w:val="20"/>
              </w:rPr>
            </w:pPr>
            <w:r w:rsidRPr="00B70271">
              <w:rPr>
                <w:rFonts w:asciiTheme="minorHAnsi" w:hAnsiTheme="minorHAnsi" w:cstheme="minorHAnsi"/>
                <w:sz w:val="20"/>
                <w:szCs w:val="20"/>
              </w:rPr>
              <w:t>Increased</w:t>
            </w:r>
            <w:r>
              <w:rPr>
                <w:rFonts w:asciiTheme="minorHAnsi" w:hAnsiTheme="minorHAnsi" w:cstheme="minorHAnsi"/>
                <w:b w:val="0"/>
                <w:bCs w:val="0"/>
                <w:sz w:val="20"/>
                <w:szCs w:val="20"/>
              </w:rPr>
              <w:t xml:space="preserve"> </w:t>
            </w:r>
            <w:r w:rsidR="006774EC">
              <w:rPr>
                <w:rFonts w:asciiTheme="minorHAnsi" w:hAnsiTheme="minorHAnsi" w:cstheme="minorHAnsi"/>
                <w:b w:val="0"/>
                <w:bCs w:val="0"/>
                <w:sz w:val="20"/>
                <w:szCs w:val="20"/>
              </w:rPr>
              <w:t>frequency of fire weather and days with high fire danger index</w:t>
            </w:r>
          </w:p>
        </w:tc>
        <w:tc>
          <w:tcPr>
            <w:tcW w:w="4536" w:type="dxa"/>
            <w:tcBorders>
              <w:top w:val="nil"/>
              <w:bottom w:val="nil"/>
            </w:tcBorders>
            <w:shd w:val="clear" w:color="auto" w:fill="F2F2F2" w:themeFill="background1" w:themeFillShade="F2"/>
            <w:tcMar>
              <w:top w:w="28" w:type="dxa"/>
              <w:left w:w="28" w:type="dxa"/>
              <w:bottom w:w="28" w:type="dxa"/>
              <w:right w:w="28" w:type="dxa"/>
            </w:tcMar>
            <w:vAlign w:val="center"/>
          </w:tcPr>
          <w:p w14:paraId="3432A7E8" w14:textId="3982D6F9" w:rsidR="005A0FA2" w:rsidRDefault="00786EE4" w:rsidP="00AB778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Increased emissions from fire and reduction in the average carbon storage within</w:t>
            </w:r>
            <w:r w:rsidR="00CD1171">
              <w:rPr>
                <w:rFonts w:asciiTheme="minorHAnsi" w:hAnsiTheme="minorHAnsi" w:cstheme="minorHAnsi"/>
                <w:color w:val="000000" w:themeColor="text1"/>
                <w:sz w:val="20"/>
                <w:szCs w:val="20"/>
              </w:rPr>
              <w:t xml:space="preserve"> pools of live and dead biomass in response to increased fire frequencies and severities</w:t>
            </w:r>
            <w:r>
              <w:rPr>
                <w:rFonts w:asciiTheme="minorHAnsi" w:hAnsiTheme="minorHAnsi" w:cstheme="minorHAnsi"/>
                <w:color w:val="000000" w:themeColor="text1"/>
                <w:sz w:val="20"/>
                <w:szCs w:val="20"/>
              </w:rPr>
              <w:t xml:space="preserve"> </w:t>
            </w:r>
          </w:p>
        </w:tc>
        <w:tc>
          <w:tcPr>
            <w:tcW w:w="567" w:type="dxa"/>
            <w:tcBorders>
              <w:top w:val="nil"/>
              <w:bottom w:val="nil"/>
            </w:tcBorders>
            <w:shd w:val="clear" w:color="auto" w:fill="F2F2F2" w:themeFill="background1" w:themeFillShade="F2"/>
            <w:tcMar>
              <w:top w:w="28" w:type="dxa"/>
              <w:left w:w="28" w:type="dxa"/>
              <w:bottom w:w="28" w:type="dxa"/>
              <w:right w:w="28" w:type="dxa"/>
            </w:tcMar>
            <w:vAlign w:val="center"/>
          </w:tcPr>
          <w:p w14:paraId="16604141" w14:textId="2D9D2D0C" w:rsidR="005A0FA2" w:rsidRDefault="00CD117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c>
          <w:tcPr>
            <w:tcW w:w="568" w:type="dxa"/>
            <w:tcBorders>
              <w:top w:val="nil"/>
              <w:bottom w:val="nil"/>
            </w:tcBorders>
            <w:shd w:val="clear" w:color="auto" w:fill="F2F2F2" w:themeFill="background1" w:themeFillShade="F2"/>
            <w:tcMar>
              <w:top w:w="28" w:type="dxa"/>
              <w:left w:w="28" w:type="dxa"/>
              <w:bottom w:w="28" w:type="dxa"/>
              <w:right w:w="28" w:type="dxa"/>
            </w:tcMar>
            <w:vAlign w:val="center"/>
          </w:tcPr>
          <w:p w14:paraId="05B42984" w14:textId="40EC5CF3" w:rsidR="005A0FA2" w:rsidRDefault="00CD117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X</w:t>
            </w:r>
          </w:p>
        </w:tc>
      </w:tr>
      <w:tr w:rsidR="00227F13" w:rsidRPr="00314070" w14:paraId="3E39061A" w14:textId="77777777" w:rsidTr="00DC3C21">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9641" w:type="dxa"/>
            <w:gridSpan w:val="4"/>
            <w:shd w:val="clear" w:color="auto" w:fill="auto"/>
            <w:tcMar>
              <w:top w:w="28" w:type="dxa"/>
              <w:left w:w="28" w:type="dxa"/>
              <w:bottom w:w="28" w:type="dxa"/>
              <w:right w:w="28" w:type="dxa"/>
            </w:tcMar>
            <w:vAlign w:val="center"/>
          </w:tcPr>
          <w:p w14:paraId="506E9AE4" w14:textId="290914E3" w:rsidR="00227F13" w:rsidRPr="008D11AD" w:rsidRDefault="00DB3FD1" w:rsidP="00AB7787">
            <w:pPr>
              <w:ind w:left="203"/>
              <w:jc w:val="center"/>
              <w:rPr>
                <w:rFonts w:asciiTheme="minorHAnsi" w:hAnsiTheme="minorHAnsi" w:cstheme="minorHAnsi"/>
                <w:i/>
                <w:iCs/>
                <w:sz w:val="20"/>
                <w:szCs w:val="20"/>
              </w:rPr>
            </w:pPr>
            <w:r w:rsidRPr="008D11AD">
              <w:rPr>
                <w:rFonts w:asciiTheme="minorHAnsi" w:hAnsiTheme="minorHAnsi" w:cstheme="minorHAnsi"/>
                <w:i/>
                <w:iCs/>
                <w:sz w:val="20"/>
                <w:szCs w:val="20"/>
              </w:rPr>
              <w:t>Increasing atmospheric CO</w:t>
            </w:r>
            <w:r w:rsidRPr="008D11AD">
              <w:rPr>
                <w:rFonts w:asciiTheme="minorHAnsi" w:hAnsiTheme="minorHAnsi" w:cstheme="minorHAnsi"/>
                <w:i/>
                <w:iCs/>
                <w:sz w:val="20"/>
                <w:szCs w:val="20"/>
                <w:vertAlign w:val="subscript"/>
              </w:rPr>
              <w:t>2</w:t>
            </w:r>
            <w:r w:rsidRPr="008D11AD">
              <w:rPr>
                <w:rFonts w:asciiTheme="minorHAnsi" w:hAnsiTheme="minorHAnsi" w:cstheme="minorHAnsi"/>
                <w:i/>
                <w:iCs/>
                <w:sz w:val="20"/>
                <w:szCs w:val="20"/>
              </w:rPr>
              <w:t xml:space="preserve"> concentration</w:t>
            </w:r>
          </w:p>
        </w:tc>
      </w:tr>
      <w:tr w:rsidR="00990F60" w:rsidRPr="005713AC" w14:paraId="02DA456B" w14:textId="77777777" w:rsidTr="003D231C">
        <w:trPr>
          <w:trHeight w:val="225"/>
        </w:trPr>
        <w:tc>
          <w:tcPr>
            <w:cnfStyle w:val="001000000000" w:firstRow="0" w:lastRow="0" w:firstColumn="1" w:lastColumn="0" w:oddVBand="0" w:evenVBand="0" w:oddHBand="0" w:evenHBand="0" w:firstRowFirstColumn="0" w:firstRowLastColumn="0" w:lastRowFirstColumn="0" w:lastRowLastColumn="0"/>
            <w:tcW w:w="3970" w:type="dxa"/>
            <w:tcMar>
              <w:top w:w="28" w:type="dxa"/>
              <w:left w:w="28" w:type="dxa"/>
              <w:bottom w:w="28" w:type="dxa"/>
              <w:right w:w="28" w:type="dxa"/>
            </w:tcMar>
            <w:vAlign w:val="center"/>
          </w:tcPr>
          <w:p w14:paraId="7EB749A0" w14:textId="6581D905" w:rsidR="00AA5FBD" w:rsidRDefault="00AA5FBD" w:rsidP="00AA5FBD">
            <w:pPr>
              <w:rPr>
                <w:rFonts w:asciiTheme="minorHAnsi" w:hAnsiTheme="minorHAnsi" w:cstheme="minorHAnsi"/>
                <w:sz w:val="20"/>
                <w:szCs w:val="20"/>
              </w:rPr>
            </w:pPr>
            <w:r w:rsidRPr="00CA6C33">
              <w:rPr>
                <w:rFonts w:asciiTheme="minorHAnsi" w:hAnsiTheme="minorHAnsi" w:cstheme="minorHAnsi"/>
                <w:b w:val="0"/>
                <w:bCs w:val="0"/>
                <w:sz w:val="20"/>
                <w:szCs w:val="20"/>
              </w:rPr>
              <w:t>Increasing atmospheric CO</w:t>
            </w:r>
            <w:r w:rsidRPr="00CA6C33">
              <w:rPr>
                <w:rFonts w:asciiTheme="minorHAnsi" w:hAnsiTheme="minorHAnsi" w:cstheme="minorHAnsi"/>
                <w:b w:val="0"/>
                <w:bCs w:val="0"/>
                <w:sz w:val="20"/>
                <w:szCs w:val="20"/>
                <w:vertAlign w:val="subscript"/>
              </w:rPr>
              <w:t>2</w:t>
            </w:r>
            <w:r w:rsidRPr="00CA6C33">
              <w:rPr>
                <w:rFonts w:asciiTheme="minorHAnsi" w:hAnsiTheme="minorHAnsi" w:cstheme="minorHAnsi"/>
                <w:b w:val="0"/>
                <w:bCs w:val="0"/>
                <w:sz w:val="20"/>
                <w:szCs w:val="20"/>
              </w:rPr>
              <w:t xml:space="preserve"> concentration</w:t>
            </w:r>
          </w:p>
        </w:tc>
        <w:tc>
          <w:tcPr>
            <w:tcW w:w="4536" w:type="dxa"/>
            <w:tcBorders>
              <w:bottom w:val="single" w:sz="4" w:space="0" w:color="auto"/>
            </w:tcBorders>
            <w:shd w:val="clear" w:color="auto" w:fill="F2F2F2" w:themeFill="background1" w:themeFillShade="F2"/>
            <w:tcMar>
              <w:top w:w="28" w:type="dxa"/>
              <w:left w:w="28" w:type="dxa"/>
              <w:bottom w:w="28" w:type="dxa"/>
              <w:right w:w="28" w:type="dxa"/>
            </w:tcMar>
            <w:vAlign w:val="center"/>
          </w:tcPr>
          <w:p w14:paraId="58908C5D" w14:textId="416F7A92" w:rsidR="00AA5FBD" w:rsidRDefault="00AA5FBD" w:rsidP="00AA5FB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Increased growth of crops and trees in response to </w:t>
            </w:r>
            <w:r w:rsidRPr="00AA5FBD">
              <w:rPr>
                <w:rFonts w:asciiTheme="minorHAnsi" w:hAnsiTheme="minorHAnsi" w:cstheme="minorHAnsi"/>
                <w:color w:val="000000" w:themeColor="text1"/>
                <w:sz w:val="20"/>
                <w:szCs w:val="20"/>
              </w:rPr>
              <w:t>increasing photosynthetic rates and water use efficiency</w:t>
            </w:r>
          </w:p>
        </w:tc>
        <w:tc>
          <w:tcPr>
            <w:tcW w:w="567" w:type="dxa"/>
            <w:tcBorders>
              <w:bottom w:val="single" w:sz="4" w:space="0" w:color="auto"/>
            </w:tcBorders>
            <w:shd w:val="clear" w:color="auto" w:fill="F2F2F2" w:themeFill="background1" w:themeFillShade="F2"/>
            <w:tcMar>
              <w:top w:w="28" w:type="dxa"/>
              <w:left w:w="28" w:type="dxa"/>
              <w:bottom w:w="28" w:type="dxa"/>
              <w:right w:w="28" w:type="dxa"/>
            </w:tcMar>
            <w:vAlign w:val="center"/>
          </w:tcPr>
          <w:p w14:paraId="3C65B4C3" w14:textId="77777777" w:rsidR="00AA5FBD" w:rsidRDefault="00AA5FBD" w:rsidP="00AA5F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568" w:type="dxa"/>
            <w:tcBorders>
              <w:bottom w:val="single" w:sz="4" w:space="0" w:color="auto"/>
            </w:tcBorders>
            <w:shd w:val="clear" w:color="auto" w:fill="F2F2F2" w:themeFill="background1" w:themeFillShade="F2"/>
            <w:tcMar>
              <w:top w:w="28" w:type="dxa"/>
              <w:left w:w="28" w:type="dxa"/>
              <w:bottom w:w="28" w:type="dxa"/>
              <w:right w:w="28" w:type="dxa"/>
            </w:tcMar>
            <w:vAlign w:val="center"/>
          </w:tcPr>
          <w:p w14:paraId="24D462AD" w14:textId="7BB617E7" w:rsidR="00AA5FBD" w:rsidRDefault="00AA5FBD" w:rsidP="00AA5F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r>
    </w:tbl>
    <w:p w14:paraId="24C5E29B" w14:textId="77777777" w:rsidR="006A4447" w:rsidRDefault="006A4447" w:rsidP="00A75AC4">
      <w:pPr>
        <w:pStyle w:val="BodyText"/>
      </w:pPr>
    </w:p>
    <w:p w14:paraId="58ADE8CD" w14:textId="27EDA8AD" w:rsidR="00A75AC4" w:rsidRDefault="006A4447" w:rsidP="00A75AC4">
      <w:pPr>
        <w:pStyle w:val="BodyText"/>
      </w:pPr>
      <w:r>
        <w:t>A</w:t>
      </w:r>
      <w:r w:rsidR="00A67383">
        <w:t>lthough increasing atmospheric CO</w:t>
      </w:r>
      <w:r w:rsidR="00A67383" w:rsidRPr="005F083E">
        <w:rPr>
          <w:vertAlign w:val="subscript"/>
        </w:rPr>
        <w:t>2</w:t>
      </w:r>
      <w:r w:rsidR="00A67383">
        <w:t xml:space="preserve"> concentration is </w:t>
      </w:r>
      <w:r w:rsidR="00292A0F">
        <w:t xml:space="preserve">the primary driver of </w:t>
      </w:r>
      <w:r w:rsidR="00A67383">
        <w:t>human-induced changes to the</w:t>
      </w:r>
      <w:r w:rsidR="00536E1B">
        <w:t xml:space="preserve"> primary and secondary climate variables, elevated atmospheric CO</w:t>
      </w:r>
      <w:r w:rsidR="00536E1B" w:rsidRPr="005F083E">
        <w:rPr>
          <w:vertAlign w:val="subscript"/>
        </w:rPr>
        <w:t>2</w:t>
      </w:r>
      <w:r w:rsidR="00536E1B">
        <w:t xml:space="preserve"> concentration </w:t>
      </w:r>
      <w:r w:rsidR="00EC6CD1">
        <w:t xml:space="preserve">may </w:t>
      </w:r>
      <w:r w:rsidR="00536E1B">
        <w:t>also directly impact</w:t>
      </w:r>
      <w:r w:rsidR="00EC6CD1">
        <w:t xml:space="preserve"> ERF sequestration projects. </w:t>
      </w:r>
      <w:r w:rsidR="00A75AC4">
        <w:t>Research has indicated there are direct effects of increasing atmospheric CO</w:t>
      </w:r>
      <w:r w:rsidR="00A75AC4" w:rsidRPr="005F083E">
        <w:rPr>
          <w:vertAlign w:val="subscript"/>
        </w:rPr>
        <w:t>2</w:t>
      </w:r>
      <w:r w:rsidR="00A75AC4">
        <w:t xml:space="preserve"> concentration on tree growth by increasing photosynthetic rates and water use efficiency (e.g. Curtis 1996; Nowak et al. 2004</w:t>
      </w:r>
      <w:r w:rsidR="00D96F94">
        <w:t>;</w:t>
      </w:r>
      <w:r w:rsidR="00A75AC4">
        <w:t xml:space="preserve"> Norby et al. 2005), and which have been implicated in the observed ‘greening’ of arid ecosystems across continental Australia (Donohue et al. 2013). Attributing the impacts of elevated atmospheric CO</w:t>
      </w:r>
      <w:r w:rsidR="00A75AC4" w:rsidRPr="004054D3">
        <w:rPr>
          <w:vertAlign w:val="subscript"/>
        </w:rPr>
        <w:t>2</w:t>
      </w:r>
      <w:r w:rsidR="00A75AC4">
        <w:t xml:space="preserve"> concentration on carbon storage (as opposed to productivity and growth) however remains uncertain, with many limiting factors (e.g. pests, weeds, soil nutrient limitations, water stress etc.) that need to be understood first (Korner et al. 2005; Ainsworth &amp; Long 2005; Tubiello &amp; Ewert 2002; Karonsky 2003; Fuhrer 2003). For example, Jiang et al. (2020) detected no change in ecosystem-level carbon storage after four years of exposure to elevated CO</w:t>
      </w:r>
      <w:r w:rsidR="00A75AC4" w:rsidRPr="005F083E">
        <w:rPr>
          <w:vertAlign w:val="subscript"/>
        </w:rPr>
        <w:t>2</w:t>
      </w:r>
      <w:r w:rsidR="00A75AC4">
        <w:t xml:space="preserve"> concentration in an Australian </w:t>
      </w:r>
      <w:r w:rsidR="00A75AC4" w:rsidRPr="00D71D18">
        <w:t>Eucalyptus</w:t>
      </w:r>
      <w:r w:rsidR="00A75AC4">
        <w:rPr>
          <w:i/>
          <w:iCs/>
        </w:rPr>
        <w:t xml:space="preserve"> </w:t>
      </w:r>
      <w:r w:rsidR="00A75AC4">
        <w:t>woodland, despite a 12% increase in gross primary productivity over the same period. Despite this uncertainty, the potential effects of increasing CO</w:t>
      </w:r>
      <w:r w:rsidR="00A75AC4" w:rsidRPr="004054D3">
        <w:rPr>
          <w:vertAlign w:val="subscript"/>
        </w:rPr>
        <w:t>2</w:t>
      </w:r>
      <w:r w:rsidR="00A75AC4">
        <w:t xml:space="preserve"> concentration on carbon storage are also included as part of the broader discussion of climate impacts.</w:t>
      </w:r>
    </w:p>
    <w:p w14:paraId="14BC6451" w14:textId="5F75F0CA" w:rsidR="00EC6CD1" w:rsidRDefault="005E2F4E" w:rsidP="00EC6CD1">
      <w:pPr>
        <w:pStyle w:val="BodyText"/>
      </w:pPr>
      <w:r>
        <w:t>Elevated atmospheric CO</w:t>
      </w:r>
      <w:r w:rsidRPr="005F083E">
        <w:rPr>
          <w:vertAlign w:val="subscript"/>
        </w:rPr>
        <w:t>2</w:t>
      </w:r>
      <w:r>
        <w:t xml:space="preserve"> concentration </w:t>
      </w:r>
      <w:r w:rsidR="00C63374">
        <w:t>is</w:t>
      </w:r>
      <w:r w:rsidR="00380BCB">
        <w:t xml:space="preserve"> not considered in this study when assessing and ranking the risks of ERF sequestration projects to climate change</w:t>
      </w:r>
      <w:r w:rsidR="002265D4">
        <w:t xml:space="preserve"> given the high uncertainty associated with this impact</w:t>
      </w:r>
      <w:r w:rsidR="004D3175">
        <w:t xml:space="preserve">, and how it could potentially interact with </w:t>
      </w:r>
      <w:r w:rsidR="007A6017">
        <w:t>other factors such as disturbance regimes</w:t>
      </w:r>
      <w:r w:rsidR="002265D4">
        <w:t xml:space="preserve">. However, other indirect impact of climate change </w:t>
      </w:r>
      <w:r w:rsidR="006D2E63">
        <w:t>w</w:t>
      </w:r>
      <w:r w:rsidR="007A6017">
        <w:t>ere</w:t>
      </w:r>
      <w:r w:rsidR="006D2E63">
        <w:t xml:space="preserve"> assumed to be of high importance to consider </w:t>
      </w:r>
      <w:r w:rsidR="002265D4">
        <w:t>here</w:t>
      </w:r>
      <w:r w:rsidR="006D2E63">
        <w:t xml:space="preserve">. These included the </w:t>
      </w:r>
      <w:r w:rsidR="002265D4">
        <w:t>climate change induced changes in the prevalence and distribution of weeds, pests and diseases. Hence, based on th</w:t>
      </w:r>
      <w:r w:rsidR="006D2E63">
        <w:t xml:space="preserve">ese assumptions </w:t>
      </w:r>
      <w:r w:rsidR="002265D4">
        <w:t xml:space="preserve">and the </w:t>
      </w:r>
      <w:r w:rsidR="00EC6CD1">
        <w:t xml:space="preserve">list of climate variables in Table 6, the climate change impacts </w:t>
      </w:r>
      <w:r w:rsidR="006A4447">
        <w:t xml:space="preserve">assessed and ranked in this study were grouped as shown below: </w:t>
      </w:r>
      <w:r w:rsidR="00EC6CD1">
        <w:t xml:space="preserve"> </w:t>
      </w:r>
    </w:p>
    <w:p w14:paraId="5E1580B1" w14:textId="77777777" w:rsidR="006A4447" w:rsidRPr="008D11AD" w:rsidRDefault="006A4447" w:rsidP="006A4447">
      <w:pPr>
        <w:pStyle w:val="BodyText"/>
        <w:rPr>
          <w:b/>
          <w:bCs/>
        </w:rPr>
      </w:pPr>
      <w:r w:rsidRPr="008D11AD">
        <w:rPr>
          <w:b/>
          <w:bCs/>
        </w:rPr>
        <w:lastRenderedPageBreak/>
        <w:t>Direct impacts via primary climate change variables</w:t>
      </w:r>
    </w:p>
    <w:p w14:paraId="65C0AAF4" w14:textId="77777777" w:rsidR="00CA4FF1" w:rsidRDefault="006A4447" w:rsidP="006A4447">
      <w:pPr>
        <w:pStyle w:val="BodyText"/>
        <w:numPr>
          <w:ilvl w:val="0"/>
          <w:numId w:val="29"/>
        </w:numPr>
      </w:pPr>
      <w:r>
        <w:t>Heat-stress limiting plant growth and increasing mortality rates</w:t>
      </w:r>
    </w:p>
    <w:p w14:paraId="62899199" w14:textId="6C00621C" w:rsidR="006A4447" w:rsidRDefault="006A4447" w:rsidP="008D11AD">
      <w:pPr>
        <w:pStyle w:val="BodyText"/>
        <w:numPr>
          <w:ilvl w:val="0"/>
          <w:numId w:val="29"/>
        </w:numPr>
      </w:pPr>
      <w:r>
        <w:t>Reduced soil water availability, leading to reduced crop and tree growth and greater potential for plant stress.</w:t>
      </w:r>
    </w:p>
    <w:p w14:paraId="6C507DA6" w14:textId="77777777" w:rsidR="006A4447" w:rsidRDefault="006A4447" w:rsidP="006A4447">
      <w:pPr>
        <w:pStyle w:val="BodyText"/>
        <w:numPr>
          <w:ilvl w:val="0"/>
          <w:numId w:val="29"/>
        </w:numPr>
      </w:pPr>
      <w:r>
        <w:t>Persistent increase in temperature, exceeding species climate envelope for optimal growth</w:t>
      </w:r>
    </w:p>
    <w:p w14:paraId="63040993" w14:textId="77777777" w:rsidR="006A4447" w:rsidRDefault="006A4447" w:rsidP="008D11AD">
      <w:pPr>
        <w:pStyle w:val="BodyText"/>
        <w:numPr>
          <w:ilvl w:val="0"/>
          <w:numId w:val="29"/>
        </w:numPr>
      </w:pPr>
      <w:r>
        <w:t>Changes in timing/occurrence of suitable conditions for tree and crop establishment</w:t>
      </w:r>
    </w:p>
    <w:p w14:paraId="2CF02E7C" w14:textId="77777777" w:rsidR="006A4447" w:rsidRDefault="006A4447" w:rsidP="008D11AD">
      <w:pPr>
        <w:pStyle w:val="BodyText"/>
        <w:numPr>
          <w:ilvl w:val="0"/>
          <w:numId w:val="29"/>
        </w:numPr>
      </w:pPr>
      <w:r>
        <w:t>Increased frost damage associated with increased dryness / reduced opportunities for frost hardening.</w:t>
      </w:r>
    </w:p>
    <w:p w14:paraId="15341BF9" w14:textId="77777777" w:rsidR="006A4447" w:rsidRDefault="006A4447" w:rsidP="008D11AD">
      <w:pPr>
        <w:pStyle w:val="BodyText"/>
        <w:numPr>
          <w:ilvl w:val="0"/>
          <w:numId w:val="29"/>
        </w:numPr>
      </w:pPr>
      <w:r>
        <w:t>Decreased frost days with implications for increased seed dormancy and reduced germination rates</w:t>
      </w:r>
    </w:p>
    <w:p w14:paraId="0B21D988" w14:textId="77777777" w:rsidR="006A4447" w:rsidRDefault="006A4447" w:rsidP="008D11AD">
      <w:pPr>
        <w:pStyle w:val="BodyText"/>
        <w:numPr>
          <w:ilvl w:val="0"/>
          <w:numId w:val="29"/>
        </w:numPr>
      </w:pPr>
      <w:r>
        <w:t>Changes to soil respiration and soil microbial processes</w:t>
      </w:r>
    </w:p>
    <w:p w14:paraId="7FA303E7" w14:textId="77777777" w:rsidR="006A4447" w:rsidRDefault="006A4447" w:rsidP="008D11AD">
      <w:pPr>
        <w:pStyle w:val="BodyText"/>
        <w:numPr>
          <w:ilvl w:val="0"/>
          <w:numId w:val="29"/>
        </w:numPr>
      </w:pPr>
      <w:r>
        <w:t xml:space="preserve">Changes to timing/seasonality of crop growth </w:t>
      </w:r>
    </w:p>
    <w:p w14:paraId="5779B54A" w14:textId="77777777" w:rsidR="006A4447" w:rsidRDefault="006A4447" w:rsidP="008D11AD">
      <w:pPr>
        <w:pStyle w:val="BodyText"/>
        <w:numPr>
          <w:ilvl w:val="0"/>
          <w:numId w:val="29"/>
        </w:numPr>
      </w:pPr>
      <w:r>
        <w:t>Increased flooding, with implications for establishing crops and trees in terms of growth and survival, and greater susceptibility to some pests and diseases</w:t>
      </w:r>
    </w:p>
    <w:p w14:paraId="732CC008" w14:textId="77777777" w:rsidR="006A4447" w:rsidRDefault="006A4447" w:rsidP="008D11AD">
      <w:pPr>
        <w:pStyle w:val="BodyText"/>
        <w:numPr>
          <w:ilvl w:val="0"/>
          <w:numId w:val="29"/>
        </w:numPr>
      </w:pPr>
      <w:r>
        <w:t xml:space="preserve">Flood-related soil erosion and deposition </w:t>
      </w:r>
    </w:p>
    <w:p w14:paraId="3FB1AD52" w14:textId="77777777" w:rsidR="006A4447" w:rsidRDefault="006A4447" w:rsidP="008D11AD">
      <w:pPr>
        <w:pStyle w:val="BodyText"/>
        <w:numPr>
          <w:ilvl w:val="0"/>
          <w:numId w:val="29"/>
        </w:numPr>
      </w:pPr>
      <w:r>
        <w:t xml:space="preserve">Mechanical damage from wind and storms </w:t>
      </w:r>
    </w:p>
    <w:p w14:paraId="6F39EF19" w14:textId="77777777" w:rsidR="006A4447" w:rsidRDefault="006A4447" w:rsidP="008D11AD">
      <w:pPr>
        <w:pStyle w:val="BodyText"/>
        <w:numPr>
          <w:ilvl w:val="0"/>
          <w:numId w:val="29"/>
        </w:numPr>
      </w:pPr>
      <w:r>
        <w:t>Coastal storm surges with implications for blue carbon stability</w:t>
      </w:r>
    </w:p>
    <w:p w14:paraId="7E03258F" w14:textId="27C8CBDC" w:rsidR="00CA4FF1" w:rsidRPr="00CA6C33" w:rsidRDefault="00CA4FF1" w:rsidP="008D11AD">
      <w:pPr>
        <w:pStyle w:val="BodyText"/>
        <w:rPr>
          <w:b/>
          <w:bCs/>
        </w:rPr>
      </w:pPr>
      <w:r w:rsidRPr="00CA6C33">
        <w:rPr>
          <w:b/>
          <w:bCs/>
        </w:rPr>
        <w:t xml:space="preserve">Direct impacts via </w:t>
      </w:r>
      <w:r>
        <w:rPr>
          <w:b/>
          <w:bCs/>
        </w:rPr>
        <w:t>secondar</w:t>
      </w:r>
      <w:r w:rsidR="00EF6AF5">
        <w:rPr>
          <w:b/>
          <w:bCs/>
        </w:rPr>
        <w:t>y</w:t>
      </w:r>
      <w:r w:rsidRPr="00CA6C33">
        <w:rPr>
          <w:b/>
          <w:bCs/>
        </w:rPr>
        <w:t xml:space="preserve"> climate change variables</w:t>
      </w:r>
    </w:p>
    <w:p w14:paraId="5E10DF8A" w14:textId="77777777" w:rsidR="006A4447" w:rsidRDefault="006A4447" w:rsidP="008D11AD">
      <w:pPr>
        <w:pStyle w:val="BodyText"/>
        <w:numPr>
          <w:ilvl w:val="0"/>
          <w:numId w:val="29"/>
        </w:numPr>
      </w:pPr>
      <w:r>
        <w:t>Sea level change, with implications for blue carbon stability</w:t>
      </w:r>
    </w:p>
    <w:p w14:paraId="485CA918" w14:textId="77777777" w:rsidR="006A4447" w:rsidRDefault="006A4447" w:rsidP="008D11AD">
      <w:pPr>
        <w:pStyle w:val="BodyText"/>
        <w:numPr>
          <w:ilvl w:val="0"/>
          <w:numId w:val="29"/>
        </w:numPr>
      </w:pPr>
      <w:r>
        <w:t>Drought-induced plant mortality, with possibility of recruitment failure.</w:t>
      </w:r>
    </w:p>
    <w:p w14:paraId="25CFD024" w14:textId="77777777" w:rsidR="006A4447" w:rsidRDefault="006A4447" w:rsidP="008D11AD">
      <w:pPr>
        <w:pStyle w:val="BodyText"/>
        <w:numPr>
          <w:ilvl w:val="0"/>
          <w:numId w:val="29"/>
        </w:numPr>
      </w:pPr>
      <w:r>
        <w:t>Increased fire danger weather; Decreased landscape moisture content, with implications for fire risk</w:t>
      </w:r>
    </w:p>
    <w:p w14:paraId="3070C76D" w14:textId="77777777" w:rsidR="006A4447" w:rsidRPr="008D11AD" w:rsidRDefault="006A4447" w:rsidP="006A4447">
      <w:pPr>
        <w:pStyle w:val="BodyText"/>
        <w:rPr>
          <w:b/>
          <w:bCs/>
        </w:rPr>
      </w:pPr>
      <w:r w:rsidRPr="008D11AD">
        <w:rPr>
          <w:b/>
          <w:bCs/>
        </w:rPr>
        <w:t>Indirect impacts via climate change impacts on weeds, pests and diseases</w:t>
      </w:r>
    </w:p>
    <w:p w14:paraId="719F6BF9" w14:textId="77777777" w:rsidR="006A4447" w:rsidRDefault="006A4447" w:rsidP="008D11AD">
      <w:pPr>
        <w:pStyle w:val="BodyText"/>
        <w:numPr>
          <w:ilvl w:val="0"/>
          <w:numId w:val="30"/>
        </w:numPr>
      </w:pPr>
      <w:r>
        <w:t>Increase in invasive weeds</w:t>
      </w:r>
    </w:p>
    <w:p w14:paraId="2FEA89FD" w14:textId="77777777" w:rsidR="006A4447" w:rsidRDefault="006A4447" w:rsidP="008D11AD">
      <w:pPr>
        <w:pStyle w:val="BodyText"/>
        <w:numPr>
          <w:ilvl w:val="0"/>
          <w:numId w:val="30"/>
        </w:numPr>
      </w:pPr>
      <w:r>
        <w:t>Increase in browsing by feral animals</w:t>
      </w:r>
    </w:p>
    <w:p w14:paraId="2C9D0EDB" w14:textId="02CE5FD0" w:rsidR="00EC6CD1" w:rsidRDefault="006A4447" w:rsidP="008D11AD">
      <w:pPr>
        <w:pStyle w:val="BodyText"/>
        <w:numPr>
          <w:ilvl w:val="0"/>
          <w:numId w:val="30"/>
        </w:numPr>
      </w:pPr>
      <w:r>
        <w:t>Extended range of pests/diseases; Increased over-wintering resulting in faster build-up in the growing season</w:t>
      </w:r>
    </w:p>
    <w:p w14:paraId="3EB4404D" w14:textId="77777777" w:rsidR="006A4447" w:rsidRDefault="006A4447" w:rsidP="006A4447">
      <w:pPr>
        <w:pStyle w:val="BodyText"/>
      </w:pPr>
    </w:p>
    <w:p w14:paraId="50D6A8AC" w14:textId="5F6F4EDD" w:rsidR="00961839" w:rsidRDefault="00025973" w:rsidP="00025973">
      <w:pPr>
        <w:pStyle w:val="BodyText"/>
      </w:pPr>
      <w:r>
        <w:t xml:space="preserve">The primary source of information for </w:t>
      </w:r>
      <w:r w:rsidR="00A858F2">
        <w:t xml:space="preserve">quantifying changes in the </w:t>
      </w:r>
      <w:r w:rsidR="006C0018">
        <w:t xml:space="preserve">climate impact drivers </w:t>
      </w:r>
      <w:r>
        <w:t xml:space="preserve">are the outputs from Global Circulation Models (GCMs, </w:t>
      </w:r>
      <w:r w:rsidRPr="008751CD">
        <w:t>Whetton &amp; Holper 2015</w:t>
      </w:r>
      <w:r>
        <w:t xml:space="preserve">). The current suite of climate change projections across approximately 40 models has been summarised </w:t>
      </w:r>
      <w:r w:rsidR="006C0018">
        <w:t>for each regional sub-cluster</w:t>
      </w:r>
      <w:r>
        <w:t xml:space="preserve"> (Figure </w:t>
      </w:r>
      <w:r w:rsidR="00854964">
        <w:t>3</w:t>
      </w:r>
      <w:r>
        <w:t>) and made available via a web-based data portal</w:t>
      </w:r>
      <w:r>
        <w:rPr>
          <w:rStyle w:val="FootnoteReference"/>
        </w:rPr>
        <w:footnoteReference w:id="8"/>
      </w:r>
      <w:r>
        <w:t xml:space="preserve">. There are, however, a number of caveats regarding the use and interpretation of this information when </w:t>
      </w:r>
      <w:r>
        <w:lastRenderedPageBreak/>
        <w:t>applied at sub-continental scales. First</w:t>
      </w:r>
      <w:r w:rsidR="005F179D">
        <w:t xml:space="preserve"> is the low horizontal spatial resolution of GCM model outputs, as described in Section </w:t>
      </w:r>
      <w:r w:rsidR="005C208E">
        <w:t>2.2.</w:t>
      </w:r>
      <w:r>
        <w:t xml:space="preserve"> A second caveat is the often </w:t>
      </w:r>
      <w:r w:rsidR="0085090B">
        <w:t xml:space="preserve">large </w:t>
      </w:r>
      <w:r>
        <w:t>variability in the overall predictions between different GCMs, especially for rainfall and rainfall-related phenomenon such as drought occurrence (</w:t>
      </w:r>
      <w:r w:rsidRPr="00515ABD">
        <w:t>Kirono</w:t>
      </w:r>
      <w:r>
        <w:t xml:space="preserve"> et al. 2011), where model projections can differ both in magnitude and direction. Because rainfall is a key driver of carbon sequestration projects that involve managing vegetation or soils, this means discussion of the risk factors associated with many ERF activities have a high embedded level of uncertainty</w:t>
      </w:r>
      <w:r w:rsidR="005C208E">
        <w:t xml:space="preserve">, reflected in the </w:t>
      </w:r>
      <w:r w:rsidR="009E2B81">
        <w:t xml:space="preserve">assigned </w:t>
      </w:r>
      <w:r w:rsidR="005C208E">
        <w:t>confidence ratings</w:t>
      </w:r>
      <w:r w:rsidR="009E2B81">
        <w:t xml:space="preserve"> (</w:t>
      </w:r>
      <w:r w:rsidR="009E2B81">
        <w:fldChar w:fldCharType="begin"/>
      </w:r>
      <w:r w:rsidR="009E2B81">
        <w:instrText xml:space="preserve"> REF _Ref46169254 \h </w:instrText>
      </w:r>
      <w:r w:rsidR="009E2B81">
        <w:fldChar w:fldCharType="separate"/>
      </w:r>
      <w:r w:rsidR="00235F13">
        <w:t xml:space="preserve">Table </w:t>
      </w:r>
      <w:r w:rsidR="00235F13">
        <w:rPr>
          <w:noProof/>
        </w:rPr>
        <w:t>5</w:t>
      </w:r>
      <w:r w:rsidR="009E2B81">
        <w:fldChar w:fldCharType="end"/>
      </w:r>
      <w:r w:rsidR="009E2B81">
        <w:t>)</w:t>
      </w:r>
      <w:r>
        <w:t xml:space="preserve">. Finally, climate projection results are typically summarised over 20-year timeframes to remove the vagaries of [modelled] annual variability. </w:t>
      </w:r>
    </w:p>
    <w:p w14:paraId="37F552FE" w14:textId="499140B2" w:rsidR="00025973" w:rsidRDefault="00961839" w:rsidP="00025973">
      <w:pPr>
        <w:pStyle w:val="BodyText"/>
      </w:pPr>
      <w:r>
        <w:t xml:space="preserve">To satisfy the </w:t>
      </w:r>
      <w:r w:rsidR="00BB7DE0">
        <w:t xml:space="preserve">requirements for this study, </w:t>
      </w:r>
      <w:r w:rsidR="00025973">
        <w:t>results for the period</w:t>
      </w:r>
      <w:r w:rsidR="005A63B6">
        <w:t>s</w:t>
      </w:r>
      <w:r w:rsidR="00025973">
        <w:t xml:space="preserve"> 2040-2059</w:t>
      </w:r>
      <w:r w:rsidR="005A63B6">
        <w:t xml:space="preserve"> and </w:t>
      </w:r>
      <w:r w:rsidR="00FD042B">
        <w:t>2080-2099</w:t>
      </w:r>
      <w:r w:rsidR="00025973">
        <w:t>, centred on 2050</w:t>
      </w:r>
      <w:r w:rsidR="00C26F33">
        <w:t xml:space="preserve"> </w:t>
      </w:r>
      <w:r w:rsidR="00FD042B">
        <w:t xml:space="preserve">and 2090 respectively, </w:t>
      </w:r>
      <w:r w:rsidR="00C26F33">
        <w:t xml:space="preserve">were extracted from the </w:t>
      </w:r>
      <w:r w:rsidR="00C26F33">
        <w:rPr>
          <w:i/>
          <w:iCs/>
        </w:rPr>
        <w:t xml:space="preserve">Climate Change in Australia synthesis </w:t>
      </w:r>
      <w:r w:rsidR="00C26F33">
        <w:t>database</w:t>
      </w:r>
      <w:r w:rsidR="00025973">
        <w:t xml:space="preserve">, </w:t>
      </w:r>
      <w:r w:rsidR="004F6377">
        <w:t>with the 2050 projections</w:t>
      </w:r>
      <w:r w:rsidR="00025973">
        <w:t xml:space="preserve"> being consistent with the 25-year crediting period of </w:t>
      </w:r>
      <w:r w:rsidR="00854964">
        <w:t xml:space="preserve">the majority of </w:t>
      </w:r>
      <w:r w:rsidR="00025973">
        <w:t xml:space="preserve">the ERF methods in Table 1. </w:t>
      </w:r>
      <w:r w:rsidR="001F66B7">
        <w:t xml:space="preserve">Downloaded data included </w:t>
      </w:r>
      <w:r w:rsidR="00356EE4">
        <w:t xml:space="preserve">projections for the </w:t>
      </w:r>
      <w:r w:rsidR="00B03A96">
        <w:t xml:space="preserve">two </w:t>
      </w:r>
      <w:r w:rsidR="00025973">
        <w:t>Representative Concentration Pathways (RCPs)</w:t>
      </w:r>
      <w:r w:rsidR="00B03A96">
        <w:t xml:space="preserve"> of interest</w:t>
      </w:r>
      <w:r w:rsidR="001F66B7">
        <w:t>, R</w:t>
      </w:r>
      <w:r w:rsidR="00025973">
        <w:t>CP4.5</w:t>
      </w:r>
      <w:r w:rsidR="001F66B7">
        <w:t xml:space="preserve"> and </w:t>
      </w:r>
      <w:r w:rsidR="00025973">
        <w:t xml:space="preserve">RCP8.5 </w:t>
      </w:r>
      <w:r w:rsidR="001F66B7">
        <w:t>(Section 1)</w:t>
      </w:r>
      <w:r w:rsidR="00B15AD2">
        <w:t>.</w:t>
      </w:r>
    </w:p>
    <w:p w14:paraId="61DEB268" w14:textId="4FCFBEB3" w:rsidR="00E365C1" w:rsidRDefault="00F3282D" w:rsidP="00FA11D2">
      <w:pPr>
        <w:pStyle w:val="BodyText"/>
      </w:pPr>
      <w:r>
        <w:t>Using the primary and secondary climate change variables listed in Table 6, 2</w:t>
      </w:r>
      <w:r w:rsidR="00DE4A6A">
        <w:t>1</w:t>
      </w:r>
      <w:r w:rsidR="00B15AD2">
        <w:t xml:space="preserve"> climate data products were </w:t>
      </w:r>
      <w:r w:rsidR="006D04A4">
        <w:t xml:space="preserve">obtained to provide a basis for </w:t>
      </w:r>
      <w:r w:rsidR="00375DD0">
        <w:t xml:space="preserve">obtaining </w:t>
      </w:r>
      <w:r w:rsidR="006D04A4">
        <w:t xml:space="preserve">the </w:t>
      </w:r>
      <w:r w:rsidR="0083019E">
        <w:t xml:space="preserve">likelihood component of the </w:t>
      </w:r>
      <w:r w:rsidR="006D04A4">
        <w:t>risk assessment</w:t>
      </w:r>
      <w:r w:rsidR="00B03A96">
        <w:t xml:space="preserve"> (</w:t>
      </w:r>
      <w:r w:rsidR="00FA11D2">
        <w:t>Table 7</w:t>
      </w:r>
      <w:r w:rsidR="00B03A96">
        <w:t>)</w:t>
      </w:r>
      <w:r w:rsidR="006D04A4">
        <w:t xml:space="preserve">. </w:t>
      </w:r>
      <w:r w:rsidR="00A81D39">
        <w:t xml:space="preserve">A graphical summary of each </w:t>
      </w:r>
      <w:r w:rsidR="00375DD0">
        <w:t xml:space="preserve">of the 21 </w:t>
      </w:r>
      <w:r w:rsidR="00A81D39">
        <w:t>variable</w:t>
      </w:r>
      <w:r w:rsidR="00375DD0">
        <w:t>s</w:t>
      </w:r>
      <w:r w:rsidR="00A81D39">
        <w:t>, for each NRM sub-</w:t>
      </w:r>
      <w:r w:rsidR="000D7362">
        <w:t>cl</w:t>
      </w:r>
      <w:r w:rsidR="00A81D39">
        <w:t>uster</w:t>
      </w:r>
      <w:r w:rsidR="00861BAB">
        <w:t>, is provided in Appendix B</w:t>
      </w:r>
      <w:r w:rsidR="003E6903">
        <w:t xml:space="preserve">. </w:t>
      </w:r>
      <w:r w:rsidR="00E365C1">
        <w:t>The 21 variables span changes in average climate conditions across a range of climate variables</w:t>
      </w:r>
      <w:r w:rsidR="00ED2B82">
        <w:t>, changes in extreme values, and changes in the two main climate-related disturbances</w:t>
      </w:r>
      <w:r w:rsidR="009F1545">
        <w:t>; drought and fire.</w:t>
      </w:r>
    </w:p>
    <w:p w14:paraId="597DA247" w14:textId="565FE75D" w:rsidR="00025973" w:rsidRDefault="00025973" w:rsidP="00025973">
      <w:pPr>
        <w:pStyle w:val="BodyText"/>
      </w:pPr>
      <w:r>
        <w:t xml:space="preserve">The overall approach for the risk assessment </w:t>
      </w:r>
      <w:r w:rsidR="001506B3">
        <w:t xml:space="preserve">was to </w:t>
      </w:r>
      <w:r>
        <w:t>combine two broad sources of information:</w:t>
      </w:r>
    </w:p>
    <w:p w14:paraId="43C76CFD" w14:textId="73FAD73F" w:rsidR="00025973" w:rsidRDefault="00FA11D2" w:rsidP="009250B8">
      <w:pPr>
        <w:pStyle w:val="BodyText"/>
        <w:numPr>
          <w:ilvl w:val="0"/>
          <w:numId w:val="21"/>
        </w:numPr>
        <w:ind w:left="1134" w:hanging="425"/>
      </w:pPr>
      <w:r w:rsidRPr="00FA11D2">
        <w:t>the numerical results across the 21 factors in Table 7</w:t>
      </w:r>
      <w:r w:rsidR="00025973">
        <w:t xml:space="preserve">, together with the information embedded within the consensus summaries provided </w:t>
      </w:r>
      <w:r w:rsidR="00B30B6E">
        <w:t xml:space="preserve">for each sub-cluster </w:t>
      </w:r>
      <w:r w:rsidR="00025973">
        <w:t xml:space="preserve">in Appendix </w:t>
      </w:r>
      <w:r w:rsidR="00B30B6E">
        <w:t>C</w:t>
      </w:r>
      <w:r w:rsidR="00025973">
        <w:t>, and associated published literature, to provide insight to the magnitude and direction of expected changes in the climate factors for each zone</w:t>
      </w:r>
      <w:r w:rsidR="001B6C8A">
        <w:t>, to inform the likelihood status (and confidence in) of each projection</w:t>
      </w:r>
      <w:r w:rsidR="00AE4381">
        <w:t>; and</w:t>
      </w:r>
    </w:p>
    <w:p w14:paraId="54ACEEAA" w14:textId="77777777" w:rsidR="00025973" w:rsidRDefault="00025973" w:rsidP="009250B8">
      <w:pPr>
        <w:pStyle w:val="BodyText"/>
        <w:numPr>
          <w:ilvl w:val="0"/>
          <w:numId w:val="21"/>
        </w:numPr>
        <w:ind w:left="1134" w:hanging="425"/>
      </w:pPr>
      <w:r>
        <w:t>Information from the published literature to inform the consequences of these factors and their possible future changes on the range of activities embedded within the current suite of land-based ERF sequestration activities, with a particular focus on risks to sequestration in new projects, and risks to the maintenance of carbon in existing projects.</w:t>
      </w:r>
    </w:p>
    <w:p w14:paraId="094CD7E9" w14:textId="0399F0BE" w:rsidR="00025973" w:rsidRDefault="00025973" w:rsidP="00025973">
      <w:pPr>
        <w:pStyle w:val="BodyText"/>
      </w:pPr>
      <w:r>
        <w:t>The final assessment of risk for each activity/methodology across the NRM sub</w:t>
      </w:r>
      <w:r w:rsidR="004F6377">
        <w:t>-</w:t>
      </w:r>
      <w:r>
        <w:t xml:space="preserve">cluster zones </w:t>
      </w:r>
      <w:r w:rsidR="00AE4381">
        <w:t xml:space="preserve">is </w:t>
      </w:r>
      <w:r>
        <w:t xml:space="preserve"> therefore based on a ‘multiple lines of evidence’ approach, with the intention of categorising overall risks as low, medium</w:t>
      </w:r>
      <w:r w:rsidR="00AE4381">
        <w:t xml:space="preserve">, </w:t>
      </w:r>
      <w:r>
        <w:t xml:space="preserve">high, </w:t>
      </w:r>
      <w:r w:rsidR="00AE4381">
        <w:t xml:space="preserve">or extreme </w:t>
      </w:r>
      <w:r w:rsidR="00F52BA7">
        <w:t>(</w:t>
      </w:r>
      <w:r w:rsidR="00F52BA7">
        <w:fldChar w:fldCharType="begin"/>
      </w:r>
      <w:r w:rsidR="00F52BA7">
        <w:instrText xml:space="preserve"> REF _Ref46090374 \h </w:instrText>
      </w:r>
      <w:r w:rsidR="00F52BA7">
        <w:fldChar w:fldCharType="separate"/>
      </w:r>
      <w:r w:rsidR="00235F13">
        <w:t xml:space="preserve">Table </w:t>
      </w:r>
      <w:r w:rsidR="00235F13">
        <w:rPr>
          <w:noProof/>
        </w:rPr>
        <w:t>4</w:t>
      </w:r>
      <w:r w:rsidR="00F52BA7">
        <w:fldChar w:fldCharType="end"/>
      </w:r>
      <w:r w:rsidR="00F52BA7">
        <w:t xml:space="preserve">), </w:t>
      </w:r>
      <w:r>
        <w:t xml:space="preserve">together with a statement of uncertainty </w:t>
      </w:r>
      <w:r w:rsidR="00F52BA7">
        <w:t>for</w:t>
      </w:r>
      <w:r>
        <w:t xml:space="preserve"> each classification.</w:t>
      </w:r>
    </w:p>
    <w:p w14:paraId="33CA7451" w14:textId="77777777" w:rsidR="00854964" w:rsidRDefault="00854964">
      <w:pPr>
        <w:rPr>
          <w:rFonts w:ascii="Calibri" w:eastAsia="Calibri" w:hAnsi="Calibri"/>
          <w:b/>
          <w:bCs/>
          <w:color w:val="007E9A" w:themeColor="accent1" w:themeShade="BF"/>
          <w:sz w:val="20"/>
          <w:szCs w:val="18"/>
        </w:rPr>
      </w:pPr>
      <w:bookmarkStart w:id="44" w:name="_Ref46175778"/>
      <w:r>
        <w:br w:type="page"/>
      </w:r>
    </w:p>
    <w:p w14:paraId="66C22316" w14:textId="02DD618D" w:rsidR="00025973" w:rsidRPr="008B36AD" w:rsidRDefault="00025973" w:rsidP="00025973">
      <w:pPr>
        <w:pStyle w:val="Caption"/>
        <w:spacing w:after="60"/>
        <w:rPr>
          <w:color w:val="FFFFFF" w:themeColor="background1"/>
        </w:rPr>
      </w:pPr>
      <w:bookmarkStart w:id="45" w:name="_Toc52971062"/>
      <w:r>
        <w:lastRenderedPageBreak/>
        <w:t xml:space="preserve">Table </w:t>
      </w:r>
      <w:r>
        <w:fldChar w:fldCharType="begin"/>
      </w:r>
      <w:r>
        <w:instrText>SEQ Table \* ARABIC</w:instrText>
      </w:r>
      <w:r>
        <w:fldChar w:fldCharType="separate"/>
      </w:r>
      <w:r w:rsidR="00235F13">
        <w:rPr>
          <w:noProof/>
        </w:rPr>
        <w:t>7</w:t>
      </w:r>
      <w:r>
        <w:fldChar w:fldCharType="end"/>
      </w:r>
      <w:bookmarkEnd w:id="44"/>
      <w:r w:rsidRPr="0021349E">
        <w:rPr>
          <w:b w:val="0"/>
          <w:bCs w:val="0"/>
        </w:rPr>
        <w:t>.</w:t>
      </w:r>
      <w:r>
        <w:rPr>
          <w:b w:val="0"/>
          <w:bCs w:val="0"/>
        </w:rPr>
        <w:t xml:space="preserve"> Climate</w:t>
      </w:r>
      <w:r w:rsidR="0075779F">
        <w:rPr>
          <w:b w:val="0"/>
          <w:bCs w:val="0"/>
        </w:rPr>
        <w:t xml:space="preserve"> Indicators</w:t>
      </w:r>
      <w:r>
        <w:rPr>
          <w:b w:val="0"/>
          <w:bCs w:val="0"/>
        </w:rPr>
        <w:t xml:space="preserve"> for which quantitative changes (</w:t>
      </w:r>
      <w:r w:rsidR="00A05C7B">
        <w:rPr>
          <w:b w:val="0"/>
          <w:bCs w:val="0"/>
        </w:rPr>
        <w:t>for year</w:t>
      </w:r>
      <w:r w:rsidR="00817FF2">
        <w:rPr>
          <w:b w:val="0"/>
          <w:bCs w:val="0"/>
        </w:rPr>
        <w:t>s</w:t>
      </w:r>
      <w:r w:rsidR="00A05C7B">
        <w:rPr>
          <w:b w:val="0"/>
          <w:bCs w:val="0"/>
        </w:rPr>
        <w:t xml:space="preserve"> 2050 </w:t>
      </w:r>
      <w:r w:rsidR="00817FF2">
        <w:rPr>
          <w:b w:val="0"/>
          <w:bCs w:val="0"/>
        </w:rPr>
        <w:t xml:space="preserve">and 2090 </w:t>
      </w:r>
      <w:r>
        <w:rPr>
          <w:b w:val="0"/>
          <w:bCs w:val="0"/>
        </w:rPr>
        <w:t>relative to the baseline years 1986-2005) were available for each NRM sub cluster zone</w:t>
      </w:r>
      <w:r w:rsidRPr="003F4218">
        <w:t>.</w:t>
      </w:r>
      <w:bookmarkEnd w:id="45"/>
    </w:p>
    <w:tbl>
      <w:tblPr>
        <w:tblStyle w:val="TableCSIRO"/>
        <w:tblW w:w="9952" w:type="dxa"/>
        <w:tblLook w:val="04A0" w:firstRow="1" w:lastRow="0" w:firstColumn="1" w:lastColumn="0" w:noHBand="0" w:noVBand="1"/>
      </w:tblPr>
      <w:tblGrid>
        <w:gridCol w:w="5234"/>
        <w:gridCol w:w="1389"/>
        <w:gridCol w:w="3329"/>
      </w:tblGrid>
      <w:tr w:rsidR="00A40BC1" w:rsidRPr="00B556AC" w14:paraId="548B080E" w14:textId="77777777" w:rsidTr="009B66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tcPr>
          <w:p w14:paraId="40C8EA3E" w14:textId="77777777" w:rsidR="00025973" w:rsidRPr="00B556AC" w:rsidRDefault="00025973" w:rsidP="007574B3">
            <w:pPr>
              <w:rPr>
                <w:rFonts w:asciiTheme="minorHAnsi" w:hAnsiTheme="minorHAnsi"/>
                <w:b w:val="0"/>
                <w:bCs w:val="0"/>
                <w:sz w:val="20"/>
                <w:szCs w:val="20"/>
              </w:rPr>
            </w:pPr>
            <w:r w:rsidRPr="00B556AC">
              <w:rPr>
                <w:rFonts w:asciiTheme="minorHAnsi" w:hAnsiTheme="minorHAnsi"/>
                <w:b w:val="0"/>
                <w:bCs w:val="0"/>
                <w:sz w:val="20"/>
                <w:szCs w:val="20"/>
              </w:rPr>
              <w:t>Climate change factor</w:t>
            </w:r>
          </w:p>
        </w:tc>
        <w:tc>
          <w:tcPr>
            <w:tcW w:w="1389" w:type="dxa"/>
          </w:tcPr>
          <w:p w14:paraId="76CF31E6" w14:textId="77777777" w:rsidR="00025973" w:rsidRPr="00B556AC" w:rsidRDefault="00025973" w:rsidP="007574B3">
            <w:pP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0"/>
                <w:szCs w:val="20"/>
              </w:rPr>
            </w:pPr>
            <w:r w:rsidRPr="00B556AC">
              <w:rPr>
                <w:rFonts w:asciiTheme="minorHAnsi" w:hAnsiTheme="minorHAnsi"/>
                <w:b w:val="0"/>
                <w:bCs w:val="0"/>
                <w:sz w:val="20"/>
                <w:szCs w:val="20"/>
              </w:rPr>
              <w:t>Units</w:t>
            </w:r>
          </w:p>
        </w:tc>
        <w:tc>
          <w:tcPr>
            <w:tcW w:w="3329" w:type="dxa"/>
          </w:tcPr>
          <w:p w14:paraId="05BA3B8B" w14:textId="77777777" w:rsidR="00025973" w:rsidRPr="00B556AC" w:rsidRDefault="00025973" w:rsidP="007574B3">
            <w:pP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0"/>
                <w:szCs w:val="20"/>
              </w:rPr>
            </w:pPr>
            <w:r w:rsidRPr="00B556AC">
              <w:rPr>
                <w:rFonts w:asciiTheme="minorHAnsi" w:hAnsiTheme="minorHAnsi"/>
                <w:b w:val="0"/>
                <w:bCs w:val="0"/>
                <w:sz w:val="20"/>
                <w:szCs w:val="20"/>
              </w:rPr>
              <w:t>Notes</w:t>
            </w:r>
          </w:p>
        </w:tc>
      </w:tr>
      <w:tr w:rsidR="00600C18" w:rsidRPr="00314070" w14:paraId="5F5D309F" w14:textId="77777777" w:rsidTr="009B66BA">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9952" w:type="dxa"/>
            <w:gridSpan w:val="3"/>
            <w:shd w:val="clear" w:color="auto" w:fill="F2F2F2" w:themeFill="background1" w:themeFillShade="F2"/>
            <w:tcMar>
              <w:top w:w="28" w:type="dxa"/>
              <w:left w:w="28" w:type="dxa"/>
              <w:bottom w:w="28" w:type="dxa"/>
              <w:right w:w="28" w:type="dxa"/>
            </w:tcMar>
            <w:vAlign w:val="center"/>
          </w:tcPr>
          <w:p w14:paraId="5920EE27" w14:textId="77777777" w:rsidR="00600C18" w:rsidRPr="008D11AD" w:rsidRDefault="00600C18" w:rsidP="00AB7787">
            <w:pPr>
              <w:ind w:left="203"/>
              <w:jc w:val="center"/>
              <w:rPr>
                <w:rFonts w:asciiTheme="minorHAnsi" w:hAnsiTheme="minorHAnsi" w:cstheme="minorHAnsi"/>
                <w:i/>
                <w:iCs/>
                <w:sz w:val="20"/>
                <w:szCs w:val="20"/>
              </w:rPr>
            </w:pPr>
            <w:r w:rsidRPr="008D11AD">
              <w:rPr>
                <w:rFonts w:asciiTheme="minorHAnsi" w:hAnsiTheme="minorHAnsi" w:cstheme="minorHAnsi"/>
                <w:i/>
                <w:iCs/>
                <w:sz w:val="20"/>
                <w:szCs w:val="20"/>
              </w:rPr>
              <w:t>Primary climate variables</w:t>
            </w:r>
          </w:p>
        </w:tc>
      </w:tr>
      <w:tr w:rsidR="00025973" w:rsidRPr="00B556AC" w14:paraId="2A08CEFC" w14:textId="77777777" w:rsidTr="009B66BA">
        <w:tc>
          <w:tcPr>
            <w:cnfStyle w:val="001000000000" w:firstRow="0" w:lastRow="0" w:firstColumn="1" w:lastColumn="0" w:oddVBand="0" w:evenVBand="0" w:oddHBand="0" w:evenHBand="0" w:firstRowFirstColumn="0" w:firstRowLastColumn="0" w:lastRowFirstColumn="0" w:lastRowLastColumn="0"/>
            <w:tcW w:w="5234" w:type="dxa"/>
            <w:vAlign w:val="bottom"/>
          </w:tcPr>
          <w:p w14:paraId="74C0E2A4"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Mean temperature change</w:t>
            </w:r>
          </w:p>
        </w:tc>
        <w:tc>
          <w:tcPr>
            <w:tcW w:w="1389" w:type="dxa"/>
            <w:vAlign w:val="bottom"/>
          </w:tcPr>
          <w:p w14:paraId="26C39A73"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Degrees</w:t>
            </w:r>
          </w:p>
        </w:tc>
        <w:tc>
          <w:tcPr>
            <w:tcW w:w="3329" w:type="dxa"/>
            <w:vMerge w:val="restart"/>
            <w:tcBorders>
              <w:bottom w:val="nil"/>
            </w:tcBorders>
            <w:shd w:val="clear" w:color="auto" w:fill="FFFFFF" w:themeFill="background2"/>
          </w:tcPr>
          <w:p w14:paraId="390904C5" w14:textId="34D6987D"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3374FF">
              <w:rPr>
                <w:rFonts w:asciiTheme="minorHAnsi" w:hAnsiTheme="minorHAnsi" w:cs="Calibri"/>
                <w:sz w:val="18"/>
                <w:szCs w:val="18"/>
              </w:rPr>
              <w:t xml:space="preserve">Obtained from climate </w:t>
            </w:r>
            <w:r>
              <w:rPr>
                <w:rFonts w:asciiTheme="minorHAnsi" w:hAnsiTheme="minorHAnsi" w:cs="Calibri"/>
                <w:sz w:val="18"/>
                <w:szCs w:val="18"/>
              </w:rPr>
              <w:t xml:space="preserve">summary </w:t>
            </w:r>
            <w:r w:rsidRPr="003374FF">
              <w:rPr>
                <w:rFonts w:asciiTheme="minorHAnsi" w:hAnsiTheme="minorHAnsi" w:cs="Calibri"/>
                <w:sz w:val="18"/>
                <w:szCs w:val="18"/>
              </w:rPr>
              <w:t xml:space="preserve">data explorer. Annual and </w:t>
            </w:r>
            <w:r w:rsidR="00385FB8" w:rsidRPr="003374FF">
              <w:rPr>
                <w:rFonts w:asciiTheme="minorHAnsi" w:hAnsiTheme="minorHAnsi" w:cs="Calibri"/>
                <w:sz w:val="18"/>
                <w:szCs w:val="18"/>
              </w:rPr>
              <w:t>seasonal summaries</w:t>
            </w:r>
            <w:r w:rsidRPr="003374FF">
              <w:rPr>
                <w:rFonts w:asciiTheme="minorHAnsi" w:hAnsiTheme="minorHAnsi" w:cs="Calibri"/>
                <w:sz w:val="18"/>
                <w:szCs w:val="18"/>
              </w:rPr>
              <w:t xml:space="preserve"> </w:t>
            </w:r>
            <w:r>
              <w:rPr>
                <w:rFonts w:asciiTheme="minorHAnsi" w:hAnsiTheme="minorHAnsi" w:cs="Calibri"/>
                <w:sz w:val="18"/>
                <w:szCs w:val="18"/>
              </w:rPr>
              <w:t xml:space="preserve">from up to 40 </w:t>
            </w:r>
            <w:r w:rsidRPr="003374FF">
              <w:rPr>
                <w:rFonts w:asciiTheme="minorHAnsi" w:hAnsiTheme="minorHAnsi" w:cs="Calibri"/>
                <w:sz w:val="18"/>
                <w:szCs w:val="18"/>
              </w:rPr>
              <w:t>GCM projections (median, and 10</w:t>
            </w:r>
            <w:r w:rsidRPr="003374FF">
              <w:rPr>
                <w:rFonts w:asciiTheme="minorHAnsi" w:hAnsiTheme="minorHAnsi" w:cs="Calibri"/>
                <w:sz w:val="18"/>
                <w:szCs w:val="18"/>
                <w:vertAlign w:val="superscript"/>
              </w:rPr>
              <w:t>th</w:t>
            </w:r>
            <w:r w:rsidRPr="003374FF">
              <w:rPr>
                <w:rFonts w:asciiTheme="minorHAnsi" w:hAnsiTheme="minorHAnsi" w:cs="Calibri"/>
                <w:sz w:val="18"/>
                <w:szCs w:val="18"/>
              </w:rPr>
              <w:t xml:space="preserve"> and 90</w:t>
            </w:r>
            <w:r w:rsidRPr="003374FF">
              <w:rPr>
                <w:rFonts w:asciiTheme="minorHAnsi" w:hAnsiTheme="minorHAnsi" w:cs="Calibri"/>
                <w:sz w:val="18"/>
                <w:szCs w:val="18"/>
                <w:vertAlign w:val="superscript"/>
              </w:rPr>
              <w:t>th</w:t>
            </w:r>
            <w:r w:rsidRPr="003374FF">
              <w:rPr>
                <w:rFonts w:asciiTheme="minorHAnsi" w:hAnsiTheme="minorHAnsi" w:cs="Calibri"/>
                <w:sz w:val="18"/>
                <w:szCs w:val="18"/>
              </w:rPr>
              <w:t xml:space="preserve"> percentiles</w:t>
            </w:r>
            <w:r>
              <w:rPr>
                <w:rFonts w:asciiTheme="minorHAnsi" w:hAnsiTheme="minorHAnsi" w:cs="Calibri"/>
                <w:sz w:val="18"/>
                <w:szCs w:val="18"/>
              </w:rPr>
              <w:t>).</w:t>
            </w:r>
          </w:p>
        </w:tc>
      </w:tr>
      <w:tr w:rsidR="00025973" w:rsidRPr="00B556AC" w14:paraId="58861BD5"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vAlign w:val="bottom"/>
          </w:tcPr>
          <w:p w14:paraId="2EF97616"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Maximum temperature change</w:t>
            </w:r>
          </w:p>
        </w:tc>
        <w:tc>
          <w:tcPr>
            <w:tcW w:w="1389" w:type="dxa"/>
            <w:vAlign w:val="bottom"/>
          </w:tcPr>
          <w:p w14:paraId="3333E9FB"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Degrees</w:t>
            </w:r>
          </w:p>
        </w:tc>
        <w:tc>
          <w:tcPr>
            <w:tcW w:w="3329" w:type="dxa"/>
            <w:vMerge/>
          </w:tcPr>
          <w:p w14:paraId="69A420AA"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p>
        </w:tc>
      </w:tr>
      <w:tr w:rsidR="00025973" w:rsidRPr="00B556AC" w14:paraId="49B682C2" w14:textId="77777777" w:rsidTr="009B66BA">
        <w:tc>
          <w:tcPr>
            <w:cnfStyle w:val="001000000000" w:firstRow="0" w:lastRow="0" w:firstColumn="1" w:lastColumn="0" w:oddVBand="0" w:evenVBand="0" w:oddHBand="0" w:evenHBand="0" w:firstRowFirstColumn="0" w:firstRowLastColumn="0" w:lastRowFirstColumn="0" w:lastRowLastColumn="0"/>
            <w:tcW w:w="5234" w:type="dxa"/>
            <w:vAlign w:val="bottom"/>
          </w:tcPr>
          <w:p w14:paraId="2BE6A0CF"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Minimum temperature change</w:t>
            </w:r>
          </w:p>
        </w:tc>
        <w:tc>
          <w:tcPr>
            <w:tcW w:w="1389" w:type="dxa"/>
            <w:vAlign w:val="bottom"/>
          </w:tcPr>
          <w:p w14:paraId="49B3E44A"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Degrees</w:t>
            </w:r>
          </w:p>
        </w:tc>
        <w:tc>
          <w:tcPr>
            <w:tcW w:w="3329" w:type="dxa"/>
            <w:vMerge/>
          </w:tcPr>
          <w:p w14:paraId="1549C27A"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p>
        </w:tc>
      </w:tr>
      <w:tr w:rsidR="00025973" w:rsidRPr="00B556AC" w14:paraId="71E6D8D2"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vAlign w:val="bottom"/>
          </w:tcPr>
          <w:p w14:paraId="79C32E68"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Precipitation change</w:t>
            </w:r>
          </w:p>
        </w:tc>
        <w:tc>
          <w:tcPr>
            <w:tcW w:w="1389" w:type="dxa"/>
            <w:vAlign w:val="bottom"/>
          </w:tcPr>
          <w:p w14:paraId="4FD83521"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w:t>
            </w:r>
          </w:p>
        </w:tc>
        <w:tc>
          <w:tcPr>
            <w:tcW w:w="3329" w:type="dxa"/>
            <w:vMerge/>
          </w:tcPr>
          <w:p w14:paraId="347B1BD0"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p>
        </w:tc>
      </w:tr>
      <w:tr w:rsidR="00025973" w:rsidRPr="00B556AC" w14:paraId="5AF53473" w14:textId="77777777" w:rsidTr="009B66BA">
        <w:tc>
          <w:tcPr>
            <w:cnfStyle w:val="001000000000" w:firstRow="0" w:lastRow="0" w:firstColumn="1" w:lastColumn="0" w:oddVBand="0" w:evenVBand="0" w:oddHBand="0" w:evenHBand="0" w:firstRowFirstColumn="0" w:firstRowLastColumn="0" w:lastRowFirstColumn="0" w:lastRowLastColumn="0"/>
            <w:tcW w:w="5234" w:type="dxa"/>
            <w:tcBorders>
              <w:bottom w:val="nil"/>
            </w:tcBorders>
            <w:vAlign w:val="bottom"/>
          </w:tcPr>
          <w:p w14:paraId="4018DD76"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Shortwave radiation change</w:t>
            </w:r>
          </w:p>
        </w:tc>
        <w:tc>
          <w:tcPr>
            <w:tcW w:w="1389" w:type="dxa"/>
            <w:tcBorders>
              <w:bottom w:val="nil"/>
            </w:tcBorders>
            <w:vAlign w:val="bottom"/>
          </w:tcPr>
          <w:p w14:paraId="14F4C45F"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w:t>
            </w:r>
          </w:p>
        </w:tc>
        <w:tc>
          <w:tcPr>
            <w:tcW w:w="3329" w:type="dxa"/>
            <w:vMerge/>
          </w:tcPr>
          <w:p w14:paraId="0D1E3573"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p>
        </w:tc>
      </w:tr>
      <w:tr w:rsidR="00025973" w:rsidRPr="00B556AC" w14:paraId="3CB9F76E"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vAlign w:val="bottom"/>
          </w:tcPr>
          <w:p w14:paraId="0BE9F80C"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Potential-evapotranspiration change</w:t>
            </w:r>
          </w:p>
        </w:tc>
        <w:tc>
          <w:tcPr>
            <w:tcW w:w="1389" w:type="dxa"/>
            <w:vAlign w:val="bottom"/>
          </w:tcPr>
          <w:p w14:paraId="29DD96CA"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w:t>
            </w:r>
          </w:p>
        </w:tc>
        <w:tc>
          <w:tcPr>
            <w:tcW w:w="3329" w:type="dxa"/>
            <w:vMerge/>
          </w:tcPr>
          <w:p w14:paraId="34EE803A"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p>
        </w:tc>
      </w:tr>
      <w:tr w:rsidR="00025973" w:rsidRPr="00B556AC" w14:paraId="7CE039FA" w14:textId="77777777" w:rsidTr="009B66BA">
        <w:tc>
          <w:tcPr>
            <w:cnfStyle w:val="001000000000" w:firstRow="0" w:lastRow="0" w:firstColumn="1" w:lastColumn="0" w:oddVBand="0" w:evenVBand="0" w:oddHBand="0" w:evenHBand="0" w:firstRowFirstColumn="0" w:firstRowLastColumn="0" w:lastRowFirstColumn="0" w:lastRowLastColumn="0"/>
            <w:tcW w:w="5234" w:type="dxa"/>
            <w:tcBorders>
              <w:bottom w:val="nil"/>
            </w:tcBorders>
            <w:vAlign w:val="bottom"/>
          </w:tcPr>
          <w:p w14:paraId="4555FFF1"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Windspeed change</w:t>
            </w:r>
          </w:p>
        </w:tc>
        <w:tc>
          <w:tcPr>
            <w:tcW w:w="1389" w:type="dxa"/>
            <w:tcBorders>
              <w:bottom w:val="nil"/>
            </w:tcBorders>
            <w:vAlign w:val="bottom"/>
          </w:tcPr>
          <w:p w14:paraId="0F48973F"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w:t>
            </w:r>
          </w:p>
        </w:tc>
        <w:tc>
          <w:tcPr>
            <w:tcW w:w="3329" w:type="dxa"/>
            <w:vMerge/>
            <w:tcBorders>
              <w:bottom w:val="nil"/>
            </w:tcBorders>
          </w:tcPr>
          <w:p w14:paraId="6EDF056E"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p>
        </w:tc>
      </w:tr>
      <w:tr w:rsidR="00025973" w:rsidRPr="00B556AC" w14:paraId="4D7A8F9E"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tcBorders>
              <w:bottom w:val="single" w:sz="4" w:space="0" w:color="auto"/>
            </w:tcBorders>
            <w:vAlign w:val="bottom"/>
          </w:tcPr>
          <w:p w14:paraId="411D371D"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Relative humidity change</w:t>
            </w:r>
          </w:p>
        </w:tc>
        <w:tc>
          <w:tcPr>
            <w:tcW w:w="1389" w:type="dxa"/>
            <w:tcBorders>
              <w:bottom w:val="single" w:sz="4" w:space="0" w:color="auto"/>
            </w:tcBorders>
            <w:vAlign w:val="bottom"/>
          </w:tcPr>
          <w:p w14:paraId="18D820CA"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w:t>
            </w:r>
          </w:p>
        </w:tc>
        <w:tc>
          <w:tcPr>
            <w:tcW w:w="3329" w:type="dxa"/>
            <w:vMerge/>
            <w:tcBorders>
              <w:bottom w:val="single" w:sz="4" w:space="0" w:color="auto"/>
            </w:tcBorders>
          </w:tcPr>
          <w:p w14:paraId="366EA346"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p>
        </w:tc>
      </w:tr>
      <w:tr w:rsidR="00025973" w:rsidRPr="00330B19" w14:paraId="0B123C8C" w14:textId="77777777" w:rsidTr="009B66BA">
        <w:trPr>
          <w:trHeight w:val="74"/>
        </w:trPr>
        <w:tc>
          <w:tcPr>
            <w:cnfStyle w:val="001000000000" w:firstRow="0" w:lastRow="0" w:firstColumn="1" w:lastColumn="0" w:oddVBand="0" w:evenVBand="0" w:oddHBand="0" w:evenHBand="0" w:firstRowFirstColumn="0" w:firstRowLastColumn="0" w:lastRowFirstColumn="0" w:lastRowLastColumn="0"/>
            <w:tcW w:w="5234" w:type="dxa"/>
            <w:tcBorders>
              <w:top w:val="single" w:sz="4" w:space="0" w:color="auto"/>
            </w:tcBorders>
            <w:vAlign w:val="bottom"/>
          </w:tcPr>
          <w:p w14:paraId="71E47C68" w14:textId="77777777" w:rsidR="00025973" w:rsidRPr="00330B19" w:rsidRDefault="00025973" w:rsidP="007574B3">
            <w:pPr>
              <w:rPr>
                <w:rFonts w:ascii="Calibri" w:hAnsi="Calibri" w:cs="Calibri"/>
                <w:color w:val="000000" w:themeColor="text2"/>
                <w:sz w:val="6"/>
                <w:szCs w:val="6"/>
              </w:rPr>
            </w:pPr>
          </w:p>
        </w:tc>
        <w:tc>
          <w:tcPr>
            <w:tcW w:w="1389" w:type="dxa"/>
            <w:tcBorders>
              <w:top w:val="single" w:sz="4" w:space="0" w:color="auto"/>
            </w:tcBorders>
            <w:vAlign w:val="bottom"/>
          </w:tcPr>
          <w:p w14:paraId="6585A414" w14:textId="77777777" w:rsidR="00025973" w:rsidRPr="00330B19"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6"/>
                <w:szCs w:val="6"/>
              </w:rPr>
            </w:pPr>
          </w:p>
        </w:tc>
        <w:tc>
          <w:tcPr>
            <w:tcW w:w="3329" w:type="dxa"/>
            <w:tcBorders>
              <w:top w:val="single" w:sz="4" w:space="0" w:color="auto"/>
              <w:bottom w:val="nil"/>
            </w:tcBorders>
            <w:shd w:val="clear" w:color="auto" w:fill="FFFFFF" w:themeFill="background2"/>
          </w:tcPr>
          <w:p w14:paraId="52F48EAC" w14:textId="77777777" w:rsidR="00025973" w:rsidRPr="00330B19"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6"/>
                <w:szCs w:val="6"/>
              </w:rPr>
            </w:pPr>
          </w:p>
        </w:tc>
      </w:tr>
      <w:tr w:rsidR="00025973" w:rsidRPr="00B556AC" w14:paraId="6013E116"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vAlign w:val="bottom"/>
          </w:tcPr>
          <w:p w14:paraId="55A97517"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Coldest night change</w:t>
            </w:r>
          </w:p>
        </w:tc>
        <w:tc>
          <w:tcPr>
            <w:tcW w:w="1389" w:type="dxa"/>
            <w:vAlign w:val="bottom"/>
          </w:tcPr>
          <w:p w14:paraId="60FDCFF7"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Degrees</w:t>
            </w:r>
          </w:p>
        </w:tc>
        <w:tc>
          <w:tcPr>
            <w:tcW w:w="3329" w:type="dxa"/>
            <w:vMerge w:val="restart"/>
            <w:tcBorders>
              <w:bottom w:val="nil"/>
            </w:tcBorders>
            <w:shd w:val="clear" w:color="auto" w:fill="FFFFFF" w:themeFill="background2"/>
          </w:tcPr>
          <w:p w14:paraId="0420240E" w14:textId="6902DD88" w:rsidR="00025973" w:rsidRPr="003374FF"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8"/>
                <w:szCs w:val="18"/>
              </w:rPr>
            </w:pPr>
            <w:r w:rsidRPr="003374FF">
              <w:rPr>
                <w:rFonts w:asciiTheme="minorHAnsi" w:hAnsiTheme="minorHAnsi" w:cs="Calibri"/>
                <w:sz w:val="18"/>
                <w:szCs w:val="18"/>
              </w:rPr>
              <w:t xml:space="preserve">Obtained from climate extremes data explorer. Annual and seasonal summaries </w:t>
            </w:r>
            <w:r>
              <w:rPr>
                <w:rFonts w:asciiTheme="minorHAnsi" w:hAnsiTheme="minorHAnsi" w:cs="Calibri"/>
                <w:sz w:val="18"/>
                <w:szCs w:val="18"/>
              </w:rPr>
              <w:t xml:space="preserve">from up to 40 </w:t>
            </w:r>
            <w:r w:rsidRPr="003374FF">
              <w:rPr>
                <w:rFonts w:asciiTheme="minorHAnsi" w:hAnsiTheme="minorHAnsi" w:cs="Calibri"/>
                <w:sz w:val="18"/>
                <w:szCs w:val="18"/>
              </w:rPr>
              <w:t>GCM projections (median, and 10</w:t>
            </w:r>
            <w:r w:rsidRPr="003374FF">
              <w:rPr>
                <w:rFonts w:asciiTheme="minorHAnsi" w:hAnsiTheme="minorHAnsi" w:cs="Calibri"/>
                <w:sz w:val="18"/>
                <w:szCs w:val="18"/>
                <w:vertAlign w:val="superscript"/>
              </w:rPr>
              <w:t>th</w:t>
            </w:r>
            <w:r w:rsidRPr="003374FF">
              <w:rPr>
                <w:rFonts w:asciiTheme="minorHAnsi" w:hAnsiTheme="minorHAnsi" w:cs="Calibri"/>
                <w:sz w:val="18"/>
                <w:szCs w:val="18"/>
              </w:rPr>
              <w:t xml:space="preserve"> and 90</w:t>
            </w:r>
            <w:r w:rsidRPr="003374FF">
              <w:rPr>
                <w:rFonts w:asciiTheme="minorHAnsi" w:hAnsiTheme="minorHAnsi" w:cs="Calibri"/>
                <w:sz w:val="18"/>
                <w:szCs w:val="18"/>
                <w:vertAlign w:val="superscript"/>
              </w:rPr>
              <w:t>th</w:t>
            </w:r>
            <w:r w:rsidRPr="003374FF">
              <w:rPr>
                <w:rFonts w:asciiTheme="minorHAnsi" w:hAnsiTheme="minorHAnsi" w:cs="Calibri"/>
                <w:sz w:val="18"/>
                <w:szCs w:val="18"/>
              </w:rPr>
              <w:t xml:space="preserve"> percentiles</w:t>
            </w:r>
            <w:r>
              <w:rPr>
                <w:rFonts w:asciiTheme="minorHAnsi" w:hAnsiTheme="minorHAnsi" w:cs="Calibri"/>
                <w:sz w:val="18"/>
                <w:szCs w:val="18"/>
              </w:rPr>
              <w:t>.</w:t>
            </w:r>
          </w:p>
        </w:tc>
      </w:tr>
      <w:tr w:rsidR="00025973" w:rsidRPr="00B556AC" w14:paraId="184E77D9" w14:textId="77777777" w:rsidTr="009B66BA">
        <w:tc>
          <w:tcPr>
            <w:cnfStyle w:val="001000000000" w:firstRow="0" w:lastRow="0" w:firstColumn="1" w:lastColumn="0" w:oddVBand="0" w:evenVBand="0" w:oddHBand="0" w:evenHBand="0" w:firstRowFirstColumn="0" w:firstRowLastColumn="0" w:lastRowFirstColumn="0" w:lastRowLastColumn="0"/>
            <w:tcW w:w="5234" w:type="dxa"/>
            <w:vAlign w:val="bottom"/>
          </w:tcPr>
          <w:p w14:paraId="75AEE513"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Hottest day change</w:t>
            </w:r>
          </w:p>
        </w:tc>
        <w:tc>
          <w:tcPr>
            <w:tcW w:w="1389" w:type="dxa"/>
            <w:vAlign w:val="bottom"/>
          </w:tcPr>
          <w:p w14:paraId="5197132C"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Degrees</w:t>
            </w:r>
          </w:p>
        </w:tc>
        <w:tc>
          <w:tcPr>
            <w:tcW w:w="3329" w:type="dxa"/>
            <w:vMerge/>
          </w:tcPr>
          <w:p w14:paraId="2BC74FD5"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p>
        </w:tc>
      </w:tr>
      <w:tr w:rsidR="00025973" w:rsidRPr="00B556AC" w14:paraId="4C9EC7A5"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tcBorders>
              <w:bottom w:val="nil"/>
            </w:tcBorders>
            <w:vAlign w:val="bottom"/>
          </w:tcPr>
          <w:p w14:paraId="15586EAA"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Wettest day change</w:t>
            </w:r>
          </w:p>
        </w:tc>
        <w:tc>
          <w:tcPr>
            <w:tcW w:w="1389" w:type="dxa"/>
            <w:tcBorders>
              <w:bottom w:val="nil"/>
            </w:tcBorders>
            <w:vAlign w:val="bottom"/>
          </w:tcPr>
          <w:p w14:paraId="7C9A3763"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w:t>
            </w:r>
          </w:p>
        </w:tc>
        <w:tc>
          <w:tcPr>
            <w:tcW w:w="3329" w:type="dxa"/>
            <w:vMerge/>
            <w:tcBorders>
              <w:bottom w:val="nil"/>
            </w:tcBorders>
          </w:tcPr>
          <w:p w14:paraId="434BC3AE"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p>
        </w:tc>
      </w:tr>
      <w:tr w:rsidR="00025973" w:rsidRPr="00B556AC" w14:paraId="0D1C1108" w14:textId="77777777" w:rsidTr="009B66BA">
        <w:tc>
          <w:tcPr>
            <w:cnfStyle w:val="001000000000" w:firstRow="0" w:lastRow="0" w:firstColumn="1" w:lastColumn="0" w:oddVBand="0" w:evenVBand="0" w:oddHBand="0" w:evenHBand="0" w:firstRowFirstColumn="0" w:firstRowLastColumn="0" w:lastRowFirstColumn="0" w:lastRowLastColumn="0"/>
            <w:tcW w:w="5234" w:type="dxa"/>
            <w:tcBorders>
              <w:bottom w:val="single" w:sz="4" w:space="0" w:color="auto"/>
            </w:tcBorders>
            <w:vAlign w:val="bottom"/>
          </w:tcPr>
          <w:p w14:paraId="025DF231"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Wettest 1-in-20 year change</w:t>
            </w:r>
          </w:p>
        </w:tc>
        <w:tc>
          <w:tcPr>
            <w:tcW w:w="1389" w:type="dxa"/>
            <w:tcBorders>
              <w:bottom w:val="single" w:sz="4" w:space="0" w:color="auto"/>
            </w:tcBorders>
            <w:vAlign w:val="bottom"/>
          </w:tcPr>
          <w:p w14:paraId="6920EED5"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w:t>
            </w:r>
          </w:p>
        </w:tc>
        <w:tc>
          <w:tcPr>
            <w:tcW w:w="3329" w:type="dxa"/>
            <w:vMerge/>
            <w:tcBorders>
              <w:bottom w:val="single" w:sz="4" w:space="0" w:color="auto"/>
            </w:tcBorders>
          </w:tcPr>
          <w:p w14:paraId="2F774197"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p>
        </w:tc>
      </w:tr>
      <w:tr w:rsidR="00025973" w:rsidRPr="00330B19" w14:paraId="5321652D"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tcBorders>
              <w:top w:val="single" w:sz="4" w:space="0" w:color="auto"/>
            </w:tcBorders>
            <w:vAlign w:val="bottom"/>
          </w:tcPr>
          <w:p w14:paraId="08C604D9" w14:textId="77777777" w:rsidR="00025973" w:rsidRPr="00330B19" w:rsidRDefault="00025973" w:rsidP="007574B3">
            <w:pPr>
              <w:rPr>
                <w:rFonts w:ascii="Calibri" w:hAnsi="Calibri" w:cs="Calibri"/>
                <w:color w:val="000000" w:themeColor="text2"/>
                <w:sz w:val="6"/>
                <w:szCs w:val="6"/>
              </w:rPr>
            </w:pPr>
          </w:p>
        </w:tc>
        <w:tc>
          <w:tcPr>
            <w:tcW w:w="1389" w:type="dxa"/>
            <w:tcBorders>
              <w:top w:val="single" w:sz="4" w:space="0" w:color="auto"/>
            </w:tcBorders>
            <w:vAlign w:val="bottom"/>
          </w:tcPr>
          <w:p w14:paraId="2FB4C15D" w14:textId="77777777" w:rsidR="00025973" w:rsidRPr="00330B19"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6"/>
                <w:szCs w:val="6"/>
              </w:rPr>
            </w:pPr>
          </w:p>
        </w:tc>
        <w:tc>
          <w:tcPr>
            <w:tcW w:w="3329" w:type="dxa"/>
            <w:tcBorders>
              <w:top w:val="single" w:sz="4" w:space="0" w:color="auto"/>
              <w:bottom w:val="nil"/>
            </w:tcBorders>
            <w:shd w:val="clear" w:color="auto" w:fill="FFFFFF" w:themeFill="background2"/>
          </w:tcPr>
          <w:p w14:paraId="446AE008" w14:textId="77777777" w:rsidR="00025973" w:rsidRPr="00330B19"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6"/>
                <w:szCs w:val="6"/>
              </w:rPr>
            </w:pPr>
          </w:p>
        </w:tc>
      </w:tr>
      <w:tr w:rsidR="00025973" w:rsidRPr="00B556AC" w14:paraId="3349F75D" w14:textId="77777777" w:rsidTr="009B66BA">
        <w:tc>
          <w:tcPr>
            <w:cnfStyle w:val="001000000000" w:firstRow="0" w:lastRow="0" w:firstColumn="1" w:lastColumn="0" w:oddVBand="0" w:evenVBand="0" w:oddHBand="0" w:evenHBand="0" w:firstRowFirstColumn="0" w:firstRowLastColumn="0" w:lastRowFirstColumn="0" w:lastRowLastColumn="0"/>
            <w:tcW w:w="5234" w:type="dxa"/>
            <w:vAlign w:val="bottom"/>
          </w:tcPr>
          <w:p w14:paraId="43335A1F"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Change in number of days/year below 0 degrees</w:t>
            </w:r>
          </w:p>
        </w:tc>
        <w:tc>
          <w:tcPr>
            <w:tcW w:w="1389" w:type="dxa"/>
            <w:vAlign w:val="bottom"/>
          </w:tcPr>
          <w:p w14:paraId="24152AE2"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Days</w:t>
            </w:r>
          </w:p>
        </w:tc>
        <w:tc>
          <w:tcPr>
            <w:tcW w:w="3329" w:type="dxa"/>
            <w:vMerge w:val="restart"/>
            <w:tcBorders>
              <w:bottom w:val="nil"/>
            </w:tcBorders>
            <w:shd w:val="clear" w:color="auto" w:fill="FFFFFF" w:themeFill="background2"/>
          </w:tcPr>
          <w:p w14:paraId="5B1AEEDA" w14:textId="7576AE0A" w:rsidR="00025973" w:rsidRPr="00973D88"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Pr>
                <w:rFonts w:asciiTheme="minorHAnsi" w:hAnsiTheme="minorHAnsi" w:cs="Calibri"/>
                <w:sz w:val="18"/>
                <w:szCs w:val="18"/>
              </w:rPr>
              <w:t xml:space="preserve">Obtained from the climate thresholds calculator, based on down-scaled projections applied to </w:t>
            </w:r>
            <w:r w:rsidRPr="000F6A33">
              <w:rPr>
                <w:rFonts w:asciiTheme="minorHAnsi" w:hAnsiTheme="minorHAnsi" w:cs="Calibri"/>
                <w:sz w:val="18"/>
                <w:szCs w:val="18"/>
              </w:rPr>
              <w:t>384</w:t>
            </w:r>
            <w:r>
              <w:rPr>
                <w:rFonts w:asciiTheme="minorHAnsi" w:hAnsiTheme="minorHAnsi" w:cs="Calibri"/>
                <w:sz w:val="18"/>
                <w:szCs w:val="18"/>
              </w:rPr>
              <w:t xml:space="preserve"> Weather stations across the continent.</w:t>
            </w:r>
          </w:p>
        </w:tc>
      </w:tr>
      <w:tr w:rsidR="00025973" w:rsidRPr="00B556AC" w14:paraId="3C91A6F7"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vAlign w:val="bottom"/>
          </w:tcPr>
          <w:p w14:paraId="37A38047"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Change in number of days/year above 35 degrees</w:t>
            </w:r>
          </w:p>
        </w:tc>
        <w:tc>
          <w:tcPr>
            <w:tcW w:w="1389" w:type="dxa"/>
            <w:vAlign w:val="bottom"/>
          </w:tcPr>
          <w:p w14:paraId="167D074D"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Days</w:t>
            </w:r>
          </w:p>
        </w:tc>
        <w:tc>
          <w:tcPr>
            <w:tcW w:w="3329" w:type="dxa"/>
            <w:vMerge/>
          </w:tcPr>
          <w:p w14:paraId="558DD0D7"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p>
        </w:tc>
      </w:tr>
      <w:tr w:rsidR="00025973" w:rsidRPr="00B556AC" w14:paraId="4EBA40FE" w14:textId="77777777" w:rsidTr="009B66BA">
        <w:tc>
          <w:tcPr>
            <w:cnfStyle w:val="001000000000" w:firstRow="0" w:lastRow="0" w:firstColumn="1" w:lastColumn="0" w:oddVBand="0" w:evenVBand="0" w:oddHBand="0" w:evenHBand="0" w:firstRowFirstColumn="0" w:firstRowLastColumn="0" w:lastRowFirstColumn="0" w:lastRowLastColumn="0"/>
            <w:tcW w:w="5234" w:type="dxa"/>
            <w:tcBorders>
              <w:bottom w:val="nil"/>
            </w:tcBorders>
            <w:vAlign w:val="bottom"/>
          </w:tcPr>
          <w:p w14:paraId="3ABF29EC"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Change in days/year &gt; 99.9</w:t>
            </w:r>
            <w:r w:rsidRPr="00A75AC4">
              <w:rPr>
                <w:rFonts w:ascii="Calibri" w:hAnsi="Calibri" w:cs="Calibri"/>
                <w:color w:val="000000" w:themeColor="text2"/>
                <w:sz w:val="20"/>
                <w:szCs w:val="20"/>
                <w:vertAlign w:val="superscript"/>
              </w:rPr>
              <w:t>th</w:t>
            </w:r>
            <w:r w:rsidRPr="4C93E165">
              <w:rPr>
                <w:rFonts w:ascii="Calibri" w:hAnsi="Calibri" w:cs="Calibri"/>
                <w:b w:val="0"/>
                <w:bCs w:val="0"/>
                <w:color w:val="000000" w:themeColor="text2"/>
                <w:sz w:val="20"/>
                <w:szCs w:val="20"/>
              </w:rPr>
              <w:t xml:space="preserve"> percentile rainfall</w:t>
            </w:r>
          </w:p>
        </w:tc>
        <w:tc>
          <w:tcPr>
            <w:tcW w:w="1389" w:type="dxa"/>
            <w:tcBorders>
              <w:bottom w:val="nil"/>
            </w:tcBorders>
            <w:vAlign w:val="bottom"/>
          </w:tcPr>
          <w:p w14:paraId="52B8148E"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Days</w:t>
            </w:r>
          </w:p>
        </w:tc>
        <w:tc>
          <w:tcPr>
            <w:tcW w:w="3329" w:type="dxa"/>
            <w:vMerge/>
            <w:tcBorders>
              <w:bottom w:val="nil"/>
            </w:tcBorders>
          </w:tcPr>
          <w:p w14:paraId="7AF972E9"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p>
        </w:tc>
      </w:tr>
      <w:tr w:rsidR="00025973" w:rsidRPr="00B556AC" w14:paraId="6850927A" w14:textId="77777777" w:rsidTr="009B66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tcBorders>
              <w:bottom w:val="single" w:sz="4" w:space="0" w:color="auto"/>
            </w:tcBorders>
            <w:vAlign w:val="bottom"/>
          </w:tcPr>
          <w:p w14:paraId="5A5C1CEC" w14:textId="77777777" w:rsidR="00025973" w:rsidRPr="00B556AC" w:rsidRDefault="00025973" w:rsidP="007574B3">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Change in number months/year &lt; 10</w:t>
            </w:r>
            <w:r w:rsidRPr="00A75AC4">
              <w:rPr>
                <w:rFonts w:ascii="Calibri" w:hAnsi="Calibri" w:cs="Calibri"/>
                <w:color w:val="000000" w:themeColor="text2"/>
                <w:sz w:val="20"/>
                <w:szCs w:val="20"/>
                <w:vertAlign w:val="superscript"/>
              </w:rPr>
              <w:t>th</w:t>
            </w:r>
            <w:r w:rsidRPr="4C93E165">
              <w:rPr>
                <w:rFonts w:ascii="Calibri" w:hAnsi="Calibri" w:cs="Calibri"/>
                <w:b w:val="0"/>
                <w:bCs w:val="0"/>
                <w:color w:val="000000" w:themeColor="text2"/>
                <w:sz w:val="20"/>
                <w:szCs w:val="20"/>
              </w:rPr>
              <w:t xml:space="preserve"> percentile rainfall</w:t>
            </w:r>
          </w:p>
        </w:tc>
        <w:tc>
          <w:tcPr>
            <w:tcW w:w="1389" w:type="dxa"/>
            <w:tcBorders>
              <w:bottom w:val="single" w:sz="4" w:space="0" w:color="auto"/>
            </w:tcBorders>
            <w:vAlign w:val="bottom"/>
          </w:tcPr>
          <w:p w14:paraId="1ACE82F9"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Days</w:t>
            </w:r>
          </w:p>
        </w:tc>
        <w:tc>
          <w:tcPr>
            <w:tcW w:w="3329" w:type="dxa"/>
            <w:vMerge/>
            <w:tcBorders>
              <w:bottom w:val="single" w:sz="4" w:space="0" w:color="auto"/>
            </w:tcBorders>
          </w:tcPr>
          <w:p w14:paraId="7F8339E2"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p>
        </w:tc>
      </w:tr>
      <w:tr w:rsidR="00025973" w:rsidRPr="00330B19" w14:paraId="4D3D720F" w14:textId="77777777" w:rsidTr="009B66BA">
        <w:tc>
          <w:tcPr>
            <w:cnfStyle w:val="001000000000" w:firstRow="0" w:lastRow="0" w:firstColumn="1" w:lastColumn="0" w:oddVBand="0" w:evenVBand="0" w:oddHBand="0" w:evenHBand="0" w:firstRowFirstColumn="0" w:firstRowLastColumn="0" w:lastRowFirstColumn="0" w:lastRowLastColumn="0"/>
            <w:tcW w:w="5234" w:type="dxa"/>
            <w:tcBorders>
              <w:top w:val="single" w:sz="4" w:space="0" w:color="auto"/>
            </w:tcBorders>
            <w:vAlign w:val="bottom"/>
          </w:tcPr>
          <w:p w14:paraId="76104A6D" w14:textId="77777777" w:rsidR="00025973" w:rsidRPr="00330B19" w:rsidRDefault="00025973" w:rsidP="007574B3">
            <w:pPr>
              <w:rPr>
                <w:rFonts w:ascii="Calibri" w:hAnsi="Calibri" w:cs="Calibri"/>
                <w:color w:val="000000"/>
                <w:sz w:val="6"/>
                <w:szCs w:val="6"/>
              </w:rPr>
            </w:pPr>
          </w:p>
        </w:tc>
        <w:tc>
          <w:tcPr>
            <w:tcW w:w="1389" w:type="dxa"/>
            <w:tcBorders>
              <w:top w:val="single" w:sz="4" w:space="0" w:color="auto"/>
            </w:tcBorders>
            <w:vAlign w:val="bottom"/>
          </w:tcPr>
          <w:p w14:paraId="6A043E51" w14:textId="77777777" w:rsidR="00025973" w:rsidRPr="00330B19"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6"/>
                <w:szCs w:val="6"/>
              </w:rPr>
            </w:pPr>
          </w:p>
        </w:tc>
        <w:tc>
          <w:tcPr>
            <w:tcW w:w="3329" w:type="dxa"/>
            <w:tcBorders>
              <w:top w:val="single" w:sz="4" w:space="0" w:color="auto"/>
              <w:bottom w:val="nil"/>
            </w:tcBorders>
            <w:shd w:val="clear" w:color="auto" w:fill="FFFFFF" w:themeFill="background2"/>
          </w:tcPr>
          <w:p w14:paraId="3FD79A0B" w14:textId="77777777" w:rsidR="00025973" w:rsidRPr="00330B19"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6"/>
                <w:szCs w:val="6"/>
              </w:rPr>
            </w:pPr>
          </w:p>
        </w:tc>
      </w:tr>
      <w:tr w:rsidR="00600C18" w:rsidRPr="00314070" w14:paraId="224AAFED" w14:textId="77777777" w:rsidTr="009B66BA">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9952" w:type="dxa"/>
            <w:gridSpan w:val="3"/>
            <w:shd w:val="clear" w:color="auto" w:fill="F2F2F2" w:themeFill="background1" w:themeFillShade="F2"/>
            <w:tcMar>
              <w:top w:w="28" w:type="dxa"/>
              <w:left w:w="28" w:type="dxa"/>
              <w:bottom w:w="28" w:type="dxa"/>
              <w:right w:w="28" w:type="dxa"/>
            </w:tcMar>
            <w:vAlign w:val="center"/>
          </w:tcPr>
          <w:p w14:paraId="6CF5870B" w14:textId="77777777" w:rsidR="00600C18" w:rsidRPr="008D11AD" w:rsidRDefault="00600C18" w:rsidP="00AB7787">
            <w:pPr>
              <w:ind w:left="203"/>
              <w:jc w:val="center"/>
              <w:rPr>
                <w:rFonts w:asciiTheme="minorHAnsi" w:hAnsiTheme="minorHAnsi" w:cstheme="minorHAnsi"/>
                <w:i/>
                <w:iCs/>
                <w:sz w:val="20"/>
                <w:szCs w:val="20"/>
              </w:rPr>
            </w:pPr>
            <w:r w:rsidRPr="008D11AD">
              <w:rPr>
                <w:rFonts w:asciiTheme="minorHAnsi" w:hAnsiTheme="minorHAnsi" w:cstheme="minorHAnsi"/>
                <w:i/>
                <w:iCs/>
                <w:sz w:val="20"/>
                <w:szCs w:val="20"/>
              </w:rPr>
              <w:t>Secondary climate variables (direct or indirect impacts of primary climate variables)</w:t>
            </w:r>
          </w:p>
        </w:tc>
      </w:tr>
      <w:tr w:rsidR="00B60E33" w:rsidRPr="00B556AC" w14:paraId="387AB1E8" w14:textId="77777777" w:rsidTr="00AB7787">
        <w:tc>
          <w:tcPr>
            <w:cnfStyle w:val="001000000000" w:firstRow="0" w:lastRow="0" w:firstColumn="1" w:lastColumn="0" w:oddVBand="0" w:evenVBand="0" w:oddHBand="0" w:evenHBand="0" w:firstRowFirstColumn="0" w:firstRowLastColumn="0" w:lastRowFirstColumn="0" w:lastRowLastColumn="0"/>
            <w:tcW w:w="5234" w:type="dxa"/>
            <w:tcBorders>
              <w:top w:val="single" w:sz="4" w:space="0" w:color="auto"/>
            </w:tcBorders>
            <w:vAlign w:val="bottom"/>
          </w:tcPr>
          <w:p w14:paraId="04246E95" w14:textId="7B54F6B9" w:rsidR="00B60E33" w:rsidRPr="00E10417" w:rsidRDefault="00B60E33" w:rsidP="00AB7787">
            <w:pPr>
              <w:rPr>
                <w:rFonts w:ascii="Calibri" w:hAnsi="Calibri" w:cs="Calibri"/>
                <w:b w:val="0"/>
                <w:bCs w:val="0"/>
                <w:color w:val="000000"/>
                <w:sz w:val="20"/>
                <w:szCs w:val="20"/>
              </w:rPr>
            </w:pPr>
            <w:r>
              <w:rPr>
                <w:rFonts w:asciiTheme="minorHAnsi" w:hAnsiTheme="minorHAnsi" w:cstheme="minorHAnsi"/>
                <w:b w:val="0"/>
                <w:bCs w:val="0"/>
                <w:sz w:val="20"/>
                <w:szCs w:val="20"/>
              </w:rPr>
              <w:t>Changes in mean sea level</w:t>
            </w:r>
          </w:p>
        </w:tc>
        <w:tc>
          <w:tcPr>
            <w:tcW w:w="1389" w:type="dxa"/>
            <w:tcBorders>
              <w:top w:val="single" w:sz="4" w:space="0" w:color="auto"/>
            </w:tcBorders>
            <w:vAlign w:val="bottom"/>
          </w:tcPr>
          <w:p w14:paraId="04B2EAE0" w14:textId="6CC290AF" w:rsidR="00B60E33" w:rsidRPr="00B556AC" w:rsidRDefault="00B60E33" w:rsidP="00AB7787">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p>
        </w:tc>
        <w:tc>
          <w:tcPr>
            <w:tcW w:w="3329" w:type="dxa"/>
            <w:tcBorders>
              <w:top w:val="single" w:sz="4" w:space="0" w:color="auto"/>
            </w:tcBorders>
            <w:shd w:val="clear" w:color="auto" w:fill="FFFFFF" w:themeFill="background1"/>
            <w:vAlign w:val="bottom"/>
          </w:tcPr>
          <w:p w14:paraId="5EE9554F" w14:textId="11C929C9" w:rsidR="00B60E33" w:rsidRPr="00A40BC1" w:rsidRDefault="00B60E33" w:rsidP="00AB778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B60E33" w:rsidRPr="00B556AC" w14:paraId="36A5F456" w14:textId="77777777" w:rsidTr="00AB7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tcBorders>
              <w:top w:val="single" w:sz="4" w:space="0" w:color="auto"/>
            </w:tcBorders>
            <w:vAlign w:val="bottom"/>
          </w:tcPr>
          <w:p w14:paraId="4DED282F" w14:textId="77777777" w:rsidR="00B60E33" w:rsidRPr="00E10417" w:rsidRDefault="00B60E33" w:rsidP="00AB7787">
            <w:pPr>
              <w:rPr>
                <w:rFonts w:ascii="Calibri" w:hAnsi="Calibri" w:cs="Calibri"/>
                <w:b w:val="0"/>
                <w:bCs w:val="0"/>
                <w:color w:val="000000"/>
                <w:sz w:val="20"/>
                <w:szCs w:val="20"/>
              </w:rPr>
            </w:pPr>
            <w:r w:rsidRPr="00E10417">
              <w:rPr>
                <w:rFonts w:ascii="Calibri" w:hAnsi="Calibri" w:cs="Calibri"/>
                <w:b w:val="0"/>
                <w:bCs w:val="0"/>
                <w:color w:val="000000"/>
                <w:sz w:val="20"/>
                <w:szCs w:val="20"/>
              </w:rPr>
              <w:t>Change in time in drought</w:t>
            </w:r>
          </w:p>
        </w:tc>
        <w:tc>
          <w:tcPr>
            <w:tcW w:w="1389" w:type="dxa"/>
            <w:tcBorders>
              <w:top w:val="single" w:sz="4" w:space="0" w:color="auto"/>
            </w:tcBorders>
            <w:vAlign w:val="bottom"/>
          </w:tcPr>
          <w:p w14:paraId="1E2B6FD6" w14:textId="77777777" w:rsidR="00B60E33" w:rsidRPr="00B556AC" w:rsidRDefault="00B60E33" w:rsidP="00AB7787">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Pr>
                <w:rFonts w:asciiTheme="minorHAnsi" w:hAnsiTheme="minorHAnsi" w:cs="Calibri"/>
                <w:sz w:val="20"/>
                <w:szCs w:val="20"/>
              </w:rPr>
              <w:t>%</w:t>
            </w:r>
          </w:p>
        </w:tc>
        <w:tc>
          <w:tcPr>
            <w:tcW w:w="3329" w:type="dxa"/>
            <w:vMerge w:val="restart"/>
            <w:tcBorders>
              <w:top w:val="single" w:sz="4" w:space="0" w:color="auto"/>
            </w:tcBorders>
            <w:shd w:val="clear" w:color="auto" w:fill="FFFFFF" w:themeFill="background1"/>
            <w:vAlign w:val="bottom"/>
          </w:tcPr>
          <w:p w14:paraId="036E39A4" w14:textId="77777777" w:rsidR="00B60E33" w:rsidRPr="00A40BC1" w:rsidRDefault="00B60E33" w:rsidP="00AB778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0BC1">
              <w:rPr>
                <w:rFonts w:asciiTheme="minorHAnsi" w:hAnsiTheme="minorHAnsi" w:cstheme="minorHAnsi"/>
                <w:sz w:val="18"/>
                <w:szCs w:val="18"/>
              </w:rPr>
              <w:t xml:space="preserve">Extracted from cluster reports. </w:t>
            </w:r>
            <w:r>
              <w:t xml:space="preserve"> </w:t>
            </w:r>
            <w:hyperlink w:history="1">
              <w:r>
                <w:rPr>
                  <w:rStyle w:val="Hyperlink"/>
                  <w:rFonts w:asciiTheme="minorHAnsi" w:eastAsiaTheme="majorEastAsia" w:hAnsiTheme="minorHAnsi" w:cstheme="minorHAnsi"/>
                  <w:sz w:val="18"/>
                  <w:szCs w:val="18"/>
                </w:rPr>
                <w:t>https://www. Climatechangeinaustralia.gov.au/  en/publications-library/cluster-reports/</w:t>
              </w:r>
            </w:hyperlink>
          </w:p>
        </w:tc>
      </w:tr>
      <w:tr w:rsidR="00B60E33" w:rsidRPr="00B556AC" w14:paraId="344A111F" w14:textId="77777777" w:rsidTr="00AB7787">
        <w:tc>
          <w:tcPr>
            <w:cnfStyle w:val="001000000000" w:firstRow="0" w:lastRow="0" w:firstColumn="1" w:lastColumn="0" w:oddVBand="0" w:evenVBand="0" w:oddHBand="0" w:evenHBand="0" w:firstRowFirstColumn="0" w:firstRowLastColumn="0" w:lastRowFirstColumn="0" w:lastRowLastColumn="0"/>
            <w:tcW w:w="5234" w:type="dxa"/>
            <w:vAlign w:val="bottom"/>
          </w:tcPr>
          <w:p w14:paraId="179B6415" w14:textId="77777777" w:rsidR="00B60E33" w:rsidRPr="0001437C" w:rsidRDefault="00B60E33" w:rsidP="00AB7787">
            <w:pPr>
              <w:rPr>
                <w:rFonts w:ascii="Calibri" w:hAnsi="Calibri" w:cs="Calibri"/>
                <w:b w:val="0"/>
                <w:bCs w:val="0"/>
                <w:color w:val="000000"/>
                <w:sz w:val="20"/>
                <w:szCs w:val="20"/>
              </w:rPr>
            </w:pPr>
            <w:r w:rsidRPr="0001437C">
              <w:rPr>
                <w:rFonts w:ascii="Calibri" w:hAnsi="Calibri" w:cs="Calibri"/>
                <w:b w:val="0"/>
                <w:bCs w:val="0"/>
                <w:color w:val="000000"/>
                <w:sz w:val="20"/>
                <w:szCs w:val="20"/>
              </w:rPr>
              <w:t>Change in extreme drought frequency</w:t>
            </w:r>
          </w:p>
        </w:tc>
        <w:tc>
          <w:tcPr>
            <w:tcW w:w="1389" w:type="dxa"/>
            <w:vAlign w:val="bottom"/>
          </w:tcPr>
          <w:p w14:paraId="3F5B2F21" w14:textId="77777777" w:rsidR="00B60E33" w:rsidRPr="00B556AC" w:rsidRDefault="00B60E33" w:rsidP="00AB7787">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Pr>
                <w:rFonts w:asciiTheme="minorHAnsi" w:hAnsiTheme="minorHAnsi" w:cs="Calibri"/>
                <w:sz w:val="20"/>
                <w:szCs w:val="20"/>
              </w:rPr>
              <w:t>Days/20 years</w:t>
            </w:r>
          </w:p>
        </w:tc>
        <w:tc>
          <w:tcPr>
            <w:tcW w:w="3329" w:type="dxa"/>
            <w:vMerge/>
            <w:shd w:val="clear" w:color="auto" w:fill="FFFFFF" w:themeFill="background1"/>
            <w:vAlign w:val="bottom"/>
          </w:tcPr>
          <w:p w14:paraId="282BD2FE" w14:textId="77777777" w:rsidR="00B60E33" w:rsidRPr="00F07D6B" w:rsidRDefault="00B60E33" w:rsidP="00AB7787">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p>
        </w:tc>
      </w:tr>
      <w:tr w:rsidR="00B60E33" w:rsidRPr="00B556AC" w14:paraId="5E97A420" w14:textId="77777777" w:rsidTr="00AB7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4" w:type="dxa"/>
            <w:vAlign w:val="bottom"/>
          </w:tcPr>
          <w:p w14:paraId="187FAA9B" w14:textId="77777777" w:rsidR="00B60E33" w:rsidRPr="0001437C" w:rsidRDefault="00B60E33" w:rsidP="00AB7787">
            <w:pPr>
              <w:rPr>
                <w:rFonts w:ascii="Calibri" w:hAnsi="Calibri" w:cs="Calibri"/>
                <w:b w:val="0"/>
                <w:bCs w:val="0"/>
                <w:color w:val="000000"/>
                <w:sz w:val="20"/>
                <w:szCs w:val="20"/>
              </w:rPr>
            </w:pPr>
            <w:r w:rsidRPr="0001437C">
              <w:rPr>
                <w:rFonts w:ascii="Calibri" w:hAnsi="Calibri" w:cs="Calibri"/>
                <w:b w:val="0"/>
                <w:bCs w:val="0"/>
                <w:color w:val="000000"/>
                <w:sz w:val="20"/>
                <w:szCs w:val="20"/>
              </w:rPr>
              <w:t xml:space="preserve">Change in extreme drought duration </w:t>
            </w:r>
          </w:p>
        </w:tc>
        <w:tc>
          <w:tcPr>
            <w:tcW w:w="1389" w:type="dxa"/>
            <w:vAlign w:val="bottom"/>
          </w:tcPr>
          <w:p w14:paraId="74C0B5B3" w14:textId="77777777" w:rsidR="00B60E33" w:rsidRPr="00B556AC" w:rsidRDefault="00B60E33" w:rsidP="00AB7787">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Pr>
                <w:rFonts w:asciiTheme="minorHAnsi" w:hAnsiTheme="minorHAnsi" w:cs="Calibri"/>
                <w:sz w:val="20"/>
                <w:szCs w:val="20"/>
              </w:rPr>
              <w:t>Months</w:t>
            </w:r>
          </w:p>
        </w:tc>
        <w:tc>
          <w:tcPr>
            <w:tcW w:w="3329" w:type="dxa"/>
            <w:vMerge/>
            <w:tcBorders>
              <w:bottom w:val="single" w:sz="4" w:space="0" w:color="auto"/>
            </w:tcBorders>
            <w:shd w:val="clear" w:color="auto" w:fill="FFFFFF" w:themeFill="background1"/>
            <w:vAlign w:val="bottom"/>
          </w:tcPr>
          <w:p w14:paraId="2007997A" w14:textId="77777777" w:rsidR="00B60E33" w:rsidRPr="00F07D6B" w:rsidRDefault="00B60E33" w:rsidP="00AB7787">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8"/>
                <w:szCs w:val="18"/>
              </w:rPr>
            </w:pPr>
          </w:p>
        </w:tc>
      </w:tr>
      <w:tr w:rsidR="00025973" w:rsidRPr="00B556AC" w14:paraId="31EDDE84" w14:textId="77777777" w:rsidTr="009B66BA">
        <w:tc>
          <w:tcPr>
            <w:cnfStyle w:val="001000000000" w:firstRow="0" w:lastRow="0" w:firstColumn="1" w:lastColumn="0" w:oddVBand="0" w:evenVBand="0" w:oddHBand="0" w:evenHBand="0" w:firstRowFirstColumn="0" w:firstRowLastColumn="0" w:lastRowFirstColumn="0" w:lastRowLastColumn="0"/>
            <w:tcW w:w="5234" w:type="dxa"/>
            <w:tcBorders>
              <w:bottom w:val="nil"/>
            </w:tcBorders>
            <w:vAlign w:val="bottom"/>
          </w:tcPr>
          <w:p w14:paraId="494D9007" w14:textId="77777777" w:rsidR="00025973" w:rsidRPr="00B556AC" w:rsidRDefault="00025973" w:rsidP="007574B3">
            <w:pPr>
              <w:rPr>
                <w:rFonts w:asciiTheme="minorHAnsi" w:hAnsiTheme="minorHAnsi" w:cs="Calibri"/>
                <w:b w:val="0"/>
                <w:bCs w:val="0"/>
                <w:sz w:val="20"/>
                <w:szCs w:val="20"/>
              </w:rPr>
            </w:pPr>
            <w:r w:rsidRPr="00B556AC">
              <w:rPr>
                <w:rFonts w:ascii="Calibri" w:hAnsi="Calibri" w:cs="Calibri"/>
                <w:b w:val="0"/>
                <w:bCs w:val="0"/>
                <w:color w:val="000000"/>
                <w:sz w:val="20"/>
                <w:szCs w:val="20"/>
              </w:rPr>
              <w:t>Change in annual average cumulative forest fire dan</w:t>
            </w:r>
            <w:r>
              <w:rPr>
                <w:rFonts w:ascii="Calibri" w:hAnsi="Calibri" w:cs="Calibri"/>
                <w:b w:val="0"/>
                <w:bCs w:val="0"/>
                <w:color w:val="000000"/>
                <w:sz w:val="20"/>
                <w:szCs w:val="20"/>
              </w:rPr>
              <w:t>g</w:t>
            </w:r>
            <w:r w:rsidRPr="00B556AC">
              <w:rPr>
                <w:rFonts w:ascii="Calibri" w:hAnsi="Calibri" w:cs="Calibri"/>
                <w:b w:val="0"/>
                <w:bCs w:val="0"/>
                <w:color w:val="000000"/>
                <w:sz w:val="20"/>
                <w:szCs w:val="20"/>
              </w:rPr>
              <w:t>er index</w:t>
            </w:r>
          </w:p>
        </w:tc>
        <w:tc>
          <w:tcPr>
            <w:tcW w:w="1389" w:type="dxa"/>
            <w:tcBorders>
              <w:bottom w:val="nil"/>
            </w:tcBorders>
            <w:vAlign w:val="bottom"/>
          </w:tcPr>
          <w:p w14:paraId="3F9B2992" w14:textId="77777777" w:rsidR="00025973" w:rsidRPr="00B556AC"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w:t>
            </w:r>
          </w:p>
        </w:tc>
        <w:tc>
          <w:tcPr>
            <w:tcW w:w="3329" w:type="dxa"/>
            <w:vMerge w:val="restart"/>
            <w:tcBorders>
              <w:bottom w:val="nil"/>
            </w:tcBorders>
            <w:shd w:val="clear" w:color="auto" w:fill="FFFFFF" w:themeFill="background2"/>
          </w:tcPr>
          <w:p w14:paraId="3E969563" w14:textId="77777777" w:rsidR="00025973" w:rsidRPr="00F07D6B" w:rsidRDefault="00025973" w:rsidP="007574B3">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F07D6B">
              <w:rPr>
                <w:rFonts w:asciiTheme="minorHAnsi" w:hAnsiTheme="minorHAnsi" w:cs="Calibri"/>
                <w:sz w:val="18"/>
                <w:szCs w:val="18"/>
              </w:rPr>
              <w:t>Based on 39 weather station locations and three GCMs that had the appropriate climate outputs to inform the FFDI</w:t>
            </w:r>
          </w:p>
        </w:tc>
      </w:tr>
      <w:tr w:rsidR="00025973" w:rsidRPr="00B556AC" w14:paraId="20389D68" w14:textId="77777777" w:rsidTr="009B66BA">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234" w:type="dxa"/>
            <w:tcBorders>
              <w:bottom w:val="single" w:sz="4" w:space="0" w:color="auto"/>
            </w:tcBorders>
            <w:vAlign w:val="bottom"/>
          </w:tcPr>
          <w:p w14:paraId="0D7E48D8" w14:textId="77777777" w:rsidR="00025973" w:rsidRPr="00B556AC" w:rsidRDefault="00025973" w:rsidP="007574B3">
            <w:pPr>
              <w:rPr>
                <w:rFonts w:asciiTheme="minorHAnsi" w:hAnsiTheme="minorHAnsi" w:cs="Calibri"/>
                <w:b w:val="0"/>
                <w:bCs w:val="0"/>
                <w:sz w:val="20"/>
                <w:szCs w:val="20"/>
              </w:rPr>
            </w:pPr>
            <w:r w:rsidRPr="00B556AC">
              <w:rPr>
                <w:rFonts w:ascii="Calibri" w:hAnsi="Calibri" w:cs="Calibri"/>
                <w:b w:val="0"/>
                <w:bCs w:val="0"/>
                <w:color w:val="000000"/>
                <w:sz w:val="20"/>
                <w:szCs w:val="20"/>
              </w:rPr>
              <w:t xml:space="preserve">Change in number days/year </w:t>
            </w:r>
            <w:r>
              <w:rPr>
                <w:rFonts w:ascii="Calibri" w:hAnsi="Calibri" w:cs="Calibri"/>
                <w:b w:val="0"/>
                <w:bCs w:val="0"/>
                <w:color w:val="000000"/>
                <w:sz w:val="20"/>
                <w:szCs w:val="20"/>
              </w:rPr>
              <w:t xml:space="preserve">with </w:t>
            </w:r>
            <w:r w:rsidRPr="00B556AC">
              <w:rPr>
                <w:rFonts w:ascii="Calibri" w:hAnsi="Calibri" w:cs="Calibri"/>
                <w:b w:val="0"/>
                <w:bCs w:val="0"/>
                <w:color w:val="000000"/>
                <w:sz w:val="20"/>
                <w:szCs w:val="20"/>
              </w:rPr>
              <w:t>FFDI &gt; High</w:t>
            </w:r>
          </w:p>
        </w:tc>
        <w:tc>
          <w:tcPr>
            <w:tcW w:w="1389" w:type="dxa"/>
            <w:tcBorders>
              <w:bottom w:val="single" w:sz="4" w:space="0" w:color="auto"/>
            </w:tcBorders>
            <w:vAlign w:val="bottom"/>
          </w:tcPr>
          <w:p w14:paraId="40BD469C" w14:textId="77777777" w:rsidR="00025973" w:rsidRPr="00B556AC"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B556AC">
              <w:rPr>
                <w:rFonts w:asciiTheme="minorHAnsi" w:hAnsiTheme="minorHAnsi" w:cs="Calibri"/>
                <w:sz w:val="20"/>
                <w:szCs w:val="20"/>
              </w:rPr>
              <w:t>Days</w:t>
            </w:r>
          </w:p>
        </w:tc>
        <w:tc>
          <w:tcPr>
            <w:tcW w:w="3329" w:type="dxa"/>
            <w:vMerge/>
            <w:tcBorders>
              <w:bottom w:val="single" w:sz="4" w:space="0" w:color="auto"/>
            </w:tcBorders>
            <w:vAlign w:val="bottom"/>
          </w:tcPr>
          <w:p w14:paraId="384A94BB" w14:textId="77777777" w:rsidR="00025973" w:rsidRPr="00F07D6B" w:rsidRDefault="00025973" w:rsidP="007574B3">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8"/>
                <w:szCs w:val="18"/>
              </w:rPr>
            </w:pPr>
          </w:p>
        </w:tc>
      </w:tr>
      <w:tr w:rsidR="00B60E33" w:rsidRPr="00B556AC" w14:paraId="432C5FA0" w14:textId="77777777" w:rsidTr="00B60E33">
        <w:tc>
          <w:tcPr>
            <w:cnfStyle w:val="001000000000" w:firstRow="0" w:lastRow="0" w:firstColumn="1" w:lastColumn="0" w:oddVBand="0" w:evenVBand="0" w:oddHBand="0" w:evenHBand="0" w:firstRowFirstColumn="0" w:firstRowLastColumn="0" w:lastRowFirstColumn="0" w:lastRowLastColumn="0"/>
            <w:tcW w:w="5234" w:type="dxa"/>
          </w:tcPr>
          <w:p w14:paraId="5397DFE9" w14:textId="4A05F50F" w:rsidR="00B60E33" w:rsidRPr="00E10417" w:rsidRDefault="00B60E33" w:rsidP="00AB7787">
            <w:pPr>
              <w:rPr>
                <w:rFonts w:ascii="Calibri" w:hAnsi="Calibri" w:cs="Calibri"/>
                <w:b w:val="0"/>
                <w:bCs w:val="0"/>
                <w:color w:val="000000"/>
                <w:sz w:val="20"/>
                <w:szCs w:val="20"/>
              </w:rPr>
            </w:pPr>
            <w:r>
              <w:rPr>
                <w:rFonts w:asciiTheme="minorHAnsi" w:hAnsiTheme="minorHAnsi" w:cstheme="minorHAnsi"/>
                <w:b w:val="0"/>
                <w:bCs w:val="0"/>
                <w:sz w:val="20"/>
                <w:szCs w:val="20"/>
              </w:rPr>
              <w:t>Changes in atmospheric CO</w:t>
            </w:r>
            <w:r w:rsidRPr="008D11AD">
              <w:rPr>
                <w:rFonts w:asciiTheme="minorHAnsi" w:hAnsiTheme="minorHAnsi" w:cstheme="minorHAnsi"/>
                <w:sz w:val="20"/>
                <w:szCs w:val="20"/>
                <w:vertAlign w:val="subscript"/>
              </w:rPr>
              <w:t>2</w:t>
            </w:r>
            <w:r>
              <w:rPr>
                <w:rFonts w:asciiTheme="minorHAnsi" w:hAnsiTheme="minorHAnsi" w:cstheme="minorHAnsi"/>
                <w:b w:val="0"/>
                <w:bCs w:val="0"/>
                <w:sz w:val="20"/>
                <w:szCs w:val="20"/>
              </w:rPr>
              <w:t xml:space="preserve"> concentration</w:t>
            </w:r>
          </w:p>
        </w:tc>
        <w:tc>
          <w:tcPr>
            <w:tcW w:w="1389" w:type="dxa"/>
          </w:tcPr>
          <w:p w14:paraId="0475C9F6" w14:textId="77777777" w:rsidR="00B60E33" w:rsidRPr="00B556AC" w:rsidRDefault="00B60E33" w:rsidP="00AB7787">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p>
        </w:tc>
        <w:tc>
          <w:tcPr>
            <w:tcW w:w="3329" w:type="dxa"/>
          </w:tcPr>
          <w:p w14:paraId="35D18D74" w14:textId="77777777" w:rsidR="00B60E33" w:rsidRPr="00A40BC1" w:rsidRDefault="00B60E33" w:rsidP="00AB778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20BB6DF6" w14:textId="330C45EE" w:rsidR="00024472" w:rsidRDefault="00024472" w:rsidP="00024472">
      <w:pPr>
        <w:pStyle w:val="BodyText"/>
      </w:pPr>
    </w:p>
    <w:p w14:paraId="78E39B71" w14:textId="37571064" w:rsidR="00024472" w:rsidRPr="008D11AD" w:rsidRDefault="003767E7" w:rsidP="00024472">
      <w:pPr>
        <w:pStyle w:val="BodyText"/>
        <w:rPr>
          <w:i/>
          <w:iCs/>
        </w:rPr>
      </w:pPr>
      <w:r w:rsidRPr="008D11AD">
        <w:rPr>
          <w:i/>
          <w:iCs/>
        </w:rPr>
        <w:t>Combined and interactive effects of disturbance</w:t>
      </w:r>
    </w:p>
    <w:p w14:paraId="23704C91" w14:textId="5F9F1DBC" w:rsidR="00F11029" w:rsidRDefault="008B2C16" w:rsidP="00B87BA8">
      <w:pPr>
        <w:pStyle w:val="BodyText"/>
      </w:pPr>
      <w:r>
        <w:t>Many environmental disturbances can co-occur</w:t>
      </w:r>
      <w:r w:rsidR="00864BFF">
        <w:t xml:space="preserve">, with the potential for their effects to be interactive. </w:t>
      </w:r>
      <w:r w:rsidR="00325D97">
        <w:t xml:space="preserve">Documented examples include the relationships between </w:t>
      </w:r>
      <w:r w:rsidR="003B34BC">
        <w:t>prior</w:t>
      </w:r>
      <w:r w:rsidR="00325D97">
        <w:t xml:space="preserve"> drought conditions and wildfire risk</w:t>
      </w:r>
      <w:r w:rsidR="00E3732E">
        <w:t xml:space="preserve"> (</w:t>
      </w:r>
      <w:r w:rsidR="0021140F">
        <w:t>H</w:t>
      </w:r>
      <w:r w:rsidR="00E76005">
        <w:t>e</w:t>
      </w:r>
      <w:r w:rsidR="0021140F">
        <w:t>nnessy et al. 2005</w:t>
      </w:r>
      <w:r w:rsidR="00E3732E">
        <w:t>)</w:t>
      </w:r>
      <w:r w:rsidR="00F45C78">
        <w:t>;</w:t>
      </w:r>
      <w:r w:rsidR="00325D97">
        <w:t xml:space="preserve"> between drought and heat stress</w:t>
      </w:r>
      <w:r w:rsidR="00E3732E">
        <w:t xml:space="preserve"> (</w:t>
      </w:r>
      <w:r w:rsidR="00001D95">
        <w:t xml:space="preserve">Sippel et al. 2018; </w:t>
      </w:r>
      <w:r w:rsidR="005665D6">
        <w:t>Fahad et al. 2019</w:t>
      </w:r>
      <w:r w:rsidR="00E3732E">
        <w:t>)</w:t>
      </w:r>
      <w:r w:rsidR="009F4878">
        <w:t>;</w:t>
      </w:r>
      <w:r w:rsidR="00325D97">
        <w:t xml:space="preserve"> and</w:t>
      </w:r>
      <w:r w:rsidR="00E3732E">
        <w:t xml:space="preserve"> between drought and insect defoliation</w:t>
      </w:r>
      <w:r w:rsidR="008732B9">
        <w:t xml:space="preserve"> (</w:t>
      </w:r>
      <w:r w:rsidR="001875BF">
        <w:t>Mitchell et al. 2013</w:t>
      </w:r>
      <w:r w:rsidR="008732B9">
        <w:t>).</w:t>
      </w:r>
    </w:p>
    <w:p w14:paraId="4EFE68B0" w14:textId="16B1B036" w:rsidR="00B87BA8" w:rsidRDefault="00864BFF" w:rsidP="00B87BA8">
      <w:pPr>
        <w:pStyle w:val="BodyText"/>
      </w:pPr>
      <w:r>
        <w:t xml:space="preserve">For </w:t>
      </w:r>
      <w:r w:rsidR="00DD0CF9">
        <w:t>t</w:t>
      </w:r>
      <w:r>
        <w:t xml:space="preserve">he risk assessment </w:t>
      </w:r>
      <w:r w:rsidR="004168AC">
        <w:t xml:space="preserve">in Section 3 the potential for such interactions is noted, but </w:t>
      </w:r>
      <w:r w:rsidR="0019304C">
        <w:t xml:space="preserve">no attempt </w:t>
      </w:r>
      <w:r w:rsidR="00DD0CF9">
        <w:t xml:space="preserve">was made to </w:t>
      </w:r>
      <w:r w:rsidR="00F11029">
        <w:t>quantify</w:t>
      </w:r>
      <w:r w:rsidR="006876C2">
        <w:t xml:space="preserve"> the nature of those interactions, </w:t>
      </w:r>
      <w:r w:rsidR="009B2B59">
        <w:t xml:space="preserve">or </w:t>
      </w:r>
      <w:r w:rsidR="006876C2">
        <w:t xml:space="preserve">how they manifest </w:t>
      </w:r>
      <w:r w:rsidR="00212515">
        <w:t xml:space="preserve">as </w:t>
      </w:r>
      <w:r w:rsidR="0019304C">
        <w:t>an aggregate</w:t>
      </w:r>
      <w:r w:rsidR="003F16DA">
        <w:t xml:space="preserve"> (i.e. multi-disturbance)</w:t>
      </w:r>
      <w:r w:rsidR="0019304C">
        <w:t xml:space="preserve"> risk factor</w:t>
      </w:r>
      <w:r w:rsidR="009B2B59">
        <w:t xml:space="preserve">. </w:t>
      </w:r>
      <w:r w:rsidR="003B34BC">
        <w:t>In some cases, such as the relationship between fire and prior drought</w:t>
      </w:r>
      <w:r w:rsidR="00C503E8">
        <w:t>,</w:t>
      </w:r>
      <w:r w:rsidR="003B34BC">
        <w:t xml:space="preserve"> </w:t>
      </w:r>
      <w:r w:rsidR="005E708C">
        <w:t xml:space="preserve">the interaction is </w:t>
      </w:r>
      <w:r w:rsidR="003B34BC">
        <w:t xml:space="preserve">already embedded within the </w:t>
      </w:r>
      <w:r w:rsidR="00747074">
        <w:t xml:space="preserve">risk rating (e.g. through </w:t>
      </w:r>
      <w:r w:rsidR="005E708C">
        <w:t xml:space="preserve">the representation of </w:t>
      </w:r>
      <w:r w:rsidR="00747074">
        <w:t xml:space="preserve">drought impacts on fuel </w:t>
      </w:r>
      <w:r w:rsidR="005E708C">
        <w:t>dryness</w:t>
      </w:r>
      <w:r w:rsidR="00747074">
        <w:t xml:space="preserve">). However </w:t>
      </w:r>
      <w:r w:rsidR="00715D26">
        <w:t>for many cases</w:t>
      </w:r>
      <w:r w:rsidR="00747074">
        <w:t xml:space="preserve">, such as interactions </w:t>
      </w:r>
      <w:r w:rsidR="005C1E38">
        <w:t>with pest</w:t>
      </w:r>
      <w:r w:rsidR="00F11029">
        <w:t xml:space="preserve"> </w:t>
      </w:r>
      <w:r w:rsidR="005C1E38">
        <w:t>and disease dynamics, the evidence is fragmentary,</w:t>
      </w:r>
      <w:r w:rsidR="00C503E8">
        <w:t xml:space="preserve"> with further work </w:t>
      </w:r>
      <w:r w:rsidR="00715D26">
        <w:t>required to tease apart</w:t>
      </w:r>
      <w:r w:rsidR="003F16DA">
        <w:t xml:space="preserve"> the </w:t>
      </w:r>
      <w:r w:rsidR="0041667C">
        <w:t>contributing mechanisms.</w:t>
      </w:r>
      <w:r w:rsidR="00715D26">
        <w:t xml:space="preserve"> </w:t>
      </w:r>
      <w:r w:rsidR="008B2C16">
        <w:t xml:space="preserve"> </w:t>
      </w:r>
    </w:p>
    <w:p w14:paraId="608082B4" w14:textId="77777777" w:rsidR="00B87BA8" w:rsidRDefault="00B87BA8" w:rsidP="00B87BA8">
      <w:pPr>
        <w:pStyle w:val="BodyText"/>
      </w:pPr>
    </w:p>
    <w:p w14:paraId="093D8399" w14:textId="3B283FBB" w:rsidR="00024472" w:rsidRDefault="00024472" w:rsidP="00B87BA8">
      <w:pPr>
        <w:pStyle w:val="BodyText"/>
      </w:pPr>
    </w:p>
    <w:p w14:paraId="5F440A55" w14:textId="77777777" w:rsidR="00024472" w:rsidRPr="00024472" w:rsidRDefault="00024472" w:rsidP="00024472">
      <w:pPr>
        <w:pStyle w:val="BodyText"/>
      </w:pPr>
    </w:p>
    <w:p w14:paraId="786809E2" w14:textId="3602B1B4" w:rsidR="0021349E" w:rsidRDefault="009A1C03" w:rsidP="00E57E46">
      <w:pPr>
        <w:pStyle w:val="Heading1"/>
      </w:pPr>
      <w:bookmarkStart w:id="46" w:name="_Ref45980205"/>
      <w:bookmarkStart w:id="47" w:name="_Toc52873090"/>
      <w:bookmarkStart w:id="48" w:name="_Toc53075121"/>
      <w:r w:rsidRPr="009A1C03">
        <w:lastRenderedPageBreak/>
        <w:t>Implications for the current Emissions Reduction Fund project portfolio</w:t>
      </w:r>
      <w:bookmarkEnd w:id="46"/>
      <w:bookmarkEnd w:id="47"/>
      <w:bookmarkEnd w:id="48"/>
    </w:p>
    <w:p w14:paraId="19346C81" w14:textId="77777777" w:rsidR="00AE1CEF" w:rsidRDefault="00AE1CEF" w:rsidP="00AE1CEF">
      <w:pPr>
        <w:pStyle w:val="Heading2"/>
      </w:pPr>
      <w:bookmarkStart w:id="49" w:name="_Toc52873091"/>
      <w:bookmarkStart w:id="50" w:name="_Toc53075122"/>
      <w:r>
        <w:t>Overview of the current ERF portfolio</w:t>
      </w:r>
      <w:bookmarkEnd w:id="49"/>
      <w:bookmarkEnd w:id="50"/>
    </w:p>
    <w:p w14:paraId="0B3348B0" w14:textId="7D6928AC" w:rsidR="00AE1CEF" w:rsidRDefault="00AE1CEF" w:rsidP="00AE1CEF">
      <w:pPr>
        <w:pStyle w:val="BodyText"/>
      </w:pPr>
      <w:r>
        <w:t>Storing carbon in the landscape and changing the emissions profile from rural land use has the potential to offset a significant proportion of Australia’s total GHG emissions (Eady et al. 2009). Indeed, 70% of the abatement that has been delivered thus far under the ERF has been generated by activity within the land sector, and if all of the contracted abatement is delivered, the land sector contribution would rise to 82% (</w:t>
      </w:r>
      <w:r>
        <w:fldChar w:fldCharType="begin"/>
      </w:r>
      <w:r>
        <w:instrText xml:space="preserve"> REF _Ref48506136 \h </w:instrText>
      </w:r>
      <w:r>
        <w:fldChar w:fldCharType="separate"/>
      </w:r>
      <w:r w:rsidR="00235F13">
        <w:t xml:space="preserve">Table </w:t>
      </w:r>
      <w:r w:rsidR="00235F13">
        <w:rPr>
          <w:noProof/>
        </w:rPr>
        <w:t>8</w:t>
      </w:r>
      <w:r>
        <w:fldChar w:fldCharType="end"/>
      </w:r>
      <w:r>
        <w:t>)</w:t>
      </w:r>
      <w:r w:rsidR="00BF2234">
        <w:t xml:space="preserve">. </w:t>
      </w:r>
      <w:r>
        <w:t>The land sector contribution is dominated by Human Induced Regrowth/Native Forest from Managed Regrowth (49.5% of total contracted abatement), Avoided Clearing/Avoided Deforestation (13.8%), management of Savanna Burning (7.0%), Soil Carbon management (7.2%), and Reforestation (2.0%). Across all sectors 192.8 Mt of CO</w:t>
      </w:r>
      <w:r w:rsidRPr="00A75AC4">
        <w:rPr>
          <w:vertAlign w:val="subscript"/>
        </w:rPr>
        <w:t>2</w:t>
      </w:r>
      <w:r>
        <w:t xml:space="preserve">-e has been contracted under the fund, with 54.4 Mt (or 28.2%) already delivered. </w:t>
      </w:r>
    </w:p>
    <w:p w14:paraId="497847C7" w14:textId="6CFF0124" w:rsidR="00AE1CEF" w:rsidRDefault="002329E9" w:rsidP="00AE1CEF">
      <w:pPr>
        <w:pStyle w:val="BodyText"/>
      </w:pPr>
      <w:r>
        <w:t xml:space="preserve">The </w:t>
      </w:r>
      <w:r w:rsidR="00ED30BD">
        <w:t>permanence</w:t>
      </w:r>
      <w:r>
        <w:t xml:space="preserve"> period for ERF</w:t>
      </w:r>
      <w:r w:rsidR="008E3B8F" w:rsidRPr="008E3B8F">
        <w:t xml:space="preserve"> </w:t>
      </w:r>
      <w:r w:rsidR="008E3B8F">
        <w:t>sequestration</w:t>
      </w:r>
      <w:r>
        <w:t xml:space="preserve"> projects is </w:t>
      </w:r>
      <w:r w:rsidR="00423E2F">
        <w:t>either 25 or 100 years, and this is</w:t>
      </w:r>
      <w:r>
        <w:t xml:space="preserve"> </w:t>
      </w:r>
      <w:r w:rsidR="00D011AF">
        <w:t xml:space="preserve">the </w:t>
      </w:r>
      <w:r>
        <w:t>time period over which</w:t>
      </w:r>
      <w:r w:rsidR="008E3B8F">
        <w:t xml:space="preserve"> the project proponents must </w:t>
      </w:r>
      <w:r w:rsidR="00423E2F">
        <w:t xml:space="preserve">maintain carbon stores for which ACCUs have been issued. </w:t>
      </w:r>
      <w:r w:rsidR="00926921">
        <w:t>However, t</w:t>
      </w:r>
      <w:r w:rsidR="00AE1CEF">
        <w:t xml:space="preserve">he contract period for ERF projects </w:t>
      </w:r>
      <w:r w:rsidR="00EE6F37">
        <w:t xml:space="preserve">is </w:t>
      </w:r>
      <w:r w:rsidR="00AE1CEF">
        <w:t xml:space="preserve">the time period over which </w:t>
      </w:r>
      <w:r w:rsidR="00EE6F37">
        <w:t xml:space="preserve">the project is contracted to deliver </w:t>
      </w:r>
      <w:r w:rsidR="00926921">
        <w:t>ACCUs</w:t>
      </w:r>
      <w:r w:rsidR="00F612F7">
        <w:t xml:space="preserve">. This period </w:t>
      </w:r>
      <w:r w:rsidR="00AE1CEF">
        <w:t>differs between methodologies, ranging from 1 year to 10 years, with an average period of 7.9 years. Dividing contracted project abatement by the delivery period yields a total annualised abatement rate of 21.7 Mt CO</w:t>
      </w:r>
      <w:r w:rsidR="00AE1CEF" w:rsidRPr="00A75AC4">
        <w:rPr>
          <w:vertAlign w:val="subscript"/>
        </w:rPr>
        <w:t>2</w:t>
      </w:r>
      <w:r w:rsidR="00AE1CEF">
        <w:t>-e yr</w:t>
      </w:r>
      <w:r w:rsidR="00B329F2" w:rsidRPr="00A75AC4">
        <w:rPr>
          <w:vertAlign w:val="superscript"/>
        </w:rPr>
        <w:t>-</w:t>
      </w:r>
      <w:r w:rsidR="00AE1CEF" w:rsidRPr="00A75AC4">
        <w:rPr>
          <w:vertAlign w:val="superscript"/>
        </w:rPr>
        <w:t>1</w:t>
      </w:r>
      <w:r w:rsidR="00AE1CEF">
        <w:t>, or approximately 4% of current total annual emissions. Performing the same calculation on the abatement that has already been delivered yields 14.7 Mt CO</w:t>
      </w:r>
      <w:r w:rsidR="00AE1CEF" w:rsidRPr="00A75AC4">
        <w:rPr>
          <w:vertAlign w:val="subscript"/>
        </w:rPr>
        <w:t>2</w:t>
      </w:r>
      <w:r w:rsidR="00AE1CEF">
        <w:t>-e yr</w:t>
      </w:r>
      <w:r w:rsidR="00B329F2" w:rsidRPr="00A75AC4">
        <w:rPr>
          <w:vertAlign w:val="superscript"/>
        </w:rPr>
        <w:t>-</w:t>
      </w:r>
      <w:r w:rsidR="00AE1CEF" w:rsidRPr="00A75AC4">
        <w:rPr>
          <w:vertAlign w:val="superscript"/>
        </w:rPr>
        <w:t>1</w:t>
      </w:r>
      <w:r w:rsidR="00AE1CEF">
        <w:t xml:space="preserve"> (Table </w:t>
      </w:r>
      <w:r w:rsidR="00062FAF">
        <w:t>8</w:t>
      </w:r>
      <w:r w:rsidR="00AE1CEF">
        <w:t>). For the land sector sub-set of projects, the corresponding annualised amounts are 16.3 Mt CO2-e yr</w:t>
      </w:r>
      <w:r w:rsidR="000E0B5E" w:rsidRPr="008D11AD">
        <w:rPr>
          <w:vertAlign w:val="superscript"/>
        </w:rPr>
        <w:t>-</w:t>
      </w:r>
      <w:r w:rsidR="00AE1CEF" w:rsidRPr="008D11AD">
        <w:rPr>
          <w:vertAlign w:val="superscript"/>
        </w:rPr>
        <w:t>1</w:t>
      </w:r>
      <w:r w:rsidR="00AE1CEF">
        <w:t xml:space="preserve"> contracted, and 10.9 Mt CO</w:t>
      </w:r>
      <w:r w:rsidR="00AE1CEF" w:rsidRPr="00A75AC4">
        <w:rPr>
          <w:vertAlign w:val="subscript"/>
        </w:rPr>
        <w:t>2</w:t>
      </w:r>
      <w:r w:rsidR="00AE1CEF">
        <w:t>-e yr</w:t>
      </w:r>
      <w:r w:rsidR="00B329F2" w:rsidRPr="00A75AC4">
        <w:rPr>
          <w:vertAlign w:val="superscript"/>
        </w:rPr>
        <w:t>-</w:t>
      </w:r>
      <w:r w:rsidR="00AE1CEF" w:rsidRPr="00A75AC4">
        <w:rPr>
          <w:vertAlign w:val="superscript"/>
        </w:rPr>
        <w:t>1</w:t>
      </w:r>
      <w:r w:rsidR="00AE1CEF">
        <w:t xml:space="preserve"> for the abatement that has already been delivered. </w:t>
      </w:r>
      <w:r w:rsidR="00B329F2">
        <w:t>Note that actual annual delivery will differ from these average values</w:t>
      </w:r>
      <w:r w:rsidR="00EE65D6">
        <w:t>,</w:t>
      </w:r>
      <w:r w:rsidR="00B329F2">
        <w:t xml:space="preserve"> due to differing rates at which abatement is generated within projects.</w:t>
      </w:r>
    </w:p>
    <w:p w14:paraId="26666DD8" w14:textId="3A96C4B6" w:rsidR="00AE1CEF" w:rsidRDefault="00AE1CEF" w:rsidP="00AE1CEF">
      <w:pPr>
        <w:pStyle w:val="BodyText"/>
      </w:pPr>
      <w:r>
        <w:t xml:space="preserve">The gap between the average rates of annual abatement required under contract, and the achieved rates over the first few years of project delivery, means that rates of abatement must increase significantly over the remaining lives of the contracts for the total contracted abatement to be achieved, or </w:t>
      </w:r>
      <w:r w:rsidR="00B329F2">
        <w:t>be sourced from other projects</w:t>
      </w:r>
      <w:r>
        <w:t xml:space="preserve">. In some cases, such as methods based on tree growth projections from FullCAM, this is expected, as sequestration in vegetation starts off slow and then accelerates to a maximum after about 5-10 years. </w:t>
      </w:r>
    </w:p>
    <w:p w14:paraId="4290B50F" w14:textId="2EDB92E1" w:rsidR="00AE1CEF" w:rsidRPr="00B402E7" w:rsidRDefault="00AE1CEF" w:rsidP="00AE1CEF">
      <w:pPr>
        <w:pStyle w:val="BodyText"/>
        <w:sectPr w:rsidR="00AE1CEF" w:rsidRPr="00B402E7" w:rsidSect="004759A7">
          <w:headerReference w:type="even" r:id="rId40"/>
          <w:headerReference w:type="default" r:id="rId41"/>
          <w:headerReference w:type="first" r:id="rId42"/>
          <w:footerReference w:type="first" r:id="rId43"/>
          <w:pgSz w:w="11906" w:h="16838" w:code="9"/>
          <w:pgMar w:top="1134" w:right="1134" w:bottom="1134" w:left="1134" w:header="510" w:footer="624" w:gutter="0"/>
          <w:cols w:space="850"/>
          <w:docGrid w:linePitch="360"/>
        </w:sectPr>
      </w:pPr>
      <w:r>
        <w:t xml:space="preserve">The annualised abatement rates for the land sector in </w:t>
      </w:r>
      <w:r>
        <w:fldChar w:fldCharType="begin"/>
      </w:r>
      <w:r>
        <w:instrText xml:space="preserve"> REF _Ref48506136 \h </w:instrText>
      </w:r>
      <w:r>
        <w:fldChar w:fldCharType="separate"/>
      </w:r>
      <w:r w:rsidR="00235F13">
        <w:t xml:space="preserve">Table </w:t>
      </w:r>
      <w:r w:rsidR="00235F13">
        <w:rPr>
          <w:noProof/>
        </w:rPr>
        <w:t>8</w:t>
      </w:r>
      <w:r>
        <w:fldChar w:fldCharType="end"/>
      </w:r>
      <w:r>
        <w:t xml:space="preserve"> are consistent with earlier projections for the year 2020 (Battaglia 2012), estimated to be in the range 4 – 34 Mt CO</w:t>
      </w:r>
      <w:r w:rsidRPr="002E55AC">
        <w:rPr>
          <w:vertAlign w:val="subscript"/>
        </w:rPr>
        <w:t>2</w:t>
      </w:r>
      <w:r>
        <w:t>-e yr</w:t>
      </w:r>
      <w:r w:rsidRPr="002E55AC">
        <w:rPr>
          <w:vertAlign w:val="superscript"/>
        </w:rPr>
        <w:t>-1</w:t>
      </w:r>
      <w:r>
        <w:t>, but are significantly lower than what has been suggested as being possible over the longer term. For example, across all land sector activities and for just the state of Queensland, Eady et al. (2009) suggested 140 Mt CO</w:t>
      </w:r>
      <w:r w:rsidRPr="002E55AC">
        <w:rPr>
          <w:vertAlign w:val="subscript"/>
        </w:rPr>
        <w:t>2</w:t>
      </w:r>
      <w:r>
        <w:t>-e yr</w:t>
      </w:r>
      <w:r w:rsidRPr="002E55AC">
        <w:rPr>
          <w:vertAlign w:val="superscript"/>
        </w:rPr>
        <w:t>-1</w:t>
      </w:r>
      <w:r>
        <w:t xml:space="preserve"> might be achievable by 2050, with somewhat lower estimates of 53 – 141 CO</w:t>
      </w:r>
      <w:r w:rsidRPr="002E55AC">
        <w:rPr>
          <w:vertAlign w:val="subscript"/>
        </w:rPr>
        <w:t>2</w:t>
      </w:r>
      <w:r>
        <w:t>-e yr</w:t>
      </w:r>
      <w:r w:rsidRPr="002E55AC">
        <w:rPr>
          <w:vertAlign w:val="superscript"/>
        </w:rPr>
        <w:t>-1</w:t>
      </w:r>
      <w:r>
        <w:t xml:space="preserve"> (also by 2050, but at the national scale) suggested by Battaglia (2012).</w:t>
      </w:r>
    </w:p>
    <w:p w14:paraId="447EE621" w14:textId="2AF2C85E" w:rsidR="00AE1CEF" w:rsidRPr="008B36AD" w:rsidRDefault="00AE1CEF" w:rsidP="00AE1CEF">
      <w:pPr>
        <w:pStyle w:val="Caption"/>
        <w:spacing w:after="60"/>
        <w:rPr>
          <w:color w:val="FFFFFF" w:themeColor="background1"/>
        </w:rPr>
      </w:pPr>
      <w:bookmarkStart w:id="51" w:name="_Ref48506136"/>
      <w:bookmarkStart w:id="52" w:name="_Toc52971063"/>
      <w:r>
        <w:lastRenderedPageBreak/>
        <w:t xml:space="preserve">Table </w:t>
      </w:r>
      <w:r>
        <w:fldChar w:fldCharType="begin"/>
      </w:r>
      <w:r>
        <w:instrText>SEQ Table \* ARABIC</w:instrText>
      </w:r>
      <w:r>
        <w:fldChar w:fldCharType="separate"/>
      </w:r>
      <w:r w:rsidR="00235F13">
        <w:rPr>
          <w:noProof/>
        </w:rPr>
        <w:t>8</w:t>
      </w:r>
      <w:r>
        <w:fldChar w:fldCharType="end"/>
      </w:r>
      <w:bookmarkEnd w:id="51"/>
      <w:r w:rsidRPr="0021349E">
        <w:rPr>
          <w:b w:val="0"/>
          <w:bCs w:val="0"/>
        </w:rPr>
        <w:t>. Summary of contracted ERF projects as at 17 May 2020</w:t>
      </w:r>
      <w:r w:rsidRPr="0021349E">
        <w:rPr>
          <w:b w:val="0"/>
          <w:bCs w:val="0"/>
          <w:vertAlign w:val="superscript"/>
        </w:rPr>
        <w:t>1</w:t>
      </w:r>
      <w:r w:rsidRPr="0021349E">
        <w:rPr>
          <w:b w:val="0"/>
          <w:bCs w:val="0"/>
        </w:rPr>
        <w:t>. Green text indicates land-based ERF methodologies considered in this project. Revoked projects have been excluded from this table</w:t>
      </w:r>
      <w:r w:rsidRPr="003F4218">
        <w:t>.</w:t>
      </w:r>
      <w:bookmarkEnd w:id="52"/>
    </w:p>
    <w:tbl>
      <w:tblPr>
        <w:tblStyle w:val="TableCSIRO"/>
        <w:tblW w:w="14602" w:type="dxa"/>
        <w:tblInd w:w="-142" w:type="dxa"/>
        <w:tblLayout w:type="fixed"/>
        <w:tblLook w:val="04A0" w:firstRow="1" w:lastRow="0" w:firstColumn="1" w:lastColumn="0" w:noHBand="0" w:noVBand="1"/>
      </w:tblPr>
      <w:tblGrid>
        <w:gridCol w:w="6"/>
        <w:gridCol w:w="1530"/>
        <w:gridCol w:w="3193"/>
        <w:gridCol w:w="975"/>
        <w:gridCol w:w="1109"/>
        <w:gridCol w:w="1270"/>
        <w:gridCol w:w="1270"/>
        <w:gridCol w:w="1270"/>
        <w:gridCol w:w="1270"/>
        <w:gridCol w:w="1270"/>
        <w:gridCol w:w="1439"/>
      </w:tblGrid>
      <w:tr w:rsidR="005A0FA2" w:rsidRPr="00033EB1" w14:paraId="18B55797" w14:textId="77777777" w:rsidTr="000E0B5E">
        <w:trPr>
          <w:cnfStyle w:val="100000000000" w:firstRow="1" w:lastRow="0" w:firstColumn="0" w:lastColumn="0" w:oddVBand="0" w:evenVBand="0" w:oddHBand="0" w:evenHBand="0" w:firstRowFirstColumn="0" w:firstRowLastColumn="0" w:lastRowFirstColumn="0" w:lastRowLastColumn="0"/>
          <w:trHeight w:val="943"/>
        </w:trPr>
        <w:tc>
          <w:tcPr>
            <w:cnfStyle w:val="001000000000" w:firstRow="0" w:lastRow="0" w:firstColumn="1" w:lastColumn="0" w:oddVBand="0" w:evenVBand="0" w:oddHBand="0" w:evenHBand="0" w:firstRowFirstColumn="0" w:firstRowLastColumn="0" w:lastRowFirstColumn="0" w:lastRowLastColumn="0"/>
            <w:tcW w:w="1536" w:type="dxa"/>
            <w:gridSpan w:val="2"/>
          </w:tcPr>
          <w:p w14:paraId="534F461F" w14:textId="77777777" w:rsidR="00AE1CEF" w:rsidRDefault="00AE1CEF" w:rsidP="00A871E9">
            <w:pPr>
              <w:rPr>
                <w:rFonts w:asciiTheme="minorHAnsi" w:hAnsiTheme="minorHAnsi" w:cs="Arial"/>
                <w:b w:val="0"/>
                <w:bCs w:val="0"/>
                <w:color w:val="FFFFFF"/>
                <w:sz w:val="18"/>
                <w:szCs w:val="18"/>
              </w:rPr>
            </w:pPr>
            <w:r>
              <w:rPr>
                <w:rFonts w:asciiTheme="minorHAnsi" w:hAnsiTheme="minorHAnsi" w:cs="Arial"/>
                <w:color w:val="FFFFFF"/>
                <w:sz w:val="18"/>
                <w:szCs w:val="18"/>
              </w:rPr>
              <w:t xml:space="preserve">Activity </w:t>
            </w:r>
          </w:p>
          <w:p w14:paraId="2341EDB4" w14:textId="77777777" w:rsidR="00AE1CEF" w:rsidRPr="00C10851" w:rsidRDefault="00AE1CEF" w:rsidP="00A871E9">
            <w:pPr>
              <w:rPr>
                <w:rFonts w:asciiTheme="minorHAnsi" w:hAnsiTheme="minorHAnsi" w:cs="Arial"/>
                <w:color w:val="FFFFFF"/>
                <w:sz w:val="18"/>
                <w:szCs w:val="18"/>
              </w:rPr>
            </w:pPr>
            <w:r>
              <w:rPr>
                <w:rFonts w:asciiTheme="minorHAnsi" w:hAnsiTheme="minorHAnsi" w:cs="Arial"/>
                <w:color w:val="FFFFFF"/>
                <w:sz w:val="18"/>
                <w:szCs w:val="18"/>
              </w:rPr>
              <w:t>category</w:t>
            </w:r>
          </w:p>
        </w:tc>
        <w:tc>
          <w:tcPr>
            <w:tcW w:w="3193" w:type="dxa"/>
          </w:tcPr>
          <w:p w14:paraId="3348CF15" w14:textId="77777777" w:rsidR="00AE1CEF" w:rsidRPr="00C10851" w:rsidRDefault="00AE1CEF" w:rsidP="00A871E9">
            <w:pP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Pr>
                <w:rFonts w:asciiTheme="minorHAnsi" w:hAnsiTheme="minorHAnsi" w:cs="Arial"/>
                <w:color w:val="FFFFFF"/>
                <w:sz w:val="18"/>
                <w:szCs w:val="18"/>
              </w:rPr>
              <w:t>Activity</w:t>
            </w:r>
          </w:p>
        </w:tc>
        <w:tc>
          <w:tcPr>
            <w:tcW w:w="975" w:type="dxa"/>
          </w:tcPr>
          <w:p w14:paraId="0B3D376B"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color w:val="FFFFFF"/>
                <w:sz w:val="18"/>
                <w:szCs w:val="18"/>
              </w:rPr>
              <w:t>Number of registered projects</w:t>
            </w:r>
          </w:p>
        </w:tc>
        <w:tc>
          <w:tcPr>
            <w:tcW w:w="1109" w:type="dxa"/>
          </w:tcPr>
          <w:p w14:paraId="4683AEBB"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color w:val="FFFFFF"/>
                <w:sz w:val="18"/>
                <w:szCs w:val="18"/>
              </w:rPr>
              <w:t>Number of contracted projects</w:t>
            </w:r>
          </w:p>
        </w:tc>
        <w:tc>
          <w:tcPr>
            <w:tcW w:w="1270" w:type="dxa"/>
          </w:tcPr>
          <w:p w14:paraId="44D311E0"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sz w:val="18"/>
                <w:szCs w:val="18"/>
              </w:rPr>
              <w:t>Contracted abatement</w:t>
            </w:r>
          </w:p>
          <w:p w14:paraId="7061A553"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sz w:val="18"/>
                <w:szCs w:val="18"/>
              </w:rPr>
              <w:t>(t CO</w:t>
            </w:r>
            <w:r w:rsidRPr="00C10851">
              <w:rPr>
                <w:rFonts w:asciiTheme="minorHAnsi" w:hAnsiTheme="minorHAnsi" w:cs="Arial"/>
                <w:sz w:val="18"/>
                <w:szCs w:val="18"/>
                <w:vertAlign w:val="subscript"/>
              </w:rPr>
              <w:t>2</w:t>
            </w:r>
            <w:r w:rsidRPr="00C10851">
              <w:rPr>
                <w:rFonts w:asciiTheme="minorHAnsi" w:hAnsiTheme="minorHAnsi" w:cs="Arial"/>
                <w:sz w:val="18"/>
                <w:szCs w:val="18"/>
              </w:rPr>
              <w:t>-e)</w:t>
            </w:r>
          </w:p>
        </w:tc>
        <w:tc>
          <w:tcPr>
            <w:tcW w:w="1270" w:type="dxa"/>
          </w:tcPr>
          <w:p w14:paraId="6D105105"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FFFFFF"/>
                <w:sz w:val="18"/>
                <w:szCs w:val="18"/>
                <w:vertAlign w:val="superscript"/>
              </w:rPr>
            </w:pPr>
            <w:r w:rsidRPr="00C10851">
              <w:rPr>
                <w:rFonts w:asciiTheme="minorHAnsi" w:hAnsiTheme="minorHAnsi" w:cs="Arial"/>
                <w:color w:val="FFFFFF"/>
                <w:sz w:val="18"/>
                <w:szCs w:val="18"/>
              </w:rPr>
              <w:t>Annualised contracted abatement</w:t>
            </w:r>
            <w:r>
              <w:rPr>
                <w:rFonts w:asciiTheme="minorHAnsi" w:hAnsiTheme="minorHAnsi" w:cs="Arial"/>
                <w:color w:val="FFFFFF"/>
                <w:sz w:val="18"/>
                <w:szCs w:val="18"/>
                <w:vertAlign w:val="superscript"/>
              </w:rPr>
              <w:t>2</w:t>
            </w:r>
          </w:p>
          <w:p w14:paraId="26010E00"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color w:val="FFFFFF"/>
                <w:sz w:val="18"/>
                <w:szCs w:val="18"/>
              </w:rPr>
              <w:t>(t CO</w:t>
            </w:r>
            <w:r w:rsidRPr="00C10851">
              <w:rPr>
                <w:rFonts w:asciiTheme="minorHAnsi" w:hAnsiTheme="minorHAnsi" w:cs="Arial"/>
                <w:color w:val="FFFFFF"/>
                <w:sz w:val="18"/>
                <w:szCs w:val="18"/>
                <w:vertAlign w:val="subscript"/>
              </w:rPr>
              <w:t>2</w:t>
            </w:r>
            <w:r w:rsidRPr="00C10851">
              <w:rPr>
                <w:rFonts w:asciiTheme="minorHAnsi" w:hAnsiTheme="minorHAnsi" w:cs="Arial"/>
                <w:color w:val="FFFFFF"/>
                <w:sz w:val="18"/>
                <w:szCs w:val="18"/>
              </w:rPr>
              <w:t>-e yr</w:t>
            </w:r>
            <w:r w:rsidRPr="00C10851">
              <w:rPr>
                <w:rFonts w:asciiTheme="minorHAnsi" w:hAnsiTheme="minorHAnsi" w:cs="Arial"/>
                <w:color w:val="FFFFFF"/>
                <w:sz w:val="18"/>
                <w:szCs w:val="18"/>
                <w:vertAlign w:val="superscript"/>
              </w:rPr>
              <w:t>-1</w:t>
            </w:r>
            <w:r w:rsidRPr="00C10851">
              <w:rPr>
                <w:rFonts w:asciiTheme="minorHAnsi" w:hAnsiTheme="minorHAnsi" w:cs="Arial"/>
                <w:color w:val="FFFFFF"/>
                <w:sz w:val="18"/>
                <w:szCs w:val="18"/>
              </w:rPr>
              <w:t>)</w:t>
            </w:r>
          </w:p>
        </w:tc>
        <w:tc>
          <w:tcPr>
            <w:tcW w:w="1270" w:type="dxa"/>
          </w:tcPr>
          <w:p w14:paraId="1182E01B"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FFFFFF"/>
                <w:sz w:val="18"/>
                <w:szCs w:val="18"/>
              </w:rPr>
            </w:pPr>
            <w:r w:rsidRPr="00C10851">
              <w:rPr>
                <w:rFonts w:asciiTheme="minorHAnsi" w:hAnsiTheme="minorHAnsi" w:cs="Arial"/>
                <w:color w:val="FFFFFF"/>
                <w:sz w:val="18"/>
                <w:szCs w:val="18"/>
              </w:rPr>
              <w:t>Delivered abatement – contracted</w:t>
            </w:r>
          </w:p>
          <w:p w14:paraId="64DC37EF"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color w:val="FFFFFF"/>
                <w:sz w:val="18"/>
                <w:szCs w:val="18"/>
              </w:rPr>
              <w:t>(t CO</w:t>
            </w:r>
            <w:r w:rsidRPr="00C10851">
              <w:rPr>
                <w:rFonts w:asciiTheme="minorHAnsi" w:hAnsiTheme="minorHAnsi" w:cs="Arial"/>
                <w:color w:val="FFFFFF"/>
                <w:sz w:val="18"/>
                <w:szCs w:val="18"/>
                <w:vertAlign w:val="subscript"/>
              </w:rPr>
              <w:t>2</w:t>
            </w:r>
            <w:r w:rsidRPr="00C10851">
              <w:rPr>
                <w:rFonts w:asciiTheme="minorHAnsi" w:hAnsiTheme="minorHAnsi" w:cs="Arial"/>
                <w:color w:val="FFFFFF"/>
                <w:sz w:val="18"/>
                <w:szCs w:val="18"/>
              </w:rPr>
              <w:t>-e)</w:t>
            </w:r>
          </w:p>
        </w:tc>
        <w:tc>
          <w:tcPr>
            <w:tcW w:w="1270" w:type="dxa"/>
          </w:tcPr>
          <w:p w14:paraId="6F5ABAA4"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FFFFFF"/>
                <w:sz w:val="18"/>
                <w:szCs w:val="18"/>
                <w:vertAlign w:val="superscript"/>
              </w:rPr>
            </w:pPr>
            <w:r w:rsidRPr="00C10851">
              <w:rPr>
                <w:rFonts w:asciiTheme="minorHAnsi" w:hAnsiTheme="minorHAnsi" w:cs="Arial"/>
                <w:color w:val="FFFFFF"/>
                <w:sz w:val="18"/>
                <w:szCs w:val="18"/>
              </w:rPr>
              <w:t>Annualised Delivered abatement – contracted</w:t>
            </w:r>
            <w:r>
              <w:rPr>
                <w:rFonts w:asciiTheme="minorHAnsi" w:hAnsiTheme="minorHAnsi" w:cs="Arial"/>
                <w:color w:val="FFFFFF"/>
                <w:sz w:val="18"/>
                <w:szCs w:val="18"/>
                <w:vertAlign w:val="superscript"/>
              </w:rPr>
              <w:t>3</w:t>
            </w:r>
            <w:r w:rsidRPr="00C10851">
              <w:rPr>
                <w:rFonts w:asciiTheme="minorHAnsi" w:hAnsiTheme="minorHAnsi" w:cs="Arial"/>
                <w:color w:val="FFFFFF"/>
                <w:sz w:val="18"/>
                <w:szCs w:val="18"/>
                <w:vertAlign w:val="superscript"/>
              </w:rPr>
              <w:t xml:space="preserve"> </w:t>
            </w:r>
          </w:p>
          <w:p w14:paraId="06B71839"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color w:val="FFFFFF"/>
                <w:sz w:val="18"/>
                <w:szCs w:val="18"/>
              </w:rPr>
              <w:t>(t CO</w:t>
            </w:r>
            <w:r w:rsidRPr="00C10851">
              <w:rPr>
                <w:rFonts w:asciiTheme="minorHAnsi" w:hAnsiTheme="minorHAnsi" w:cs="Arial"/>
                <w:color w:val="FFFFFF"/>
                <w:sz w:val="18"/>
                <w:szCs w:val="18"/>
                <w:vertAlign w:val="subscript"/>
              </w:rPr>
              <w:t>2</w:t>
            </w:r>
            <w:r w:rsidRPr="00C10851">
              <w:rPr>
                <w:rFonts w:asciiTheme="minorHAnsi" w:hAnsiTheme="minorHAnsi" w:cs="Arial"/>
                <w:color w:val="FFFFFF"/>
                <w:sz w:val="18"/>
                <w:szCs w:val="18"/>
              </w:rPr>
              <w:t>-e yr</w:t>
            </w:r>
            <w:r w:rsidRPr="00C10851">
              <w:rPr>
                <w:rFonts w:asciiTheme="minorHAnsi" w:hAnsiTheme="minorHAnsi" w:cs="Arial"/>
                <w:color w:val="FFFFFF"/>
                <w:sz w:val="18"/>
                <w:szCs w:val="18"/>
                <w:vertAlign w:val="superscript"/>
              </w:rPr>
              <w:t>-1</w:t>
            </w:r>
            <w:r w:rsidRPr="00C10851">
              <w:rPr>
                <w:rFonts w:asciiTheme="minorHAnsi" w:hAnsiTheme="minorHAnsi" w:cs="Arial"/>
                <w:color w:val="FFFFFF"/>
                <w:sz w:val="18"/>
                <w:szCs w:val="18"/>
              </w:rPr>
              <w:t>)</w:t>
            </w:r>
          </w:p>
        </w:tc>
        <w:tc>
          <w:tcPr>
            <w:tcW w:w="1270" w:type="dxa"/>
          </w:tcPr>
          <w:p w14:paraId="3928F2E3"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color w:val="FFFFFF"/>
                <w:sz w:val="18"/>
                <w:szCs w:val="18"/>
              </w:rPr>
              <w:t>% Delivered</w:t>
            </w:r>
          </w:p>
        </w:tc>
        <w:tc>
          <w:tcPr>
            <w:tcW w:w="1439" w:type="dxa"/>
          </w:tcPr>
          <w:p w14:paraId="72FAC06F" w14:textId="77777777" w:rsidR="00AE1CEF" w:rsidRPr="00C10851" w:rsidRDefault="00AE1CEF" w:rsidP="00A871E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18"/>
                <w:szCs w:val="18"/>
              </w:rPr>
            </w:pPr>
            <w:r w:rsidRPr="00C10851">
              <w:rPr>
                <w:rFonts w:asciiTheme="minorHAnsi" w:hAnsiTheme="minorHAnsi" w:cs="Arial"/>
                <w:color w:val="FFFFFF"/>
                <w:sz w:val="18"/>
                <w:szCs w:val="18"/>
              </w:rPr>
              <w:t>Contracted abatement as % of total</w:t>
            </w:r>
          </w:p>
        </w:tc>
      </w:tr>
      <w:tr w:rsidR="005A0FA2" w:rsidRPr="005713AC" w14:paraId="2E8E358D" w14:textId="77777777" w:rsidTr="000E0B5E">
        <w:trPr>
          <w:gridBefore w:val="1"/>
          <w:cnfStyle w:val="000000100000" w:firstRow="0" w:lastRow="0" w:firstColumn="0" w:lastColumn="0" w:oddVBand="0" w:evenVBand="0" w:oddHBand="1" w:evenHBand="0" w:firstRowFirstColumn="0" w:firstRowLastColumn="0" w:lastRowFirstColumn="0" w:lastRowLastColumn="0"/>
          <w:wBefore w:w="6" w:type="dxa"/>
          <w:trHeight w:val="340"/>
        </w:trPr>
        <w:tc>
          <w:tcPr>
            <w:cnfStyle w:val="001000000000" w:firstRow="0" w:lastRow="0" w:firstColumn="1" w:lastColumn="0" w:oddVBand="0" w:evenVBand="0" w:oddHBand="0" w:evenHBand="0" w:firstRowFirstColumn="0" w:firstRowLastColumn="0" w:lastRowFirstColumn="0" w:lastRowLastColumn="0"/>
            <w:tcW w:w="1530" w:type="dxa"/>
            <w:vMerge w:val="restart"/>
            <w:tcBorders>
              <w:bottom w:val="nil"/>
            </w:tcBorders>
            <w:shd w:val="clear" w:color="auto" w:fill="F2F2F2" w:themeFill="background1" w:themeFillShade="F2"/>
            <w:vAlign w:val="center"/>
          </w:tcPr>
          <w:p w14:paraId="7FEDF9AB" w14:textId="306D15C3" w:rsidR="00AE1CEF" w:rsidRPr="00314070" w:rsidRDefault="00FB2D3A" w:rsidP="00A871E9">
            <w:pPr>
              <w:rPr>
                <w:rFonts w:asciiTheme="minorHAnsi" w:hAnsiTheme="minorHAnsi" w:cstheme="minorHAnsi"/>
                <w:color w:val="008000"/>
                <w:sz w:val="20"/>
                <w:szCs w:val="20"/>
              </w:rPr>
            </w:pPr>
            <w:r>
              <w:rPr>
                <w:rFonts w:asciiTheme="minorHAnsi" w:hAnsiTheme="minorHAnsi" w:cstheme="minorHAnsi"/>
                <w:b w:val="0"/>
                <w:bCs w:val="0"/>
                <w:sz w:val="20"/>
                <w:szCs w:val="20"/>
              </w:rPr>
              <w:t>Re-establishment</w:t>
            </w:r>
            <w:r w:rsidR="000E0B5E">
              <w:rPr>
                <w:rFonts w:asciiTheme="minorHAnsi" w:hAnsiTheme="minorHAnsi" w:cstheme="minorHAnsi"/>
                <w:b w:val="0"/>
                <w:bCs w:val="0"/>
                <w:sz w:val="20"/>
                <w:szCs w:val="20"/>
              </w:rPr>
              <w:t xml:space="preserve"> </w:t>
            </w:r>
            <w:r w:rsidR="00AE1CEF" w:rsidRPr="00314070">
              <w:rPr>
                <w:rFonts w:asciiTheme="minorHAnsi" w:hAnsiTheme="minorHAnsi" w:cstheme="minorHAnsi"/>
                <w:b w:val="0"/>
                <w:bCs w:val="0"/>
                <w:sz w:val="20"/>
                <w:szCs w:val="20"/>
              </w:rPr>
              <w:t>of native forest cover</w:t>
            </w:r>
          </w:p>
        </w:tc>
        <w:tc>
          <w:tcPr>
            <w:tcW w:w="3193" w:type="dxa"/>
            <w:tcBorders>
              <w:bottom w:val="nil"/>
            </w:tcBorders>
            <w:shd w:val="clear" w:color="auto" w:fill="F2F2F2" w:themeFill="background1" w:themeFillShade="F2"/>
          </w:tcPr>
          <w:p w14:paraId="67900FB4" w14:textId="77777777" w:rsidR="00AE1CEF" w:rsidRPr="00314070"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Human-Induced Regeneration</w:t>
            </w:r>
          </w:p>
        </w:tc>
        <w:tc>
          <w:tcPr>
            <w:tcW w:w="975" w:type="dxa"/>
            <w:tcBorders>
              <w:bottom w:val="nil"/>
            </w:tcBorders>
            <w:shd w:val="clear" w:color="auto" w:fill="F2F2F2" w:themeFill="background1" w:themeFillShade="F2"/>
          </w:tcPr>
          <w:p w14:paraId="1CB74C87"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267</w:t>
            </w:r>
          </w:p>
        </w:tc>
        <w:tc>
          <w:tcPr>
            <w:tcW w:w="1109" w:type="dxa"/>
            <w:tcBorders>
              <w:bottom w:val="nil"/>
            </w:tcBorders>
            <w:shd w:val="clear" w:color="auto" w:fill="F2F2F2" w:themeFill="background1" w:themeFillShade="F2"/>
          </w:tcPr>
          <w:p w14:paraId="3EFF8C3E"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188</w:t>
            </w:r>
          </w:p>
        </w:tc>
        <w:tc>
          <w:tcPr>
            <w:tcW w:w="1270" w:type="dxa"/>
            <w:tcBorders>
              <w:bottom w:val="nil"/>
            </w:tcBorders>
            <w:shd w:val="clear" w:color="auto" w:fill="F2F2F2" w:themeFill="background1" w:themeFillShade="F2"/>
          </w:tcPr>
          <w:p w14:paraId="6CB3FF03"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95,355,316</w:t>
            </w:r>
          </w:p>
        </w:tc>
        <w:tc>
          <w:tcPr>
            <w:tcW w:w="1270" w:type="dxa"/>
            <w:tcBorders>
              <w:bottom w:val="nil"/>
            </w:tcBorders>
            <w:shd w:val="clear" w:color="auto" w:fill="F2F2F2" w:themeFill="background1" w:themeFillShade="F2"/>
          </w:tcPr>
          <w:p w14:paraId="504B03C9"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9,761,211</w:t>
            </w:r>
          </w:p>
        </w:tc>
        <w:tc>
          <w:tcPr>
            <w:tcW w:w="1270" w:type="dxa"/>
            <w:tcBorders>
              <w:bottom w:val="nil"/>
            </w:tcBorders>
            <w:shd w:val="clear" w:color="auto" w:fill="F2F2F2" w:themeFill="background1" w:themeFillShade="F2"/>
          </w:tcPr>
          <w:p w14:paraId="68DD0CDC"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16,450,466</w:t>
            </w:r>
          </w:p>
        </w:tc>
        <w:tc>
          <w:tcPr>
            <w:tcW w:w="1270" w:type="dxa"/>
            <w:tcBorders>
              <w:bottom w:val="nil"/>
            </w:tcBorders>
            <w:shd w:val="clear" w:color="auto" w:fill="F2F2F2" w:themeFill="background1" w:themeFillShade="F2"/>
          </w:tcPr>
          <w:p w14:paraId="034341C5"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5,877,640</w:t>
            </w:r>
          </w:p>
        </w:tc>
        <w:tc>
          <w:tcPr>
            <w:tcW w:w="1270" w:type="dxa"/>
            <w:tcBorders>
              <w:bottom w:val="nil"/>
            </w:tcBorders>
            <w:shd w:val="clear" w:color="auto" w:fill="F2F2F2" w:themeFill="background1" w:themeFillShade="F2"/>
          </w:tcPr>
          <w:p w14:paraId="463EE0FB"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17.3%</w:t>
            </w:r>
          </w:p>
        </w:tc>
        <w:tc>
          <w:tcPr>
            <w:tcW w:w="1438" w:type="dxa"/>
            <w:tcBorders>
              <w:bottom w:val="nil"/>
            </w:tcBorders>
            <w:shd w:val="clear" w:color="auto" w:fill="F2F2F2" w:themeFill="background1" w:themeFillShade="F2"/>
          </w:tcPr>
          <w:p w14:paraId="7549E2C9"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49.5%</w:t>
            </w:r>
          </w:p>
        </w:tc>
      </w:tr>
      <w:tr w:rsidR="005A0FA2" w:rsidRPr="005713AC" w14:paraId="7CE863BC" w14:textId="77777777" w:rsidTr="000E0B5E">
        <w:trPr>
          <w:gridBefore w:val="1"/>
          <w:wBefore w:w="6" w:type="dxa"/>
          <w:trHeight w:hRule="exact" w:val="459"/>
        </w:trPr>
        <w:tc>
          <w:tcPr>
            <w:cnfStyle w:val="001000000000" w:firstRow="0" w:lastRow="0" w:firstColumn="1" w:lastColumn="0" w:oddVBand="0" w:evenVBand="0" w:oddHBand="0" w:evenHBand="0" w:firstRowFirstColumn="0" w:firstRowLastColumn="0" w:lastRowFirstColumn="0" w:lastRowLastColumn="0"/>
            <w:tcW w:w="1530" w:type="dxa"/>
            <w:vMerge/>
            <w:tcBorders>
              <w:bottom w:val="nil"/>
            </w:tcBorders>
            <w:shd w:val="clear" w:color="auto" w:fill="F2F2F2" w:themeFill="background1" w:themeFillShade="F2"/>
            <w:vAlign w:val="center"/>
          </w:tcPr>
          <w:p w14:paraId="20A937DE" w14:textId="77777777" w:rsidR="00AE1CEF" w:rsidRPr="00314070" w:rsidRDefault="00AE1CEF" w:rsidP="00A871E9">
            <w:pPr>
              <w:rPr>
                <w:rFonts w:asciiTheme="minorHAnsi" w:hAnsiTheme="minorHAnsi" w:cstheme="minorHAnsi"/>
                <w:color w:val="008000"/>
                <w:sz w:val="20"/>
                <w:szCs w:val="20"/>
              </w:rPr>
            </w:pPr>
          </w:p>
        </w:tc>
        <w:tc>
          <w:tcPr>
            <w:tcW w:w="3193" w:type="dxa"/>
            <w:tcBorders>
              <w:bottom w:val="nil"/>
            </w:tcBorders>
            <w:shd w:val="clear" w:color="auto" w:fill="F2F2F2" w:themeFill="background1" w:themeFillShade="F2"/>
          </w:tcPr>
          <w:p w14:paraId="16D10ABB" w14:textId="77777777" w:rsidR="00AE1CEF" w:rsidRPr="00314070"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Native Forest from Managed Regrowth</w:t>
            </w:r>
          </w:p>
        </w:tc>
        <w:tc>
          <w:tcPr>
            <w:tcW w:w="975" w:type="dxa"/>
            <w:tcBorders>
              <w:bottom w:val="nil"/>
            </w:tcBorders>
            <w:shd w:val="clear" w:color="auto" w:fill="F2F2F2" w:themeFill="background1" w:themeFillShade="F2"/>
          </w:tcPr>
          <w:p w14:paraId="6C955B8F"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36</w:t>
            </w:r>
          </w:p>
        </w:tc>
        <w:tc>
          <w:tcPr>
            <w:tcW w:w="1109" w:type="dxa"/>
            <w:tcBorders>
              <w:bottom w:val="nil"/>
            </w:tcBorders>
            <w:shd w:val="clear" w:color="auto" w:fill="F2F2F2" w:themeFill="background1" w:themeFillShade="F2"/>
          </w:tcPr>
          <w:p w14:paraId="38E65C8F"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16</w:t>
            </w:r>
          </w:p>
        </w:tc>
        <w:tc>
          <w:tcPr>
            <w:tcW w:w="1270" w:type="dxa"/>
            <w:tcBorders>
              <w:bottom w:val="nil"/>
            </w:tcBorders>
            <w:shd w:val="clear" w:color="auto" w:fill="F2F2F2" w:themeFill="background1" w:themeFillShade="F2"/>
          </w:tcPr>
          <w:p w14:paraId="7879AB18"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3,472,700</w:t>
            </w:r>
          </w:p>
        </w:tc>
        <w:tc>
          <w:tcPr>
            <w:tcW w:w="1270" w:type="dxa"/>
            <w:tcBorders>
              <w:bottom w:val="nil"/>
            </w:tcBorders>
            <w:shd w:val="clear" w:color="auto" w:fill="F2F2F2" w:themeFill="background1" w:themeFillShade="F2"/>
          </w:tcPr>
          <w:p w14:paraId="6EA5AD0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355,190</w:t>
            </w:r>
          </w:p>
        </w:tc>
        <w:tc>
          <w:tcPr>
            <w:tcW w:w="1270" w:type="dxa"/>
            <w:tcBorders>
              <w:bottom w:val="nil"/>
            </w:tcBorders>
            <w:shd w:val="clear" w:color="auto" w:fill="F2F2F2" w:themeFill="background1" w:themeFillShade="F2"/>
          </w:tcPr>
          <w:p w14:paraId="64ECDD4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2,411,733</w:t>
            </w:r>
          </w:p>
        </w:tc>
        <w:tc>
          <w:tcPr>
            <w:tcW w:w="1270" w:type="dxa"/>
            <w:tcBorders>
              <w:bottom w:val="nil"/>
            </w:tcBorders>
            <w:shd w:val="clear" w:color="auto" w:fill="F2F2F2" w:themeFill="background1" w:themeFillShade="F2"/>
          </w:tcPr>
          <w:p w14:paraId="6DF2F6D7"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750,131</w:t>
            </w:r>
          </w:p>
        </w:tc>
        <w:tc>
          <w:tcPr>
            <w:tcW w:w="1270" w:type="dxa"/>
            <w:tcBorders>
              <w:bottom w:val="nil"/>
            </w:tcBorders>
            <w:shd w:val="clear" w:color="auto" w:fill="F2F2F2" w:themeFill="background1" w:themeFillShade="F2"/>
          </w:tcPr>
          <w:p w14:paraId="1CF47976"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69.4%</w:t>
            </w:r>
          </w:p>
        </w:tc>
        <w:tc>
          <w:tcPr>
            <w:tcW w:w="1438" w:type="dxa"/>
            <w:tcBorders>
              <w:bottom w:val="nil"/>
            </w:tcBorders>
            <w:shd w:val="clear" w:color="auto" w:fill="F2F2F2" w:themeFill="background1" w:themeFillShade="F2"/>
          </w:tcPr>
          <w:p w14:paraId="69E4784F"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1.8%</w:t>
            </w:r>
          </w:p>
        </w:tc>
      </w:tr>
      <w:tr w:rsidR="005A0FA2" w:rsidRPr="005713AC" w14:paraId="1C40ADE4" w14:textId="77777777" w:rsidTr="000E0B5E">
        <w:trPr>
          <w:gridBefore w:val="1"/>
          <w:cnfStyle w:val="000000100000" w:firstRow="0" w:lastRow="0" w:firstColumn="0" w:lastColumn="0" w:oddVBand="0" w:evenVBand="0" w:oddHBand="1" w:evenHBand="0" w:firstRowFirstColumn="0" w:firstRowLastColumn="0" w:lastRowFirstColumn="0" w:lastRowLastColumn="0"/>
          <w:wBefore w:w="6" w:type="dxa"/>
          <w:trHeight w:hRule="exact" w:val="537"/>
        </w:trPr>
        <w:tc>
          <w:tcPr>
            <w:cnfStyle w:val="001000000000" w:firstRow="0" w:lastRow="0" w:firstColumn="1" w:lastColumn="0" w:oddVBand="0" w:evenVBand="0" w:oddHBand="0" w:evenHBand="0" w:firstRowFirstColumn="0" w:firstRowLastColumn="0" w:lastRowFirstColumn="0" w:lastRowLastColumn="0"/>
            <w:tcW w:w="1530" w:type="dxa"/>
            <w:vMerge w:val="restart"/>
            <w:tcBorders>
              <w:top w:val="nil"/>
              <w:bottom w:val="nil"/>
            </w:tcBorders>
            <w:shd w:val="clear" w:color="auto" w:fill="FFFFFF" w:themeFill="background1"/>
            <w:vAlign w:val="center"/>
          </w:tcPr>
          <w:p w14:paraId="7A4718DB" w14:textId="77777777" w:rsidR="00AE1CEF" w:rsidRPr="00314070" w:rsidRDefault="00AE1CEF" w:rsidP="00A871E9">
            <w:pPr>
              <w:rPr>
                <w:rFonts w:asciiTheme="minorHAnsi" w:hAnsiTheme="minorHAnsi" w:cstheme="minorHAnsi"/>
                <w:color w:val="008000"/>
                <w:sz w:val="20"/>
                <w:szCs w:val="20"/>
              </w:rPr>
            </w:pPr>
            <w:r w:rsidRPr="00314070">
              <w:rPr>
                <w:rFonts w:asciiTheme="minorHAnsi" w:hAnsiTheme="minorHAnsi" w:cstheme="minorHAnsi"/>
                <w:b w:val="0"/>
                <w:bCs w:val="0"/>
                <w:sz w:val="20"/>
                <w:szCs w:val="20"/>
              </w:rPr>
              <w:t>Planting of new forests</w:t>
            </w:r>
          </w:p>
        </w:tc>
        <w:tc>
          <w:tcPr>
            <w:tcW w:w="3193" w:type="dxa"/>
            <w:tcBorders>
              <w:top w:val="nil"/>
              <w:bottom w:val="nil"/>
            </w:tcBorders>
            <w:shd w:val="clear" w:color="auto" w:fill="FFFFFF" w:themeFill="background1"/>
          </w:tcPr>
          <w:p w14:paraId="1491899D" w14:textId="77777777" w:rsidR="00AE1CEF" w:rsidRPr="00314070"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Reforestation by Environmental or Mallee Plantings</w:t>
            </w:r>
          </w:p>
        </w:tc>
        <w:tc>
          <w:tcPr>
            <w:tcW w:w="975" w:type="dxa"/>
            <w:tcBorders>
              <w:top w:val="nil"/>
              <w:bottom w:val="nil"/>
            </w:tcBorders>
            <w:shd w:val="clear" w:color="auto" w:fill="FFFFFF" w:themeFill="background1"/>
          </w:tcPr>
          <w:p w14:paraId="2E590FD9"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44</w:t>
            </w:r>
          </w:p>
        </w:tc>
        <w:tc>
          <w:tcPr>
            <w:tcW w:w="1109" w:type="dxa"/>
            <w:tcBorders>
              <w:top w:val="nil"/>
              <w:bottom w:val="nil"/>
            </w:tcBorders>
            <w:shd w:val="clear" w:color="auto" w:fill="FFFFFF" w:themeFill="background1"/>
          </w:tcPr>
          <w:p w14:paraId="29C1BA12"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5</w:t>
            </w:r>
          </w:p>
        </w:tc>
        <w:tc>
          <w:tcPr>
            <w:tcW w:w="1270" w:type="dxa"/>
            <w:tcBorders>
              <w:top w:val="nil"/>
              <w:bottom w:val="nil"/>
            </w:tcBorders>
            <w:shd w:val="clear" w:color="auto" w:fill="FFFFFF" w:themeFill="background1"/>
          </w:tcPr>
          <w:p w14:paraId="080C0DE6"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1,839,216</w:t>
            </w:r>
          </w:p>
        </w:tc>
        <w:tc>
          <w:tcPr>
            <w:tcW w:w="1270" w:type="dxa"/>
            <w:tcBorders>
              <w:top w:val="nil"/>
              <w:bottom w:val="nil"/>
            </w:tcBorders>
            <w:shd w:val="clear" w:color="auto" w:fill="FFFFFF" w:themeFill="background1"/>
          </w:tcPr>
          <w:p w14:paraId="517DDD5C"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195,771</w:t>
            </w:r>
          </w:p>
        </w:tc>
        <w:tc>
          <w:tcPr>
            <w:tcW w:w="1270" w:type="dxa"/>
            <w:tcBorders>
              <w:top w:val="nil"/>
              <w:bottom w:val="nil"/>
            </w:tcBorders>
            <w:shd w:val="clear" w:color="auto" w:fill="FFFFFF" w:themeFill="background1"/>
          </w:tcPr>
          <w:p w14:paraId="64A20416"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616,808</w:t>
            </w:r>
          </w:p>
        </w:tc>
        <w:tc>
          <w:tcPr>
            <w:tcW w:w="1270" w:type="dxa"/>
            <w:tcBorders>
              <w:top w:val="nil"/>
              <w:bottom w:val="nil"/>
            </w:tcBorders>
            <w:shd w:val="clear" w:color="auto" w:fill="FFFFFF" w:themeFill="background1"/>
          </w:tcPr>
          <w:p w14:paraId="3683AEE3"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130,888</w:t>
            </w:r>
          </w:p>
        </w:tc>
        <w:tc>
          <w:tcPr>
            <w:tcW w:w="1270" w:type="dxa"/>
            <w:tcBorders>
              <w:top w:val="nil"/>
              <w:bottom w:val="nil"/>
            </w:tcBorders>
            <w:shd w:val="clear" w:color="auto" w:fill="FFFFFF" w:themeFill="background1"/>
          </w:tcPr>
          <w:p w14:paraId="74D90DB5"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33.5%</w:t>
            </w:r>
          </w:p>
        </w:tc>
        <w:tc>
          <w:tcPr>
            <w:tcW w:w="1438" w:type="dxa"/>
            <w:tcBorders>
              <w:top w:val="nil"/>
              <w:bottom w:val="nil"/>
            </w:tcBorders>
            <w:shd w:val="clear" w:color="auto" w:fill="FFFFFF" w:themeFill="background1"/>
          </w:tcPr>
          <w:p w14:paraId="45EFD163"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1.0%</w:t>
            </w:r>
          </w:p>
        </w:tc>
      </w:tr>
      <w:tr w:rsidR="005A0FA2" w:rsidRPr="005713AC" w14:paraId="0AA5E630" w14:textId="77777777" w:rsidTr="000E0B5E">
        <w:trPr>
          <w:gridBefore w:val="1"/>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vMerge/>
            <w:tcBorders>
              <w:bottom w:val="nil"/>
            </w:tcBorders>
            <w:shd w:val="clear" w:color="auto" w:fill="FFFFFF" w:themeFill="background1"/>
            <w:vAlign w:val="center"/>
          </w:tcPr>
          <w:p w14:paraId="785BBF05" w14:textId="77777777" w:rsidR="00AE1CEF" w:rsidRPr="00314070" w:rsidRDefault="00AE1CEF" w:rsidP="00A871E9">
            <w:pPr>
              <w:rPr>
                <w:rFonts w:asciiTheme="minorHAnsi" w:hAnsiTheme="minorHAnsi" w:cstheme="minorHAnsi"/>
                <w:color w:val="008000"/>
                <w:sz w:val="20"/>
                <w:szCs w:val="20"/>
              </w:rPr>
            </w:pPr>
          </w:p>
        </w:tc>
        <w:tc>
          <w:tcPr>
            <w:tcW w:w="3193" w:type="dxa"/>
            <w:tcBorders>
              <w:bottom w:val="nil"/>
            </w:tcBorders>
            <w:shd w:val="clear" w:color="auto" w:fill="FFFFFF" w:themeFill="background1"/>
          </w:tcPr>
          <w:p w14:paraId="72BC0FAF" w14:textId="77777777" w:rsidR="00AE1CEF" w:rsidRPr="00314070"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Reforestation and Afforestation</w:t>
            </w:r>
          </w:p>
        </w:tc>
        <w:tc>
          <w:tcPr>
            <w:tcW w:w="975" w:type="dxa"/>
            <w:tcBorders>
              <w:bottom w:val="nil"/>
            </w:tcBorders>
            <w:shd w:val="clear" w:color="auto" w:fill="FFFFFF" w:themeFill="background1"/>
          </w:tcPr>
          <w:p w14:paraId="33B2A9E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19</w:t>
            </w:r>
          </w:p>
        </w:tc>
        <w:tc>
          <w:tcPr>
            <w:tcW w:w="1109" w:type="dxa"/>
            <w:tcBorders>
              <w:bottom w:val="nil"/>
            </w:tcBorders>
            <w:shd w:val="clear" w:color="auto" w:fill="FFFFFF" w:themeFill="background1"/>
          </w:tcPr>
          <w:p w14:paraId="682DE4F4"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7</w:t>
            </w:r>
          </w:p>
        </w:tc>
        <w:tc>
          <w:tcPr>
            <w:tcW w:w="1270" w:type="dxa"/>
            <w:tcBorders>
              <w:bottom w:val="nil"/>
            </w:tcBorders>
            <w:shd w:val="clear" w:color="auto" w:fill="FFFFFF" w:themeFill="background1"/>
          </w:tcPr>
          <w:p w14:paraId="43B54825"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930,549</w:t>
            </w:r>
          </w:p>
        </w:tc>
        <w:tc>
          <w:tcPr>
            <w:tcW w:w="1270" w:type="dxa"/>
            <w:tcBorders>
              <w:bottom w:val="nil"/>
            </w:tcBorders>
            <w:shd w:val="clear" w:color="auto" w:fill="FFFFFF" w:themeFill="background1"/>
          </w:tcPr>
          <w:p w14:paraId="1C9D95AD"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93,577</w:t>
            </w:r>
          </w:p>
        </w:tc>
        <w:tc>
          <w:tcPr>
            <w:tcW w:w="1270" w:type="dxa"/>
            <w:tcBorders>
              <w:bottom w:val="nil"/>
            </w:tcBorders>
            <w:shd w:val="clear" w:color="auto" w:fill="FFFFFF" w:themeFill="background1"/>
          </w:tcPr>
          <w:p w14:paraId="6483C657"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419,237</w:t>
            </w:r>
          </w:p>
        </w:tc>
        <w:tc>
          <w:tcPr>
            <w:tcW w:w="1270" w:type="dxa"/>
            <w:tcBorders>
              <w:bottom w:val="nil"/>
            </w:tcBorders>
            <w:shd w:val="clear" w:color="auto" w:fill="FFFFFF" w:themeFill="background1"/>
          </w:tcPr>
          <w:p w14:paraId="2E5CF629"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128,524</w:t>
            </w:r>
          </w:p>
        </w:tc>
        <w:tc>
          <w:tcPr>
            <w:tcW w:w="1270" w:type="dxa"/>
            <w:tcBorders>
              <w:bottom w:val="nil"/>
            </w:tcBorders>
            <w:shd w:val="clear" w:color="auto" w:fill="FFFFFF" w:themeFill="background1"/>
          </w:tcPr>
          <w:p w14:paraId="3F5C54B7"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45.1%</w:t>
            </w:r>
          </w:p>
        </w:tc>
        <w:tc>
          <w:tcPr>
            <w:tcW w:w="1438" w:type="dxa"/>
            <w:tcBorders>
              <w:bottom w:val="nil"/>
            </w:tcBorders>
            <w:shd w:val="clear" w:color="auto" w:fill="FFFFFF" w:themeFill="background1"/>
          </w:tcPr>
          <w:p w14:paraId="542AD7C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0.5%</w:t>
            </w:r>
          </w:p>
        </w:tc>
      </w:tr>
      <w:tr w:rsidR="005A0FA2" w:rsidRPr="005713AC" w14:paraId="7964EAA0" w14:textId="77777777" w:rsidTr="000E0B5E">
        <w:trPr>
          <w:gridBefore w:val="1"/>
          <w:cnfStyle w:val="000000100000" w:firstRow="0" w:lastRow="0" w:firstColumn="0" w:lastColumn="0" w:oddVBand="0" w:evenVBand="0" w:oddHBand="1" w:evenHBand="0" w:firstRowFirstColumn="0" w:firstRowLastColumn="0" w:lastRowFirstColumn="0" w:lastRowLastColumn="0"/>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vMerge/>
            <w:tcBorders>
              <w:bottom w:val="nil"/>
            </w:tcBorders>
            <w:shd w:val="clear" w:color="auto" w:fill="FFFFFF" w:themeFill="background1"/>
            <w:vAlign w:val="center"/>
          </w:tcPr>
          <w:p w14:paraId="197C6594" w14:textId="77777777" w:rsidR="00AE1CEF" w:rsidRPr="00314070" w:rsidRDefault="00AE1CEF" w:rsidP="00A871E9">
            <w:pPr>
              <w:rPr>
                <w:rFonts w:asciiTheme="minorHAnsi" w:hAnsiTheme="minorHAnsi" w:cstheme="minorHAnsi"/>
                <w:color w:val="008000"/>
                <w:sz w:val="20"/>
                <w:szCs w:val="20"/>
              </w:rPr>
            </w:pPr>
          </w:p>
        </w:tc>
        <w:tc>
          <w:tcPr>
            <w:tcW w:w="3193" w:type="dxa"/>
            <w:tcBorders>
              <w:bottom w:val="nil"/>
            </w:tcBorders>
            <w:shd w:val="clear" w:color="auto" w:fill="FFFFFF" w:themeFill="background1"/>
          </w:tcPr>
          <w:p w14:paraId="5451A3B3" w14:textId="77777777" w:rsidR="00AE1CEF" w:rsidRPr="00314070"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Plantation Forestry</w:t>
            </w:r>
          </w:p>
        </w:tc>
        <w:tc>
          <w:tcPr>
            <w:tcW w:w="975" w:type="dxa"/>
            <w:tcBorders>
              <w:bottom w:val="nil"/>
            </w:tcBorders>
            <w:shd w:val="clear" w:color="auto" w:fill="FFFFFF" w:themeFill="background1"/>
          </w:tcPr>
          <w:p w14:paraId="5B01E810"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22</w:t>
            </w:r>
          </w:p>
        </w:tc>
        <w:tc>
          <w:tcPr>
            <w:tcW w:w="1109" w:type="dxa"/>
            <w:tcBorders>
              <w:bottom w:val="nil"/>
            </w:tcBorders>
            <w:shd w:val="clear" w:color="auto" w:fill="FFFFFF" w:themeFill="background1"/>
          </w:tcPr>
          <w:p w14:paraId="73308613"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9</w:t>
            </w:r>
          </w:p>
        </w:tc>
        <w:tc>
          <w:tcPr>
            <w:tcW w:w="1270" w:type="dxa"/>
            <w:tcBorders>
              <w:bottom w:val="nil"/>
            </w:tcBorders>
            <w:shd w:val="clear" w:color="auto" w:fill="FFFFFF" w:themeFill="background1"/>
          </w:tcPr>
          <w:p w14:paraId="2794860F"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980,901</w:t>
            </w:r>
          </w:p>
        </w:tc>
        <w:tc>
          <w:tcPr>
            <w:tcW w:w="1270" w:type="dxa"/>
            <w:tcBorders>
              <w:bottom w:val="nil"/>
            </w:tcBorders>
            <w:shd w:val="clear" w:color="auto" w:fill="FFFFFF" w:themeFill="background1"/>
          </w:tcPr>
          <w:p w14:paraId="07E7AA5F"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98,090</w:t>
            </w:r>
          </w:p>
        </w:tc>
        <w:tc>
          <w:tcPr>
            <w:tcW w:w="1270" w:type="dxa"/>
            <w:tcBorders>
              <w:bottom w:val="nil"/>
            </w:tcBorders>
            <w:shd w:val="clear" w:color="auto" w:fill="FFFFFF" w:themeFill="background1"/>
          </w:tcPr>
          <w:p w14:paraId="5D7FA579"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15,156</w:t>
            </w:r>
          </w:p>
        </w:tc>
        <w:tc>
          <w:tcPr>
            <w:tcW w:w="1270" w:type="dxa"/>
            <w:tcBorders>
              <w:bottom w:val="nil"/>
            </w:tcBorders>
            <w:shd w:val="clear" w:color="auto" w:fill="FFFFFF" w:themeFill="background1"/>
          </w:tcPr>
          <w:p w14:paraId="04FBFE2F"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14,336</w:t>
            </w:r>
          </w:p>
        </w:tc>
        <w:tc>
          <w:tcPr>
            <w:tcW w:w="1270" w:type="dxa"/>
            <w:tcBorders>
              <w:bottom w:val="nil"/>
            </w:tcBorders>
            <w:shd w:val="clear" w:color="auto" w:fill="FFFFFF" w:themeFill="background1"/>
          </w:tcPr>
          <w:p w14:paraId="525301C7"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1.5%</w:t>
            </w:r>
          </w:p>
        </w:tc>
        <w:tc>
          <w:tcPr>
            <w:tcW w:w="1438" w:type="dxa"/>
            <w:tcBorders>
              <w:bottom w:val="nil"/>
            </w:tcBorders>
            <w:shd w:val="clear" w:color="auto" w:fill="FFFFFF" w:themeFill="background1"/>
          </w:tcPr>
          <w:p w14:paraId="55780BAE"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0.5%</w:t>
            </w:r>
          </w:p>
        </w:tc>
      </w:tr>
      <w:tr w:rsidR="005A0FA2" w:rsidRPr="005713AC" w14:paraId="435DDBD5" w14:textId="77777777" w:rsidTr="000E0B5E">
        <w:trPr>
          <w:gridBefore w:val="1"/>
          <w:wBefore w:w="6" w:type="dxa"/>
          <w:trHeight w:hRule="exact" w:val="513"/>
        </w:trPr>
        <w:tc>
          <w:tcPr>
            <w:cnfStyle w:val="001000000000" w:firstRow="0" w:lastRow="0" w:firstColumn="1" w:lastColumn="0" w:oddVBand="0" w:evenVBand="0" w:oddHBand="0" w:evenHBand="0" w:firstRowFirstColumn="0" w:firstRowLastColumn="0" w:lastRowFirstColumn="0" w:lastRowLastColumn="0"/>
            <w:tcW w:w="1530" w:type="dxa"/>
            <w:vMerge/>
            <w:tcBorders>
              <w:bottom w:val="nil"/>
            </w:tcBorders>
            <w:shd w:val="clear" w:color="auto" w:fill="FFFFFF" w:themeFill="background1"/>
            <w:vAlign w:val="center"/>
          </w:tcPr>
          <w:p w14:paraId="2F89E2DA" w14:textId="77777777" w:rsidR="00AE1CEF" w:rsidRPr="00314070" w:rsidRDefault="00AE1CEF" w:rsidP="00A871E9">
            <w:pPr>
              <w:rPr>
                <w:rFonts w:asciiTheme="minorHAnsi" w:hAnsiTheme="minorHAnsi" w:cstheme="minorHAnsi"/>
                <w:color w:val="008000"/>
                <w:sz w:val="18"/>
                <w:szCs w:val="18"/>
              </w:rPr>
            </w:pPr>
          </w:p>
        </w:tc>
        <w:tc>
          <w:tcPr>
            <w:tcW w:w="3193" w:type="dxa"/>
            <w:tcBorders>
              <w:bottom w:val="nil"/>
            </w:tcBorders>
            <w:shd w:val="clear" w:color="auto" w:fill="FFFFFF" w:themeFill="background1"/>
          </w:tcPr>
          <w:p w14:paraId="57D0A03B" w14:textId="77777777" w:rsidR="00AE1CEF" w:rsidRPr="00314070"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 xml:space="preserve">Measurement Based Methods for New Farm Forestry Plantations </w:t>
            </w:r>
          </w:p>
        </w:tc>
        <w:tc>
          <w:tcPr>
            <w:tcW w:w="975" w:type="dxa"/>
            <w:tcBorders>
              <w:bottom w:val="nil"/>
            </w:tcBorders>
            <w:shd w:val="clear" w:color="auto" w:fill="FFFFFF" w:themeFill="background1"/>
          </w:tcPr>
          <w:p w14:paraId="799FEBD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w:t>
            </w:r>
          </w:p>
        </w:tc>
        <w:tc>
          <w:tcPr>
            <w:tcW w:w="1109" w:type="dxa"/>
            <w:tcBorders>
              <w:bottom w:val="nil"/>
            </w:tcBorders>
            <w:shd w:val="clear" w:color="auto" w:fill="FFFFFF" w:themeFill="background1"/>
          </w:tcPr>
          <w:p w14:paraId="0728AE32"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0</w:t>
            </w:r>
          </w:p>
        </w:tc>
        <w:tc>
          <w:tcPr>
            <w:tcW w:w="1270" w:type="dxa"/>
            <w:tcBorders>
              <w:bottom w:val="nil"/>
            </w:tcBorders>
            <w:shd w:val="clear" w:color="auto" w:fill="FFFFFF" w:themeFill="background1"/>
          </w:tcPr>
          <w:p w14:paraId="3EAF6218"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w:t>
            </w:r>
          </w:p>
        </w:tc>
        <w:tc>
          <w:tcPr>
            <w:tcW w:w="1270" w:type="dxa"/>
            <w:tcBorders>
              <w:bottom w:val="nil"/>
            </w:tcBorders>
            <w:shd w:val="clear" w:color="auto" w:fill="FFFFFF" w:themeFill="background1"/>
          </w:tcPr>
          <w:p w14:paraId="695319D1"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w:t>
            </w:r>
          </w:p>
        </w:tc>
        <w:tc>
          <w:tcPr>
            <w:tcW w:w="1270" w:type="dxa"/>
            <w:tcBorders>
              <w:bottom w:val="nil"/>
            </w:tcBorders>
            <w:shd w:val="clear" w:color="auto" w:fill="FFFFFF" w:themeFill="background1"/>
          </w:tcPr>
          <w:p w14:paraId="341264BB"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w:t>
            </w:r>
          </w:p>
        </w:tc>
        <w:tc>
          <w:tcPr>
            <w:tcW w:w="1270" w:type="dxa"/>
            <w:tcBorders>
              <w:bottom w:val="nil"/>
            </w:tcBorders>
            <w:shd w:val="clear" w:color="auto" w:fill="FFFFFF" w:themeFill="background1"/>
          </w:tcPr>
          <w:p w14:paraId="40AF32CD"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w:t>
            </w:r>
          </w:p>
        </w:tc>
        <w:tc>
          <w:tcPr>
            <w:tcW w:w="1270" w:type="dxa"/>
            <w:tcBorders>
              <w:bottom w:val="nil"/>
            </w:tcBorders>
            <w:shd w:val="clear" w:color="auto" w:fill="FFFFFF" w:themeFill="background1"/>
          </w:tcPr>
          <w:p w14:paraId="1C3CA649"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w:t>
            </w:r>
          </w:p>
        </w:tc>
        <w:tc>
          <w:tcPr>
            <w:tcW w:w="1438" w:type="dxa"/>
            <w:tcBorders>
              <w:bottom w:val="nil"/>
            </w:tcBorders>
            <w:shd w:val="clear" w:color="auto" w:fill="FFFFFF" w:themeFill="background1"/>
          </w:tcPr>
          <w:p w14:paraId="5DC400C1"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0.0%</w:t>
            </w:r>
          </w:p>
        </w:tc>
      </w:tr>
      <w:tr w:rsidR="005A0FA2" w:rsidRPr="005713AC" w14:paraId="02B11BD4" w14:textId="77777777" w:rsidTr="000E0B5E">
        <w:trPr>
          <w:gridBefore w:val="1"/>
          <w:cnfStyle w:val="000000100000" w:firstRow="0" w:lastRow="0" w:firstColumn="0" w:lastColumn="0" w:oddVBand="0" w:evenVBand="0" w:oddHBand="1" w:evenHBand="0" w:firstRowFirstColumn="0" w:firstRowLastColumn="0" w:lastRowFirstColumn="0" w:lastRowLastColumn="0"/>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vMerge w:val="restart"/>
            <w:tcBorders>
              <w:top w:val="nil"/>
              <w:bottom w:val="nil"/>
            </w:tcBorders>
            <w:shd w:val="clear" w:color="auto" w:fill="F2F2F2" w:themeFill="background1" w:themeFillShade="F2"/>
            <w:vAlign w:val="center"/>
          </w:tcPr>
          <w:p w14:paraId="02C74D8E" w14:textId="77777777" w:rsidR="00AE1CEF" w:rsidRPr="00314070" w:rsidRDefault="00AE1CEF" w:rsidP="00A871E9">
            <w:pPr>
              <w:rPr>
                <w:rFonts w:asciiTheme="minorHAnsi" w:hAnsiTheme="minorHAnsi" w:cstheme="minorHAnsi"/>
                <w:color w:val="008000"/>
                <w:sz w:val="20"/>
                <w:szCs w:val="20"/>
              </w:rPr>
            </w:pPr>
            <w:r w:rsidRPr="00314070">
              <w:rPr>
                <w:rFonts w:asciiTheme="minorHAnsi" w:hAnsiTheme="minorHAnsi" w:cstheme="minorHAnsi"/>
                <w:b w:val="0"/>
                <w:bCs w:val="0"/>
                <w:sz w:val="20"/>
                <w:szCs w:val="20"/>
              </w:rPr>
              <w:t>Protection of existing forests</w:t>
            </w:r>
          </w:p>
        </w:tc>
        <w:tc>
          <w:tcPr>
            <w:tcW w:w="3193" w:type="dxa"/>
            <w:tcBorders>
              <w:top w:val="nil"/>
              <w:bottom w:val="nil"/>
            </w:tcBorders>
            <w:shd w:val="clear" w:color="auto" w:fill="F2F2F2" w:themeFill="background1" w:themeFillShade="F2"/>
          </w:tcPr>
          <w:p w14:paraId="32F6E587" w14:textId="77777777" w:rsidR="00AE1CEF" w:rsidRPr="00314070"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Avoided Deforestation</w:t>
            </w:r>
          </w:p>
        </w:tc>
        <w:tc>
          <w:tcPr>
            <w:tcW w:w="975" w:type="dxa"/>
            <w:tcBorders>
              <w:top w:val="nil"/>
              <w:bottom w:val="nil"/>
            </w:tcBorders>
            <w:shd w:val="clear" w:color="auto" w:fill="F2F2F2" w:themeFill="background1" w:themeFillShade="F2"/>
          </w:tcPr>
          <w:p w14:paraId="44D03493"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60</w:t>
            </w:r>
          </w:p>
        </w:tc>
        <w:tc>
          <w:tcPr>
            <w:tcW w:w="1109" w:type="dxa"/>
            <w:tcBorders>
              <w:top w:val="nil"/>
              <w:bottom w:val="nil"/>
            </w:tcBorders>
            <w:shd w:val="clear" w:color="auto" w:fill="F2F2F2" w:themeFill="background1" w:themeFillShade="F2"/>
          </w:tcPr>
          <w:p w14:paraId="027DD5A8"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56</w:t>
            </w:r>
          </w:p>
        </w:tc>
        <w:tc>
          <w:tcPr>
            <w:tcW w:w="1270" w:type="dxa"/>
            <w:tcBorders>
              <w:top w:val="nil"/>
              <w:bottom w:val="nil"/>
            </w:tcBorders>
            <w:shd w:val="clear" w:color="auto" w:fill="F2F2F2" w:themeFill="background1" w:themeFillShade="F2"/>
          </w:tcPr>
          <w:p w14:paraId="307A30E0"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26,181,536</w:t>
            </w:r>
          </w:p>
        </w:tc>
        <w:tc>
          <w:tcPr>
            <w:tcW w:w="1270" w:type="dxa"/>
            <w:tcBorders>
              <w:top w:val="nil"/>
              <w:bottom w:val="nil"/>
            </w:tcBorders>
            <w:shd w:val="clear" w:color="auto" w:fill="F2F2F2" w:themeFill="background1" w:themeFillShade="F2"/>
          </w:tcPr>
          <w:p w14:paraId="5AB1C69C"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2,683,218</w:t>
            </w:r>
          </w:p>
        </w:tc>
        <w:tc>
          <w:tcPr>
            <w:tcW w:w="1270" w:type="dxa"/>
            <w:tcBorders>
              <w:top w:val="nil"/>
              <w:bottom w:val="nil"/>
            </w:tcBorders>
            <w:shd w:val="clear" w:color="auto" w:fill="F2F2F2" w:themeFill="background1" w:themeFillShade="F2"/>
          </w:tcPr>
          <w:p w14:paraId="711D3938"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13,699,949</w:t>
            </w:r>
          </w:p>
        </w:tc>
        <w:tc>
          <w:tcPr>
            <w:tcW w:w="1270" w:type="dxa"/>
            <w:tcBorders>
              <w:top w:val="nil"/>
              <w:bottom w:val="nil"/>
            </w:tcBorders>
            <w:shd w:val="clear" w:color="auto" w:fill="F2F2F2" w:themeFill="background1" w:themeFillShade="F2"/>
          </w:tcPr>
          <w:p w14:paraId="0928FE6D"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2,906,913</w:t>
            </w:r>
          </w:p>
        </w:tc>
        <w:tc>
          <w:tcPr>
            <w:tcW w:w="1270" w:type="dxa"/>
            <w:tcBorders>
              <w:top w:val="nil"/>
              <w:bottom w:val="nil"/>
            </w:tcBorders>
            <w:shd w:val="clear" w:color="auto" w:fill="F2F2F2" w:themeFill="background1" w:themeFillShade="F2"/>
          </w:tcPr>
          <w:p w14:paraId="04B5506D"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52.3%</w:t>
            </w:r>
          </w:p>
        </w:tc>
        <w:tc>
          <w:tcPr>
            <w:tcW w:w="1438" w:type="dxa"/>
            <w:tcBorders>
              <w:top w:val="nil"/>
              <w:bottom w:val="nil"/>
            </w:tcBorders>
            <w:shd w:val="clear" w:color="auto" w:fill="F2F2F2" w:themeFill="background1" w:themeFillShade="F2"/>
          </w:tcPr>
          <w:p w14:paraId="3ADB1B3F"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13.6%</w:t>
            </w:r>
          </w:p>
        </w:tc>
      </w:tr>
      <w:tr w:rsidR="005A0FA2" w:rsidRPr="005713AC" w14:paraId="55583D97" w14:textId="77777777" w:rsidTr="000E0B5E">
        <w:trPr>
          <w:gridBefore w:val="1"/>
          <w:wBefore w:w="6" w:type="dxa"/>
          <w:trHeight w:hRule="exact" w:val="456"/>
        </w:trPr>
        <w:tc>
          <w:tcPr>
            <w:cnfStyle w:val="001000000000" w:firstRow="0" w:lastRow="0" w:firstColumn="1" w:lastColumn="0" w:oddVBand="0" w:evenVBand="0" w:oddHBand="0" w:evenHBand="0" w:firstRowFirstColumn="0" w:firstRowLastColumn="0" w:lastRowFirstColumn="0" w:lastRowLastColumn="0"/>
            <w:tcW w:w="1530" w:type="dxa"/>
            <w:vMerge/>
            <w:tcBorders>
              <w:bottom w:val="nil"/>
            </w:tcBorders>
            <w:shd w:val="clear" w:color="auto" w:fill="F2F2F2" w:themeFill="background1" w:themeFillShade="F2"/>
            <w:vAlign w:val="center"/>
          </w:tcPr>
          <w:p w14:paraId="5F85429F" w14:textId="77777777" w:rsidR="00AE1CEF" w:rsidRPr="00314070" w:rsidRDefault="00AE1CEF" w:rsidP="00A871E9">
            <w:pPr>
              <w:rPr>
                <w:rFonts w:asciiTheme="minorHAnsi" w:hAnsiTheme="minorHAnsi" w:cstheme="minorHAnsi"/>
                <w:color w:val="008000"/>
                <w:sz w:val="20"/>
                <w:szCs w:val="20"/>
              </w:rPr>
            </w:pPr>
          </w:p>
        </w:tc>
        <w:tc>
          <w:tcPr>
            <w:tcW w:w="3193" w:type="dxa"/>
            <w:tcBorders>
              <w:bottom w:val="nil"/>
            </w:tcBorders>
            <w:shd w:val="clear" w:color="auto" w:fill="F2F2F2" w:themeFill="background1" w:themeFillShade="F2"/>
          </w:tcPr>
          <w:p w14:paraId="1659A6DB" w14:textId="77777777" w:rsidR="00AE1CEF" w:rsidRPr="00314070"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Avoided Clearing of Native Regrowth</w:t>
            </w:r>
          </w:p>
        </w:tc>
        <w:tc>
          <w:tcPr>
            <w:tcW w:w="975" w:type="dxa"/>
            <w:tcBorders>
              <w:bottom w:val="nil"/>
            </w:tcBorders>
            <w:shd w:val="clear" w:color="auto" w:fill="F2F2F2" w:themeFill="background1" w:themeFillShade="F2"/>
          </w:tcPr>
          <w:p w14:paraId="0862E8EB"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w:t>
            </w:r>
          </w:p>
        </w:tc>
        <w:tc>
          <w:tcPr>
            <w:tcW w:w="1109" w:type="dxa"/>
            <w:tcBorders>
              <w:bottom w:val="nil"/>
            </w:tcBorders>
            <w:shd w:val="clear" w:color="auto" w:fill="F2F2F2" w:themeFill="background1" w:themeFillShade="F2"/>
          </w:tcPr>
          <w:p w14:paraId="558E2C2D"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w:t>
            </w:r>
          </w:p>
        </w:tc>
        <w:tc>
          <w:tcPr>
            <w:tcW w:w="1270" w:type="dxa"/>
            <w:tcBorders>
              <w:bottom w:val="nil"/>
            </w:tcBorders>
            <w:shd w:val="clear" w:color="auto" w:fill="F2F2F2" w:themeFill="background1" w:themeFillShade="F2"/>
          </w:tcPr>
          <w:p w14:paraId="4A41AC03"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354,258</w:t>
            </w:r>
          </w:p>
        </w:tc>
        <w:tc>
          <w:tcPr>
            <w:tcW w:w="1270" w:type="dxa"/>
            <w:tcBorders>
              <w:bottom w:val="nil"/>
            </w:tcBorders>
            <w:shd w:val="clear" w:color="auto" w:fill="F2F2F2" w:themeFill="background1" w:themeFillShade="F2"/>
          </w:tcPr>
          <w:p w14:paraId="5470DDFC"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35,426</w:t>
            </w:r>
          </w:p>
        </w:tc>
        <w:tc>
          <w:tcPr>
            <w:tcW w:w="1270" w:type="dxa"/>
            <w:tcBorders>
              <w:bottom w:val="nil"/>
            </w:tcBorders>
            <w:shd w:val="clear" w:color="auto" w:fill="F2F2F2" w:themeFill="background1" w:themeFillShade="F2"/>
          </w:tcPr>
          <w:p w14:paraId="0900DFCC"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251,500</w:t>
            </w:r>
          </w:p>
        </w:tc>
        <w:tc>
          <w:tcPr>
            <w:tcW w:w="1270" w:type="dxa"/>
            <w:tcBorders>
              <w:bottom w:val="nil"/>
            </w:tcBorders>
            <w:shd w:val="clear" w:color="auto" w:fill="F2F2F2" w:themeFill="background1" w:themeFillShade="F2"/>
          </w:tcPr>
          <w:p w14:paraId="01964106"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62,363</w:t>
            </w:r>
          </w:p>
        </w:tc>
        <w:tc>
          <w:tcPr>
            <w:tcW w:w="1270" w:type="dxa"/>
            <w:tcBorders>
              <w:bottom w:val="nil"/>
            </w:tcBorders>
            <w:shd w:val="clear" w:color="auto" w:fill="F2F2F2" w:themeFill="background1" w:themeFillShade="F2"/>
          </w:tcPr>
          <w:p w14:paraId="7C492139"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71.0%</w:t>
            </w:r>
          </w:p>
        </w:tc>
        <w:tc>
          <w:tcPr>
            <w:tcW w:w="1438" w:type="dxa"/>
            <w:tcBorders>
              <w:bottom w:val="nil"/>
            </w:tcBorders>
            <w:shd w:val="clear" w:color="auto" w:fill="F2F2F2" w:themeFill="background1" w:themeFillShade="F2"/>
          </w:tcPr>
          <w:p w14:paraId="1C8C81B2"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0.2%</w:t>
            </w:r>
          </w:p>
        </w:tc>
      </w:tr>
      <w:tr w:rsidR="005A0FA2" w:rsidRPr="005713AC" w14:paraId="662C7D75" w14:textId="77777777" w:rsidTr="000E0B5E">
        <w:trPr>
          <w:gridBefore w:val="1"/>
          <w:cnfStyle w:val="000000100000" w:firstRow="0" w:lastRow="0" w:firstColumn="0" w:lastColumn="0" w:oddVBand="0" w:evenVBand="0" w:oddHBand="1" w:evenHBand="0" w:firstRowFirstColumn="0" w:firstRowLastColumn="0" w:lastRowFirstColumn="0" w:lastRowLastColumn="0"/>
          <w:wBefore w:w="6" w:type="dxa"/>
          <w:trHeight w:hRule="exact" w:val="675"/>
        </w:trPr>
        <w:tc>
          <w:tcPr>
            <w:cnfStyle w:val="001000000000" w:firstRow="0" w:lastRow="0" w:firstColumn="1" w:lastColumn="0" w:oddVBand="0" w:evenVBand="0" w:oddHBand="0" w:evenHBand="0" w:firstRowFirstColumn="0" w:firstRowLastColumn="0" w:lastRowFirstColumn="0" w:lastRowLastColumn="0"/>
            <w:tcW w:w="1530" w:type="dxa"/>
            <w:tcBorders>
              <w:top w:val="nil"/>
              <w:bottom w:val="nil"/>
            </w:tcBorders>
            <w:shd w:val="clear" w:color="auto" w:fill="FFFFFF" w:themeFill="background1"/>
            <w:vAlign w:val="center"/>
          </w:tcPr>
          <w:p w14:paraId="353F9EFA" w14:textId="77777777" w:rsidR="00AE1CEF" w:rsidRPr="00314070" w:rsidRDefault="00AE1CEF" w:rsidP="00A871E9">
            <w:pPr>
              <w:rPr>
                <w:rFonts w:asciiTheme="minorHAnsi" w:hAnsiTheme="minorHAnsi" w:cstheme="minorHAnsi"/>
                <w:b w:val="0"/>
                <w:bCs w:val="0"/>
                <w:color w:val="008000"/>
                <w:sz w:val="20"/>
                <w:szCs w:val="20"/>
              </w:rPr>
            </w:pPr>
            <w:r w:rsidRPr="00314070">
              <w:rPr>
                <w:rFonts w:asciiTheme="minorHAnsi" w:hAnsiTheme="minorHAnsi" w:cstheme="minorHAnsi"/>
                <w:b w:val="0"/>
                <w:bCs w:val="0"/>
                <w:sz w:val="20"/>
                <w:szCs w:val="20"/>
              </w:rPr>
              <w:t>Soil carbon</w:t>
            </w:r>
          </w:p>
        </w:tc>
        <w:tc>
          <w:tcPr>
            <w:tcW w:w="3193" w:type="dxa"/>
            <w:tcBorders>
              <w:top w:val="nil"/>
              <w:bottom w:val="nil"/>
            </w:tcBorders>
            <w:shd w:val="clear" w:color="auto" w:fill="FFFFFF" w:themeFill="background1"/>
          </w:tcPr>
          <w:p w14:paraId="64C29D7B" w14:textId="77777777" w:rsidR="00AE1CEF" w:rsidRPr="00314070"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 xml:space="preserve">Measurement of soil C sequestration in agricultural systems </w:t>
            </w:r>
          </w:p>
        </w:tc>
        <w:tc>
          <w:tcPr>
            <w:tcW w:w="975" w:type="dxa"/>
            <w:tcBorders>
              <w:top w:val="nil"/>
              <w:bottom w:val="nil"/>
            </w:tcBorders>
            <w:shd w:val="clear" w:color="auto" w:fill="FFFFFF" w:themeFill="background1"/>
          </w:tcPr>
          <w:p w14:paraId="19206E86"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50</w:t>
            </w:r>
          </w:p>
        </w:tc>
        <w:tc>
          <w:tcPr>
            <w:tcW w:w="1109" w:type="dxa"/>
            <w:tcBorders>
              <w:top w:val="nil"/>
              <w:bottom w:val="nil"/>
            </w:tcBorders>
            <w:shd w:val="clear" w:color="auto" w:fill="FFFFFF" w:themeFill="background1"/>
          </w:tcPr>
          <w:p w14:paraId="0C3CC14E"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11</w:t>
            </w:r>
          </w:p>
        </w:tc>
        <w:tc>
          <w:tcPr>
            <w:tcW w:w="1270" w:type="dxa"/>
            <w:tcBorders>
              <w:top w:val="nil"/>
              <w:bottom w:val="nil"/>
            </w:tcBorders>
            <w:shd w:val="clear" w:color="auto" w:fill="FFFFFF" w:themeFill="background1"/>
          </w:tcPr>
          <w:p w14:paraId="11D090C6"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13,825,000</w:t>
            </w:r>
          </w:p>
        </w:tc>
        <w:tc>
          <w:tcPr>
            <w:tcW w:w="1270" w:type="dxa"/>
            <w:tcBorders>
              <w:top w:val="nil"/>
              <w:bottom w:val="nil"/>
            </w:tcBorders>
            <w:shd w:val="clear" w:color="auto" w:fill="FFFFFF" w:themeFill="background1"/>
          </w:tcPr>
          <w:p w14:paraId="094EC1B1"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1,387,500</w:t>
            </w:r>
          </w:p>
        </w:tc>
        <w:tc>
          <w:tcPr>
            <w:tcW w:w="1270" w:type="dxa"/>
            <w:tcBorders>
              <w:top w:val="nil"/>
              <w:bottom w:val="nil"/>
            </w:tcBorders>
            <w:shd w:val="clear" w:color="auto" w:fill="FFFFFF" w:themeFill="background1"/>
          </w:tcPr>
          <w:p w14:paraId="2D695AE6"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295,800</w:t>
            </w:r>
          </w:p>
        </w:tc>
        <w:tc>
          <w:tcPr>
            <w:tcW w:w="1270" w:type="dxa"/>
            <w:tcBorders>
              <w:top w:val="nil"/>
              <w:bottom w:val="nil"/>
            </w:tcBorders>
            <w:shd w:val="clear" w:color="auto" w:fill="FFFFFF" w:themeFill="background1"/>
          </w:tcPr>
          <w:p w14:paraId="3DD0FADA"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58,369</w:t>
            </w:r>
          </w:p>
        </w:tc>
        <w:tc>
          <w:tcPr>
            <w:tcW w:w="1270" w:type="dxa"/>
            <w:tcBorders>
              <w:top w:val="nil"/>
              <w:bottom w:val="nil"/>
            </w:tcBorders>
            <w:shd w:val="clear" w:color="auto" w:fill="FFFFFF" w:themeFill="background1"/>
          </w:tcPr>
          <w:p w14:paraId="15345A1C"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2.1%</w:t>
            </w:r>
          </w:p>
        </w:tc>
        <w:tc>
          <w:tcPr>
            <w:tcW w:w="1438" w:type="dxa"/>
            <w:tcBorders>
              <w:top w:val="nil"/>
              <w:bottom w:val="nil"/>
            </w:tcBorders>
            <w:shd w:val="clear" w:color="auto" w:fill="FFFFFF" w:themeFill="background1"/>
          </w:tcPr>
          <w:p w14:paraId="1471A0A4"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7.2%</w:t>
            </w:r>
          </w:p>
        </w:tc>
      </w:tr>
      <w:tr w:rsidR="005A0FA2" w:rsidRPr="005713AC" w14:paraId="71C91C8B" w14:textId="77777777" w:rsidTr="000E0B5E">
        <w:trPr>
          <w:gridBefore w:val="1"/>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tcBorders>
              <w:top w:val="nil"/>
              <w:bottom w:val="single" w:sz="4" w:space="0" w:color="auto"/>
            </w:tcBorders>
            <w:shd w:val="clear" w:color="auto" w:fill="F2F2F2" w:themeFill="background1" w:themeFillShade="F2"/>
            <w:vAlign w:val="center"/>
          </w:tcPr>
          <w:p w14:paraId="53D5CF17" w14:textId="77777777" w:rsidR="00AE1CEF" w:rsidRPr="00314070" w:rsidRDefault="00AE1CEF" w:rsidP="00A871E9">
            <w:pPr>
              <w:rPr>
                <w:rFonts w:asciiTheme="minorHAnsi" w:hAnsiTheme="minorHAnsi" w:cstheme="minorHAnsi"/>
                <w:b w:val="0"/>
                <w:bCs w:val="0"/>
                <w:color w:val="008000"/>
                <w:sz w:val="20"/>
                <w:szCs w:val="20"/>
              </w:rPr>
            </w:pPr>
            <w:r w:rsidRPr="00314070">
              <w:rPr>
                <w:rFonts w:asciiTheme="minorHAnsi" w:hAnsiTheme="minorHAnsi" w:cstheme="minorHAnsi"/>
                <w:b w:val="0"/>
                <w:bCs w:val="0"/>
                <w:sz w:val="20"/>
                <w:szCs w:val="20"/>
              </w:rPr>
              <w:t>Savanna burning</w:t>
            </w:r>
          </w:p>
        </w:tc>
        <w:tc>
          <w:tcPr>
            <w:tcW w:w="3193" w:type="dxa"/>
            <w:tcBorders>
              <w:top w:val="nil"/>
              <w:bottom w:val="single" w:sz="4" w:space="0" w:color="auto"/>
            </w:tcBorders>
            <w:shd w:val="clear" w:color="auto" w:fill="F2F2F2" w:themeFill="background1" w:themeFillShade="F2"/>
          </w:tcPr>
          <w:p w14:paraId="4C767A2D" w14:textId="77777777" w:rsidR="00AE1CEF" w:rsidRPr="00314070"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color w:val="008000"/>
                <w:sz w:val="20"/>
                <w:szCs w:val="20"/>
              </w:rPr>
              <w:t>Savanna Fire Management</w:t>
            </w:r>
          </w:p>
        </w:tc>
        <w:tc>
          <w:tcPr>
            <w:tcW w:w="975" w:type="dxa"/>
            <w:tcBorders>
              <w:top w:val="nil"/>
              <w:bottom w:val="single" w:sz="4" w:space="0" w:color="auto"/>
            </w:tcBorders>
            <w:shd w:val="clear" w:color="auto" w:fill="F2F2F2" w:themeFill="background1" w:themeFillShade="F2"/>
          </w:tcPr>
          <w:p w14:paraId="7839DB7F"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75</w:t>
            </w:r>
          </w:p>
        </w:tc>
        <w:tc>
          <w:tcPr>
            <w:tcW w:w="1109" w:type="dxa"/>
            <w:tcBorders>
              <w:top w:val="nil"/>
              <w:bottom w:val="single" w:sz="4" w:space="0" w:color="auto"/>
            </w:tcBorders>
            <w:shd w:val="clear" w:color="auto" w:fill="F2F2F2" w:themeFill="background1" w:themeFillShade="F2"/>
          </w:tcPr>
          <w:p w14:paraId="5EA69E75"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43</w:t>
            </w:r>
          </w:p>
        </w:tc>
        <w:tc>
          <w:tcPr>
            <w:tcW w:w="1270" w:type="dxa"/>
            <w:tcBorders>
              <w:top w:val="nil"/>
              <w:bottom w:val="single" w:sz="4" w:space="0" w:color="auto"/>
            </w:tcBorders>
            <w:shd w:val="clear" w:color="auto" w:fill="F2F2F2" w:themeFill="background1" w:themeFillShade="F2"/>
          </w:tcPr>
          <w:p w14:paraId="3919CA24"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13,580,089</w:t>
            </w:r>
          </w:p>
        </w:tc>
        <w:tc>
          <w:tcPr>
            <w:tcW w:w="1270" w:type="dxa"/>
            <w:tcBorders>
              <w:top w:val="nil"/>
              <w:bottom w:val="single" w:sz="4" w:space="0" w:color="auto"/>
            </w:tcBorders>
            <w:shd w:val="clear" w:color="auto" w:fill="F2F2F2" w:themeFill="background1" w:themeFillShade="F2"/>
          </w:tcPr>
          <w:p w14:paraId="2D6CA68A"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1,480,100</w:t>
            </w:r>
          </w:p>
        </w:tc>
        <w:tc>
          <w:tcPr>
            <w:tcW w:w="1270" w:type="dxa"/>
            <w:tcBorders>
              <w:top w:val="nil"/>
              <w:bottom w:val="single" w:sz="4" w:space="0" w:color="auto"/>
            </w:tcBorders>
            <w:shd w:val="clear" w:color="auto" w:fill="F2F2F2" w:themeFill="background1" w:themeFillShade="F2"/>
          </w:tcPr>
          <w:p w14:paraId="3C3DBF58"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3,260,998</w:t>
            </w:r>
          </w:p>
        </w:tc>
        <w:tc>
          <w:tcPr>
            <w:tcW w:w="1270" w:type="dxa"/>
            <w:tcBorders>
              <w:top w:val="nil"/>
              <w:bottom w:val="single" w:sz="4" w:space="0" w:color="auto"/>
            </w:tcBorders>
            <w:shd w:val="clear" w:color="auto" w:fill="F2F2F2" w:themeFill="background1" w:themeFillShade="F2"/>
          </w:tcPr>
          <w:p w14:paraId="27E26A30"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825,133</w:t>
            </w:r>
          </w:p>
        </w:tc>
        <w:tc>
          <w:tcPr>
            <w:tcW w:w="1270" w:type="dxa"/>
            <w:tcBorders>
              <w:top w:val="nil"/>
              <w:bottom w:val="single" w:sz="4" w:space="0" w:color="auto"/>
            </w:tcBorders>
            <w:shd w:val="clear" w:color="auto" w:fill="F2F2F2" w:themeFill="background1" w:themeFillShade="F2"/>
          </w:tcPr>
          <w:p w14:paraId="34107766"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24.0%</w:t>
            </w:r>
          </w:p>
        </w:tc>
        <w:tc>
          <w:tcPr>
            <w:tcW w:w="1438" w:type="dxa"/>
            <w:tcBorders>
              <w:top w:val="nil"/>
              <w:bottom w:val="single" w:sz="4" w:space="0" w:color="auto"/>
            </w:tcBorders>
            <w:shd w:val="clear" w:color="auto" w:fill="F2F2F2" w:themeFill="background1" w:themeFillShade="F2"/>
          </w:tcPr>
          <w:p w14:paraId="76C1543A"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7.0%</w:t>
            </w:r>
          </w:p>
        </w:tc>
      </w:tr>
      <w:tr w:rsidR="005A0FA2" w:rsidRPr="005713AC" w14:paraId="514D2B40" w14:textId="77777777" w:rsidTr="000E0B5E">
        <w:trPr>
          <w:gridBefore w:val="1"/>
          <w:cnfStyle w:val="000000100000" w:firstRow="0" w:lastRow="0" w:firstColumn="0" w:lastColumn="0" w:oddVBand="0" w:evenVBand="0" w:oddHBand="1" w:evenHBand="0" w:firstRowFirstColumn="0" w:firstRowLastColumn="0" w:lastRowFirstColumn="0" w:lastRowLastColumn="0"/>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auto"/>
              <w:bottom w:val="nil"/>
            </w:tcBorders>
            <w:shd w:val="clear" w:color="auto" w:fill="FFFFFF" w:themeFill="background1"/>
            <w:vAlign w:val="center"/>
          </w:tcPr>
          <w:p w14:paraId="4B58FADB" w14:textId="77777777" w:rsidR="00AE1CEF" w:rsidRPr="00314070" w:rsidRDefault="00AE1CEF" w:rsidP="00A871E9">
            <w:pPr>
              <w:rPr>
                <w:rFonts w:asciiTheme="minorHAnsi" w:hAnsiTheme="minorHAnsi" w:cstheme="minorHAnsi"/>
                <w:color w:val="008000"/>
                <w:sz w:val="20"/>
                <w:szCs w:val="20"/>
              </w:rPr>
            </w:pPr>
          </w:p>
        </w:tc>
        <w:tc>
          <w:tcPr>
            <w:tcW w:w="3193" w:type="dxa"/>
            <w:tcBorders>
              <w:top w:val="single" w:sz="4" w:space="0" w:color="auto"/>
              <w:bottom w:val="nil"/>
            </w:tcBorders>
            <w:shd w:val="clear" w:color="auto" w:fill="FFFFFF" w:themeFill="background1"/>
          </w:tcPr>
          <w:p w14:paraId="2F9C6EDD" w14:textId="45053F47" w:rsidR="00AE1CEF" w:rsidRPr="00314070"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sz w:val="20"/>
                <w:szCs w:val="20"/>
              </w:rPr>
              <w:t xml:space="preserve">Other </w:t>
            </w:r>
            <w:r w:rsidR="00430DD5">
              <w:rPr>
                <w:rFonts w:asciiTheme="minorHAnsi" w:hAnsiTheme="minorHAnsi" w:cstheme="minorHAnsi"/>
                <w:sz w:val="20"/>
                <w:szCs w:val="20"/>
              </w:rPr>
              <w:t>–</w:t>
            </w:r>
            <w:r w:rsidRPr="00314070">
              <w:rPr>
                <w:rFonts w:asciiTheme="minorHAnsi" w:hAnsiTheme="minorHAnsi" w:cstheme="minorHAnsi"/>
                <w:sz w:val="20"/>
                <w:szCs w:val="20"/>
              </w:rPr>
              <w:t xml:space="preserve"> Land-Based</w:t>
            </w:r>
            <w:r>
              <w:rPr>
                <w:rFonts w:asciiTheme="minorHAnsi" w:hAnsiTheme="minorHAnsi" w:cstheme="minorHAnsi"/>
                <w:sz w:val="20"/>
                <w:szCs w:val="20"/>
                <w:vertAlign w:val="superscript"/>
              </w:rPr>
              <w:t>4</w:t>
            </w:r>
          </w:p>
        </w:tc>
        <w:tc>
          <w:tcPr>
            <w:tcW w:w="975" w:type="dxa"/>
            <w:tcBorders>
              <w:top w:val="single" w:sz="4" w:space="0" w:color="auto"/>
              <w:bottom w:val="nil"/>
            </w:tcBorders>
            <w:shd w:val="clear" w:color="auto" w:fill="FFFFFF" w:themeFill="background1"/>
          </w:tcPr>
          <w:p w14:paraId="1F55DCD1"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22</w:t>
            </w:r>
          </w:p>
        </w:tc>
        <w:tc>
          <w:tcPr>
            <w:tcW w:w="1109" w:type="dxa"/>
            <w:tcBorders>
              <w:top w:val="single" w:sz="4" w:space="0" w:color="auto"/>
              <w:bottom w:val="nil"/>
            </w:tcBorders>
            <w:shd w:val="clear" w:color="auto" w:fill="FFFFFF" w:themeFill="background1"/>
          </w:tcPr>
          <w:p w14:paraId="3C05112C"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11</w:t>
            </w:r>
          </w:p>
        </w:tc>
        <w:tc>
          <w:tcPr>
            <w:tcW w:w="1270" w:type="dxa"/>
            <w:tcBorders>
              <w:top w:val="single" w:sz="4" w:space="0" w:color="auto"/>
              <w:bottom w:val="nil"/>
            </w:tcBorders>
            <w:shd w:val="clear" w:color="auto" w:fill="FFFFFF" w:themeFill="background1"/>
          </w:tcPr>
          <w:p w14:paraId="29709742"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 xml:space="preserve">1,864,661 </w:t>
            </w:r>
          </w:p>
        </w:tc>
        <w:tc>
          <w:tcPr>
            <w:tcW w:w="1270" w:type="dxa"/>
            <w:tcBorders>
              <w:top w:val="single" w:sz="4" w:space="0" w:color="auto"/>
              <w:bottom w:val="nil"/>
            </w:tcBorders>
            <w:shd w:val="clear" w:color="auto" w:fill="FFFFFF" w:themeFill="background1"/>
          </w:tcPr>
          <w:p w14:paraId="5F678362"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 xml:space="preserve">239,009 </w:t>
            </w:r>
          </w:p>
        </w:tc>
        <w:tc>
          <w:tcPr>
            <w:tcW w:w="1270" w:type="dxa"/>
            <w:tcBorders>
              <w:top w:val="single" w:sz="4" w:space="0" w:color="auto"/>
              <w:bottom w:val="nil"/>
            </w:tcBorders>
            <w:shd w:val="clear" w:color="auto" w:fill="FFFFFF" w:themeFill="background1"/>
          </w:tcPr>
          <w:p w14:paraId="21284096"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 xml:space="preserve">891,436 </w:t>
            </w:r>
          </w:p>
        </w:tc>
        <w:tc>
          <w:tcPr>
            <w:tcW w:w="1270" w:type="dxa"/>
            <w:tcBorders>
              <w:top w:val="single" w:sz="4" w:space="0" w:color="auto"/>
              <w:bottom w:val="nil"/>
            </w:tcBorders>
            <w:shd w:val="clear" w:color="auto" w:fill="FFFFFF" w:themeFill="background1"/>
          </w:tcPr>
          <w:p w14:paraId="2042893E"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 xml:space="preserve">200,456 </w:t>
            </w:r>
          </w:p>
        </w:tc>
        <w:tc>
          <w:tcPr>
            <w:tcW w:w="1270" w:type="dxa"/>
            <w:tcBorders>
              <w:top w:val="single" w:sz="4" w:space="0" w:color="auto"/>
              <w:bottom w:val="nil"/>
            </w:tcBorders>
            <w:shd w:val="clear" w:color="auto" w:fill="FFFFFF" w:themeFill="background1"/>
          </w:tcPr>
          <w:p w14:paraId="3397E5B1"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47.8%</w:t>
            </w:r>
          </w:p>
        </w:tc>
        <w:tc>
          <w:tcPr>
            <w:tcW w:w="1438" w:type="dxa"/>
            <w:tcBorders>
              <w:top w:val="single" w:sz="4" w:space="0" w:color="auto"/>
              <w:bottom w:val="nil"/>
            </w:tcBorders>
            <w:shd w:val="clear" w:color="auto" w:fill="FFFFFF" w:themeFill="background1"/>
          </w:tcPr>
          <w:p w14:paraId="65538CCB"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1.0%</w:t>
            </w:r>
          </w:p>
        </w:tc>
      </w:tr>
      <w:tr w:rsidR="00AE1CEF" w:rsidRPr="005713AC" w14:paraId="47A456C1" w14:textId="77777777" w:rsidTr="008D11AD">
        <w:trPr>
          <w:gridBefore w:val="1"/>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tcBorders>
              <w:bottom w:val="nil"/>
            </w:tcBorders>
            <w:vAlign w:val="center"/>
          </w:tcPr>
          <w:p w14:paraId="1881187C" w14:textId="77777777" w:rsidR="00AE1CEF" w:rsidRPr="00314070" w:rsidRDefault="00AE1CEF" w:rsidP="00A871E9">
            <w:pPr>
              <w:rPr>
                <w:rFonts w:asciiTheme="minorHAnsi" w:hAnsiTheme="minorHAnsi" w:cstheme="minorHAnsi"/>
                <w:sz w:val="20"/>
                <w:szCs w:val="20"/>
              </w:rPr>
            </w:pPr>
          </w:p>
        </w:tc>
        <w:tc>
          <w:tcPr>
            <w:tcW w:w="3193" w:type="dxa"/>
            <w:tcBorders>
              <w:bottom w:val="nil"/>
            </w:tcBorders>
          </w:tcPr>
          <w:p w14:paraId="2B95058B" w14:textId="77777777" w:rsidR="00AE1CEF" w:rsidRPr="00314070"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sz w:val="20"/>
                <w:szCs w:val="20"/>
              </w:rPr>
              <w:t>Landfill Gas</w:t>
            </w:r>
          </w:p>
        </w:tc>
        <w:tc>
          <w:tcPr>
            <w:tcW w:w="975" w:type="dxa"/>
            <w:tcBorders>
              <w:bottom w:val="nil"/>
            </w:tcBorders>
          </w:tcPr>
          <w:p w14:paraId="0F027DB1"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110</w:t>
            </w:r>
          </w:p>
        </w:tc>
        <w:tc>
          <w:tcPr>
            <w:tcW w:w="1109" w:type="dxa"/>
            <w:tcBorders>
              <w:bottom w:val="nil"/>
            </w:tcBorders>
          </w:tcPr>
          <w:p w14:paraId="6D9C9AC2"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93</w:t>
            </w:r>
          </w:p>
        </w:tc>
        <w:tc>
          <w:tcPr>
            <w:tcW w:w="1270" w:type="dxa"/>
            <w:tcBorders>
              <w:bottom w:val="nil"/>
            </w:tcBorders>
          </w:tcPr>
          <w:p w14:paraId="2BE9EBC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21,534,796</w:t>
            </w:r>
          </w:p>
        </w:tc>
        <w:tc>
          <w:tcPr>
            <w:tcW w:w="1270" w:type="dxa"/>
            <w:tcBorders>
              <w:bottom w:val="nil"/>
            </w:tcBorders>
          </w:tcPr>
          <w:p w14:paraId="480803E5"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3,289,788</w:t>
            </w:r>
          </w:p>
        </w:tc>
        <w:tc>
          <w:tcPr>
            <w:tcW w:w="1270" w:type="dxa"/>
            <w:tcBorders>
              <w:bottom w:val="nil"/>
            </w:tcBorders>
          </w:tcPr>
          <w:p w14:paraId="768A3BA9"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12,735,297</w:t>
            </w:r>
          </w:p>
        </w:tc>
        <w:tc>
          <w:tcPr>
            <w:tcW w:w="1270" w:type="dxa"/>
            <w:tcBorders>
              <w:bottom w:val="nil"/>
            </w:tcBorders>
          </w:tcPr>
          <w:p w14:paraId="301FA992"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2,851,432</w:t>
            </w:r>
          </w:p>
        </w:tc>
        <w:tc>
          <w:tcPr>
            <w:tcW w:w="1270" w:type="dxa"/>
            <w:tcBorders>
              <w:bottom w:val="nil"/>
            </w:tcBorders>
          </w:tcPr>
          <w:p w14:paraId="49B92486"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59.1%</w:t>
            </w:r>
          </w:p>
        </w:tc>
        <w:tc>
          <w:tcPr>
            <w:tcW w:w="1438" w:type="dxa"/>
            <w:tcBorders>
              <w:bottom w:val="nil"/>
            </w:tcBorders>
          </w:tcPr>
          <w:p w14:paraId="5EBB0464"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11.2%</w:t>
            </w:r>
          </w:p>
        </w:tc>
      </w:tr>
      <w:tr w:rsidR="005A0FA2" w:rsidRPr="005713AC" w14:paraId="7D31EFAD" w14:textId="77777777" w:rsidTr="000E0B5E">
        <w:trPr>
          <w:gridBefore w:val="1"/>
          <w:cnfStyle w:val="000000100000" w:firstRow="0" w:lastRow="0" w:firstColumn="0" w:lastColumn="0" w:oddVBand="0" w:evenVBand="0" w:oddHBand="1" w:evenHBand="0" w:firstRowFirstColumn="0" w:firstRowLastColumn="0" w:lastRowFirstColumn="0" w:lastRowLastColumn="0"/>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tcBorders>
              <w:top w:val="nil"/>
              <w:bottom w:val="nil"/>
            </w:tcBorders>
            <w:shd w:val="clear" w:color="auto" w:fill="FFFFFF" w:themeFill="background1"/>
            <w:vAlign w:val="center"/>
          </w:tcPr>
          <w:p w14:paraId="06A10F92" w14:textId="77777777" w:rsidR="00AE1CEF" w:rsidRPr="00314070" w:rsidRDefault="00AE1CEF" w:rsidP="00A871E9">
            <w:pPr>
              <w:rPr>
                <w:rFonts w:asciiTheme="minorHAnsi" w:hAnsiTheme="minorHAnsi" w:cstheme="minorHAnsi"/>
                <w:sz w:val="20"/>
                <w:szCs w:val="20"/>
              </w:rPr>
            </w:pPr>
          </w:p>
        </w:tc>
        <w:tc>
          <w:tcPr>
            <w:tcW w:w="3193" w:type="dxa"/>
            <w:tcBorders>
              <w:top w:val="nil"/>
              <w:bottom w:val="nil"/>
            </w:tcBorders>
            <w:shd w:val="clear" w:color="auto" w:fill="FFFFFF" w:themeFill="background1"/>
          </w:tcPr>
          <w:p w14:paraId="6BDF0544" w14:textId="77777777" w:rsidR="00AE1CEF" w:rsidRPr="00314070"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sz w:val="20"/>
                <w:szCs w:val="20"/>
              </w:rPr>
              <w:t>Commercial &amp; Public Lighting</w:t>
            </w:r>
          </w:p>
        </w:tc>
        <w:tc>
          <w:tcPr>
            <w:tcW w:w="975" w:type="dxa"/>
            <w:tcBorders>
              <w:top w:val="nil"/>
              <w:bottom w:val="nil"/>
            </w:tcBorders>
            <w:shd w:val="clear" w:color="auto" w:fill="FFFFFF" w:themeFill="background1"/>
          </w:tcPr>
          <w:p w14:paraId="65D9E881"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10</w:t>
            </w:r>
          </w:p>
        </w:tc>
        <w:tc>
          <w:tcPr>
            <w:tcW w:w="1109" w:type="dxa"/>
            <w:tcBorders>
              <w:top w:val="nil"/>
              <w:bottom w:val="nil"/>
            </w:tcBorders>
            <w:shd w:val="clear" w:color="auto" w:fill="FFFFFF" w:themeFill="background1"/>
          </w:tcPr>
          <w:p w14:paraId="73B97ECB"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w:t>
            </w:r>
          </w:p>
        </w:tc>
        <w:tc>
          <w:tcPr>
            <w:tcW w:w="1270" w:type="dxa"/>
            <w:tcBorders>
              <w:top w:val="nil"/>
              <w:bottom w:val="nil"/>
            </w:tcBorders>
            <w:shd w:val="clear" w:color="auto" w:fill="FFFFFF" w:themeFill="background1"/>
          </w:tcPr>
          <w:p w14:paraId="2E421B19"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2,694,927</w:t>
            </w:r>
          </w:p>
        </w:tc>
        <w:tc>
          <w:tcPr>
            <w:tcW w:w="1270" w:type="dxa"/>
            <w:tcBorders>
              <w:top w:val="nil"/>
              <w:bottom w:val="nil"/>
            </w:tcBorders>
            <w:shd w:val="clear" w:color="auto" w:fill="FFFFFF" w:themeFill="background1"/>
          </w:tcPr>
          <w:p w14:paraId="3916508B"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384,990</w:t>
            </w:r>
          </w:p>
        </w:tc>
        <w:tc>
          <w:tcPr>
            <w:tcW w:w="1270" w:type="dxa"/>
            <w:tcBorders>
              <w:top w:val="nil"/>
              <w:bottom w:val="nil"/>
            </w:tcBorders>
            <w:shd w:val="clear" w:color="auto" w:fill="FFFFFF" w:themeFill="background1"/>
          </w:tcPr>
          <w:p w14:paraId="281CC2C2"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314,962</w:t>
            </w:r>
          </w:p>
        </w:tc>
        <w:tc>
          <w:tcPr>
            <w:tcW w:w="1270" w:type="dxa"/>
            <w:tcBorders>
              <w:top w:val="nil"/>
              <w:bottom w:val="nil"/>
            </w:tcBorders>
            <w:shd w:val="clear" w:color="auto" w:fill="FFFFFF" w:themeFill="background1"/>
          </w:tcPr>
          <w:p w14:paraId="72685348"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78,380</w:t>
            </w:r>
          </w:p>
        </w:tc>
        <w:tc>
          <w:tcPr>
            <w:tcW w:w="1270" w:type="dxa"/>
            <w:tcBorders>
              <w:top w:val="nil"/>
              <w:bottom w:val="nil"/>
            </w:tcBorders>
            <w:shd w:val="clear" w:color="auto" w:fill="FFFFFF" w:themeFill="background1"/>
          </w:tcPr>
          <w:p w14:paraId="274FE3F3"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11.7%</w:t>
            </w:r>
          </w:p>
        </w:tc>
        <w:tc>
          <w:tcPr>
            <w:tcW w:w="1438" w:type="dxa"/>
            <w:tcBorders>
              <w:top w:val="nil"/>
              <w:bottom w:val="nil"/>
            </w:tcBorders>
            <w:shd w:val="clear" w:color="auto" w:fill="FFFFFF" w:themeFill="background1"/>
          </w:tcPr>
          <w:p w14:paraId="3EE89F3E"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1.4%</w:t>
            </w:r>
          </w:p>
        </w:tc>
      </w:tr>
      <w:tr w:rsidR="00AE1CEF" w:rsidRPr="005713AC" w14:paraId="1A5C0F6F" w14:textId="77777777" w:rsidTr="008D11AD">
        <w:trPr>
          <w:gridBefore w:val="1"/>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tcBorders>
              <w:bottom w:val="single" w:sz="4" w:space="0" w:color="auto"/>
            </w:tcBorders>
            <w:vAlign w:val="center"/>
          </w:tcPr>
          <w:p w14:paraId="7FC4BE19" w14:textId="77777777" w:rsidR="00AE1CEF" w:rsidRPr="00314070" w:rsidRDefault="00AE1CEF" w:rsidP="00A871E9">
            <w:pPr>
              <w:rPr>
                <w:rFonts w:asciiTheme="minorHAnsi" w:hAnsiTheme="minorHAnsi" w:cstheme="minorHAnsi"/>
                <w:sz w:val="20"/>
                <w:szCs w:val="20"/>
              </w:rPr>
            </w:pPr>
          </w:p>
        </w:tc>
        <w:tc>
          <w:tcPr>
            <w:tcW w:w="3193" w:type="dxa"/>
            <w:tcBorders>
              <w:bottom w:val="single" w:sz="4" w:space="0" w:color="auto"/>
            </w:tcBorders>
          </w:tcPr>
          <w:p w14:paraId="39BDC7D5" w14:textId="77777777" w:rsidR="00AE1CEF" w:rsidRPr="00314070"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8000"/>
                <w:sz w:val="20"/>
                <w:szCs w:val="20"/>
              </w:rPr>
            </w:pPr>
            <w:r w:rsidRPr="00314070">
              <w:rPr>
                <w:rFonts w:asciiTheme="minorHAnsi" w:hAnsiTheme="minorHAnsi" w:cstheme="minorHAnsi"/>
                <w:sz w:val="20"/>
                <w:szCs w:val="20"/>
              </w:rPr>
              <w:t>Other</w:t>
            </w:r>
          </w:p>
        </w:tc>
        <w:tc>
          <w:tcPr>
            <w:tcW w:w="975" w:type="dxa"/>
            <w:tcBorders>
              <w:bottom w:val="single" w:sz="4" w:space="0" w:color="auto"/>
            </w:tcBorders>
          </w:tcPr>
          <w:p w14:paraId="40A80EDF"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85</w:t>
            </w:r>
          </w:p>
        </w:tc>
        <w:tc>
          <w:tcPr>
            <w:tcW w:w="1109" w:type="dxa"/>
            <w:tcBorders>
              <w:bottom w:val="single" w:sz="4" w:space="0" w:color="auto"/>
            </w:tcBorders>
          </w:tcPr>
          <w:p w14:paraId="0A4F4859"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26</w:t>
            </w:r>
          </w:p>
        </w:tc>
        <w:tc>
          <w:tcPr>
            <w:tcW w:w="1270" w:type="dxa"/>
            <w:tcBorders>
              <w:bottom w:val="single" w:sz="4" w:space="0" w:color="auto"/>
            </w:tcBorders>
          </w:tcPr>
          <w:p w14:paraId="1E972ED0"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10,168,481</w:t>
            </w:r>
          </w:p>
        </w:tc>
        <w:tc>
          <w:tcPr>
            <w:tcW w:w="1270" w:type="dxa"/>
            <w:tcBorders>
              <w:bottom w:val="single" w:sz="4" w:space="0" w:color="auto"/>
            </w:tcBorders>
          </w:tcPr>
          <w:p w14:paraId="28EBA90C"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1,670,348</w:t>
            </w:r>
          </w:p>
        </w:tc>
        <w:tc>
          <w:tcPr>
            <w:tcW w:w="1270" w:type="dxa"/>
            <w:tcBorders>
              <w:bottom w:val="single" w:sz="4" w:space="0" w:color="auto"/>
            </w:tcBorders>
          </w:tcPr>
          <w:p w14:paraId="73C0EFC6"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3,003,565</w:t>
            </w:r>
          </w:p>
        </w:tc>
        <w:tc>
          <w:tcPr>
            <w:tcW w:w="1270" w:type="dxa"/>
            <w:tcBorders>
              <w:bottom w:val="single" w:sz="4" w:space="0" w:color="auto"/>
            </w:tcBorders>
          </w:tcPr>
          <w:p w14:paraId="4BBB6488"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841,270</w:t>
            </w:r>
          </w:p>
        </w:tc>
        <w:tc>
          <w:tcPr>
            <w:tcW w:w="1270" w:type="dxa"/>
            <w:tcBorders>
              <w:bottom w:val="single" w:sz="4" w:space="0" w:color="auto"/>
            </w:tcBorders>
          </w:tcPr>
          <w:p w14:paraId="6F0C9AE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29.5%</w:t>
            </w:r>
          </w:p>
        </w:tc>
        <w:tc>
          <w:tcPr>
            <w:tcW w:w="1438" w:type="dxa"/>
            <w:tcBorders>
              <w:bottom w:val="single" w:sz="4" w:space="0" w:color="auto"/>
            </w:tcBorders>
          </w:tcPr>
          <w:p w14:paraId="51A0A162"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20"/>
                <w:szCs w:val="20"/>
              </w:rPr>
              <w:t>5.3%</w:t>
            </w:r>
          </w:p>
        </w:tc>
      </w:tr>
      <w:tr w:rsidR="005A0FA2" w:rsidRPr="005713AC" w14:paraId="6B4EF27E" w14:textId="77777777" w:rsidTr="000E0B5E">
        <w:trPr>
          <w:gridBefore w:val="1"/>
          <w:cnfStyle w:val="000000100000" w:firstRow="0" w:lastRow="0" w:firstColumn="0" w:lastColumn="0" w:oddVBand="0" w:evenVBand="0" w:oddHBand="1" w:evenHBand="0" w:firstRowFirstColumn="0" w:firstRowLastColumn="0" w:lastRowFirstColumn="0" w:lastRowLastColumn="0"/>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auto"/>
              <w:bottom w:val="nil"/>
            </w:tcBorders>
            <w:shd w:val="clear" w:color="auto" w:fill="FFFFFF" w:themeFill="background1"/>
            <w:vAlign w:val="center"/>
          </w:tcPr>
          <w:p w14:paraId="58C8DF34" w14:textId="77777777" w:rsidR="00AE1CEF" w:rsidRPr="00314070" w:rsidRDefault="00AE1CEF" w:rsidP="00A871E9">
            <w:pPr>
              <w:rPr>
                <w:rFonts w:asciiTheme="minorHAnsi" w:hAnsiTheme="minorHAnsi" w:cstheme="minorHAnsi"/>
                <w:color w:val="008000"/>
                <w:sz w:val="20"/>
                <w:szCs w:val="20"/>
              </w:rPr>
            </w:pPr>
          </w:p>
        </w:tc>
        <w:tc>
          <w:tcPr>
            <w:tcW w:w="3193" w:type="dxa"/>
            <w:tcBorders>
              <w:top w:val="single" w:sz="4" w:space="0" w:color="auto"/>
              <w:bottom w:val="nil"/>
            </w:tcBorders>
            <w:shd w:val="clear" w:color="auto" w:fill="FFFFFF" w:themeFill="background1"/>
          </w:tcPr>
          <w:p w14:paraId="2D27AB7A" w14:textId="7559535E" w:rsidR="00AE1CEF" w:rsidRPr="00314070"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14070">
              <w:rPr>
                <w:rFonts w:asciiTheme="minorHAnsi" w:hAnsiTheme="minorHAnsi" w:cstheme="minorHAnsi"/>
                <w:sz w:val="20"/>
                <w:szCs w:val="20"/>
              </w:rPr>
              <w:t xml:space="preserve">Total </w:t>
            </w:r>
            <w:r w:rsidR="00430DD5">
              <w:rPr>
                <w:rFonts w:asciiTheme="minorHAnsi" w:hAnsiTheme="minorHAnsi" w:cstheme="minorHAnsi"/>
                <w:sz w:val="20"/>
                <w:szCs w:val="20"/>
              </w:rPr>
              <w:t>–</w:t>
            </w:r>
            <w:r w:rsidRPr="00314070">
              <w:rPr>
                <w:rFonts w:asciiTheme="minorHAnsi" w:hAnsiTheme="minorHAnsi" w:cstheme="minorHAnsi"/>
                <w:sz w:val="20"/>
                <w:szCs w:val="20"/>
              </w:rPr>
              <w:t xml:space="preserve"> Land-Based</w:t>
            </w:r>
          </w:p>
        </w:tc>
        <w:tc>
          <w:tcPr>
            <w:tcW w:w="975" w:type="dxa"/>
            <w:tcBorders>
              <w:top w:val="single" w:sz="4" w:space="0" w:color="auto"/>
              <w:bottom w:val="nil"/>
            </w:tcBorders>
            <w:shd w:val="clear" w:color="auto" w:fill="FFFFFF" w:themeFill="background1"/>
          </w:tcPr>
          <w:p w14:paraId="65EA3C23"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600</w:t>
            </w:r>
          </w:p>
        </w:tc>
        <w:tc>
          <w:tcPr>
            <w:tcW w:w="1109" w:type="dxa"/>
            <w:tcBorders>
              <w:top w:val="single" w:sz="4" w:space="0" w:color="auto"/>
              <w:bottom w:val="nil"/>
            </w:tcBorders>
            <w:shd w:val="clear" w:color="auto" w:fill="FFFFFF" w:themeFill="background1"/>
          </w:tcPr>
          <w:p w14:paraId="6611FC3B"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348</w:t>
            </w:r>
          </w:p>
        </w:tc>
        <w:tc>
          <w:tcPr>
            <w:tcW w:w="1270" w:type="dxa"/>
            <w:tcBorders>
              <w:top w:val="single" w:sz="4" w:space="0" w:color="auto"/>
              <w:bottom w:val="nil"/>
            </w:tcBorders>
            <w:shd w:val="clear" w:color="auto" w:fill="FFFFFF" w:themeFill="background1"/>
          </w:tcPr>
          <w:p w14:paraId="5B064464"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158,384,225</w:t>
            </w:r>
          </w:p>
        </w:tc>
        <w:tc>
          <w:tcPr>
            <w:tcW w:w="1270" w:type="dxa"/>
            <w:tcBorders>
              <w:top w:val="single" w:sz="4" w:space="0" w:color="auto"/>
              <w:bottom w:val="nil"/>
            </w:tcBorders>
            <w:shd w:val="clear" w:color="auto" w:fill="FFFFFF" w:themeFill="background1"/>
          </w:tcPr>
          <w:p w14:paraId="1A7A8BD1"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16,329,092</w:t>
            </w:r>
          </w:p>
        </w:tc>
        <w:tc>
          <w:tcPr>
            <w:tcW w:w="1270" w:type="dxa"/>
            <w:tcBorders>
              <w:top w:val="single" w:sz="4" w:space="0" w:color="auto"/>
              <w:bottom w:val="nil"/>
            </w:tcBorders>
            <w:shd w:val="clear" w:color="auto" w:fill="FFFFFF" w:themeFill="background1"/>
          </w:tcPr>
          <w:p w14:paraId="6A52A272"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38,313,083</w:t>
            </w:r>
          </w:p>
        </w:tc>
        <w:tc>
          <w:tcPr>
            <w:tcW w:w="1270" w:type="dxa"/>
            <w:tcBorders>
              <w:top w:val="single" w:sz="4" w:space="0" w:color="auto"/>
              <w:bottom w:val="nil"/>
            </w:tcBorders>
            <w:shd w:val="clear" w:color="auto" w:fill="FFFFFF" w:themeFill="background1"/>
          </w:tcPr>
          <w:p w14:paraId="7F2EE13A"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10,954,753</w:t>
            </w:r>
          </w:p>
        </w:tc>
        <w:tc>
          <w:tcPr>
            <w:tcW w:w="1270" w:type="dxa"/>
            <w:tcBorders>
              <w:top w:val="single" w:sz="4" w:space="0" w:color="auto"/>
              <w:bottom w:val="nil"/>
            </w:tcBorders>
            <w:shd w:val="clear" w:color="auto" w:fill="FFFFFF" w:themeFill="background1"/>
          </w:tcPr>
          <w:p w14:paraId="44836AE7"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24.2%</w:t>
            </w:r>
          </w:p>
        </w:tc>
        <w:tc>
          <w:tcPr>
            <w:tcW w:w="1438" w:type="dxa"/>
            <w:tcBorders>
              <w:top w:val="single" w:sz="4" w:space="0" w:color="auto"/>
              <w:bottom w:val="nil"/>
            </w:tcBorders>
            <w:shd w:val="clear" w:color="auto" w:fill="FFFFFF" w:themeFill="background1"/>
          </w:tcPr>
          <w:p w14:paraId="00A8EB13" w14:textId="77777777" w:rsidR="00AE1CEF" w:rsidRPr="00314070" w:rsidRDefault="00AE1CEF" w:rsidP="00A871E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82.2%</w:t>
            </w:r>
          </w:p>
        </w:tc>
      </w:tr>
      <w:tr w:rsidR="00AE1CEF" w:rsidRPr="005713AC" w14:paraId="58AB2017" w14:textId="77777777" w:rsidTr="008D11AD">
        <w:trPr>
          <w:gridBefore w:val="1"/>
          <w:wBefore w:w="6" w:type="dxa"/>
          <w:trHeight w:hRule="exact" w:val="340"/>
        </w:trPr>
        <w:tc>
          <w:tcPr>
            <w:cnfStyle w:val="001000000000" w:firstRow="0" w:lastRow="0" w:firstColumn="1" w:lastColumn="0" w:oddVBand="0" w:evenVBand="0" w:oddHBand="0" w:evenHBand="0" w:firstRowFirstColumn="0" w:firstRowLastColumn="0" w:lastRowFirstColumn="0" w:lastRowLastColumn="0"/>
            <w:tcW w:w="1530" w:type="dxa"/>
            <w:tcBorders>
              <w:top w:val="nil"/>
              <w:bottom w:val="single" w:sz="4" w:space="0" w:color="auto"/>
            </w:tcBorders>
            <w:vAlign w:val="center"/>
          </w:tcPr>
          <w:p w14:paraId="4EB9CDA0" w14:textId="77777777" w:rsidR="00AE1CEF" w:rsidRPr="00314070" w:rsidRDefault="00AE1CEF" w:rsidP="00A871E9">
            <w:pPr>
              <w:rPr>
                <w:rFonts w:asciiTheme="minorHAnsi" w:hAnsiTheme="minorHAnsi" w:cstheme="minorHAnsi"/>
                <w:sz w:val="20"/>
                <w:szCs w:val="20"/>
              </w:rPr>
            </w:pPr>
          </w:p>
        </w:tc>
        <w:tc>
          <w:tcPr>
            <w:tcW w:w="3193" w:type="dxa"/>
            <w:tcBorders>
              <w:top w:val="nil"/>
              <w:bottom w:val="single" w:sz="4" w:space="0" w:color="auto"/>
            </w:tcBorders>
          </w:tcPr>
          <w:p w14:paraId="49125043" w14:textId="7EE02F69" w:rsidR="00AE1CEF" w:rsidRPr="00314070"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14070">
              <w:rPr>
                <w:rFonts w:asciiTheme="minorHAnsi" w:hAnsiTheme="minorHAnsi" w:cstheme="minorHAnsi"/>
                <w:sz w:val="20"/>
                <w:szCs w:val="20"/>
              </w:rPr>
              <w:t xml:space="preserve">Total </w:t>
            </w:r>
            <w:r w:rsidR="00430DD5">
              <w:rPr>
                <w:rFonts w:asciiTheme="minorHAnsi" w:hAnsiTheme="minorHAnsi" w:cstheme="minorHAnsi"/>
                <w:sz w:val="20"/>
                <w:szCs w:val="20"/>
              </w:rPr>
              <w:t>–</w:t>
            </w:r>
            <w:r w:rsidRPr="00314070">
              <w:rPr>
                <w:rFonts w:asciiTheme="minorHAnsi" w:hAnsiTheme="minorHAnsi" w:cstheme="minorHAnsi"/>
                <w:sz w:val="20"/>
                <w:szCs w:val="20"/>
              </w:rPr>
              <w:t xml:space="preserve"> All</w:t>
            </w:r>
          </w:p>
        </w:tc>
        <w:tc>
          <w:tcPr>
            <w:tcW w:w="975" w:type="dxa"/>
            <w:tcBorders>
              <w:top w:val="nil"/>
              <w:bottom w:val="single" w:sz="4" w:space="0" w:color="auto"/>
            </w:tcBorders>
          </w:tcPr>
          <w:p w14:paraId="5E9DEBB6"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805</w:t>
            </w:r>
          </w:p>
        </w:tc>
        <w:tc>
          <w:tcPr>
            <w:tcW w:w="1109" w:type="dxa"/>
            <w:tcBorders>
              <w:top w:val="nil"/>
              <w:bottom w:val="single" w:sz="4" w:space="0" w:color="auto"/>
            </w:tcBorders>
          </w:tcPr>
          <w:p w14:paraId="6B6888FF"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470</w:t>
            </w:r>
          </w:p>
        </w:tc>
        <w:tc>
          <w:tcPr>
            <w:tcW w:w="1270" w:type="dxa"/>
            <w:tcBorders>
              <w:top w:val="nil"/>
              <w:bottom w:val="single" w:sz="4" w:space="0" w:color="auto"/>
            </w:tcBorders>
          </w:tcPr>
          <w:p w14:paraId="245C7D59"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192,782,429</w:t>
            </w:r>
          </w:p>
        </w:tc>
        <w:tc>
          <w:tcPr>
            <w:tcW w:w="1270" w:type="dxa"/>
            <w:tcBorders>
              <w:top w:val="nil"/>
              <w:bottom w:val="single" w:sz="4" w:space="0" w:color="auto"/>
            </w:tcBorders>
          </w:tcPr>
          <w:p w14:paraId="0B418997"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21,674,217</w:t>
            </w:r>
          </w:p>
        </w:tc>
        <w:tc>
          <w:tcPr>
            <w:tcW w:w="1270" w:type="dxa"/>
            <w:tcBorders>
              <w:top w:val="nil"/>
              <w:bottom w:val="single" w:sz="4" w:space="0" w:color="auto"/>
            </w:tcBorders>
          </w:tcPr>
          <w:p w14:paraId="6C48198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54,366,907</w:t>
            </w:r>
          </w:p>
        </w:tc>
        <w:tc>
          <w:tcPr>
            <w:tcW w:w="1270" w:type="dxa"/>
            <w:tcBorders>
              <w:top w:val="nil"/>
              <w:bottom w:val="single" w:sz="4" w:space="0" w:color="auto"/>
            </w:tcBorders>
          </w:tcPr>
          <w:p w14:paraId="2509432A"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14,725,835</w:t>
            </w:r>
          </w:p>
        </w:tc>
        <w:tc>
          <w:tcPr>
            <w:tcW w:w="1270" w:type="dxa"/>
            <w:tcBorders>
              <w:top w:val="nil"/>
              <w:bottom w:val="single" w:sz="4" w:space="0" w:color="auto"/>
            </w:tcBorders>
          </w:tcPr>
          <w:p w14:paraId="6F626F5B"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28.2%</w:t>
            </w:r>
          </w:p>
        </w:tc>
        <w:tc>
          <w:tcPr>
            <w:tcW w:w="1438" w:type="dxa"/>
            <w:tcBorders>
              <w:top w:val="nil"/>
              <w:bottom w:val="single" w:sz="4" w:space="0" w:color="auto"/>
            </w:tcBorders>
          </w:tcPr>
          <w:p w14:paraId="2E56F2BE" w14:textId="77777777" w:rsidR="00AE1CEF" w:rsidRPr="00314070" w:rsidRDefault="00AE1CEF" w:rsidP="00A871E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14070">
              <w:rPr>
                <w:rFonts w:asciiTheme="minorHAnsi" w:hAnsiTheme="minorHAnsi" w:cstheme="minorHAnsi"/>
                <w:sz w:val="18"/>
                <w:szCs w:val="18"/>
              </w:rPr>
              <w:t>-</w:t>
            </w:r>
          </w:p>
        </w:tc>
      </w:tr>
    </w:tbl>
    <w:p w14:paraId="37FAED9E" w14:textId="5BABEF7A" w:rsidR="00AE1CEF" w:rsidRDefault="00AE1CEF" w:rsidP="00AE1CEF">
      <w:pPr>
        <w:pStyle w:val="BodyText"/>
        <w:spacing w:before="0" w:after="0" w:line="240" w:lineRule="auto"/>
        <w:rPr>
          <w:sz w:val="16"/>
          <w:szCs w:val="16"/>
        </w:rPr>
      </w:pPr>
      <w:r w:rsidRPr="009C6C7F">
        <w:rPr>
          <w:sz w:val="16"/>
          <w:szCs w:val="16"/>
          <w:vertAlign w:val="superscript"/>
        </w:rPr>
        <w:t>1</w:t>
      </w:r>
      <w:r w:rsidRPr="009C6C7F">
        <w:rPr>
          <w:sz w:val="16"/>
          <w:szCs w:val="16"/>
        </w:rPr>
        <w:t xml:space="preserve">Source: Carbon abatement contract register &amp; Emissions Reduction Fund project register, updated 17 May 2020. </w:t>
      </w:r>
      <w:hyperlink r:id="rId44" w:history="1">
        <w:r w:rsidRPr="000C1E7B">
          <w:rPr>
            <w:rStyle w:val="Hyperlink"/>
            <w:sz w:val="16"/>
            <w:szCs w:val="16"/>
          </w:rPr>
          <w:t>http://www.cleanenergyregulator.gov.au/ERF/project-and-contracts-registers</w:t>
        </w:r>
      </w:hyperlink>
      <w:r w:rsidRPr="009C6C7F">
        <w:rPr>
          <w:sz w:val="16"/>
          <w:szCs w:val="16"/>
        </w:rPr>
        <w:t>.</w:t>
      </w:r>
      <w:r>
        <w:rPr>
          <w:sz w:val="16"/>
          <w:szCs w:val="16"/>
        </w:rPr>
        <w:t xml:space="preserve"> Modified from Roxburgh et al. (2020). </w:t>
      </w:r>
      <w:r w:rsidRPr="00775972">
        <w:rPr>
          <w:sz w:val="16"/>
          <w:szCs w:val="16"/>
          <w:vertAlign w:val="superscript"/>
        </w:rPr>
        <w:t>2</w:t>
      </w:r>
      <w:r>
        <w:rPr>
          <w:sz w:val="16"/>
          <w:szCs w:val="16"/>
        </w:rPr>
        <w:t xml:space="preserve">Calculated over the delivery period as specified in each contract. </w:t>
      </w:r>
      <w:r w:rsidRPr="00775972">
        <w:rPr>
          <w:sz w:val="16"/>
          <w:szCs w:val="16"/>
          <w:vertAlign w:val="superscript"/>
        </w:rPr>
        <w:t>3</w:t>
      </w:r>
      <w:r>
        <w:rPr>
          <w:sz w:val="16"/>
          <w:szCs w:val="16"/>
        </w:rPr>
        <w:t>Calculated over the time since contract commencement data.</w:t>
      </w:r>
      <w:r w:rsidRPr="00EE3685">
        <w:rPr>
          <w:sz w:val="16"/>
          <w:szCs w:val="16"/>
          <w:vertAlign w:val="superscript"/>
        </w:rPr>
        <w:t>4</w:t>
      </w:r>
      <w:r>
        <w:rPr>
          <w:sz w:val="16"/>
          <w:szCs w:val="16"/>
        </w:rPr>
        <w:t xml:space="preserve">Includes the emissions reduction activities beef cattle herd management, and methane destruction (animal effluent). </w:t>
      </w:r>
      <w:r w:rsidRPr="003F4218">
        <w:rPr>
          <w:sz w:val="16"/>
          <w:szCs w:val="16"/>
        </w:rPr>
        <w:t>Note that contracted and delivered abatement are based on the method of the contracted project. For the vast majority of contracts, ACCUs delivered may be generated by a project other than the contracted project</w:t>
      </w:r>
      <w:r>
        <w:rPr>
          <w:sz w:val="16"/>
          <w:szCs w:val="16"/>
        </w:rPr>
        <w:t>.</w:t>
      </w:r>
    </w:p>
    <w:p w14:paraId="307AA961" w14:textId="77777777" w:rsidR="00AE1CEF" w:rsidRPr="00E350B4" w:rsidRDefault="00AE1CEF" w:rsidP="00AE1CEF">
      <w:pPr>
        <w:pStyle w:val="BodyText"/>
        <w:spacing w:before="0" w:after="0" w:line="240" w:lineRule="auto"/>
        <w:rPr>
          <w:sz w:val="16"/>
          <w:szCs w:val="16"/>
        </w:rPr>
      </w:pPr>
    </w:p>
    <w:p w14:paraId="6CC0C60D" w14:textId="77777777" w:rsidR="00AE1CEF" w:rsidRDefault="00AE1CEF" w:rsidP="00AE1CEF">
      <w:pPr>
        <w:pStyle w:val="BodyText"/>
        <w:sectPr w:rsidR="00AE1CEF" w:rsidSect="009A1C03">
          <w:pgSz w:w="16838" w:h="11906" w:orient="landscape" w:code="9"/>
          <w:pgMar w:top="1134" w:right="1134" w:bottom="1134" w:left="1134" w:header="510" w:footer="624" w:gutter="0"/>
          <w:cols w:space="850"/>
          <w:docGrid w:linePitch="360"/>
        </w:sectPr>
      </w:pPr>
    </w:p>
    <w:p w14:paraId="3A7ADC6E" w14:textId="1011C273" w:rsidR="00AE1CEF" w:rsidRDefault="00AE1CEF" w:rsidP="00AE1CEF">
      <w:pPr>
        <w:pStyle w:val="BodyText"/>
      </w:pPr>
      <w:bookmarkStart w:id="53" w:name="_Ref46257250"/>
      <w:bookmarkStart w:id="54" w:name="_Toc48505798"/>
      <w:r>
        <w:lastRenderedPageBreak/>
        <w:t>The current spatial spread of ERF projects provides information on the range of environments and jurisdictions within which current activity is occurring, and also some indication of the spatial footprint of individual projects (</w:t>
      </w:r>
      <w:r w:rsidR="00752BDE">
        <w:fldChar w:fldCharType="begin"/>
      </w:r>
      <w:r w:rsidR="00752BDE">
        <w:instrText xml:space="preserve"> REF _Ref49781426 \h </w:instrText>
      </w:r>
      <w:r w:rsidR="00752BDE">
        <w:fldChar w:fldCharType="separate"/>
      </w:r>
      <w:r w:rsidR="00235F13">
        <w:t xml:space="preserve">Figure </w:t>
      </w:r>
      <w:r w:rsidR="00235F13">
        <w:rPr>
          <w:noProof/>
        </w:rPr>
        <w:t>4</w:t>
      </w:r>
      <w:r w:rsidR="00752BDE">
        <w:fldChar w:fldCharType="end"/>
      </w:r>
      <w:r>
        <w:t xml:space="preserve">). Although many projects are not discernible when displayed at a continental scale, </w:t>
      </w:r>
      <w:r w:rsidR="00752BDE">
        <w:fldChar w:fldCharType="begin"/>
      </w:r>
      <w:r w:rsidR="00752BDE">
        <w:instrText xml:space="preserve"> REF _Ref49781426 \h </w:instrText>
      </w:r>
      <w:r w:rsidR="00752BDE">
        <w:fldChar w:fldCharType="separate"/>
      </w:r>
      <w:r w:rsidR="00235F13">
        <w:t xml:space="preserve">Figure </w:t>
      </w:r>
      <w:r w:rsidR="00235F13">
        <w:rPr>
          <w:noProof/>
        </w:rPr>
        <w:t>4</w:t>
      </w:r>
      <w:r w:rsidR="00752BDE">
        <w:fldChar w:fldCharType="end"/>
      </w:r>
      <w:r w:rsidR="00752BDE">
        <w:t xml:space="preserve"> </w:t>
      </w:r>
      <w:r>
        <w:t xml:space="preserve">clearly illustrates the dominance of Savanna Burning projects in northern Australia (24.8 million hectares, Mha), the dominance of HIR projects in central western New South Wales and Queensland and Western Australia (17.5 Mha), and the presence of Avoided Clearing/Avoided Deforestation projects in New South Wales and Queensland (0.97 Mha). Note that </w:t>
      </w:r>
      <w:r w:rsidR="00752BDE">
        <w:fldChar w:fldCharType="begin"/>
      </w:r>
      <w:r w:rsidR="00752BDE">
        <w:instrText xml:space="preserve"> REF _Ref49781426 \h </w:instrText>
      </w:r>
      <w:r w:rsidR="00752BDE">
        <w:fldChar w:fldCharType="separate"/>
      </w:r>
      <w:r w:rsidR="00235F13">
        <w:t xml:space="preserve">Figure </w:t>
      </w:r>
      <w:r w:rsidR="00235F13">
        <w:rPr>
          <w:noProof/>
        </w:rPr>
        <w:t>4</w:t>
      </w:r>
      <w:r w:rsidR="00752BDE">
        <w:fldChar w:fldCharType="end"/>
      </w:r>
      <w:r w:rsidR="00752BDE">
        <w:t xml:space="preserve"> </w:t>
      </w:r>
      <w:r>
        <w:t>also identifies the 10.5 Mha of projects that were registered, but have since been revoked.</w:t>
      </w:r>
    </w:p>
    <w:p w14:paraId="16673D9B" w14:textId="63703344" w:rsidR="00AE1CEF" w:rsidRDefault="00AE1CEF" w:rsidP="00AE1CEF">
      <w:pPr>
        <w:pStyle w:val="BodyText"/>
      </w:pPr>
      <w:r>
        <w:t xml:space="preserve">Although the project boundaries in </w:t>
      </w:r>
      <w:r w:rsidR="00752BDE">
        <w:fldChar w:fldCharType="begin"/>
      </w:r>
      <w:r w:rsidR="00752BDE">
        <w:instrText xml:space="preserve"> REF _Ref49781426 \h </w:instrText>
      </w:r>
      <w:r w:rsidR="00752BDE">
        <w:fldChar w:fldCharType="separate"/>
      </w:r>
      <w:r w:rsidR="00235F13">
        <w:t xml:space="preserve">Figure </w:t>
      </w:r>
      <w:r w:rsidR="00235F13">
        <w:rPr>
          <w:noProof/>
        </w:rPr>
        <w:t>4</w:t>
      </w:r>
      <w:r w:rsidR="00752BDE">
        <w:fldChar w:fldCharType="end"/>
      </w:r>
      <w:r>
        <w:t xml:space="preserve"> provide a general indication of the locations and extents of abatement activity, the Carbon Estimation Areas (CEAs) within those project boundaries on which abatement activity is being conducted (and therefore on which permanence obligations apply) may be much less; for example HIR where the project boundaries are often the property boundaries, and where the CEAs may only be a small fraction on the total mapped area.</w:t>
      </w:r>
    </w:p>
    <w:p w14:paraId="11B32E64" w14:textId="77777777" w:rsidR="00AE1CEF" w:rsidRPr="007E59B9" w:rsidRDefault="00AE1CEF" w:rsidP="00AE1CEF">
      <w:pPr>
        <w:pStyle w:val="BodyText"/>
      </w:pPr>
    </w:p>
    <w:bookmarkEnd w:id="53"/>
    <w:bookmarkEnd w:id="54"/>
    <w:p w14:paraId="10DF2141" w14:textId="77777777" w:rsidR="00AE1CEF" w:rsidRDefault="00AE1CEF" w:rsidP="00AE1CEF">
      <w:pPr>
        <w:rPr>
          <w:rFonts w:eastAsiaTheme="majorEastAsia" w:cstheme="majorBidi"/>
          <w:bCs/>
          <w:color w:val="00313C" w:themeColor="accent2"/>
          <w:sz w:val="32"/>
          <w:szCs w:val="26"/>
        </w:rPr>
      </w:pPr>
      <w:r>
        <w:rPr>
          <w:noProof/>
        </w:rPr>
        <w:drawing>
          <wp:anchor distT="0" distB="0" distL="114300" distR="114300" simplePos="0" relativeHeight="251658266" behindDoc="0" locked="0" layoutInCell="1" allowOverlap="1" wp14:anchorId="18599E00" wp14:editId="52CD75CD">
            <wp:simplePos x="0" y="0"/>
            <wp:positionH relativeFrom="margin">
              <wp:align>right</wp:align>
            </wp:positionH>
            <wp:positionV relativeFrom="page">
              <wp:posOffset>6548925</wp:posOffset>
            </wp:positionV>
            <wp:extent cx="1872762" cy="853227"/>
            <wp:effectExtent l="0" t="0" r="0" b="44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872762" cy="85322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DFA7057" wp14:editId="2F2D29B8">
            <wp:extent cx="4009912" cy="3556000"/>
            <wp:effectExtent l="0" t="0" r="0" b="6350"/>
            <wp:docPr id="1363245440" name="Picture 136324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36912" cy="3579943"/>
                    </a:xfrm>
                    <a:prstGeom prst="rect">
                      <a:avLst/>
                    </a:prstGeom>
                  </pic:spPr>
                </pic:pic>
              </a:graphicData>
            </a:graphic>
          </wp:inline>
        </w:drawing>
      </w:r>
    </w:p>
    <w:p w14:paraId="6F597812" w14:textId="74434A50" w:rsidR="00AE1CEF" w:rsidRDefault="00AE1CEF" w:rsidP="00AE1CEF">
      <w:pPr>
        <w:pStyle w:val="Caption"/>
      </w:pPr>
      <w:bookmarkStart w:id="55" w:name="_Ref49781426"/>
      <w:bookmarkStart w:id="56" w:name="_Toc52968234"/>
      <w:r>
        <w:t xml:space="preserve">Figure </w:t>
      </w:r>
      <w:r>
        <w:fldChar w:fldCharType="begin"/>
      </w:r>
      <w:r>
        <w:instrText>SEQ Figure \* ARABIC</w:instrText>
      </w:r>
      <w:r>
        <w:fldChar w:fldCharType="separate"/>
      </w:r>
      <w:r w:rsidR="00235F13">
        <w:rPr>
          <w:noProof/>
        </w:rPr>
        <w:t>4</w:t>
      </w:r>
      <w:r>
        <w:fldChar w:fldCharType="end"/>
      </w:r>
      <w:bookmarkEnd w:id="55"/>
      <w:r>
        <w:t xml:space="preserve">. </w:t>
      </w:r>
      <w:r w:rsidRPr="0021349E">
        <w:rPr>
          <w:b w:val="0"/>
          <w:bCs w:val="0"/>
        </w:rPr>
        <w:t>Spatial distribution of current ERF project activity relative to the NRM climate projection regionalisation.</w:t>
      </w:r>
      <w:bookmarkEnd w:id="56"/>
    </w:p>
    <w:p w14:paraId="5B0B6565" w14:textId="77777777" w:rsidR="00AE1CEF" w:rsidRDefault="00AE1CEF" w:rsidP="00AE1CEF">
      <w:pPr>
        <w:rPr>
          <w:rFonts w:eastAsiaTheme="majorEastAsia" w:cstheme="majorBidi"/>
          <w:bCs/>
          <w:color w:val="00313C" w:themeColor="accent2"/>
          <w:sz w:val="32"/>
          <w:szCs w:val="26"/>
        </w:rPr>
      </w:pPr>
    </w:p>
    <w:p w14:paraId="5F3DC907" w14:textId="77777777" w:rsidR="00AE1CEF" w:rsidRDefault="00AE1CEF" w:rsidP="00AE1CEF">
      <w:pPr>
        <w:rPr>
          <w:rFonts w:eastAsiaTheme="majorEastAsia" w:cstheme="majorBidi"/>
          <w:bCs/>
          <w:color w:val="00313C" w:themeColor="accent2"/>
          <w:sz w:val="32"/>
          <w:szCs w:val="26"/>
        </w:rPr>
      </w:pPr>
      <w:r>
        <w:rPr>
          <w:rFonts w:eastAsiaTheme="majorEastAsia" w:cstheme="majorBidi"/>
          <w:bCs/>
          <w:color w:val="00313C" w:themeColor="accent2"/>
          <w:sz w:val="32"/>
          <w:szCs w:val="26"/>
        </w:rPr>
        <w:br w:type="page"/>
      </w:r>
    </w:p>
    <w:p w14:paraId="6055FC9D" w14:textId="2106244E" w:rsidR="00AE1CEF" w:rsidRPr="00351B86" w:rsidRDefault="00AE1CEF" w:rsidP="00AE1CEF">
      <w:pPr>
        <w:pStyle w:val="Caption"/>
        <w:rPr>
          <w:b w:val="0"/>
          <w:szCs w:val="20"/>
        </w:rPr>
      </w:pPr>
      <w:bookmarkStart w:id="57" w:name="_Ref17904532"/>
      <w:bookmarkStart w:id="58" w:name="_Toc52971064"/>
      <w:r>
        <w:lastRenderedPageBreak/>
        <w:t xml:space="preserve">Table </w:t>
      </w:r>
      <w:r>
        <w:fldChar w:fldCharType="begin"/>
      </w:r>
      <w:r>
        <w:instrText>SEQ Table \* ARABIC</w:instrText>
      </w:r>
      <w:r>
        <w:fldChar w:fldCharType="separate"/>
      </w:r>
      <w:r w:rsidR="00235F13">
        <w:rPr>
          <w:noProof/>
        </w:rPr>
        <w:t>9</w:t>
      </w:r>
      <w:r>
        <w:fldChar w:fldCharType="end"/>
      </w:r>
      <w:r>
        <w:t xml:space="preserve">. </w:t>
      </w:r>
      <w:r w:rsidRPr="00351B86">
        <w:rPr>
          <w:b w:val="0"/>
          <w:szCs w:val="20"/>
        </w:rPr>
        <w:t>Total area occupied by ERF projects.</w:t>
      </w:r>
      <w:bookmarkEnd w:id="57"/>
      <w:bookmarkEnd w:id="58"/>
    </w:p>
    <w:tbl>
      <w:tblPr>
        <w:tblStyle w:val="TableCSIRO"/>
        <w:tblW w:w="0" w:type="auto"/>
        <w:tblLook w:val="04A0" w:firstRow="1" w:lastRow="0" w:firstColumn="1" w:lastColumn="0" w:noHBand="0" w:noVBand="1"/>
      </w:tblPr>
      <w:tblGrid>
        <w:gridCol w:w="3176"/>
        <w:gridCol w:w="2240"/>
        <w:gridCol w:w="2409"/>
      </w:tblGrid>
      <w:tr w:rsidR="00AE1CEF" w:rsidRPr="00E25ADC" w14:paraId="19EF6694" w14:textId="77777777" w:rsidTr="00A871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tcPr>
          <w:p w14:paraId="5DC90287"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Active projects</w:t>
            </w:r>
          </w:p>
        </w:tc>
        <w:tc>
          <w:tcPr>
            <w:tcW w:w="2240" w:type="dxa"/>
          </w:tcPr>
          <w:p w14:paraId="0372D9AD" w14:textId="77777777" w:rsidR="00AE1CEF" w:rsidRPr="00E25ADC" w:rsidRDefault="00AE1CEF" w:rsidP="00A871E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E25ADC">
              <w:rPr>
                <w:rFonts w:asciiTheme="minorHAnsi" w:hAnsiTheme="minorHAnsi" w:cstheme="minorHAnsi"/>
                <w:b w:val="0"/>
                <w:bCs w:val="0"/>
                <w:sz w:val="18"/>
                <w:szCs w:val="18"/>
              </w:rPr>
              <w:t>Total area (ha)</w:t>
            </w:r>
          </w:p>
        </w:tc>
        <w:tc>
          <w:tcPr>
            <w:tcW w:w="2409" w:type="dxa"/>
          </w:tcPr>
          <w:p w14:paraId="68157326" w14:textId="77777777" w:rsidR="00AE1CEF" w:rsidRPr="00E25ADC" w:rsidRDefault="00AE1CEF" w:rsidP="00A871E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E25ADC">
              <w:rPr>
                <w:rFonts w:asciiTheme="minorHAnsi" w:hAnsiTheme="minorHAnsi" w:cstheme="minorHAnsi"/>
                <w:b w:val="0"/>
                <w:bCs w:val="0"/>
                <w:sz w:val="18"/>
                <w:szCs w:val="18"/>
              </w:rPr>
              <w:t>Mean area per-project (ha)</w:t>
            </w:r>
          </w:p>
        </w:tc>
      </w:tr>
      <w:tr w:rsidR="00AE1CEF" w:rsidRPr="00E25ADC" w14:paraId="1936F28F" w14:textId="77777777" w:rsidTr="00A871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vAlign w:val="bottom"/>
          </w:tcPr>
          <w:p w14:paraId="103EF337"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Savanna burning</w:t>
            </w:r>
          </w:p>
        </w:tc>
        <w:tc>
          <w:tcPr>
            <w:tcW w:w="2240" w:type="dxa"/>
            <w:vAlign w:val="bottom"/>
          </w:tcPr>
          <w:p w14:paraId="5A054857"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24,765,597</w:t>
            </w:r>
          </w:p>
        </w:tc>
        <w:tc>
          <w:tcPr>
            <w:tcW w:w="2409" w:type="dxa"/>
            <w:vAlign w:val="bottom"/>
          </w:tcPr>
          <w:p w14:paraId="17B516C3"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400,712</w:t>
            </w:r>
          </w:p>
        </w:tc>
      </w:tr>
      <w:tr w:rsidR="00AE1CEF" w:rsidRPr="00E25ADC" w14:paraId="322F9C5D" w14:textId="77777777" w:rsidTr="00A871E9">
        <w:tc>
          <w:tcPr>
            <w:cnfStyle w:val="001000000000" w:firstRow="0" w:lastRow="0" w:firstColumn="1" w:lastColumn="0" w:oddVBand="0" w:evenVBand="0" w:oddHBand="0" w:evenHBand="0" w:firstRowFirstColumn="0" w:firstRowLastColumn="0" w:lastRowFirstColumn="0" w:lastRowLastColumn="0"/>
            <w:tcW w:w="3176" w:type="dxa"/>
            <w:vAlign w:val="bottom"/>
          </w:tcPr>
          <w:p w14:paraId="6C0428DF"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HIR/NFfMR</w:t>
            </w:r>
          </w:p>
        </w:tc>
        <w:tc>
          <w:tcPr>
            <w:tcW w:w="2240" w:type="dxa"/>
            <w:vAlign w:val="bottom"/>
          </w:tcPr>
          <w:p w14:paraId="76A0D371"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17,533,523</w:t>
            </w:r>
          </w:p>
        </w:tc>
        <w:tc>
          <w:tcPr>
            <w:tcW w:w="2409" w:type="dxa"/>
            <w:vAlign w:val="bottom"/>
          </w:tcPr>
          <w:p w14:paraId="12DC8D91"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58,445</w:t>
            </w:r>
          </w:p>
        </w:tc>
      </w:tr>
      <w:tr w:rsidR="00AE1CEF" w:rsidRPr="00E25ADC" w14:paraId="2B635167" w14:textId="77777777" w:rsidTr="00A871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vAlign w:val="bottom"/>
          </w:tcPr>
          <w:p w14:paraId="678E6776"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Avoided Clearing/Deforestation</w:t>
            </w:r>
          </w:p>
        </w:tc>
        <w:tc>
          <w:tcPr>
            <w:tcW w:w="2240" w:type="dxa"/>
            <w:vAlign w:val="bottom"/>
          </w:tcPr>
          <w:p w14:paraId="5D24053D"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967,943</w:t>
            </w:r>
          </w:p>
        </w:tc>
        <w:tc>
          <w:tcPr>
            <w:tcW w:w="2409" w:type="dxa"/>
            <w:vAlign w:val="bottom"/>
          </w:tcPr>
          <w:p w14:paraId="49E9DA2A"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15,612</w:t>
            </w:r>
          </w:p>
        </w:tc>
      </w:tr>
      <w:tr w:rsidR="00AE1CEF" w:rsidRPr="00E25ADC" w14:paraId="54598910" w14:textId="77777777" w:rsidTr="00A871E9">
        <w:tc>
          <w:tcPr>
            <w:cnfStyle w:val="001000000000" w:firstRow="0" w:lastRow="0" w:firstColumn="1" w:lastColumn="0" w:oddVBand="0" w:evenVBand="0" w:oddHBand="0" w:evenHBand="0" w:firstRowFirstColumn="0" w:firstRowLastColumn="0" w:lastRowFirstColumn="0" w:lastRowLastColumn="0"/>
            <w:tcW w:w="3176" w:type="dxa"/>
            <w:vAlign w:val="bottom"/>
          </w:tcPr>
          <w:p w14:paraId="1C36B596"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Reforestation</w:t>
            </w:r>
          </w:p>
        </w:tc>
        <w:tc>
          <w:tcPr>
            <w:tcW w:w="2240" w:type="dxa"/>
            <w:vAlign w:val="bottom"/>
          </w:tcPr>
          <w:p w14:paraId="79E0F4CF"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144,917</w:t>
            </w:r>
          </w:p>
        </w:tc>
        <w:tc>
          <w:tcPr>
            <w:tcW w:w="2409" w:type="dxa"/>
            <w:vAlign w:val="bottom"/>
          </w:tcPr>
          <w:p w14:paraId="461CA7AE"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2,734</w:t>
            </w:r>
          </w:p>
        </w:tc>
      </w:tr>
      <w:tr w:rsidR="00AE1CEF" w:rsidRPr="00E25ADC" w14:paraId="1C1E6A84" w14:textId="77777777" w:rsidTr="00A871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tcBorders>
              <w:bottom w:val="nil"/>
            </w:tcBorders>
            <w:vAlign w:val="bottom"/>
          </w:tcPr>
          <w:p w14:paraId="09EC1643"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Soil carbon</w:t>
            </w:r>
          </w:p>
        </w:tc>
        <w:tc>
          <w:tcPr>
            <w:tcW w:w="2240" w:type="dxa"/>
            <w:tcBorders>
              <w:bottom w:val="nil"/>
            </w:tcBorders>
            <w:vAlign w:val="bottom"/>
          </w:tcPr>
          <w:p w14:paraId="411ECDF3"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79,170</w:t>
            </w:r>
          </w:p>
        </w:tc>
        <w:tc>
          <w:tcPr>
            <w:tcW w:w="2409" w:type="dxa"/>
            <w:tcBorders>
              <w:bottom w:val="nil"/>
            </w:tcBorders>
            <w:vAlign w:val="bottom"/>
          </w:tcPr>
          <w:p w14:paraId="55CFB34D"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1,799</w:t>
            </w:r>
          </w:p>
        </w:tc>
      </w:tr>
      <w:tr w:rsidR="00AE1CEF" w:rsidRPr="00E25ADC" w14:paraId="799FD508" w14:textId="77777777" w:rsidTr="00A871E9">
        <w:tc>
          <w:tcPr>
            <w:cnfStyle w:val="001000000000" w:firstRow="0" w:lastRow="0" w:firstColumn="1" w:lastColumn="0" w:oddVBand="0" w:evenVBand="0" w:oddHBand="0" w:evenHBand="0" w:firstRowFirstColumn="0" w:firstRowLastColumn="0" w:lastRowFirstColumn="0" w:lastRowLastColumn="0"/>
            <w:tcW w:w="3176" w:type="dxa"/>
            <w:tcBorders>
              <w:bottom w:val="single" w:sz="4" w:space="0" w:color="auto"/>
            </w:tcBorders>
            <w:vAlign w:val="bottom"/>
          </w:tcPr>
          <w:p w14:paraId="55E8FFC0"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Plantation forestry</w:t>
            </w:r>
          </w:p>
        </w:tc>
        <w:tc>
          <w:tcPr>
            <w:tcW w:w="2240" w:type="dxa"/>
            <w:tcBorders>
              <w:bottom w:val="single" w:sz="4" w:space="0" w:color="auto"/>
            </w:tcBorders>
            <w:vAlign w:val="bottom"/>
          </w:tcPr>
          <w:p w14:paraId="66A8529F"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7,347</w:t>
            </w:r>
          </w:p>
        </w:tc>
        <w:tc>
          <w:tcPr>
            <w:tcW w:w="2409" w:type="dxa"/>
            <w:tcBorders>
              <w:bottom w:val="single" w:sz="4" w:space="0" w:color="auto"/>
            </w:tcBorders>
            <w:vAlign w:val="bottom"/>
          </w:tcPr>
          <w:p w14:paraId="627690DA"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490</w:t>
            </w:r>
          </w:p>
        </w:tc>
      </w:tr>
      <w:tr w:rsidR="00AE1CEF" w:rsidRPr="00E25ADC" w14:paraId="14B4ADFB" w14:textId="77777777" w:rsidTr="00A871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tcBorders>
              <w:top w:val="single" w:sz="4" w:space="0" w:color="auto"/>
            </w:tcBorders>
          </w:tcPr>
          <w:p w14:paraId="03BC8BF2"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Total</w:t>
            </w:r>
          </w:p>
        </w:tc>
        <w:tc>
          <w:tcPr>
            <w:tcW w:w="2240" w:type="dxa"/>
            <w:tcBorders>
              <w:top w:val="single" w:sz="4" w:space="0" w:color="auto"/>
            </w:tcBorders>
            <w:vAlign w:val="bottom"/>
          </w:tcPr>
          <w:p w14:paraId="73517616"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48,385,585</w:t>
            </w:r>
          </w:p>
        </w:tc>
        <w:tc>
          <w:tcPr>
            <w:tcW w:w="2409" w:type="dxa"/>
            <w:tcBorders>
              <w:top w:val="single" w:sz="4" w:space="0" w:color="auto"/>
            </w:tcBorders>
            <w:vAlign w:val="bottom"/>
          </w:tcPr>
          <w:p w14:paraId="172C2C85"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88,295</w:t>
            </w:r>
          </w:p>
        </w:tc>
      </w:tr>
    </w:tbl>
    <w:p w14:paraId="72832A7B" w14:textId="77777777" w:rsidR="00AE1CEF" w:rsidRPr="00E25ADC" w:rsidRDefault="00AE1CEF" w:rsidP="00AE1CEF">
      <w:pPr>
        <w:rPr>
          <w:rFonts w:asciiTheme="minorHAnsi" w:hAnsiTheme="minorHAnsi" w:cstheme="minorHAnsi"/>
          <w:sz w:val="18"/>
          <w:szCs w:val="18"/>
        </w:rPr>
      </w:pPr>
    </w:p>
    <w:tbl>
      <w:tblPr>
        <w:tblStyle w:val="TableCSIRO"/>
        <w:tblW w:w="0" w:type="auto"/>
        <w:tblLook w:val="04A0" w:firstRow="1" w:lastRow="0" w:firstColumn="1" w:lastColumn="0" w:noHBand="0" w:noVBand="1"/>
      </w:tblPr>
      <w:tblGrid>
        <w:gridCol w:w="3176"/>
        <w:gridCol w:w="2240"/>
        <w:gridCol w:w="2409"/>
      </w:tblGrid>
      <w:tr w:rsidR="00AE1CEF" w:rsidRPr="00E25ADC" w14:paraId="7BFBFB9E" w14:textId="77777777" w:rsidTr="00A871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vAlign w:val="center"/>
          </w:tcPr>
          <w:p w14:paraId="2D01A8A5" w14:textId="77777777" w:rsidR="00AE1CEF" w:rsidRPr="00E25ADC" w:rsidRDefault="00AE1CEF" w:rsidP="00A871E9">
            <w:pPr>
              <w:rPr>
                <w:rFonts w:asciiTheme="minorHAnsi" w:hAnsiTheme="minorHAnsi" w:cstheme="minorHAnsi"/>
                <w:b w:val="0"/>
                <w:bCs w:val="0"/>
                <w:sz w:val="18"/>
                <w:szCs w:val="18"/>
                <w:highlight w:val="black"/>
              </w:rPr>
            </w:pPr>
            <w:r w:rsidRPr="00E25ADC">
              <w:rPr>
                <w:rFonts w:asciiTheme="minorHAnsi" w:hAnsiTheme="minorHAnsi" w:cstheme="minorHAnsi"/>
                <w:b w:val="0"/>
                <w:bCs w:val="0"/>
                <w:sz w:val="18"/>
                <w:szCs w:val="18"/>
                <w:highlight w:val="black"/>
              </w:rPr>
              <w:t>Revoked projects</w:t>
            </w:r>
          </w:p>
        </w:tc>
        <w:tc>
          <w:tcPr>
            <w:tcW w:w="2240" w:type="dxa"/>
            <w:vAlign w:val="center"/>
          </w:tcPr>
          <w:p w14:paraId="33AF9470" w14:textId="77777777" w:rsidR="00AE1CEF" w:rsidRPr="00E25ADC" w:rsidRDefault="00AE1CEF" w:rsidP="00A871E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highlight w:val="black"/>
              </w:rPr>
            </w:pPr>
            <w:r w:rsidRPr="00E25ADC">
              <w:rPr>
                <w:rFonts w:asciiTheme="minorHAnsi" w:hAnsiTheme="minorHAnsi" w:cstheme="minorHAnsi"/>
                <w:b w:val="0"/>
                <w:bCs w:val="0"/>
                <w:sz w:val="18"/>
                <w:szCs w:val="18"/>
                <w:highlight w:val="black"/>
              </w:rPr>
              <w:t>Total area (ha)</w:t>
            </w:r>
          </w:p>
        </w:tc>
        <w:tc>
          <w:tcPr>
            <w:tcW w:w="2409" w:type="dxa"/>
            <w:vAlign w:val="center"/>
          </w:tcPr>
          <w:p w14:paraId="71DE6600" w14:textId="77777777" w:rsidR="00AE1CEF" w:rsidRPr="00E25ADC" w:rsidRDefault="00AE1CEF" w:rsidP="00A871E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E25ADC">
              <w:rPr>
                <w:rFonts w:asciiTheme="minorHAnsi" w:hAnsiTheme="minorHAnsi" w:cstheme="minorHAnsi"/>
                <w:b w:val="0"/>
                <w:bCs w:val="0"/>
                <w:sz w:val="18"/>
                <w:szCs w:val="18"/>
                <w:highlight w:val="black"/>
              </w:rPr>
              <w:t>Mean area per-project (ha)</w:t>
            </w:r>
          </w:p>
        </w:tc>
      </w:tr>
      <w:tr w:rsidR="00AE1CEF" w:rsidRPr="00E25ADC" w14:paraId="0914E9BD" w14:textId="77777777" w:rsidTr="00A871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vAlign w:val="center"/>
          </w:tcPr>
          <w:p w14:paraId="0CF0D2B7"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Savanna burning</w:t>
            </w:r>
          </w:p>
        </w:tc>
        <w:tc>
          <w:tcPr>
            <w:tcW w:w="2240" w:type="dxa"/>
            <w:tcBorders>
              <w:top w:val="nil"/>
            </w:tcBorders>
            <w:vAlign w:val="center"/>
          </w:tcPr>
          <w:p w14:paraId="0DD062C4"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7,848,051</w:t>
            </w:r>
          </w:p>
        </w:tc>
        <w:tc>
          <w:tcPr>
            <w:tcW w:w="2409" w:type="dxa"/>
            <w:vAlign w:val="center"/>
          </w:tcPr>
          <w:p w14:paraId="0E69BA18"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560,575</w:t>
            </w:r>
          </w:p>
        </w:tc>
      </w:tr>
      <w:tr w:rsidR="00AE1CEF" w:rsidRPr="00E25ADC" w14:paraId="7BC5796B" w14:textId="77777777" w:rsidTr="00A871E9">
        <w:tc>
          <w:tcPr>
            <w:cnfStyle w:val="001000000000" w:firstRow="0" w:lastRow="0" w:firstColumn="1" w:lastColumn="0" w:oddVBand="0" w:evenVBand="0" w:oddHBand="0" w:evenHBand="0" w:firstRowFirstColumn="0" w:firstRowLastColumn="0" w:lastRowFirstColumn="0" w:lastRowLastColumn="0"/>
            <w:tcW w:w="3176" w:type="dxa"/>
            <w:vAlign w:val="center"/>
          </w:tcPr>
          <w:p w14:paraId="0257A1EC"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Reforestation</w:t>
            </w:r>
          </w:p>
        </w:tc>
        <w:tc>
          <w:tcPr>
            <w:tcW w:w="2240" w:type="dxa"/>
            <w:vAlign w:val="center"/>
          </w:tcPr>
          <w:p w14:paraId="76EB9F4A"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1,694,795</w:t>
            </w:r>
          </w:p>
        </w:tc>
        <w:tc>
          <w:tcPr>
            <w:tcW w:w="2409" w:type="dxa"/>
            <w:vAlign w:val="center"/>
          </w:tcPr>
          <w:p w14:paraId="484AE1CE"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29,221</w:t>
            </w:r>
          </w:p>
        </w:tc>
      </w:tr>
      <w:tr w:rsidR="00AE1CEF" w:rsidRPr="00E25ADC" w14:paraId="2E6C0C64" w14:textId="77777777" w:rsidTr="00A871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vAlign w:val="center"/>
          </w:tcPr>
          <w:p w14:paraId="61CFF90D"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HIR/NFfMR</w:t>
            </w:r>
          </w:p>
        </w:tc>
        <w:tc>
          <w:tcPr>
            <w:tcW w:w="2240" w:type="dxa"/>
            <w:vAlign w:val="center"/>
          </w:tcPr>
          <w:p w14:paraId="0292593E"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819,111</w:t>
            </w:r>
          </w:p>
        </w:tc>
        <w:tc>
          <w:tcPr>
            <w:tcW w:w="2409" w:type="dxa"/>
            <w:vAlign w:val="center"/>
          </w:tcPr>
          <w:p w14:paraId="43765A1E"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24,822</w:t>
            </w:r>
          </w:p>
        </w:tc>
      </w:tr>
      <w:tr w:rsidR="00AE1CEF" w:rsidRPr="00E25ADC" w14:paraId="7351E55E" w14:textId="77777777" w:rsidTr="00A871E9">
        <w:tc>
          <w:tcPr>
            <w:cnfStyle w:val="001000000000" w:firstRow="0" w:lastRow="0" w:firstColumn="1" w:lastColumn="0" w:oddVBand="0" w:evenVBand="0" w:oddHBand="0" w:evenHBand="0" w:firstRowFirstColumn="0" w:firstRowLastColumn="0" w:lastRowFirstColumn="0" w:lastRowLastColumn="0"/>
            <w:tcW w:w="3176" w:type="dxa"/>
            <w:vAlign w:val="center"/>
          </w:tcPr>
          <w:p w14:paraId="02241A7E"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Soil carbon</w:t>
            </w:r>
          </w:p>
        </w:tc>
        <w:tc>
          <w:tcPr>
            <w:tcW w:w="2240" w:type="dxa"/>
            <w:vAlign w:val="center"/>
          </w:tcPr>
          <w:p w14:paraId="3E191629"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81,288</w:t>
            </w:r>
          </w:p>
        </w:tc>
        <w:tc>
          <w:tcPr>
            <w:tcW w:w="2409" w:type="dxa"/>
            <w:vAlign w:val="center"/>
          </w:tcPr>
          <w:p w14:paraId="6373FA30"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27,096</w:t>
            </w:r>
          </w:p>
        </w:tc>
      </w:tr>
      <w:tr w:rsidR="00AE1CEF" w:rsidRPr="00E25ADC" w14:paraId="52F9364B" w14:textId="77777777" w:rsidTr="00A871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tcBorders>
              <w:bottom w:val="nil"/>
            </w:tcBorders>
            <w:vAlign w:val="center"/>
          </w:tcPr>
          <w:p w14:paraId="27D93080"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Avoided Clearing/Deforestation</w:t>
            </w:r>
          </w:p>
        </w:tc>
        <w:tc>
          <w:tcPr>
            <w:tcW w:w="2240" w:type="dxa"/>
            <w:tcBorders>
              <w:bottom w:val="nil"/>
            </w:tcBorders>
            <w:vAlign w:val="center"/>
          </w:tcPr>
          <w:p w14:paraId="522660F6"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5,420</w:t>
            </w:r>
          </w:p>
        </w:tc>
        <w:tc>
          <w:tcPr>
            <w:tcW w:w="2409" w:type="dxa"/>
            <w:tcBorders>
              <w:bottom w:val="nil"/>
            </w:tcBorders>
            <w:vAlign w:val="center"/>
          </w:tcPr>
          <w:p w14:paraId="25629BA1" w14:textId="77777777" w:rsidR="00AE1CEF" w:rsidRPr="00E25ADC" w:rsidRDefault="00AE1CEF" w:rsidP="00A871E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5,420</w:t>
            </w:r>
          </w:p>
        </w:tc>
      </w:tr>
      <w:tr w:rsidR="00AE1CEF" w:rsidRPr="00E25ADC" w14:paraId="4B4448B3" w14:textId="77777777" w:rsidTr="00A871E9">
        <w:tc>
          <w:tcPr>
            <w:cnfStyle w:val="001000000000" w:firstRow="0" w:lastRow="0" w:firstColumn="1" w:lastColumn="0" w:oddVBand="0" w:evenVBand="0" w:oddHBand="0" w:evenHBand="0" w:firstRowFirstColumn="0" w:firstRowLastColumn="0" w:lastRowFirstColumn="0" w:lastRowLastColumn="0"/>
            <w:tcW w:w="3176" w:type="dxa"/>
            <w:tcBorders>
              <w:top w:val="single" w:sz="4" w:space="0" w:color="auto"/>
            </w:tcBorders>
            <w:vAlign w:val="center"/>
          </w:tcPr>
          <w:p w14:paraId="3DA4CE09" w14:textId="77777777" w:rsidR="00AE1CEF" w:rsidRPr="00E25ADC" w:rsidRDefault="00AE1CEF" w:rsidP="00A871E9">
            <w:pPr>
              <w:rPr>
                <w:rFonts w:asciiTheme="minorHAnsi" w:hAnsiTheme="minorHAnsi" w:cstheme="minorHAnsi"/>
                <w:b w:val="0"/>
                <w:bCs w:val="0"/>
                <w:sz w:val="18"/>
                <w:szCs w:val="18"/>
              </w:rPr>
            </w:pPr>
            <w:r w:rsidRPr="00E25ADC">
              <w:rPr>
                <w:rFonts w:asciiTheme="minorHAnsi" w:hAnsiTheme="minorHAnsi" w:cstheme="minorHAnsi"/>
                <w:b w:val="0"/>
                <w:bCs w:val="0"/>
                <w:sz w:val="18"/>
                <w:szCs w:val="18"/>
              </w:rPr>
              <w:t>Total</w:t>
            </w:r>
          </w:p>
        </w:tc>
        <w:tc>
          <w:tcPr>
            <w:tcW w:w="2240" w:type="dxa"/>
            <w:tcBorders>
              <w:top w:val="single" w:sz="4" w:space="0" w:color="auto"/>
            </w:tcBorders>
            <w:vAlign w:val="center"/>
          </w:tcPr>
          <w:p w14:paraId="76811398"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25ADC">
              <w:rPr>
                <w:rFonts w:asciiTheme="minorHAnsi" w:hAnsiTheme="minorHAnsi" w:cstheme="minorHAnsi"/>
                <w:sz w:val="18"/>
                <w:szCs w:val="18"/>
              </w:rPr>
              <w:t>10,448,666</w:t>
            </w:r>
          </w:p>
        </w:tc>
        <w:tc>
          <w:tcPr>
            <w:tcW w:w="2409" w:type="dxa"/>
            <w:tcBorders>
              <w:top w:val="single" w:sz="4" w:space="0" w:color="auto"/>
            </w:tcBorders>
            <w:vAlign w:val="bottom"/>
          </w:tcPr>
          <w:p w14:paraId="50D9B6BD" w14:textId="77777777" w:rsidR="00AE1CEF" w:rsidRPr="00E25ADC" w:rsidRDefault="00AE1CEF" w:rsidP="00A871E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15A5E547" w14:textId="77777777" w:rsidR="00AE1CEF" w:rsidRDefault="00AE1CEF" w:rsidP="00AE1CEF">
      <w:pPr>
        <w:pStyle w:val="CCSNormalText"/>
        <w:spacing w:line="264" w:lineRule="auto"/>
        <w:rPr>
          <w:b/>
          <w:bCs/>
        </w:rPr>
      </w:pPr>
    </w:p>
    <w:p w14:paraId="20681644" w14:textId="77777777" w:rsidR="00AE1CEF" w:rsidRPr="00AE1CEF" w:rsidRDefault="00AE1CEF" w:rsidP="00AE1CEF">
      <w:pPr>
        <w:pStyle w:val="BodyText"/>
      </w:pPr>
    </w:p>
    <w:p w14:paraId="2CEFADF9" w14:textId="77777777" w:rsidR="005E76E0" w:rsidRDefault="005E76E0" w:rsidP="005E76E0">
      <w:pPr>
        <w:pStyle w:val="Heading2"/>
        <w:rPr>
          <w:rStyle w:val="normaltextrun"/>
        </w:rPr>
      </w:pPr>
      <w:bookmarkStart w:id="59" w:name="_Toc52873092"/>
      <w:bookmarkStart w:id="60" w:name="_Toc53075123"/>
      <w:r w:rsidRPr="005262C3">
        <w:rPr>
          <w:rStyle w:val="normaltextrun"/>
        </w:rPr>
        <w:t>Identification of key land sector activities and their risk profiles</w:t>
      </w:r>
      <w:bookmarkEnd w:id="59"/>
      <w:bookmarkEnd w:id="60"/>
    </w:p>
    <w:p w14:paraId="15EA7E08" w14:textId="4B0CD4EB" w:rsidR="00B25926" w:rsidRDefault="00B90DA3" w:rsidP="00B378C9">
      <w:pPr>
        <w:spacing w:before="120" w:after="120" w:line="264" w:lineRule="auto"/>
        <w:rPr>
          <w:rFonts w:asciiTheme="minorHAnsi" w:eastAsia="Calibri" w:hAnsiTheme="minorHAnsi" w:cstheme="minorHAnsi"/>
          <w:szCs w:val="22"/>
        </w:rPr>
      </w:pPr>
      <w:r>
        <w:rPr>
          <w:rFonts w:ascii="Calibri" w:eastAsia="Calibri" w:hAnsi="Calibri"/>
          <w:szCs w:val="22"/>
        </w:rPr>
        <w:t>The six classes of ERF activity</w:t>
      </w:r>
      <w:r w:rsidR="007D5F17">
        <w:rPr>
          <w:rFonts w:ascii="Calibri" w:eastAsia="Calibri" w:hAnsi="Calibri"/>
          <w:szCs w:val="22"/>
        </w:rPr>
        <w:t xml:space="preserve"> in Table 1</w:t>
      </w:r>
      <w:r w:rsidR="003A2628">
        <w:rPr>
          <w:rFonts w:ascii="Calibri" w:eastAsia="Calibri" w:hAnsi="Calibri"/>
          <w:szCs w:val="22"/>
        </w:rPr>
        <w:t xml:space="preserve">, </w:t>
      </w:r>
      <w:r w:rsidR="007D5F17">
        <w:rPr>
          <w:rFonts w:ascii="Calibri" w:eastAsia="Calibri" w:hAnsi="Calibri"/>
          <w:szCs w:val="22"/>
        </w:rPr>
        <w:t xml:space="preserve">encompassing </w:t>
      </w:r>
      <w:r w:rsidR="009C311E">
        <w:rPr>
          <w:rFonts w:ascii="Calibri" w:eastAsia="Calibri" w:hAnsi="Calibri"/>
          <w:szCs w:val="22"/>
        </w:rPr>
        <w:t xml:space="preserve">the </w:t>
      </w:r>
      <w:r w:rsidR="003A2628">
        <w:rPr>
          <w:rFonts w:ascii="Calibri" w:eastAsia="Calibri" w:hAnsi="Calibri"/>
          <w:szCs w:val="22"/>
        </w:rPr>
        <w:t>1</w:t>
      </w:r>
      <w:r w:rsidR="003F77BB">
        <w:rPr>
          <w:rFonts w:ascii="Calibri" w:eastAsia="Calibri" w:hAnsi="Calibri"/>
          <w:szCs w:val="22"/>
        </w:rPr>
        <w:t>1</w:t>
      </w:r>
      <w:r w:rsidR="003A2628">
        <w:rPr>
          <w:rFonts w:ascii="Calibri" w:eastAsia="Calibri" w:hAnsi="Calibri"/>
          <w:szCs w:val="22"/>
        </w:rPr>
        <w:t xml:space="preserve"> existing </w:t>
      </w:r>
      <w:r w:rsidR="00513714">
        <w:rPr>
          <w:rFonts w:ascii="Calibri" w:eastAsia="Calibri" w:hAnsi="Calibri"/>
          <w:szCs w:val="22"/>
        </w:rPr>
        <w:t xml:space="preserve">methodologies </w:t>
      </w:r>
      <w:r w:rsidR="003A2628">
        <w:rPr>
          <w:rFonts w:ascii="Calibri" w:eastAsia="Calibri" w:hAnsi="Calibri"/>
          <w:szCs w:val="22"/>
        </w:rPr>
        <w:t xml:space="preserve">and </w:t>
      </w:r>
      <w:r w:rsidR="007D5F17">
        <w:rPr>
          <w:rFonts w:ascii="Calibri" w:eastAsia="Calibri" w:hAnsi="Calibri"/>
          <w:szCs w:val="22"/>
        </w:rPr>
        <w:t xml:space="preserve">the </w:t>
      </w:r>
      <w:r w:rsidR="003A2628">
        <w:rPr>
          <w:rFonts w:ascii="Calibri" w:eastAsia="Calibri" w:hAnsi="Calibri"/>
          <w:szCs w:val="22"/>
        </w:rPr>
        <w:t xml:space="preserve">proposed new </w:t>
      </w:r>
      <w:r w:rsidR="007D5F17">
        <w:rPr>
          <w:rFonts w:ascii="Calibri" w:eastAsia="Calibri" w:hAnsi="Calibri"/>
          <w:szCs w:val="22"/>
        </w:rPr>
        <w:t xml:space="preserve">Blue Carbon </w:t>
      </w:r>
      <w:r w:rsidR="003A2628">
        <w:rPr>
          <w:rFonts w:ascii="Calibri" w:eastAsia="Calibri" w:hAnsi="Calibri"/>
          <w:szCs w:val="22"/>
        </w:rPr>
        <w:t>methodology</w:t>
      </w:r>
      <w:r w:rsidR="002967D2">
        <w:rPr>
          <w:rFonts w:ascii="Calibri" w:eastAsia="Calibri" w:hAnsi="Calibri"/>
          <w:szCs w:val="22"/>
        </w:rPr>
        <w:t>, are group</w:t>
      </w:r>
      <w:r w:rsidR="00C10912">
        <w:rPr>
          <w:rFonts w:ascii="Calibri" w:eastAsia="Calibri" w:hAnsi="Calibri"/>
          <w:szCs w:val="22"/>
        </w:rPr>
        <w:t>ed</w:t>
      </w:r>
      <w:r w:rsidR="002967D2">
        <w:rPr>
          <w:rFonts w:ascii="Calibri" w:eastAsia="Calibri" w:hAnsi="Calibri"/>
          <w:szCs w:val="22"/>
        </w:rPr>
        <w:t xml:space="preserve"> together on the basis of </w:t>
      </w:r>
      <w:r w:rsidR="00221FA7">
        <w:rPr>
          <w:rFonts w:ascii="Calibri" w:eastAsia="Calibri" w:hAnsi="Calibri"/>
          <w:szCs w:val="22"/>
        </w:rPr>
        <w:t xml:space="preserve">assumed </w:t>
      </w:r>
      <w:r w:rsidR="002967D2">
        <w:rPr>
          <w:rFonts w:ascii="Calibri" w:eastAsia="Calibri" w:hAnsi="Calibri"/>
          <w:szCs w:val="22"/>
        </w:rPr>
        <w:t xml:space="preserve">similarity of </w:t>
      </w:r>
      <w:r w:rsidR="00F81985">
        <w:rPr>
          <w:rFonts w:ascii="Calibri" w:eastAsia="Calibri" w:hAnsi="Calibri"/>
          <w:szCs w:val="22"/>
        </w:rPr>
        <w:t xml:space="preserve">their </w:t>
      </w:r>
      <w:r w:rsidR="002967D2">
        <w:rPr>
          <w:rFonts w:ascii="Calibri" w:eastAsia="Calibri" w:hAnsi="Calibri"/>
          <w:szCs w:val="22"/>
        </w:rPr>
        <w:t>risk profiles</w:t>
      </w:r>
      <w:r w:rsidR="00F81985">
        <w:rPr>
          <w:rFonts w:ascii="Calibri" w:eastAsia="Calibri" w:hAnsi="Calibri"/>
          <w:szCs w:val="22"/>
        </w:rPr>
        <w:t xml:space="preserve">. </w:t>
      </w:r>
      <w:r w:rsidR="00221FA7">
        <w:rPr>
          <w:rFonts w:ascii="Calibri" w:eastAsia="Calibri" w:hAnsi="Calibri"/>
          <w:szCs w:val="22"/>
        </w:rPr>
        <w:t>For each ERF activity class t</w:t>
      </w:r>
      <w:r w:rsidR="00F81985">
        <w:rPr>
          <w:rFonts w:ascii="Calibri" w:eastAsia="Calibri" w:hAnsi="Calibri"/>
          <w:szCs w:val="22"/>
        </w:rPr>
        <w:t xml:space="preserve">he most </w:t>
      </w:r>
      <w:r w:rsidR="00C131BA">
        <w:rPr>
          <w:rFonts w:ascii="Calibri" w:eastAsia="Calibri" w:hAnsi="Calibri"/>
          <w:szCs w:val="22"/>
        </w:rPr>
        <w:t xml:space="preserve">important </w:t>
      </w:r>
      <w:r w:rsidR="00D0417F">
        <w:rPr>
          <w:rFonts w:ascii="Calibri" w:eastAsia="Calibri" w:hAnsi="Calibri"/>
          <w:szCs w:val="22"/>
        </w:rPr>
        <w:t xml:space="preserve">climate impacts </w:t>
      </w:r>
      <w:r w:rsidR="00C92EE8" w:rsidRPr="001F4FE2">
        <w:rPr>
          <w:rFonts w:asciiTheme="minorHAnsi" w:eastAsia="Calibri" w:hAnsiTheme="minorHAnsi" w:cstheme="minorHAnsi"/>
          <w:szCs w:val="22"/>
        </w:rPr>
        <w:t xml:space="preserve">from </w:t>
      </w:r>
      <w:r w:rsidR="001F4FE2" w:rsidRPr="001F4FE2">
        <w:rPr>
          <w:rFonts w:asciiTheme="minorHAnsi" w:hAnsiTheme="minorHAnsi" w:cstheme="minorHAnsi"/>
        </w:rPr>
        <w:fldChar w:fldCharType="begin"/>
      </w:r>
      <w:r w:rsidR="001F4FE2" w:rsidRPr="001F4FE2">
        <w:rPr>
          <w:rFonts w:asciiTheme="minorHAnsi" w:hAnsiTheme="minorHAnsi" w:cstheme="minorHAnsi"/>
        </w:rPr>
        <w:instrText xml:space="preserve"> REF _Ref46174204 \h </w:instrText>
      </w:r>
      <w:r w:rsidR="001F4FE2">
        <w:rPr>
          <w:rFonts w:asciiTheme="minorHAnsi" w:hAnsiTheme="minorHAnsi" w:cstheme="minorHAnsi"/>
        </w:rPr>
        <w:instrText xml:space="preserve"> \* MERGEFORMAT </w:instrText>
      </w:r>
      <w:r w:rsidR="001F4FE2" w:rsidRPr="001F4FE2">
        <w:rPr>
          <w:rFonts w:asciiTheme="minorHAnsi" w:hAnsiTheme="minorHAnsi" w:cstheme="minorHAnsi"/>
        </w:rPr>
      </w:r>
      <w:r w:rsidR="001F4FE2" w:rsidRPr="001F4FE2">
        <w:rPr>
          <w:rFonts w:asciiTheme="minorHAnsi" w:hAnsiTheme="minorHAnsi" w:cstheme="minorHAnsi"/>
        </w:rPr>
        <w:fldChar w:fldCharType="separate"/>
      </w:r>
      <w:r w:rsidR="00235F13" w:rsidRPr="00235F13">
        <w:rPr>
          <w:rFonts w:asciiTheme="minorHAnsi" w:hAnsiTheme="minorHAnsi" w:cstheme="minorHAnsi"/>
        </w:rPr>
        <w:t xml:space="preserve">Table </w:t>
      </w:r>
      <w:r w:rsidR="00235F13" w:rsidRPr="00235F13">
        <w:rPr>
          <w:rFonts w:asciiTheme="minorHAnsi" w:hAnsiTheme="minorHAnsi" w:cstheme="minorHAnsi"/>
          <w:noProof/>
        </w:rPr>
        <w:t>6</w:t>
      </w:r>
      <w:r w:rsidR="001F4FE2" w:rsidRPr="001F4FE2">
        <w:rPr>
          <w:rFonts w:asciiTheme="minorHAnsi" w:hAnsiTheme="minorHAnsi" w:cstheme="minorHAnsi"/>
        </w:rPr>
        <w:fldChar w:fldCharType="end"/>
      </w:r>
      <w:r w:rsidR="001F4FE2" w:rsidRPr="001F4FE2">
        <w:rPr>
          <w:rFonts w:asciiTheme="minorHAnsi" w:hAnsiTheme="minorHAnsi" w:cstheme="minorHAnsi"/>
        </w:rPr>
        <w:t xml:space="preserve"> </w:t>
      </w:r>
      <w:r w:rsidR="00D0417F">
        <w:rPr>
          <w:rFonts w:ascii="Calibri" w:eastAsia="Calibri" w:hAnsi="Calibri"/>
          <w:szCs w:val="22"/>
        </w:rPr>
        <w:t xml:space="preserve">were identified from a combination of </w:t>
      </w:r>
      <w:r w:rsidR="00C91853">
        <w:rPr>
          <w:rFonts w:ascii="Calibri" w:eastAsia="Calibri" w:hAnsi="Calibri"/>
          <w:szCs w:val="22"/>
        </w:rPr>
        <w:t xml:space="preserve">literature </w:t>
      </w:r>
      <w:r w:rsidR="008B2DE9">
        <w:rPr>
          <w:rFonts w:ascii="Calibri" w:eastAsia="Calibri" w:hAnsi="Calibri"/>
          <w:szCs w:val="22"/>
        </w:rPr>
        <w:t>review and expert opinion</w:t>
      </w:r>
      <w:r w:rsidR="00854964">
        <w:rPr>
          <w:rFonts w:ascii="Calibri" w:eastAsia="Calibri" w:hAnsi="Calibri"/>
          <w:szCs w:val="22"/>
        </w:rPr>
        <w:t>.</w:t>
      </w:r>
      <w:r w:rsidR="00253467">
        <w:rPr>
          <w:rFonts w:asciiTheme="minorHAnsi" w:eastAsia="Calibri" w:hAnsiTheme="minorHAnsi" w:cstheme="minorHAnsi"/>
          <w:szCs w:val="22"/>
        </w:rPr>
        <w:t xml:space="preserve"> </w:t>
      </w:r>
      <w:r w:rsidR="0011749F">
        <w:rPr>
          <w:rFonts w:asciiTheme="minorHAnsi" w:eastAsia="Calibri" w:hAnsiTheme="minorHAnsi" w:cstheme="minorHAnsi"/>
          <w:szCs w:val="22"/>
        </w:rPr>
        <w:t>The</w:t>
      </w:r>
      <w:r w:rsidR="001F4FE2">
        <w:rPr>
          <w:rFonts w:asciiTheme="minorHAnsi" w:eastAsia="Calibri" w:hAnsiTheme="minorHAnsi" w:cstheme="minorHAnsi"/>
          <w:szCs w:val="22"/>
        </w:rPr>
        <w:t xml:space="preserve"> impacts</w:t>
      </w:r>
      <w:r w:rsidR="0011749F">
        <w:rPr>
          <w:rFonts w:asciiTheme="minorHAnsi" w:eastAsia="Calibri" w:hAnsiTheme="minorHAnsi" w:cstheme="minorHAnsi"/>
          <w:szCs w:val="22"/>
        </w:rPr>
        <w:t xml:space="preserve"> </w:t>
      </w:r>
      <w:r w:rsidR="00F12963">
        <w:rPr>
          <w:rFonts w:asciiTheme="minorHAnsi" w:eastAsia="Calibri" w:hAnsiTheme="minorHAnsi" w:cstheme="minorHAnsi"/>
          <w:szCs w:val="22"/>
        </w:rPr>
        <w:t xml:space="preserve">have been </w:t>
      </w:r>
      <w:r w:rsidR="00391A26">
        <w:rPr>
          <w:rFonts w:asciiTheme="minorHAnsi" w:eastAsia="Calibri" w:hAnsiTheme="minorHAnsi" w:cstheme="minorHAnsi"/>
          <w:szCs w:val="22"/>
        </w:rPr>
        <w:t xml:space="preserve">separated on the basis of </w:t>
      </w:r>
      <w:r w:rsidR="00C355BA">
        <w:rPr>
          <w:rFonts w:asciiTheme="minorHAnsi" w:eastAsia="Calibri" w:hAnsiTheme="minorHAnsi" w:cstheme="minorHAnsi"/>
          <w:szCs w:val="22"/>
        </w:rPr>
        <w:t xml:space="preserve">(i) </w:t>
      </w:r>
      <w:r w:rsidR="00391A26">
        <w:rPr>
          <w:rFonts w:asciiTheme="minorHAnsi" w:eastAsia="Calibri" w:hAnsiTheme="minorHAnsi" w:cstheme="minorHAnsi"/>
          <w:szCs w:val="22"/>
        </w:rPr>
        <w:t>risks posed by climate change factors directly</w:t>
      </w:r>
      <w:r w:rsidR="004E1DE1">
        <w:rPr>
          <w:rFonts w:asciiTheme="minorHAnsi" w:eastAsia="Calibri" w:hAnsiTheme="minorHAnsi" w:cstheme="minorHAnsi"/>
          <w:szCs w:val="22"/>
        </w:rPr>
        <w:t>, such as long-term trends of increasing</w:t>
      </w:r>
      <w:r w:rsidR="0065100D">
        <w:rPr>
          <w:rFonts w:asciiTheme="minorHAnsi" w:eastAsia="Calibri" w:hAnsiTheme="minorHAnsi" w:cstheme="minorHAnsi"/>
          <w:szCs w:val="22"/>
        </w:rPr>
        <w:t xml:space="preserve"> average surface temperature, humidity</w:t>
      </w:r>
      <w:r w:rsidR="00C355BA">
        <w:rPr>
          <w:rFonts w:asciiTheme="minorHAnsi" w:eastAsia="Calibri" w:hAnsiTheme="minorHAnsi" w:cstheme="minorHAnsi"/>
          <w:szCs w:val="22"/>
        </w:rPr>
        <w:t>, evapotranspiration and the</w:t>
      </w:r>
      <w:r w:rsidR="00F12963">
        <w:rPr>
          <w:rFonts w:asciiTheme="minorHAnsi" w:eastAsia="Calibri" w:hAnsiTheme="minorHAnsi" w:cstheme="minorHAnsi"/>
          <w:szCs w:val="22"/>
        </w:rPr>
        <w:t>ir</w:t>
      </w:r>
      <w:r w:rsidR="00C355BA">
        <w:rPr>
          <w:rFonts w:asciiTheme="minorHAnsi" w:eastAsia="Calibri" w:hAnsiTheme="minorHAnsi" w:cstheme="minorHAnsi"/>
          <w:szCs w:val="22"/>
        </w:rPr>
        <w:t xml:space="preserve"> </w:t>
      </w:r>
      <w:r w:rsidR="00E560BC">
        <w:rPr>
          <w:rFonts w:asciiTheme="minorHAnsi" w:eastAsia="Calibri" w:hAnsiTheme="minorHAnsi" w:cstheme="minorHAnsi"/>
          <w:szCs w:val="22"/>
        </w:rPr>
        <w:t>associated impacts o</w:t>
      </w:r>
      <w:r w:rsidR="00F12963">
        <w:rPr>
          <w:rFonts w:asciiTheme="minorHAnsi" w:eastAsia="Calibri" w:hAnsiTheme="minorHAnsi" w:cstheme="minorHAnsi"/>
          <w:szCs w:val="22"/>
        </w:rPr>
        <w:t>n</w:t>
      </w:r>
      <w:r w:rsidR="00E560BC">
        <w:rPr>
          <w:rFonts w:asciiTheme="minorHAnsi" w:eastAsia="Calibri" w:hAnsiTheme="minorHAnsi" w:cstheme="minorHAnsi"/>
          <w:szCs w:val="22"/>
        </w:rPr>
        <w:t xml:space="preserve"> vegetation establishment success</w:t>
      </w:r>
      <w:r w:rsidR="00AA75BB">
        <w:rPr>
          <w:rFonts w:asciiTheme="minorHAnsi" w:eastAsia="Calibri" w:hAnsiTheme="minorHAnsi" w:cstheme="minorHAnsi"/>
          <w:szCs w:val="22"/>
        </w:rPr>
        <w:t>,</w:t>
      </w:r>
      <w:r w:rsidR="00E560BC">
        <w:rPr>
          <w:rFonts w:asciiTheme="minorHAnsi" w:eastAsia="Calibri" w:hAnsiTheme="minorHAnsi" w:cstheme="minorHAnsi"/>
          <w:szCs w:val="22"/>
        </w:rPr>
        <w:t xml:space="preserve"> plant </w:t>
      </w:r>
      <w:r w:rsidR="00AA75BB">
        <w:rPr>
          <w:rFonts w:asciiTheme="minorHAnsi" w:eastAsia="Calibri" w:hAnsiTheme="minorHAnsi" w:cstheme="minorHAnsi"/>
          <w:szCs w:val="22"/>
        </w:rPr>
        <w:t xml:space="preserve">growth rates, and soil microbial activity; and (ii) </w:t>
      </w:r>
      <w:r w:rsidR="005C4F00">
        <w:rPr>
          <w:rFonts w:asciiTheme="minorHAnsi" w:eastAsia="Calibri" w:hAnsiTheme="minorHAnsi" w:cstheme="minorHAnsi"/>
          <w:szCs w:val="22"/>
        </w:rPr>
        <w:t xml:space="preserve">risks posed </w:t>
      </w:r>
      <w:r w:rsidR="0062416D">
        <w:rPr>
          <w:rFonts w:asciiTheme="minorHAnsi" w:eastAsia="Calibri" w:hAnsiTheme="minorHAnsi" w:cstheme="minorHAnsi"/>
          <w:szCs w:val="22"/>
        </w:rPr>
        <w:t xml:space="preserve">indirectly </w:t>
      </w:r>
      <w:r w:rsidR="005C4F00">
        <w:rPr>
          <w:rFonts w:asciiTheme="minorHAnsi" w:eastAsia="Calibri" w:hAnsiTheme="minorHAnsi" w:cstheme="minorHAnsi"/>
          <w:szCs w:val="22"/>
        </w:rPr>
        <w:t>by changes to disturbance regimes (i.e. frequency, intensity, duration</w:t>
      </w:r>
      <w:r w:rsidR="00AF4745">
        <w:rPr>
          <w:rFonts w:asciiTheme="minorHAnsi" w:eastAsia="Calibri" w:hAnsiTheme="minorHAnsi" w:cstheme="minorHAnsi"/>
          <w:szCs w:val="22"/>
        </w:rPr>
        <w:t xml:space="preserve">, </w:t>
      </w:r>
      <w:r w:rsidR="0002123B">
        <w:rPr>
          <w:rFonts w:asciiTheme="minorHAnsi" w:eastAsia="Calibri" w:hAnsiTheme="minorHAnsi" w:cstheme="minorHAnsi"/>
          <w:szCs w:val="22"/>
        </w:rPr>
        <w:t xml:space="preserve">extent and </w:t>
      </w:r>
      <w:r w:rsidR="00AF4745">
        <w:rPr>
          <w:rFonts w:asciiTheme="minorHAnsi" w:eastAsia="Calibri" w:hAnsiTheme="minorHAnsi" w:cstheme="minorHAnsi"/>
          <w:szCs w:val="22"/>
        </w:rPr>
        <w:t>timing</w:t>
      </w:r>
      <w:r w:rsidR="00C22F4B">
        <w:rPr>
          <w:rFonts w:asciiTheme="minorHAnsi" w:eastAsia="Calibri" w:hAnsiTheme="minorHAnsi" w:cstheme="minorHAnsi"/>
          <w:szCs w:val="22"/>
        </w:rPr>
        <w:t xml:space="preserve"> of disturbance events</w:t>
      </w:r>
      <w:r w:rsidR="0002123B">
        <w:rPr>
          <w:rFonts w:asciiTheme="minorHAnsi" w:eastAsia="Calibri" w:hAnsiTheme="minorHAnsi" w:cstheme="minorHAnsi"/>
          <w:szCs w:val="22"/>
        </w:rPr>
        <w:t xml:space="preserve">; Shea et al. </w:t>
      </w:r>
      <w:r w:rsidR="00D07C92">
        <w:rPr>
          <w:rFonts w:asciiTheme="minorHAnsi" w:eastAsia="Calibri" w:hAnsiTheme="minorHAnsi" w:cstheme="minorHAnsi"/>
          <w:szCs w:val="22"/>
        </w:rPr>
        <w:t>2004)</w:t>
      </w:r>
      <w:r w:rsidR="00BC5015">
        <w:rPr>
          <w:rFonts w:asciiTheme="minorHAnsi" w:eastAsia="Calibri" w:hAnsiTheme="minorHAnsi" w:cstheme="minorHAnsi"/>
          <w:szCs w:val="22"/>
        </w:rPr>
        <w:t xml:space="preserve"> such as drought, fire, flooding and storms. </w:t>
      </w:r>
      <w:r w:rsidR="0023563B">
        <w:rPr>
          <w:rFonts w:asciiTheme="minorHAnsi" w:eastAsia="Calibri" w:hAnsiTheme="minorHAnsi" w:cstheme="minorHAnsi"/>
          <w:szCs w:val="22"/>
        </w:rPr>
        <w:t xml:space="preserve">It is also </w:t>
      </w:r>
      <w:r w:rsidR="0090375B">
        <w:rPr>
          <w:rFonts w:asciiTheme="minorHAnsi" w:eastAsia="Calibri" w:hAnsiTheme="minorHAnsi" w:cstheme="minorHAnsi"/>
          <w:szCs w:val="22"/>
        </w:rPr>
        <w:t xml:space="preserve">important to recognise the </w:t>
      </w:r>
      <w:r w:rsidR="00000325">
        <w:rPr>
          <w:rFonts w:asciiTheme="minorHAnsi" w:eastAsia="Calibri" w:hAnsiTheme="minorHAnsi" w:cstheme="minorHAnsi"/>
          <w:szCs w:val="22"/>
        </w:rPr>
        <w:t>key role played by extreme climatic events</w:t>
      </w:r>
      <w:r w:rsidR="009C311E">
        <w:rPr>
          <w:rFonts w:asciiTheme="minorHAnsi" w:eastAsia="Calibri" w:hAnsiTheme="minorHAnsi" w:cstheme="minorHAnsi"/>
          <w:szCs w:val="22"/>
        </w:rPr>
        <w:t>,</w:t>
      </w:r>
      <w:r w:rsidR="007E0478">
        <w:rPr>
          <w:rFonts w:asciiTheme="minorHAnsi" w:eastAsia="Calibri" w:hAnsiTheme="minorHAnsi" w:cstheme="minorHAnsi"/>
          <w:szCs w:val="22"/>
        </w:rPr>
        <w:t xml:space="preserve"> such as </w:t>
      </w:r>
      <w:r w:rsidR="00770621">
        <w:rPr>
          <w:rFonts w:asciiTheme="minorHAnsi" w:eastAsia="Calibri" w:hAnsiTheme="minorHAnsi" w:cstheme="minorHAnsi"/>
          <w:szCs w:val="22"/>
        </w:rPr>
        <w:t>heatwaves</w:t>
      </w:r>
      <w:r w:rsidR="009C311E">
        <w:rPr>
          <w:rFonts w:asciiTheme="minorHAnsi" w:eastAsia="Calibri" w:hAnsiTheme="minorHAnsi" w:cstheme="minorHAnsi"/>
          <w:szCs w:val="22"/>
        </w:rPr>
        <w:t xml:space="preserve">, </w:t>
      </w:r>
      <w:r w:rsidR="00A67AD6">
        <w:rPr>
          <w:rFonts w:asciiTheme="minorHAnsi" w:eastAsia="Calibri" w:hAnsiTheme="minorHAnsi" w:cstheme="minorHAnsi"/>
          <w:szCs w:val="22"/>
        </w:rPr>
        <w:t xml:space="preserve">on </w:t>
      </w:r>
      <w:r w:rsidR="00F45888">
        <w:rPr>
          <w:rFonts w:asciiTheme="minorHAnsi" w:eastAsia="Calibri" w:hAnsiTheme="minorHAnsi" w:cstheme="minorHAnsi"/>
          <w:szCs w:val="22"/>
        </w:rPr>
        <w:t>triggering mortality events</w:t>
      </w:r>
      <w:r w:rsidR="004D2B22">
        <w:rPr>
          <w:rFonts w:asciiTheme="minorHAnsi" w:eastAsia="Calibri" w:hAnsiTheme="minorHAnsi" w:cstheme="minorHAnsi"/>
          <w:szCs w:val="22"/>
        </w:rPr>
        <w:t xml:space="preserve"> or other threshold-related phenomena</w:t>
      </w:r>
      <w:r w:rsidR="00AF4745">
        <w:rPr>
          <w:rFonts w:asciiTheme="minorHAnsi" w:eastAsia="Calibri" w:hAnsiTheme="minorHAnsi" w:cstheme="minorHAnsi"/>
          <w:szCs w:val="22"/>
        </w:rPr>
        <w:t xml:space="preserve"> </w:t>
      </w:r>
      <w:r w:rsidR="004D2B22">
        <w:rPr>
          <w:rFonts w:asciiTheme="minorHAnsi" w:eastAsia="Calibri" w:hAnsiTheme="minorHAnsi" w:cstheme="minorHAnsi"/>
          <w:szCs w:val="22"/>
        </w:rPr>
        <w:t xml:space="preserve">that </w:t>
      </w:r>
      <w:r w:rsidR="00C43BBC">
        <w:rPr>
          <w:rFonts w:asciiTheme="minorHAnsi" w:eastAsia="Calibri" w:hAnsiTheme="minorHAnsi" w:cstheme="minorHAnsi"/>
          <w:szCs w:val="22"/>
        </w:rPr>
        <w:t>can affect ecosystem carbon storage.</w:t>
      </w:r>
    </w:p>
    <w:p w14:paraId="3D1A1885" w14:textId="44B48DC7" w:rsidR="00902BDC" w:rsidRDefault="00146904" w:rsidP="00B378C9">
      <w:pPr>
        <w:spacing w:before="120" w:after="120" w:line="264" w:lineRule="auto"/>
        <w:rPr>
          <w:rFonts w:asciiTheme="minorHAnsi" w:eastAsia="Calibri" w:hAnsiTheme="minorHAnsi" w:cstheme="minorHAnsi"/>
          <w:szCs w:val="22"/>
        </w:rPr>
      </w:pPr>
      <w:r>
        <w:rPr>
          <w:rFonts w:asciiTheme="minorHAnsi" w:eastAsia="Calibri" w:hAnsiTheme="minorHAnsi" w:cstheme="minorHAnsi"/>
          <w:szCs w:val="22"/>
        </w:rPr>
        <w:t xml:space="preserve">Only the risk factors </w:t>
      </w:r>
      <w:r w:rsidR="0065507A">
        <w:rPr>
          <w:rFonts w:asciiTheme="minorHAnsi" w:eastAsia="Calibri" w:hAnsiTheme="minorHAnsi" w:cstheme="minorHAnsi"/>
          <w:szCs w:val="22"/>
        </w:rPr>
        <w:t xml:space="preserve">that were considered most important for each ERF activity were considered in the analysis (Table 10). </w:t>
      </w:r>
      <w:r w:rsidR="006C3B14">
        <w:rPr>
          <w:rFonts w:asciiTheme="minorHAnsi" w:eastAsia="Calibri" w:hAnsiTheme="minorHAnsi" w:cstheme="minorHAnsi"/>
          <w:szCs w:val="22"/>
        </w:rPr>
        <w:t>A number of the potential impa</w:t>
      </w:r>
      <w:r w:rsidR="006C3B14" w:rsidRPr="00752BDE">
        <w:rPr>
          <w:rFonts w:asciiTheme="minorHAnsi" w:eastAsia="Calibri" w:hAnsiTheme="minorHAnsi" w:cstheme="minorHAnsi"/>
          <w:szCs w:val="22"/>
        </w:rPr>
        <w:t xml:space="preserve">cts in </w:t>
      </w:r>
      <w:r w:rsidR="00752BDE" w:rsidRPr="00752BDE">
        <w:rPr>
          <w:rFonts w:asciiTheme="minorHAnsi" w:eastAsia="Calibri" w:hAnsiTheme="minorHAnsi" w:cstheme="minorHAnsi"/>
          <w:szCs w:val="22"/>
        </w:rPr>
        <w:fldChar w:fldCharType="begin"/>
      </w:r>
      <w:r w:rsidR="00752BDE" w:rsidRPr="00752BDE">
        <w:rPr>
          <w:rFonts w:asciiTheme="minorHAnsi" w:eastAsia="Calibri" w:hAnsiTheme="minorHAnsi" w:cstheme="minorHAnsi"/>
          <w:szCs w:val="22"/>
        </w:rPr>
        <w:instrText xml:space="preserve"> REF _Ref48744346 \h </w:instrText>
      </w:r>
      <w:r w:rsidR="00752BDE">
        <w:rPr>
          <w:rFonts w:asciiTheme="minorHAnsi" w:eastAsia="Calibri" w:hAnsiTheme="minorHAnsi" w:cstheme="minorHAnsi"/>
          <w:szCs w:val="22"/>
        </w:rPr>
        <w:instrText xml:space="preserve"> \* MERGEFORMAT </w:instrText>
      </w:r>
      <w:r w:rsidR="00752BDE" w:rsidRPr="00752BDE">
        <w:rPr>
          <w:rFonts w:asciiTheme="minorHAnsi" w:eastAsia="Calibri" w:hAnsiTheme="minorHAnsi" w:cstheme="minorHAnsi"/>
          <w:szCs w:val="22"/>
        </w:rPr>
      </w:r>
      <w:r w:rsidR="00752BDE" w:rsidRPr="00752BDE">
        <w:rPr>
          <w:rFonts w:asciiTheme="minorHAnsi" w:eastAsia="Calibri" w:hAnsiTheme="minorHAnsi" w:cstheme="minorHAnsi"/>
          <w:szCs w:val="22"/>
        </w:rPr>
        <w:fldChar w:fldCharType="separate"/>
      </w:r>
      <w:r w:rsidR="00235F13" w:rsidRPr="00235F13">
        <w:rPr>
          <w:rFonts w:asciiTheme="minorHAnsi" w:hAnsiTheme="minorHAnsi" w:cstheme="minorHAnsi"/>
        </w:rPr>
        <w:t xml:space="preserve">Table </w:t>
      </w:r>
      <w:r w:rsidR="00235F13" w:rsidRPr="00235F13">
        <w:rPr>
          <w:rFonts w:asciiTheme="minorHAnsi" w:hAnsiTheme="minorHAnsi" w:cstheme="minorHAnsi"/>
          <w:noProof/>
        </w:rPr>
        <w:t>10</w:t>
      </w:r>
      <w:r w:rsidR="00752BDE" w:rsidRPr="00752BDE">
        <w:rPr>
          <w:rFonts w:asciiTheme="minorHAnsi" w:eastAsia="Calibri" w:hAnsiTheme="minorHAnsi" w:cstheme="minorHAnsi"/>
          <w:szCs w:val="22"/>
        </w:rPr>
        <w:fldChar w:fldCharType="end"/>
      </w:r>
      <w:r w:rsidR="00752BDE" w:rsidRPr="00752BDE">
        <w:rPr>
          <w:rFonts w:asciiTheme="minorHAnsi" w:eastAsia="Calibri" w:hAnsiTheme="minorHAnsi" w:cstheme="minorHAnsi"/>
          <w:szCs w:val="22"/>
        </w:rPr>
        <w:t xml:space="preserve"> </w:t>
      </w:r>
      <w:r w:rsidR="00DB5E3E">
        <w:rPr>
          <w:rFonts w:asciiTheme="minorHAnsi" w:eastAsia="Calibri" w:hAnsiTheme="minorHAnsi" w:cstheme="minorHAnsi"/>
          <w:szCs w:val="22"/>
        </w:rPr>
        <w:t xml:space="preserve">are common </w:t>
      </w:r>
      <w:r w:rsidR="00881A27">
        <w:rPr>
          <w:rFonts w:asciiTheme="minorHAnsi" w:eastAsia="Calibri" w:hAnsiTheme="minorHAnsi" w:cstheme="minorHAnsi"/>
          <w:szCs w:val="22"/>
        </w:rPr>
        <w:t>across</w:t>
      </w:r>
      <w:r w:rsidR="00DB5E3E">
        <w:rPr>
          <w:rFonts w:asciiTheme="minorHAnsi" w:eastAsia="Calibri" w:hAnsiTheme="minorHAnsi" w:cstheme="minorHAnsi"/>
          <w:szCs w:val="22"/>
        </w:rPr>
        <w:t xml:space="preserve"> the majority of the ERF activities</w:t>
      </w:r>
      <w:r w:rsidR="00665E83">
        <w:rPr>
          <w:rFonts w:asciiTheme="minorHAnsi" w:eastAsia="Calibri" w:hAnsiTheme="minorHAnsi" w:cstheme="minorHAnsi"/>
          <w:szCs w:val="22"/>
        </w:rPr>
        <w:t xml:space="preserve">, </w:t>
      </w:r>
      <w:r w:rsidR="0076503C">
        <w:rPr>
          <w:rFonts w:asciiTheme="minorHAnsi" w:eastAsia="Calibri" w:hAnsiTheme="minorHAnsi" w:cstheme="minorHAnsi"/>
          <w:szCs w:val="22"/>
        </w:rPr>
        <w:t xml:space="preserve">and includes </w:t>
      </w:r>
      <w:r w:rsidR="006856F4">
        <w:rPr>
          <w:rFonts w:asciiTheme="minorHAnsi" w:eastAsia="Calibri" w:hAnsiTheme="minorHAnsi" w:cstheme="minorHAnsi"/>
          <w:szCs w:val="22"/>
        </w:rPr>
        <w:t xml:space="preserve">combinations of climate factors </w:t>
      </w:r>
      <w:r w:rsidR="00E72276">
        <w:rPr>
          <w:rFonts w:asciiTheme="minorHAnsi" w:eastAsia="Calibri" w:hAnsiTheme="minorHAnsi" w:cstheme="minorHAnsi"/>
          <w:szCs w:val="22"/>
        </w:rPr>
        <w:t xml:space="preserve">such as </w:t>
      </w:r>
      <w:r w:rsidR="00454997">
        <w:rPr>
          <w:rFonts w:asciiTheme="minorHAnsi" w:eastAsia="Calibri" w:hAnsiTheme="minorHAnsi" w:cstheme="minorHAnsi"/>
          <w:szCs w:val="22"/>
        </w:rPr>
        <w:t>increasing temperature, increasing evapotranspiration and declining average rainfall</w:t>
      </w:r>
      <w:r w:rsidR="00272965">
        <w:rPr>
          <w:rFonts w:asciiTheme="minorHAnsi" w:eastAsia="Calibri" w:hAnsiTheme="minorHAnsi" w:cstheme="minorHAnsi"/>
          <w:szCs w:val="22"/>
        </w:rPr>
        <w:t xml:space="preserve"> that lead to reduced soil water availability and associated </w:t>
      </w:r>
      <w:r w:rsidR="006856F4">
        <w:rPr>
          <w:rFonts w:asciiTheme="minorHAnsi" w:eastAsia="Calibri" w:hAnsiTheme="minorHAnsi" w:cstheme="minorHAnsi"/>
          <w:szCs w:val="22"/>
        </w:rPr>
        <w:t xml:space="preserve">predicted </w:t>
      </w:r>
      <w:r w:rsidR="00881A27">
        <w:rPr>
          <w:rFonts w:asciiTheme="minorHAnsi" w:eastAsia="Calibri" w:hAnsiTheme="minorHAnsi" w:cstheme="minorHAnsi"/>
          <w:szCs w:val="22"/>
        </w:rPr>
        <w:t xml:space="preserve">declines </w:t>
      </w:r>
      <w:r w:rsidR="006856F4">
        <w:rPr>
          <w:rFonts w:asciiTheme="minorHAnsi" w:eastAsia="Calibri" w:hAnsiTheme="minorHAnsi" w:cstheme="minorHAnsi"/>
          <w:szCs w:val="22"/>
        </w:rPr>
        <w:t>i</w:t>
      </w:r>
      <w:r w:rsidR="00881A27">
        <w:rPr>
          <w:rFonts w:asciiTheme="minorHAnsi" w:eastAsia="Calibri" w:hAnsiTheme="minorHAnsi" w:cstheme="minorHAnsi"/>
          <w:szCs w:val="22"/>
        </w:rPr>
        <w:t xml:space="preserve">n tree and crop growth; </w:t>
      </w:r>
      <w:r w:rsidR="00EF1DBB">
        <w:rPr>
          <w:rFonts w:asciiTheme="minorHAnsi" w:eastAsia="Calibri" w:hAnsiTheme="minorHAnsi" w:cstheme="minorHAnsi"/>
          <w:szCs w:val="22"/>
        </w:rPr>
        <w:t>the potential for heat-induced mortality</w:t>
      </w:r>
      <w:r w:rsidR="00D10C80">
        <w:rPr>
          <w:rFonts w:asciiTheme="minorHAnsi" w:eastAsia="Calibri" w:hAnsiTheme="minorHAnsi" w:cstheme="minorHAnsi"/>
          <w:szCs w:val="22"/>
        </w:rPr>
        <w:t xml:space="preserve">, particularly for young or regenerating plants; overall greater plant stress leading to greater susceptibility to pests, diseases and other disturbances; </w:t>
      </w:r>
      <w:r w:rsidR="00A45228">
        <w:rPr>
          <w:rFonts w:asciiTheme="minorHAnsi" w:eastAsia="Calibri" w:hAnsiTheme="minorHAnsi" w:cstheme="minorHAnsi"/>
          <w:szCs w:val="22"/>
        </w:rPr>
        <w:t>and overall intensification of drought</w:t>
      </w:r>
      <w:r w:rsidR="0076503C">
        <w:rPr>
          <w:rFonts w:asciiTheme="minorHAnsi" w:eastAsia="Calibri" w:hAnsiTheme="minorHAnsi" w:cstheme="minorHAnsi"/>
          <w:szCs w:val="22"/>
        </w:rPr>
        <w:t xml:space="preserve">, </w:t>
      </w:r>
      <w:r w:rsidR="00A45228">
        <w:rPr>
          <w:rFonts w:asciiTheme="minorHAnsi" w:eastAsia="Calibri" w:hAnsiTheme="minorHAnsi" w:cstheme="minorHAnsi"/>
          <w:szCs w:val="22"/>
        </w:rPr>
        <w:t xml:space="preserve">fire </w:t>
      </w:r>
      <w:r w:rsidR="0076503C">
        <w:rPr>
          <w:rFonts w:asciiTheme="minorHAnsi" w:eastAsia="Calibri" w:hAnsiTheme="minorHAnsi" w:cstheme="minorHAnsi"/>
          <w:szCs w:val="22"/>
        </w:rPr>
        <w:t xml:space="preserve">and storm-related </w:t>
      </w:r>
      <w:r w:rsidR="00A45228">
        <w:rPr>
          <w:rFonts w:asciiTheme="minorHAnsi" w:eastAsia="Calibri" w:hAnsiTheme="minorHAnsi" w:cstheme="minorHAnsi"/>
          <w:szCs w:val="22"/>
        </w:rPr>
        <w:t>disturbance</w:t>
      </w:r>
      <w:r w:rsidR="0076503C">
        <w:rPr>
          <w:rFonts w:asciiTheme="minorHAnsi" w:eastAsia="Calibri" w:hAnsiTheme="minorHAnsi" w:cstheme="minorHAnsi"/>
          <w:szCs w:val="22"/>
        </w:rPr>
        <w:t xml:space="preserve"> (such as flooding and erosion)</w:t>
      </w:r>
      <w:r w:rsidR="00A45228">
        <w:rPr>
          <w:rFonts w:asciiTheme="minorHAnsi" w:eastAsia="Calibri" w:hAnsiTheme="minorHAnsi" w:cstheme="minorHAnsi"/>
          <w:szCs w:val="22"/>
        </w:rPr>
        <w:t xml:space="preserve">. </w:t>
      </w:r>
    </w:p>
    <w:p w14:paraId="5D135D1D" w14:textId="4E0243D6" w:rsidR="00902BDC" w:rsidRDefault="00902BDC" w:rsidP="00B378C9">
      <w:pPr>
        <w:spacing w:before="120" w:after="120" w:line="264" w:lineRule="auto"/>
        <w:rPr>
          <w:rFonts w:asciiTheme="minorHAnsi" w:eastAsia="Calibri" w:hAnsiTheme="minorHAnsi" w:cstheme="minorHAnsi"/>
          <w:szCs w:val="22"/>
        </w:rPr>
      </w:pPr>
    </w:p>
    <w:p w14:paraId="3C2E8921" w14:textId="182FD303" w:rsidR="00117336" w:rsidRDefault="00117336" w:rsidP="00B378C9">
      <w:pPr>
        <w:spacing w:before="120" w:after="120" w:line="264" w:lineRule="auto"/>
        <w:rPr>
          <w:rFonts w:ascii="Calibri" w:eastAsia="Calibri" w:hAnsi="Calibri"/>
          <w:szCs w:val="22"/>
        </w:rPr>
      </w:pPr>
      <w:r>
        <w:rPr>
          <w:rFonts w:ascii="Calibri" w:eastAsia="Calibri" w:hAnsi="Calibri"/>
          <w:szCs w:val="22"/>
        </w:rPr>
        <w:br w:type="page"/>
      </w:r>
    </w:p>
    <w:p w14:paraId="199E42C1" w14:textId="31DD03E5" w:rsidR="00F81985" w:rsidRPr="00351B86" w:rsidRDefault="00F81985" w:rsidP="00F81985">
      <w:pPr>
        <w:pStyle w:val="Caption"/>
        <w:rPr>
          <w:b w:val="0"/>
          <w:szCs w:val="20"/>
        </w:rPr>
      </w:pPr>
      <w:bookmarkStart w:id="61" w:name="_Ref48744346"/>
      <w:bookmarkStart w:id="62" w:name="_Toc52971065"/>
      <w:r>
        <w:lastRenderedPageBreak/>
        <w:t xml:space="preserve">Table </w:t>
      </w:r>
      <w:r>
        <w:fldChar w:fldCharType="begin"/>
      </w:r>
      <w:r>
        <w:instrText>SEQ Table \* ARABIC</w:instrText>
      </w:r>
      <w:r>
        <w:fldChar w:fldCharType="separate"/>
      </w:r>
      <w:r w:rsidR="00235F13">
        <w:rPr>
          <w:noProof/>
        </w:rPr>
        <w:t>10</w:t>
      </w:r>
      <w:r>
        <w:fldChar w:fldCharType="end"/>
      </w:r>
      <w:bookmarkEnd w:id="61"/>
      <w:r>
        <w:t xml:space="preserve">. </w:t>
      </w:r>
      <w:r w:rsidR="002C6529" w:rsidRPr="00311B7B">
        <w:rPr>
          <w:b w:val="0"/>
          <w:bCs w:val="0"/>
        </w:rPr>
        <w:t xml:space="preserve">Mapping of </w:t>
      </w:r>
      <w:r w:rsidR="00311B7B" w:rsidRPr="00311B7B">
        <w:rPr>
          <w:b w:val="0"/>
          <w:bCs w:val="0"/>
        </w:rPr>
        <w:t>climate impact factors to ERF activities</w:t>
      </w:r>
      <w:r w:rsidRPr="00351B86">
        <w:rPr>
          <w:b w:val="0"/>
          <w:szCs w:val="20"/>
        </w:rPr>
        <w:t>.</w:t>
      </w:r>
      <w:bookmarkEnd w:id="62"/>
    </w:p>
    <w:tbl>
      <w:tblPr>
        <w:tblStyle w:val="TableCSIRO"/>
        <w:tblW w:w="8647" w:type="dxa"/>
        <w:tblInd w:w="-14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6"/>
        <w:gridCol w:w="6062"/>
        <w:gridCol w:w="471"/>
        <w:gridCol w:w="420"/>
        <w:gridCol w:w="420"/>
        <w:gridCol w:w="421"/>
        <w:gridCol w:w="420"/>
        <w:gridCol w:w="427"/>
      </w:tblGrid>
      <w:tr w:rsidR="00E00BD4" w:rsidRPr="00E00BD4" w14:paraId="6593407B" w14:textId="77777777" w:rsidTr="00536A59">
        <w:trPr>
          <w:cnfStyle w:val="100000000000" w:firstRow="1" w:lastRow="0" w:firstColumn="0" w:lastColumn="0" w:oddVBand="0" w:evenVBand="0" w:oddHBand="0" w:evenHBand="0" w:firstRowFirstColumn="0" w:firstRowLastColumn="0" w:lastRowFirstColumn="0" w:lastRowLastColumn="0"/>
          <w:cantSplit/>
          <w:trHeight w:val="3237"/>
        </w:trPr>
        <w:tc>
          <w:tcPr>
            <w:cnfStyle w:val="001000000000" w:firstRow="0" w:lastRow="0" w:firstColumn="1" w:lastColumn="0" w:oddVBand="0" w:evenVBand="0" w:oddHBand="0" w:evenHBand="0" w:firstRowFirstColumn="0" w:firstRowLastColumn="0" w:lastRowFirstColumn="0" w:lastRowLastColumn="0"/>
            <w:tcW w:w="6068" w:type="dxa"/>
            <w:gridSpan w:val="2"/>
            <w:shd w:val="clear" w:color="auto" w:fill="FFFFFF" w:themeFill="background1"/>
            <w:vAlign w:val="bottom"/>
          </w:tcPr>
          <w:p w14:paraId="55B79B95" w14:textId="77777777" w:rsidR="0020438B" w:rsidRPr="001A056B" w:rsidRDefault="0020438B" w:rsidP="000F5A17">
            <w:pPr>
              <w:rPr>
                <w:rFonts w:asciiTheme="minorHAnsi" w:hAnsiTheme="minorHAnsi" w:cs="Arial"/>
                <w:sz w:val="18"/>
                <w:szCs w:val="18"/>
              </w:rPr>
            </w:pPr>
          </w:p>
        </w:tc>
        <w:tc>
          <w:tcPr>
            <w:tcW w:w="471" w:type="dxa"/>
            <w:vMerge w:val="restart"/>
            <w:shd w:val="clear" w:color="auto" w:fill="FFFFFF" w:themeFill="background1"/>
            <w:textDirection w:val="btLr"/>
          </w:tcPr>
          <w:p w14:paraId="7FD88907" w14:textId="77777777" w:rsidR="0020438B" w:rsidRPr="00E00BD4" w:rsidRDefault="0020438B" w:rsidP="000F5A17">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18"/>
                <w:szCs w:val="18"/>
              </w:rPr>
            </w:pPr>
            <w:r w:rsidRPr="00E00BD4">
              <w:rPr>
                <w:rFonts w:asciiTheme="minorHAnsi" w:hAnsiTheme="minorHAnsi" w:cs="Arial"/>
                <w:color w:val="auto"/>
                <w:sz w:val="18"/>
                <w:szCs w:val="18"/>
              </w:rPr>
              <w:t>Re-establish native forest cover</w:t>
            </w:r>
          </w:p>
        </w:tc>
        <w:tc>
          <w:tcPr>
            <w:tcW w:w="420" w:type="dxa"/>
            <w:vMerge w:val="restart"/>
            <w:shd w:val="clear" w:color="auto" w:fill="FFFFFF" w:themeFill="background1"/>
            <w:textDirection w:val="btLr"/>
          </w:tcPr>
          <w:p w14:paraId="310DD2F2" w14:textId="6D3CD659" w:rsidR="0020438B" w:rsidRPr="00E00BD4" w:rsidRDefault="0020438B" w:rsidP="000F5A1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18"/>
                <w:szCs w:val="18"/>
              </w:rPr>
            </w:pPr>
            <w:r w:rsidRPr="00E00BD4">
              <w:rPr>
                <w:rFonts w:asciiTheme="minorHAnsi" w:hAnsiTheme="minorHAnsi" w:cs="Arial"/>
                <w:color w:val="auto"/>
                <w:sz w:val="18"/>
                <w:szCs w:val="18"/>
              </w:rPr>
              <w:t xml:space="preserve">   Planting </w:t>
            </w:r>
            <w:r w:rsidR="00CD3D3D">
              <w:rPr>
                <w:rFonts w:asciiTheme="minorHAnsi" w:hAnsiTheme="minorHAnsi" w:cs="Arial"/>
                <w:color w:val="auto"/>
                <w:sz w:val="18"/>
                <w:szCs w:val="18"/>
              </w:rPr>
              <w:t xml:space="preserve">of new </w:t>
            </w:r>
            <w:r w:rsidRPr="00E00BD4">
              <w:rPr>
                <w:rFonts w:asciiTheme="minorHAnsi" w:hAnsiTheme="minorHAnsi" w:cs="Arial"/>
                <w:color w:val="auto"/>
                <w:sz w:val="18"/>
                <w:szCs w:val="18"/>
              </w:rPr>
              <w:t xml:space="preserve"> forests</w:t>
            </w:r>
          </w:p>
        </w:tc>
        <w:tc>
          <w:tcPr>
            <w:tcW w:w="420" w:type="dxa"/>
            <w:vMerge w:val="restart"/>
            <w:shd w:val="clear" w:color="auto" w:fill="FFFFFF" w:themeFill="background1"/>
            <w:textDirection w:val="btLr"/>
          </w:tcPr>
          <w:p w14:paraId="7A625C10" w14:textId="77777777" w:rsidR="0020438B" w:rsidRPr="00E00BD4" w:rsidRDefault="0020438B" w:rsidP="000F5A1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18"/>
                <w:szCs w:val="18"/>
              </w:rPr>
            </w:pPr>
            <w:r w:rsidRPr="00E00BD4">
              <w:rPr>
                <w:rFonts w:asciiTheme="minorHAnsi" w:hAnsiTheme="minorHAnsi" w:cs="Arial"/>
                <w:color w:val="auto"/>
                <w:sz w:val="18"/>
                <w:szCs w:val="18"/>
              </w:rPr>
              <w:t xml:space="preserve">   Protect existing forests</w:t>
            </w:r>
          </w:p>
        </w:tc>
        <w:tc>
          <w:tcPr>
            <w:tcW w:w="421" w:type="dxa"/>
            <w:vMerge w:val="restart"/>
            <w:shd w:val="clear" w:color="auto" w:fill="FFFFFF" w:themeFill="background1"/>
            <w:textDirection w:val="btLr"/>
          </w:tcPr>
          <w:p w14:paraId="2A72BCF6" w14:textId="77777777" w:rsidR="0020438B" w:rsidRPr="00E00BD4" w:rsidRDefault="0020438B" w:rsidP="000F5A1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18"/>
                <w:szCs w:val="18"/>
              </w:rPr>
            </w:pPr>
            <w:r w:rsidRPr="00E00BD4">
              <w:rPr>
                <w:rFonts w:asciiTheme="minorHAnsi" w:hAnsiTheme="minorHAnsi" w:cs="Arial"/>
                <w:color w:val="auto"/>
                <w:sz w:val="18"/>
                <w:szCs w:val="18"/>
              </w:rPr>
              <w:t xml:space="preserve">   Manage agricultural soils</w:t>
            </w:r>
          </w:p>
        </w:tc>
        <w:tc>
          <w:tcPr>
            <w:tcW w:w="420" w:type="dxa"/>
            <w:vMerge w:val="restart"/>
            <w:shd w:val="clear" w:color="auto" w:fill="FFFFFF" w:themeFill="background1"/>
            <w:textDirection w:val="btLr"/>
          </w:tcPr>
          <w:p w14:paraId="0EC7F99E" w14:textId="77777777" w:rsidR="0020438B" w:rsidRPr="00E00BD4" w:rsidRDefault="0020438B" w:rsidP="000F5A1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18"/>
                <w:szCs w:val="18"/>
              </w:rPr>
            </w:pPr>
            <w:r w:rsidRPr="00E00BD4">
              <w:rPr>
                <w:rFonts w:asciiTheme="minorHAnsi" w:hAnsiTheme="minorHAnsi" w:cs="Arial"/>
                <w:color w:val="auto"/>
                <w:sz w:val="18"/>
                <w:szCs w:val="18"/>
              </w:rPr>
              <w:t xml:space="preserve">   Savanna fire management</w:t>
            </w:r>
          </w:p>
        </w:tc>
        <w:tc>
          <w:tcPr>
            <w:tcW w:w="427" w:type="dxa"/>
            <w:vMerge w:val="restart"/>
            <w:shd w:val="clear" w:color="auto" w:fill="FFFFFF" w:themeFill="background1"/>
            <w:textDirection w:val="btLr"/>
          </w:tcPr>
          <w:p w14:paraId="28BFEA7B" w14:textId="1DA2DBE3" w:rsidR="0020438B" w:rsidRPr="00E00BD4" w:rsidRDefault="00536A59" w:rsidP="000F5A17">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18"/>
                <w:szCs w:val="18"/>
              </w:rPr>
            </w:pPr>
            <w:r w:rsidRPr="00E00BD4">
              <w:rPr>
                <w:rFonts w:asciiTheme="minorHAnsi" w:hAnsiTheme="minorHAnsi" w:cs="Arial"/>
                <w:color w:val="auto"/>
                <w:sz w:val="18"/>
                <w:szCs w:val="18"/>
              </w:rPr>
              <w:t xml:space="preserve">   </w:t>
            </w:r>
            <w:r w:rsidR="0020438B" w:rsidRPr="00E00BD4">
              <w:rPr>
                <w:rFonts w:asciiTheme="minorHAnsi" w:hAnsiTheme="minorHAnsi" w:cs="Arial"/>
                <w:color w:val="auto"/>
                <w:sz w:val="18"/>
                <w:szCs w:val="18"/>
              </w:rPr>
              <w:t>Management of intertidal ecosystems</w:t>
            </w:r>
          </w:p>
        </w:tc>
      </w:tr>
      <w:tr w:rsidR="005A0FA2" w:rsidRPr="00666A17" w14:paraId="788369C9" w14:textId="77777777" w:rsidTr="00536A59">
        <w:trPr>
          <w:gridBefore w:val="1"/>
          <w:cnfStyle w:val="000000100000" w:firstRow="0" w:lastRow="0" w:firstColumn="0" w:lastColumn="0" w:oddVBand="0" w:evenVBand="0" w:oddHBand="1" w:evenHBand="0" w:firstRowFirstColumn="0" w:firstRowLastColumn="0" w:lastRowFirstColumn="0" w:lastRowLastColumn="0"/>
          <w:wBefore w:w="6" w:type="dxa"/>
          <w:trHeight w:val="72"/>
        </w:trPr>
        <w:tc>
          <w:tcPr>
            <w:cnfStyle w:val="001000000000" w:firstRow="0" w:lastRow="0" w:firstColumn="1" w:lastColumn="0" w:oddVBand="0" w:evenVBand="0" w:oddHBand="0" w:evenHBand="0" w:firstRowFirstColumn="0" w:firstRowLastColumn="0" w:lastRowFirstColumn="0" w:lastRowLastColumn="0"/>
            <w:tcW w:w="6062" w:type="dxa"/>
            <w:tcBorders>
              <w:top w:val="nil"/>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D1D99AE" w14:textId="101FCF7D" w:rsidR="0020438B" w:rsidRPr="00666A17" w:rsidRDefault="00FB5252" w:rsidP="000F5A17">
            <w:pPr>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Direct impacts via </w:t>
            </w:r>
            <w:r w:rsidR="007042A9">
              <w:rPr>
                <w:rFonts w:asciiTheme="minorHAnsi" w:hAnsiTheme="minorHAnsi" w:cstheme="minorHAnsi"/>
                <w:color w:val="000000" w:themeColor="text1"/>
                <w:sz w:val="18"/>
                <w:szCs w:val="18"/>
              </w:rPr>
              <w:t>p</w:t>
            </w:r>
            <w:r w:rsidR="00440BBB">
              <w:rPr>
                <w:rFonts w:asciiTheme="minorHAnsi" w:hAnsiTheme="minorHAnsi" w:cstheme="minorHAnsi"/>
                <w:color w:val="000000" w:themeColor="text1"/>
                <w:sz w:val="18"/>
                <w:szCs w:val="18"/>
              </w:rPr>
              <w:t xml:space="preserve">rimary </w:t>
            </w:r>
            <w:r w:rsidR="007042A9">
              <w:rPr>
                <w:rFonts w:asciiTheme="minorHAnsi" w:hAnsiTheme="minorHAnsi" w:cstheme="minorHAnsi"/>
                <w:color w:val="000000" w:themeColor="text1"/>
                <w:sz w:val="18"/>
                <w:szCs w:val="18"/>
              </w:rPr>
              <w:t>climate change variables</w:t>
            </w:r>
          </w:p>
        </w:tc>
        <w:tc>
          <w:tcPr>
            <w:tcW w:w="471" w:type="dxa"/>
            <w:vMerge/>
            <w:tcBorders>
              <w:top w:val="nil"/>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39D90BC" w14:textId="77777777" w:rsidR="0020438B" w:rsidRPr="00666A17"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0" w:type="dxa"/>
            <w:vMerge/>
            <w:tcBorders>
              <w:top w:val="nil"/>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EC6650C" w14:textId="77777777" w:rsidR="0020438B" w:rsidRPr="00666A17"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0" w:type="dxa"/>
            <w:vMerge/>
            <w:tcBorders>
              <w:top w:val="nil"/>
              <w:bottom w:val="single" w:sz="4" w:space="0" w:color="D9D9D9" w:themeColor="background1" w:themeShade="D9"/>
            </w:tcBorders>
            <w:shd w:val="clear" w:color="auto" w:fill="FFFFFF" w:themeFill="background1"/>
            <w:vAlign w:val="center"/>
          </w:tcPr>
          <w:p w14:paraId="7C1F54A6" w14:textId="77777777" w:rsidR="0020438B" w:rsidRPr="00666A17"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1" w:type="dxa"/>
            <w:vMerge/>
            <w:tcBorders>
              <w:top w:val="nil"/>
              <w:bottom w:val="single" w:sz="4" w:space="0" w:color="D9D9D9" w:themeColor="background1" w:themeShade="D9"/>
            </w:tcBorders>
            <w:shd w:val="clear" w:color="auto" w:fill="FFFFFF" w:themeFill="background1"/>
            <w:vAlign w:val="center"/>
          </w:tcPr>
          <w:p w14:paraId="58FF5598" w14:textId="77777777" w:rsidR="0020438B" w:rsidRPr="00666A17"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0" w:type="dxa"/>
            <w:vMerge/>
            <w:tcBorders>
              <w:top w:val="nil"/>
              <w:bottom w:val="single" w:sz="4" w:space="0" w:color="D9D9D9" w:themeColor="background1" w:themeShade="D9"/>
            </w:tcBorders>
            <w:shd w:val="clear" w:color="auto" w:fill="FFFFFF" w:themeFill="background1"/>
            <w:vAlign w:val="center"/>
          </w:tcPr>
          <w:p w14:paraId="56839AA2" w14:textId="77777777" w:rsidR="0020438B" w:rsidRPr="00666A17"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7" w:type="dxa"/>
            <w:vMerge/>
            <w:tcBorders>
              <w:top w:val="nil"/>
              <w:bottom w:val="single" w:sz="4" w:space="0" w:color="D9D9D9" w:themeColor="background1" w:themeShade="D9"/>
            </w:tcBorders>
            <w:shd w:val="clear" w:color="auto" w:fill="FFFFFF" w:themeFill="background1"/>
            <w:vAlign w:val="center"/>
          </w:tcPr>
          <w:p w14:paraId="11D020B5" w14:textId="77777777" w:rsidR="0020438B" w:rsidRPr="00666A17" w:rsidRDefault="0020438B" w:rsidP="0098160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5A0FA2" w:rsidRPr="004F363E" w14:paraId="36B51D54" w14:textId="77777777" w:rsidTr="00536A59">
        <w:trPr>
          <w:gridBefore w:val="1"/>
          <w:wBefore w:w="6" w:type="dxa"/>
          <w:trHeight w:val="417"/>
        </w:trPr>
        <w:tc>
          <w:tcPr>
            <w:cnfStyle w:val="001000000000" w:firstRow="0" w:lastRow="0" w:firstColumn="1" w:lastColumn="0" w:oddVBand="0" w:evenVBand="0" w:oddHBand="0" w:evenHBand="0" w:firstRowFirstColumn="0" w:firstRowLastColumn="0" w:lastRowFirstColumn="0" w:lastRowLastColumn="0"/>
            <w:tcW w:w="6062" w:type="dxa"/>
            <w:shd w:val="clear" w:color="auto" w:fill="FFFFFF" w:themeFill="background1"/>
            <w:tcMar>
              <w:top w:w="28" w:type="dxa"/>
              <w:left w:w="28" w:type="dxa"/>
              <w:bottom w:w="28" w:type="dxa"/>
              <w:right w:w="28" w:type="dxa"/>
            </w:tcMar>
            <w:vAlign w:val="center"/>
          </w:tcPr>
          <w:p w14:paraId="72A11968" w14:textId="77777777"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r w:rsidRPr="000556A4">
              <w:rPr>
                <w:rFonts w:asciiTheme="minorHAnsi" w:hAnsiTheme="minorHAnsi" w:cstheme="minorHAnsi"/>
                <w:b w:val="0"/>
                <w:bCs w:val="0"/>
                <w:color w:val="000000" w:themeColor="text1"/>
                <w:sz w:val="18"/>
                <w:szCs w:val="18"/>
              </w:rPr>
              <w:t>Heat-stress limiting plant growth and increasing mortality rates</w:t>
            </w:r>
          </w:p>
        </w:tc>
        <w:tc>
          <w:tcPr>
            <w:tcW w:w="471" w:type="dxa"/>
            <w:shd w:val="clear" w:color="auto" w:fill="D9D9D9" w:themeFill="background1" w:themeFillShade="D9"/>
            <w:tcMar>
              <w:top w:w="28" w:type="dxa"/>
              <w:left w:w="28" w:type="dxa"/>
              <w:bottom w:w="28" w:type="dxa"/>
              <w:right w:w="28" w:type="dxa"/>
            </w:tcMar>
            <w:vAlign w:val="center"/>
          </w:tcPr>
          <w:p w14:paraId="29589B40"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shd w:val="clear" w:color="auto" w:fill="D9D9D9" w:themeFill="background1" w:themeFillShade="D9"/>
            <w:tcMar>
              <w:top w:w="28" w:type="dxa"/>
              <w:left w:w="28" w:type="dxa"/>
              <w:bottom w:w="28" w:type="dxa"/>
              <w:right w:w="28" w:type="dxa"/>
            </w:tcMar>
            <w:vAlign w:val="center"/>
          </w:tcPr>
          <w:p w14:paraId="4748B274"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bottom w:val="single" w:sz="4" w:space="0" w:color="D9D9D9" w:themeColor="background1" w:themeShade="D9"/>
            </w:tcBorders>
            <w:shd w:val="clear" w:color="auto" w:fill="D9D9D9" w:themeFill="background1" w:themeFillShade="D9"/>
            <w:vAlign w:val="center"/>
          </w:tcPr>
          <w:p w14:paraId="4AF2DB90"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shd w:val="clear" w:color="auto" w:fill="D9D9D9" w:themeFill="background1" w:themeFillShade="D9"/>
            <w:vAlign w:val="center"/>
          </w:tcPr>
          <w:p w14:paraId="61DE11D4"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shd w:val="clear" w:color="auto" w:fill="D9D9D9" w:themeFill="background1" w:themeFillShade="D9"/>
            <w:vAlign w:val="center"/>
          </w:tcPr>
          <w:p w14:paraId="1F5EEF26"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shd w:val="clear" w:color="auto" w:fill="D9D9D9" w:themeFill="background1" w:themeFillShade="D9"/>
            <w:vAlign w:val="center"/>
          </w:tcPr>
          <w:p w14:paraId="18094552"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5A0FA2" w:rsidRPr="004F363E" w14:paraId="5DB380FF" w14:textId="77777777" w:rsidTr="00536A59">
        <w:trPr>
          <w:gridBefore w:val="1"/>
          <w:cnfStyle w:val="000000100000" w:firstRow="0" w:lastRow="0" w:firstColumn="0" w:lastColumn="0" w:oddVBand="0" w:evenVBand="0" w:oddHBand="1" w:evenHBand="0" w:firstRowFirstColumn="0" w:firstRowLastColumn="0" w:lastRowFirstColumn="0" w:lastRowLastColumn="0"/>
          <w:wBefore w:w="6" w:type="dxa"/>
          <w:trHeight w:val="391"/>
        </w:trPr>
        <w:tc>
          <w:tcPr>
            <w:cnfStyle w:val="001000000000" w:firstRow="0" w:lastRow="0" w:firstColumn="1" w:lastColumn="0" w:oddVBand="0" w:evenVBand="0" w:oddHBand="0" w:evenHBand="0" w:firstRowFirstColumn="0" w:firstRowLastColumn="0" w:lastRowFirstColumn="0" w:lastRowLastColumn="0"/>
            <w:tcW w:w="6062"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6ED79A8" w14:textId="77777777"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r w:rsidRPr="000556A4">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471"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7F60FC77"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46C26AA6"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2B82413E"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3F0DA052"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08CC377E"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1D799E1D"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03B386E4" w14:textId="77777777" w:rsidTr="000F3F67">
        <w:trPr>
          <w:gridBefore w:val="1"/>
          <w:wBefore w:w="6" w:type="dxa"/>
          <w:trHeight w:val="417"/>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D73C543" w14:textId="77777777"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0"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6D637FBE"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1D288526"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3688D6A6"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3A9F81F6"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1449842D"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6360629A"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5A0FA2" w:rsidRPr="004F363E" w14:paraId="347C2441" w14:textId="77777777" w:rsidTr="00536A59">
        <w:trPr>
          <w:gridBefore w:val="1"/>
          <w:cnfStyle w:val="000000100000" w:firstRow="0" w:lastRow="0" w:firstColumn="0" w:lastColumn="0" w:oddVBand="0" w:evenVBand="0" w:oddHBand="1" w:evenHBand="0" w:firstRowFirstColumn="0" w:firstRowLastColumn="0" w:lastRowFirstColumn="0" w:lastRowLastColumn="0"/>
          <w:wBefore w:w="6" w:type="dxa"/>
          <w:trHeight w:val="376"/>
        </w:trPr>
        <w:tc>
          <w:tcPr>
            <w:cnfStyle w:val="001000000000" w:firstRow="0" w:lastRow="0" w:firstColumn="1" w:lastColumn="0" w:oddVBand="0" w:evenVBand="0" w:oddHBand="0" w:evenHBand="0" w:firstRowFirstColumn="0" w:firstRowLastColumn="0" w:lastRowFirstColumn="0" w:lastRowLastColumn="0"/>
            <w:tcW w:w="6062"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D11135A" w14:textId="77777777"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r w:rsidRPr="00150C86">
              <w:rPr>
                <w:rFonts w:asciiTheme="minorHAnsi" w:hAnsiTheme="minorHAnsi" w:cstheme="minorHAnsi"/>
                <w:b w:val="0"/>
                <w:bCs w:val="0"/>
                <w:color w:val="000000" w:themeColor="text1"/>
                <w:sz w:val="18"/>
                <w:szCs w:val="18"/>
              </w:rPr>
              <w:t>Changes in timing/occurrence of suitable conditions for tree and crop establishment</w:t>
            </w:r>
          </w:p>
        </w:tc>
        <w:tc>
          <w:tcPr>
            <w:tcW w:w="471"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232032BF"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25479511"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462E722F"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7EDF5A13"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598F8569"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71FDE662"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6D5D2C" w:rsidRPr="004F363E" w14:paraId="5552B3C4" w14:textId="77777777" w:rsidTr="00536A59">
        <w:trPr>
          <w:gridBefore w:val="1"/>
          <w:wBefore w:w="6" w:type="dxa"/>
          <w:trHeight w:val="236"/>
        </w:trPr>
        <w:tc>
          <w:tcPr>
            <w:cnfStyle w:val="001000000000" w:firstRow="0" w:lastRow="0" w:firstColumn="1" w:lastColumn="0" w:oddVBand="0" w:evenVBand="0" w:oddHBand="0" w:evenHBand="0" w:firstRowFirstColumn="0" w:firstRowLastColumn="0" w:lastRowFirstColumn="0" w:lastRowLastColumn="0"/>
            <w:tcW w:w="6062" w:type="dxa"/>
            <w:shd w:val="clear" w:color="auto" w:fill="FFFFFF" w:themeFill="background1"/>
            <w:tcMar>
              <w:top w:w="28" w:type="dxa"/>
              <w:left w:w="28" w:type="dxa"/>
              <w:bottom w:w="28" w:type="dxa"/>
              <w:right w:w="28" w:type="dxa"/>
            </w:tcMar>
            <w:vAlign w:val="center"/>
          </w:tcPr>
          <w:p w14:paraId="1987A5C3" w14:textId="77777777"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r w:rsidRPr="000556A4">
              <w:rPr>
                <w:rFonts w:asciiTheme="minorHAnsi" w:hAnsiTheme="minorHAnsi" w:cstheme="minorHAnsi"/>
                <w:b w:val="0"/>
                <w:bCs w:val="0"/>
                <w:sz w:val="18"/>
                <w:szCs w:val="18"/>
              </w:rPr>
              <w:t>Increased frost damage associated with increased dryness / reduced opportunities for frost hardening.</w:t>
            </w:r>
          </w:p>
        </w:tc>
        <w:tc>
          <w:tcPr>
            <w:tcW w:w="471" w:type="dxa"/>
            <w:shd w:val="clear" w:color="auto" w:fill="D9D9D9" w:themeFill="background1" w:themeFillShade="D9"/>
            <w:tcMar>
              <w:top w:w="28" w:type="dxa"/>
              <w:left w:w="28" w:type="dxa"/>
              <w:bottom w:w="28" w:type="dxa"/>
              <w:right w:w="28" w:type="dxa"/>
            </w:tcMar>
            <w:vAlign w:val="center"/>
          </w:tcPr>
          <w:p w14:paraId="03EEDCA5"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shd w:val="clear" w:color="auto" w:fill="D9D9D9" w:themeFill="background1" w:themeFillShade="D9"/>
            <w:tcMar>
              <w:top w:w="28" w:type="dxa"/>
              <w:left w:w="28" w:type="dxa"/>
              <w:bottom w:w="28" w:type="dxa"/>
              <w:right w:w="28" w:type="dxa"/>
            </w:tcMar>
            <w:vAlign w:val="center"/>
          </w:tcPr>
          <w:p w14:paraId="7D935F42"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shd w:val="clear" w:color="auto" w:fill="FFFFFF" w:themeFill="background1"/>
            <w:vAlign w:val="center"/>
          </w:tcPr>
          <w:p w14:paraId="19BA6575"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shd w:val="clear" w:color="auto" w:fill="D9D9D9" w:themeFill="background1" w:themeFillShade="D9"/>
            <w:vAlign w:val="center"/>
          </w:tcPr>
          <w:p w14:paraId="1ED3045C"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shd w:val="clear" w:color="auto" w:fill="FFFFFF" w:themeFill="background1"/>
            <w:vAlign w:val="center"/>
          </w:tcPr>
          <w:p w14:paraId="205B0282"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shd w:val="clear" w:color="auto" w:fill="FFFFFF" w:themeFill="background1"/>
            <w:vAlign w:val="center"/>
          </w:tcPr>
          <w:p w14:paraId="5E7BFAD5"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5A0FA2" w:rsidRPr="004F363E" w14:paraId="634D1FB0" w14:textId="77777777" w:rsidTr="00536A59">
        <w:trPr>
          <w:gridBefore w:val="1"/>
          <w:cnfStyle w:val="000000100000" w:firstRow="0" w:lastRow="0" w:firstColumn="0" w:lastColumn="0" w:oddVBand="0" w:evenVBand="0" w:oddHBand="1" w:evenHBand="0" w:firstRowFirstColumn="0" w:firstRowLastColumn="0" w:lastRowFirstColumn="0" w:lastRowLastColumn="0"/>
          <w:wBefore w:w="6" w:type="dxa"/>
          <w:trHeight w:val="417"/>
        </w:trPr>
        <w:tc>
          <w:tcPr>
            <w:cnfStyle w:val="001000000000" w:firstRow="0" w:lastRow="0" w:firstColumn="1" w:lastColumn="0" w:oddVBand="0" w:evenVBand="0" w:oddHBand="0" w:evenHBand="0" w:firstRowFirstColumn="0" w:firstRowLastColumn="0" w:lastRowFirstColumn="0" w:lastRowLastColumn="0"/>
            <w:tcW w:w="6062"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0C73FBE" w14:textId="77777777"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r w:rsidRPr="000556A4">
              <w:rPr>
                <w:rFonts w:asciiTheme="minorHAnsi" w:hAnsiTheme="minorHAnsi" w:cstheme="minorHAnsi"/>
                <w:b w:val="0"/>
                <w:bCs w:val="0"/>
                <w:sz w:val="18"/>
                <w:szCs w:val="18"/>
              </w:rPr>
              <w:t>Decreased frost days with implications for increased seed dormancy and reduced germination rates</w:t>
            </w:r>
          </w:p>
        </w:tc>
        <w:tc>
          <w:tcPr>
            <w:tcW w:w="471"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56E5382F"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32A94CF3"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23F9D302"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4220A734"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79BB478F"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0B538B4"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5A0FA2" w:rsidRPr="004F363E" w14:paraId="5B5FA7BB" w14:textId="77777777" w:rsidTr="00536A59">
        <w:trPr>
          <w:gridBefore w:val="1"/>
          <w:wBefore w:w="6" w:type="dxa"/>
          <w:trHeight w:val="290"/>
        </w:trPr>
        <w:tc>
          <w:tcPr>
            <w:cnfStyle w:val="001000000000" w:firstRow="0" w:lastRow="0" w:firstColumn="1" w:lastColumn="0" w:oddVBand="0" w:evenVBand="0" w:oddHBand="0" w:evenHBand="0" w:firstRowFirstColumn="0" w:firstRowLastColumn="0" w:lastRowFirstColumn="0" w:lastRowLastColumn="0"/>
            <w:tcW w:w="6062"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3B34624" w14:textId="77777777" w:rsidR="0020438B" w:rsidRDefault="0020438B" w:rsidP="000F5A17">
            <w:pPr>
              <w:ind w:left="122"/>
              <w:rPr>
                <w:rFonts w:asciiTheme="minorHAnsi" w:hAnsiTheme="minorHAnsi" w:cstheme="minorHAnsi"/>
                <w:sz w:val="18"/>
                <w:szCs w:val="18"/>
              </w:rPr>
            </w:pPr>
            <w:r w:rsidRPr="004A1C8C">
              <w:rPr>
                <w:rFonts w:asciiTheme="minorHAnsi" w:hAnsiTheme="minorHAnsi" w:cstheme="minorHAnsi"/>
                <w:b w:val="0"/>
                <w:bCs w:val="0"/>
                <w:sz w:val="18"/>
                <w:szCs w:val="18"/>
              </w:rPr>
              <w:t>Changes to soil respiration and soil microbial processes</w:t>
            </w:r>
          </w:p>
          <w:p w14:paraId="4F7BC99C" w14:textId="2CB1FFE9"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p>
        </w:tc>
        <w:tc>
          <w:tcPr>
            <w:tcW w:w="471"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AF24128" w14:textId="77777777" w:rsidR="0020438B"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ABA936B"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bottom w:val="single" w:sz="4" w:space="0" w:color="D9D9D9" w:themeColor="background1" w:themeShade="D9"/>
            </w:tcBorders>
            <w:shd w:val="clear" w:color="auto" w:fill="FFFFFF" w:themeFill="background1"/>
            <w:vAlign w:val="center"/>
          </w:tcPr>
          <w:p w14:paraId="02B63B54"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bottom w:val="single" w:sz="4" w:space="0" w:color="D9D9D9" w:themeColor="background1" w:themeShade="D9"/>
            </w:tcBorders>
            <w:shd w:val="clear" w:color="auto" w:fill="D9D9D9" w:themeFill="background1" w:themeFillShade="D9"/>
            <w:vAlign w:val="center"/>
          </w:tcPr>
          <w:p w14:paraId="240EB59F"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bottom w:val="single" w:sz="4" w:space="0" w:color="D9D9D9" w:themeColor="background1" w:themeShade="D9"/>
            </w:tcBorders>
            <w:shd w:val="clear" w:color="auto" w:fill="FFFFFF" w:themeFill="background1"/>
            <w:vAlign w:val="center"/>
          </w:tcPr>
          <w:p w14:paraId="635A5FC4"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bottom w:val="single" w:sz="4" w:space="0" w:color="D9D9D9" w:themeColor="background1" w:themeShade="D9"/>
            </w:tcBorders>
            <w:shd w:val="clear" w:color="auto" w:fill="D9D9D9" w:themeFill="background1" w:themeFillShade="D9"/>
            <w:vAlign w:val="center"/>
          </w:tcPr>
          <w:p w14:paraId="1D18CC3B" w14:textId="77777777" w:rsidR="0020438B" w:rsidRPr="004F363E"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5A0FA2" w:rsidRPr="004F363E" w14:paraId="76BA77B9" w14:textId="77777777" w:rsidTr="00536A59">
        <w:trPr>
          <w:gridBefore w:val="1"/>
          <w:cnfStyle w:val="000000100000" w:firstRow="0" w:lastRow="0" w:firstColumn="0" w:lastColumn="0" w:oddVBand="0" w:evenVBand="0" w:oddHBand="1" w:evenHBand="0" w:firstRowFirstColumn="0" w:firstRowLastColumn="0" w:lastRowFirstColumn="0" w:lastRowLastColumn="0"/>
          <w:wBefore w:w="6" w:type="dxa"/>
          <w:trHeight w:val="72"/>
        </w:trPr>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4039948" w14:textId="77777777" w:rsidR="0020438B" w:rsidRDefault="0020438B" w:rsidP="000F5A17">
            <w:pPr>
              <w:ind w:left="122"/>
              <w:rPr>
                <w:rFonts w:asciiTheme="minorHAnsi" w:hAnsiTheme="minorHAnsi" w:cstheme="minorHAnsi"/>
                <w:color w:val="000000" w:themeColor="text1"/>
                <w:sz w:val="18"/>
                <w:szCs w:val="18"/>
              </w:rPr>
            </w:pPr>
            <w:r w:rsidRPr="00150C86">
              <w:rPr>
                <w:rFonts w:asciiTheme="minorHAnsi" w:hAnsiTheme="minorHAnsi" w:cstheme="minorHAnsi"/>
                <w:b w:val="0"/>
                <w:bCs w:val="0"/>
                <w:color w:val="000000" w:themeColor="text1"/>
                <w:sz w:val="18"/>
                <w:szCs w:val="18"/>
              </w:rPr>
              <w:t>Changes to timing/seasonality of crop growth</w:t>
            </w:r>
            <w:r>
              <w:rPr>
                <w:rFonts w:asciiTheme="minorHAnsi" w:hAnsiTheme="minorHAnsi" w:cstheme="minorHAnsi"/>
                <w:b w:val="0"/>
                <w:bCs w:val="0"/>
                <w:color w:val="000000" w:themeColor="text1"/>
                <w:sz w:val="18"/>
                <w:szCs w:val="18"/>
              </w:rPr>
              <w:t xml:space="preserve"> </w:t>
            </w:r>
          </w:p>
          <w:p w14:paraId="691C86F6" w14:textId="44AFB6C6"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p>
        </w:tc>
        <w:tc>
          <w:tcPr>
            <w:tcW w:w="4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6727B17"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0E8CE29"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E39EC90"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7F3518EA"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309C996"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9874DA5"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7E995565" w14:textId="77777777" w:rsidTr="00AF3A61">
        <w:trPr>
          <w:gridBefore w:val="1"/>
          <w:wBefore w:w="6" w:type="dxa"/>
          <w:trHeight w:val="411"/>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00B3979" w14:textId="77777777" w:rsidR="00600191" w:rsidRPr="00150C86" w:rsidRDefault="00600191" w:rsidP="00AB7787">
            <w:pPr>
              <w:ind w:left="122"/>
              <w:rPr>
                <w:rFonts w:asciiTheme="minorHAnsi" w:hAnsiTheme="minorHAnsi" w:cstheme="minorHAnsi"/>
                <w:b w:val="0"/>
                <w:bCs w:val="0"/>
                <w:color w:val="000000" w:themeColor="text1"/>
                <w:sz w:val="18"/>
                <w:szCs w:val="18"/>
                <w:highlight w:val="lightGray"/>
              </w:rPr>
            </w:pPr>
            <w:r w:rsidRPr="000556A4">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79A8C792"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5AFD2C8A"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3DA297C1"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21A496FD"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42413383"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5A620CFE"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5C8F30C7" w14:textId="77777777" w:rsidTr="008D11AD">
        <w:trPr>
          <w:gridBefore w:val="1"/>
          <w:cnfStyle w:val="000000100000" w:firstRow="0" w:lastRow="0" w:firstColumn="0" w:lastColumn="0" w:oddVBand="0" w:evenVBand="0" w:oddHBand="1" w:evenHBand="0" w:firstRowFirstColumn="0" w:firstRowLastColumn="0" w:lastRowFirstColumn="0" w:lastRowLastColumn="0"/>
          <w:wBefore w:w="6" w:type="dxa"/>
          <w:trHeight w:val="44"/>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0518D00" w14:textId="77777777" w:rsidR="00A7725E" w:rsidRDefault="00A7725E" w:rsidP="00AB7787">
            <w:pPr>
              <w:ind w:left="122"/>
              <w:rPr>
                <w:rFonts w:asciiTheme="minorHAnsi" w:hAnsiTheme="minorHAnsi" w:cstheme="minorHAnsi"/>
                <w:color w:val="000000" w:themeColor="text1"/>
                <w:sz w:val="18"/>
                <w:szCs w:val="18"/>
                <w:highlight w:val="lightGray"/>
              </w:rPr>
            </w:pPr>
            <w:r w:rsidRPr="000556A4">
              <w:rPr>
                <w:rFonts w:asciiTheme="minorHAnsi" w:hAnsiTheme="minorHAnsi" w:cstheme="minorHAnsi"/>
                <w:b w:val="0"/>
                <w:bCs w:val="0"/>
                <w:color w:val="000000" w:themeColor="text1"/>
                <w:sz w:val="18"/>
                <w:szCs w:val="18"/>
              </w:rPr>
              <w:t>Flood-related soil erosion and deposition</w:t>
            </w:r>
            <w:r w:rsidRPr="000556A4">
              <w:rPr>
                <w:rFonts w:asciiTheme="minorHAnsi" w:hAnsiTheme="minorHAnsi" w:cstheme="minorHAnsi"/>
                <w:b w:val="0"/>
                <w:bCs w:val="0"/>
                <w:color w:val="000000" w:themeColor="text1"/>
                <w:sz w:val="18"/>
                <w:szCs w:val="18"/>
                <w:highlight w:val="lightGray"/>
              </w:rPr>
              <w:t xml:space="preserve"> </w:t>
            </w:r>
          </w:p>
          <w:p w14:paraId="739AF4F1" w14:textId="77777777" w:rsidR="00A7725E" w:rsidRPr="00150C86" w:rsidRDefault="00A7725E" w:rsidP="00AB7787">
            <w:pPr>
              <w:ind w:left="122"/>
              <w:rPr>
                <w:rFonts w:asciiTheme="minorHAnsi" w:hAnsiTheme="minorHAnsi" w:cstheme="minorHAnsi"/>
                <w:b w:val="0"/>
                <w:bCs w:val="0"/>
                <w:color w:val="000000" w:themeColor="text1"/>
                <w:sz w:val="18"/>
                <w:szCs w:val="18"/>
                <w:highlight w:val="lightGray"/>
              </w:rPr>
            </w:pPr>
          </w:p>
        </w:tc>
        <w:tc>
          <w:tcPr>
            <w:tcW w:w="0"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1AB3A762" w14:textId="77777777" w:rsidR="00A7725E" w:rsidRPr="004F363E" w:rsidRDefault="00A7725E"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right w:val="single" w:sz="4" w:space="0" w:color="D9D9D9" w:themeColor="background1" w:themeShade="D9"/>
            </w:tcBorders>
            <w:shd w:val="clear" w:color="auto" w:fill="auto"/>
            <w:tcMar>
              <w:top w:w="28" w:type="dxa"/>
              <w:left w:w="28" w:type="dxa"/>
              <w:bottom w:w="28" w:type="dxa"/>
              <w:right w:w="28" w:type="dxa"/>
            </w:tcMar>
            <w:vAlign w:val="center"/>
          </w:tcPr>
          <w:p w14:paraId="79290861" w14:textId="77777777" w:rsidR="00A7725E" w:rsidRPr="004F363E" w:rsidRDefault="00A7725E"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right w:val="single" w:sz="4" w:space="0" w:color="D9D9D9" w:themeColor="background1" w:themeShade="D9"/>
            </w:tcBorders>
            <w:shd w:val="clear" w:color="auto" w:fill="auto"/>
            <w:vAlign w:val="center"/>
          </w:tcPr>
          <w:p w14:paraId="363370C4" w14:textId="77777777" w:rsidR="00A7725E" w:rsidRPr="004F363E" w:rsidRDefault="00A7725E"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6E79EF09" w14:textId="77777777" w:rsidR="00A7725E" w:rsidRPr="004F363E" w:rsidRDefault="00A7725E"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right w:val="single" w:sz="4" w:space="0" w:color="D9D9D9" w:themeColor="background1" w:themeShade="D9"/>
            </w:tcBorders>
            <w:shd w:val="clear" w:color="auto" w:fill="auto"/>
            <w:vAlign w:val="center"/>
          </w:tcPr>
          <w:p w14:paraId="56D41252" w14:textId="77777777" w:rsidR="00A7725E" w:rsidRPr="004F363E" w:rsidRDefault="00A7725E"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left w:val="single" w:sz="4" w:space="0" w:color="D9D9D9" w:themeColor="background1" w:themeShade="D9"/>
            </w:tcBorders>
            <w:shd w:val="clear" w:color="auto" w:fill="D9D9D9" w:themeFill="background1" w:themeFillShade="D9"/>
            <w:vAlign w:val="center"/>
          </w:tcPr>
          <w:p w14:paraId="20CFBCEA" w14:textId="77777777" w:rsidR="00A7725E" w:rsidRPr="004F363E" w:rsidRDefault="00A7725E"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600191" w:rsidRPr="004F363E" w14:paraId="3321B67E" w14:textId="77777777" w:rsidTr="00AB7787">
        <w:trPr>
          <w:gridBefore w:val="1"/>
          <w:wBefore w:w="6" w:type="dxa"/>
          <w:trHeight w:val="29"/>
        </w:trPr>
        <w:tc>
          <w:tcPr>
            <w:cnfStyle w:val="001000000000" w:firstRow="0" w:lastRow="0" w:firstColumn="1" w:lastColumn="0" w:oddVBand="0" w:evenVBand="0" w:oddHBand="0" w:evenHBand="0" w:firstRowFirstColumn="0" w:firstRowLastColumn="0" w:lastRowFirstColumn="0" w:lastRowLastColumn="0"/>
            <w:tcW w:w="6062"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DEFAE83" w14:textId="77777777" w:rsidR="00600191" w:rsidRDefault="00600191" w:rsidP="00AB7787">
            <w:pPr>
              <w:ind w:left="122"/>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 xml:space="preserve">Mechanical damage from wind and storms </w:t>
            </w:r>
          </w:p>
          <w:p w14:paraId="7F06A8E2" w14:textId="77777777" w:rsidR="00600191" w:rsidRPr="00150C86" w:rsidRDefault="00600191" w:rsidP="00AB7787">
            <w:pPr>
              <w:ind w:left="122"/>
              <w:rPr>
                <w:rFonts w:asciiTheme="minorHAnsi" w:hAnsiTheme="minorHAnsi" w:cstheme="minorHAnsi"/>
                <w:b w:val="0"/>
                <w:bCs w:val="0"/>
                <w:color w:val="000000" w:themeColor="text1"/>
                <w:sz w:val="18"/>
                <w:szCs w:val="18"/>
                <w:highlight w:val="lightGray"/>
              </w:rPr>
            </w:pPr>
          </w:p>
        </w:tc>
        <w:tc>
          <w:tcPr>
            <w:tcW w:w="471"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3D89E960"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6ECAEAB4"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799AEBA1"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474E8396"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2A1AF453"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671BDE08" w14:textId="77777777" w:rsidR="00600191" w:rsidRPr="004F363E" w:rsidRDefault="00600191"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B028C" w:rsidRPr="004F363E" w14:paraId="0D076B94" w14:textId="77777777" w:rsidTr="00AB7787">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6068" w:type="dxa"/>
            <w:gridSpan w:val="2"/>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81243D8" w14:textId="77777777" w:rsidR="008B028C" w:rsidRPr="004A1C8C" w:rsidRDefault="008B028C" w:rsidP="00AB7787">
            <w:pPr>
              <w:ind w:left="122"/>
              <w:rPr>
                <w:rFonts w:asciiTheme="minorHAnsi" w:hAnsiTheme="minorHAnsi" w:cstheme="minorHAnsi"/>
                <w:color w:val="000000" w:themeColor="text1"/>
                <w:sz w:val="18"/>
                <w:szCs w:val="18"/>
              </w:rPr>
            </w:pPr>
            <w:r w:rsidRPr="004A1C8C">
              <w:rPr>
                <w:rFonts w:asciiTheme="minorHAnsi" w:hAnsiTheme="minorHAnsi" w:cstheme="minorHAnsi"/>
                <w:b w:val="0"/>
                <w:bCs w:val="0"/>
                <w:color w:val="000000" w:themeColor="text1"/>
                <w:sz w:val="18"/>
                <w:szCs w:val="18"/>
              </w:rPr>
              <w:t>Coastal storm surges with implications for blue carbon stability</w:t>
            </w:r>
          </w:p>
          <w:p w14:paraId="2FC184E5" w14:textId="77777777" w:rsidR="008B028C" w:rsidRPr="00150C86" w:rsidRDefault="008B028C" w:rsidP="00AB7787">
            <w:pPr>
              <w:ind w:left="122"/>
              <w:rPr>
                <w:rFonts w:asciiTheme="minorHAnsi" w:hAnsiTheme="minorHAnsi" w:cstheme="minorHAnsi"/>
                <w:b w:val="0"/>
                <w:bCs w:val="0"/>
                <w:color w:val="000000" w:themeColor="text1"/>
                <w:sz w:val="18"/>
                <w:szCs w:val="18"/>
                <w:highlight w:val="lightGray"/>
              </w:rPr>
            </w:pPr>
          </w:p>
        </w:tc>
        <w:tc>
          <w:tcPr>
            <w:tcW w:w="47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E140D59" w14:textId="77777777" w:rsidR="008B028C" w:rsidRPr="004F363E" w:rsidRDefault="008B028C"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250E619" w14:textId="77777777" w:rsidR="008B028C" w:rsidRPr="004F363E" w:rsidRDefault="008B028C"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49833F6" w14:textId="77777777" w:rsidR="008B028C" w:rsidRPr="004F363E" w:rsidRDefault="008B028C"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E0E26E7" w14:textId="77777777" w:rsidR="008B028C" w:rsidRPr="004F363E" w:rsidRDefault="008B028C"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FF75125" w14:textId="77777777" w:rsidR="008B028C" w:rsidRPr="004F363E" w:rsidRDefault="008B028C"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2DF0E17E" w14:textId="77777777" w:rsidR="008B028C" w:rsidRPr="004F363E" w:rsidRDefault="008B028C"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666A17" w14:paraId="04C2F1CF" w14:textId="77777777" w:rsidTr="009A3374">
        <w:trPr>
          <w:gridBefore w:val="1"/>
          <w:wBefore w:w="6" w:type="dxa"/>
          <w:trHeight w:val="29"/>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1C135BFA" w14:textId="76570772" w:rsidR="00B232AF" w:rsidRPr="00666A17" w:rsidRDefault="00FB5252" w:rsidP="00AB7787">
            <w:pPr>
              <w:ind w:left="-2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Direct impacts via </w:t>
            </w:r>
            <w:r w:rsidR="007042A9">
              <w:rPr>
                <w:rFonts w:asciiTheme="minorHAnsi" w:hAnsiTheme="minorHAnsi" w:cstheme="minorHAnsi"/>
                <w:color w:val="000000" w:themeColor="text1"/>
                <w:sz w:val="18"/>
                <w:szCs w:val="18"/>
              </w:rPr>
              <w:t>s</w:t>
            </w:r>
            <w:r w:rsidR="00B232AF">
              <w:rPr>
                <w:rFonts w:asciiTheme="minorHAnsi" w:hAnsiTheme="minorHAnsi" w:cstheme="minorHAnsi"/>
                <w:color w:val="000000" w:themeColor="text1"/>
                <w:sz w:val="18"/>
                <w:szCs w:val="18"/>
              </w:rPr>
              <w:t xml:space="preserve">econdary </w:t>
            </w:r>
            <w:r w:rsidR="007042A9">
              <w:rPr>
                <w:rFonts w:asciiTheme="minorHAnsi" w:hAnsiTheme="minorHAnsi" w:cstheme="minorHAnsi"/>
                <w:color w:val="000000" w:themeColor="text1"/>
                <w:sz w:val="18"/>
                <w:szCs w:val="18"/>
              </w:rPr>
              <w:t>c</w:t>
            </w:r>
            <w:r w:rsidR="00B232AF">
              <w:rPr>
                <w:rFonts w:asciiTheme="minorHAnsi" w:hAnsiTheme="minorHAnsi" w:cstheme="minorHAnsi"/>
                <w:color w:val="000000" w:themeColor="text1"/>
                <w:sz w:val="18"/>
                <w:szCs w:val="18"/>
              </w:rPr>
              <w:t>limat</w:t>
            </w:r>
            <w:r w:rsidR="000F4546">
              <w:rPr>
                <w:rFonts w:asciiTheme="minorHAnsi" w:hAnsiTheme="minorHAnsi" w:cstheme="minorHAnsi"/>
                <w:color w:val="000000" w:themeColor="text1"/>
                <w:sz w:val="18"/>
                <w:szCs w:val="18"/>
              </w:rPr>
              <w:t>e change variables</w:t>
            </w:r>
          </w:p>
        </w:tc>
        <w:tc>
          <w:tcPr>
            <w:tcW w:w="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2DBC422D" w14:textId="77777777" w:rsidR="00B232AF" w:rsidRPr="00666A17"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2A438AF5" w14:textId="77777777" w:rsidR="00B232AF" w:rsidRPr="00666A17"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7C36A996" w14:textId="77777777" w:rsidR="00B232AF" w:rsidRPr="00666A17"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5814DA1C" w14:textId="77777777" w:rsidR="00B232AF" w:rsidRPr="00666A17"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33005B16" w14:textId="77777777" w:rsidR="00B232AF" w:rsidRPr="00666A17"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2FB31896" w14:textId="77777777" w:rsidR="00B232AF" w:rsidRPr="00666A17"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68D47CAB" w14:textId="77777777" w:rsidTr="009A3374">
        <w:trPr>
          <w:gridBefore w:val="1"/>
          <w:cnfStyle w:val="000000100000" w:firstRow="0" w:lastRow="0" w:firstColumn="0" w:lastColumn="0" w:oddVBand="0" w:evenVBand="0" w:oddHBand="1" w:evenHBand="0" w:firstRowFirstColumn="0" w:firstRowLastColumn="0" w:lastRowFirstColumn="0" w:lastRowLastColumn="0"/>
          <w:wBefore w:w="6" w:type="dxa"/>
          <w:trHeight w:val="363"/>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9B827EA" w14:textId="1EFA0838" w:rsidR="00F700A3" w:rsidRPr="00150C86" w:rsidRDefault="00F700A3" w:rsidP="00F700A3">
            <w:pPr>
              <w:ind w:left="122"/>
              <w:rPr>
                <w:rFonts w:asciiTheme="minorHAnsi" w:hAnsiTheme="minorHAnsi" w:cstheme="minorHAnsi"/>
                <w:b w:val="0"/>
                <w:bCs w:val="0"/>
                <w:color w:val="000000" w:themeColor="text1"/>
                <w:sz w:val="18"/>
                <w:szCs w:val="18"/>
                <w:highlight w:val="lightGray"/>
              </w:rPr>
            </w:pPr>
            <w:r w:rsidRPr="004A1C8C">
              <w:rPr>
                <w:rFonts w:asciiTheme="minorHAnsi" w:hAnsiTheme="minorHAnsi" w:cstheme="minorHAnsi"/>
                <w:b w:val="0"/>
                <w:bCs w:val="0"/>
                <w:color w:val="000000" w:themeColor="text1"/>
                <w:sz w:val="18"/>
                <w:szCs w:val="18"/>
              </w:rPr>
              <w:t>Sea level change, with implications for blue carbon stability</w:t>
            </w: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Mar>
              <w:top w:w="28" w:type="dxa"/>
              <w:left w:w="28" w:type="dxa"/>
              <w:bottom w:w="28" w:type="dxa"/>
              <w:right w:w="28" w:type="dxa"/>
            </w:tcMar>
            <w:vAlign w:val="center"/>
          </w:tcPr>
          <w:p w14:paraId="28E03492" w14:textId="77777777" w:rsidR="00F700A3" w:rsidRPr="004F363E" w:rsidRDefault="00F700A3" w:rsidP="00F700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Mar>
              <w:top w:w="28" w:type="dxa"/>
              <w:left w:w="28" w:type="dxa"/>
              <w:bottom w:w="28" w:type="dxa"/>
              <w:right w:w="28" w:type="dxa"/>
            </w:tcMar>
            <w:vAlign w:val="center"/>
          </w:tcPr>
          <w:p w14:paraId="3C4D828E" w14:textId="77777777" w:rsidR="00F700A3" w:rsidRPr="004F363E" w:rsidRDefault="00F700A3" w:rsidP="00F700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0496604D" w14:textId="77777777" w:rsidR="00F700A3" w:rsidRPr="004F363E" w:rsidRDefault="00F700A3" w:rsidP="00F700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17F90DDE" w14:textId="77777777" w:rsidR="00F700A3" w:rsidRPr="004F363E" w:rsidRDefault="00F700A3" w:rsidP="00F700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4895B159" w14:textId="77777777" w:rsidR="00F700A3" w:rsidRPr="004F363E" w:rsidRDefault="00F700A3" w:rsidP="00F700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31C189E9" w14:textId="77777777" w:rsidR="00F700A3" w:rsidRPr="004F363E" w:rsidRDefault="00F700A3" w:rsidP="00F700A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6767A046" w14:textId="77777777" w:rsidTr="009A3374">
        <w:trPr>
          <w:gridBefore w:val="1"/>
          <w:wBefore w:w="6" w:type="dxa"/>
          <w:trHeight w:val="363"/>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B9C60DB" w14:textId="1070E415" w:rsidR="00B232AF" w:rsidRPr="00150C86" w:rsidRDefault="00B232AF" w:rsidP="00AB7787">
            <w:pPr>
              <w:ind w:left="122"/>
              <w:rPr>
                <w:rFonts w:asciiTheme="minorHAnsi" w:hAnsiTheme="minorHAnsi" w:cstheme="minorHAnsi"/>
                <w:b w:val="0"/>
                <w:bCs w:val="0"/>
                <w:color w:val="000000" w:themeColor="text1"/>
                <w:sz w:val="18"/>
                <w:szCs w:val="18"/>
                <w:highlight w:val="lightGray"/>
              </w:rPr>
            </w:pPr>
            <w:r w:rsidRPr="000556A4">
              <w:rPr>
                <w:rFonts w:asciiTheme="minorHAnsi" w:hAnsiTheme="minorHAnsi" w:cstheme="minorHAnsi"/>
                <w:b w:val="0"/>
                <w:bCs w:val="0"/>
                <w:color w:val="000000" w:themeColor="text1"/>
                <w:sz w:val="18"/>
                <w:szCs w:val="18"/>
              </w:rPr>
              <w:t xml:space="preserve">Drought-induced </w:t>
            </w:r>
            <w:r>
              <w:rPr>
                <w:rFonts w:asciiTheme="minorHAnsi" w:hAnsiTheme="minorHAnsi" w:cstheme="minorHAnsi"/>
                <w:b w:val="0"/>
                <w:bCs w:val="0"/>
                <w:color w:val="000000" w:themeColor="text1"/>
                <w:sz w:val="18"/>
                <w:szCs w:val="18"/>
              </w:rPr>
              <w:t xml:space="preserve">plant </w:t>
            </w:r>
            <w:r w:rsidRPr="000556A4">
              <w:rPr>
                <w:rFonts w:asciiTheme="minorHAnsi" w:hAnsiTheme="minorHAnsi" w:cstheme="minorHAnsi"/>
                <w:b w:val="0"/>
                <w:bCs w:val="0"/>
                <w:color w:val="000000" w:themeColor="text1"/>
                <w:sz w:val="18"/>
                <w:szCs w:val="18"/>
              </w:rPr>
              <w:t>mortality, with possibility of recruitment failure</w:t>
            </w:r>
          </w:p>
        </w:tc>
        <w:tc>
          <w:tcPr>
            <w:tcW w:w="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593C719F" w14:textId="77777777" w:rsidR="00B232AF" w:rsidRPr="004F363E"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7EDFC636" w14:textId="77777777" w:rsidR="00B232AF" w:rsidRPr="004F363E"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69C40392" w14:textId="77777777" w:rsidR="00B232AF" w:rsidRPr="004F363E"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1FC9DEEB" w14:textId="77777777" w:rsidR="00B232AF" w:rsidRPr="004F363E"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1E799FE9" w14:textId="77777777" w:rsidR="00B232AF" w:rsidRPr="004F363E"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3AF86C83" w14:textId="77777777" w:rsidR="00B232AF" w:rsidRPr="004F363E" w:rsidRDefault="00B232AF"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B232AF" w:rsidRPr="004F363E" w14:paraId="55B93F3A" w14:textId="77777777" w:rsidTr="00AB7787">
        <w:trPr>
          <w:gridBefore w:val="1"/>
          <w:cnfStyle w:val="000000100000" w:firstRow="0" w:lastRow="0" w:firstColumn="0" w:lastColumn="0" w:oddVBand="0" w:evenVBand="0" w:oddHBand="1" w:evenHBand="0" w:firstRowFirstColumn="0" w:firstRowLastColumn="0" w:lastRowFirstColumn="0" w:lastRowLastColumn="0"/>
          <w:wBefore w:w="6" w:type="dxa"/>
          <w:trHeight w:val="29"/>
        </w:trPr>
        <w:tc>
          <w:tcPr>
            <w:cnfStyle w:val="001000000000" w:firstRow="0" w:lastRow="0" w:firstColumn="1" w:lastColumn="0" w:oddVBand="0" w:evenVBand="0" w:oddHBand="0" w:evenHBand="0" w:firstRowFirstColumn="0" w:firstRowLastColumn="0" w:lastRowFirstColumn="0" w:lastRowLastColumn="0"/>
            <w:tcW w:w="6062"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D7BF62A" w14:textId="77777777" w:rsidR="00B232AF" w:rsidRPr="00150C86" w:rsidRDefault="00B232AF" w:rsidP="00AB7787">
            <w:pPr>
              <w:ind w:left="122"/>
              <w:rPr>
                <w:rFonts w:asciiTheme="minorHAnsi" w:hAnsiTheme="minorHAnsi" w:cstheme="minorHAnsi"/>
                <w:b w:val="0"/>
                <w:bCs w:val="0"/>
                <w:color w:val="000000" w:themeColor="text1"/>
                <w:sz w:val="18"/>
                <w:szCs w:val="18"/>
                <w:highlight w:val="lightGray"/>
              </w:rPr>
            </w:pPr>
            <w:r w:rsidRPr="000556A4">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47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079F7072" w14:textId="77777777" w:rsidR="00B232AF" w:rsidRPr="004F363E" w:rsidRDefault="00B232AF"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0AA967F6" w14:textId="77777777" w:rsidR="00B232AF" w:rsidRPr="004F363E" w:rsidRDefault="00B232AF"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2005F1BB" w14:textId="77777777" w:rsidR="00B232AF" w:rsidRPr="004F363E" w:rsidRDefault="00B232AF"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1F17509A" w14:textId="77777777" w:rsidR="00B232AF" w:rsidRPr="004F363E" w:rsidRDefault="00B232AF"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5C7BEA3A" w14:textId="77777777" w:rsidR="00B232AF" w:rsidRPr="004F363E" w:rsidRDefault="00B232AF"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8D59B73" w14:textId="77777777" w:rsidR="00B232AF" w:rsidRPr="004F363E" w:rsidRDefault="00B232AF"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5A0FA2" w:rsidRPr="00666A17" w14:paraId="6AA494F5" w14:textId="77777777" w:rsidTr="00536A59">
        <w:trPr>
          <w:gridBefore w:val="1"/>
          <w:wBefore w:w="6" w:type="dxa"/>
          <w:trHeight w:val="29"/>
        </w:trPr>
        <w:tc>
          <w:tcPr>
            <w:cnfStyle w:val="001000000000" w:firstRow="0" w:lastRow="0" w:firstColumn="1" w:lastColumn="0" w:oddVBand="0" w:evenVBand="0" w:oddHBand="0" w:evenHBand="0" w:firstRowFirstColumn="0" w:firstRowLastColumn="0" w:lastRowFirstColumn="0" w:lastRowLastColumn="0"/>
            <w:tcW w:w="6062"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7FB2A8E4" w14:textId="2F67AB54" w:rsidR="0020438B" w:rsidRPr="00666A17" w:rsidRDefault="00FB5252" w:rsidP="000F5A17">
            <w:pPr>
              <w:ind w:left="-2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Indirect impacts via </w:t>
            </w:r>
            <w:r w:rsidR="007042A9">
              <w:rPr>
                <w:rFonts w:asciiTheme="minorHAnsi" w:hAnsiTheme="minorHAnsi" w:cstheme="minorHAnsi"/>
                <w:color w:val="000000" w:themeColor="text1"/>
                <w:sz w:val="18"/>
                <w:szCs w:val="18"/>
              </w:rPr>
              <w:t>climate change impacts on weeds, pests and diseases</w:t>
            </w:r>
          </w:p>
        </w:tc>
        <w:tc>
          <w:tcPr>
            <w:tcW w:w="471"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04062B9E" w14:textId="77777777" w:rsidR="0020438B" w:rsidRPr="00666A17"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2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7BC3F861" w14:textId="77777777" w:rsidR="0020438B" w:rsidRPr="00666A17"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2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281C92FB" w14:textId="77777777" w:rsidR="0020438B" w:rsidRPr="00666A17"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21"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6B3F76D4" w14:textId="77777777" w:rsidR="0020438B" w:rsidRPr="00666A17"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2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7CBEA670" w14:textId="77777777" w:rsidR="0020438B" w:rsidRPr="00666A17"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27"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3904079B" w14:textId="77777777" w:rsidR="0020438B" w:rsidRPr="00666A17" w:rsidRDefault="0020438B" w:rsidP="000F5A1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7042A9" w:rsidRPr="004F363E" w14:paraId="78574C9C" w14:textId="77777777" w:rsidTr="00AB778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6068" w:type="dxa"/>
            <w:gridSpan w:val="2"/>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25E34CB" w14:textId="77777777" w:rsidR="007042A9" w:rsidRPr="004A1C8C" w:rsidRDefault="007042A9" w:rsidP="00AB7787">
            <w:pPr>
              <w:ind w:left="122"/>
              <w:rPr>
                <w:rFonts w:asciiTheme="minorHAnsi" w:hAnsiTheme="minorHAnsi" w:cstheme="minorHAnsi"/>
                <w:color w:val="000000" w:themeColor="text1"/>
                <w:sz w:val="18"/>
                <w:szCs w:val="18"/>
              </w:rPr>
            </w:pPr>
            <w:r w:rsidRPr="004A1C8C">
              <w:rPr>
                <w:rFonts w:asciiTheme="minorHAnsi" w:hAnsiTheme="minorHAnsi" w:cstheme="minorHAnsi"/>
                <w:b w:val="0"/>
                <w:bCs w:val="0"/>
                <w:color w:val="000000" w:themeColor="text1"/>
                <w:sz w:val="18"/>
                <w:szCs w:val="18"/>
              </w:rPr>
              <w:t>Increase in invasive weeds</w:t>
            </w:r>
          </w:p>
          <w:p w14:paraId="231C3E58" w14:textId="77777777" w:rsidR="007042A9" w:rsidRPr="00150C86" w:rsidRDefault="007042A9" w:rsidP="00AB7787">
            <w:pPr>
              <w:ind w:left="122"/>
              <w:rPr>
                <w:rFonts w:asciiTheme="minorHAnsi" w:hAnsiTheme="minorHAnsi" w:cstheme="minorHAnsi"/>
                <w:b w:val="0"/>
                <w:bCs w:val="0"/>
                <w:color w:val="000000" w:themeColor="text1"/>
                <w:sz w:val="18"/>
                <w:szCs w:val="18"/>
                <w:highlight w:val="lightGray"/>
              </w:rPr>
            </w:pPr>
          </w:p>
        </w:tc>
        <w:tc>
          <w:tcPr>
            <w:tcW w:w="471" w:type="dxa"/>
            <w:tcBorders>
              <w:left w:val="single" w:sz="4" w:space="0" w:color="D9D9D9" w:themeColor="background1" w:themeShade="D9"/>
              <w:right w:val="single" w:sz="4" w:space="0" w:color="D9D9D9" w:themeColor="background1" w:themeShade="D9"/>
            </w:tcBorders>
            <w:shd w:val="clear" w:color="auto" w:fill="auto"/>
            <w:tcMar>
              <w:top w:w="28" w:type="dxa"/>
              <w:left w:w="28" w:type="dxa"/>
              <w:bottom w:w="28" w:type="dxa"/>
              <w:right w:w="28" w:type="dxa"/>
            </w:tcMar>
            <w:vAlign w:val="center"/>
          </w:tcPr>
          <w:p w14:paraId="0D906D58" w14:textId="77777777" w:rsidR="007042A9" w:rsidRPr="004F363E" w:rsidRDefault="007042A9"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78BF855C" w14:textId="77777777" w:rsidR="007042A9" w:rsidRPr="004F363E" w:rsidRDefault="007042A9"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auto"/>
            <w:vAlign w:val="center"/>
          </w:tcPr>
          <w:p w14:paraId="666C03B2" w14:textId="77777777" w:rsidR="007042A9" w:rsidRPr="004F363E" w:rsidRDefault="007042A9"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58D6A572" w14:textId="77777777" w:rsidR="007042A9" w:rsidRPr="004F363E" w:rsidRDefault="007042A9"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3D95E1D4" w14:textId="77777777" w:rsidR="007042A9" w:rsidRPr="004F363E" w:rsidRDefault="007042A9"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left w:val="single" w:sz="4" w:space="0" w:color="D9D9D9" w:themeColor="background1" w:themeShade="D9"/>
              <w:right w:val="single" w:sz="4" w:space="0" w:color="D9D9D9" w:themeColor="background1" w:themeShade="D9"/>
            </w:tcBorders>
            <w:shd w:val="clear" w:color="auto" w:fill="auto"/>
            <w:vAlign w:val="center"/>
          </w:tcPr>
          <w:p w14:paraId="3A054C92" w14:textId="77777777" w:rsidR="007042A9" w:rsidRPr="004F363E" w:rsidRDefault="007042A9" w:rsidP="00AB77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7042A9" w:rsidRPr="004F363E" w14:paraId="1C88414F" w14:textId="77777777" w:rsidTr="00AB7787">
        <w:trPr>
          <w:trHeight w:val="88"/>
        </w:trPr>
        <w:tc>
          <w:tcPr>
            <w:cnfStyle w:val="001000000000" w:firstRow="0" w:lastRow="0" w:firstColumn="1" w:lastColumn="0" w:oddVBand="0" w:evenVBand="0" w:oddHBand="0" w:evenHBand="0" w:firstRowFirstColumn="0" w:firstRowLastColumn="0" w:lastRowFirstColumn="0" w:lastRowLastColumn="0"/>
            <w:tcW w:w="6068" w:type="dxa"/>
            <w:gridSpan w:val="2"/>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987C46F" w14:textId="77777777" w:rsidR="007042A9" w:rsidRPr="004A1C8C" w:rsidRDefault="007042A9" w:rsidP="00AB7787">
            <w:pPr>
              <w:ind w:left="122"/>
              <w:rPr>
                <w:rFonts w:asciiTheme="minorHAnsi" w:hAnsiTheme="minorHAnsi" w:cstheme="minorHAnsi"/>
                <w:color w:val="000000" w:themeColor="text1"/>
                <w:sz w:val="18"/>
                <w:szCs w:val="18"/>
              </w:rPr>
            </w:pPr>
            <w:r w:rsidRPr="004A1C8C">
              <w:rPr>
                <w:rFonts w:asciiTheme="minorHAnsi" w:hAnsiTheme="minorHAnsi" w:cstheme="minorHAnsi"/>
                <w:b w:val="0"/>
                <w:bCs w:val="0"/>
                <w:color w:val="000000" w:themeColor="text1"/>
                <w:sz w:val="18"/>
                <w:szCs w:val="18"/>
              </w:rPr>
              <w:t>Increase in browsing by feral animal</w:t>
            </w:r>
            <w:r>
              <w:rPr>
                <w:rFonts w:asciiTheme="minorHAnsi" w:hAnsiTheme="minorHAnsi" w:cstheme="minorHAnsi"/>
                <w:b w:val="0"/>
                <w:bCs w:val="0"/>
                <w:color w:val="000000" w:themeColor="text1"/>
                <w:sz w:val="18"/>
                <w:szCs w:val="18"/>
              </w:rPr>
              <w:t>s</w:t>
            </w:r>
          </w:p>
          <w:p w14:paraId="38879F28" w14:textId="77777777" w:rsidR="007042A9" w:rsidRPr="00150C86" w:rsidRDefault="007042A9" w:rsidP="00AB7787">
            <w:pPr>
              <w:ind w:left="122"/>
              <w:rPr>
                <w:rFonts w:asciiTheme="minorHAnsi" w:hAnsiTheme="minorHAnsi" w:cstheme="minorHAnsi"/>
                <w:b w:val="0"/>
                <w:bCs w:val="0"/>
                <w:color w:val="000000" w:themeColor="text1"/>
                <w:sz w:val="18"/>
                <w:szCs w:val="18"/>
                <w:highlight w:val="lightGray"/>
              </w:rPr>
            </w:pPr>
          </w:p>
        </w:tc>
        <w:tc>
          <w:tcPr>
            <w:tcW w:w="471"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5F18A49" w14:textId="77777777" w:rsidR="007042A9" w:rsidRPr="004F363E" w:rsidRDefault="007042A9"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bottom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5E52FAAB" w14:textId="77777777" w:rsidR="007042A9" w:rsidRPr="004F363E" w:rsidRDefault="007042A9"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bottom w:val="single" w:sz="4" w:space="0" w:color="D9D9D9" w:themeColor="background1" w:themeShade="D9"/>
            </w:tcBorders>
            <w:shd w:val="clear" w:color="auto" w:fill="FFFFFF" w:themeFill="background1"/>
            <w:vAlign w:val="center"/>
          </w:tcPr>
          <w:p w14:paraId="30675E65" w14:textId="77777777" w:rsidR="007042A9" w:rsidRPr="004F363E" w:rsidRDefault="007042A9"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bottom w:val="single" w:sz="4" w:space="0" w:color="D9D9D9" w:themeColor="background1" w:themeShade="D9"/>
            </w:tcBorders>
            <w:shd w:val="clear" w:color="auto" w:fill="FFFFFF" w:themeFill="background1"/>
            <w:vAlign w:val="center"/>
          </w:tcPr>
          <w:p w14:paraId="089D0E3B" w14:textId="77777777" w:rsidR="007042A9" w:rsidRPr="004F363E" w:rsidRDefault="007042A9"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bottom w:val="single" w:sz="4" w:space="0" w:color="D9D9D9" w:themeColor="background1" w:themeShade="D9"/>
            </w:tcBorders>
            <w:shd w:val="clear" w:color="auto" w:fill="FFFFFF" w:themeFill="background1"/>
            <w:vAlign w:val="center"/>
          </w:tcPr>
          <w:p w14:paraId="0C379021" w14:textId="77777777" w:rsidR="007042A9" w:rsidRPr="004F363E" w:rsidRDefault="007042A9"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bottom w:val="single" w:sz="4" w:space="0" w:color="D9D9D9" w:themeColor="background1" w:themeShade="D9"/>
            </w:tcBorders>
            <w:shd w:val="clear" w:color="auto" w:fill="FFFFFF" w:themeFill="background1"/>
            <w:vAlign w:val="center"/>
          </w:tcPr>
          <w:p w14:paraId="4AA0F949" w14:textId="77777777" w:rsidR="007042A9" w:rsidRPr="004F363E" w:rsidRDefault="007042A9" w:rsidP="00AB778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5A0FA2" w:rsidRPr="004F363E" w14:paraId="71E25B67" w14:textId="77777777" w:rsidTr="00536A59">
        <w:trPr>
          <w:gridBefore w:val="1"/>
          <w:cnfStyle w:val="000000100000" w:firstRow="0" w:lastRow="0" w:firstColumn="0" w:lastColumn="0" w:oddVBand="0" w:evenVBand="0" w:oddHBand="1" w:evenHBand="0" w:firstRowFirstColumn="0" w:firstRowLastColumn="0" w:lastRowFirstColumn="0" w:lastRowLastColumn="0"/>
          <w:wBefore w:w="6" w:type="dxa"/>
          <w:trHeight w:val="417"/>
        </w:trPr>
        <w:tc>
          <w:tcPr>
            <w:cnfStyle w:val="001000000000" w:firstRow="0" w:lastRow="0" w:firstColumn="1" w:lastColumn="0" w:oddVBand="0" w:evenVBand="0" w:oddHBand="0" w:evenHBand="0" w:firstRowFirstColumn="0" w:firstRowLastColumn="0" w:lastRowFirstColumn="0" w:lastRowLastColumn="0"/>
            <w:tcW w:w="6062"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4CEC0FA" w14:textId="77777777" w:rsidR="0020438B" w:rsidRPr="00150C86" w:rsidRDefault="0020438B" w:rsidP="000F5A17">
            <w:pPr>
              <w:ind w:left="122"/>
              <w:rPr>
                <w:rFonts w:asciiTheme="minorHAnsi" w:hAnsiTheme="minorHAnsi" w:cstheme="minorHAnsi"/>
                <w:b w:val="0"/>
                <w:bCs w:val="0"/>
                <w:color w:val="000000" w:themeColor="text1"/>
                <w:sz w:val="18"/>
                <w:szCs w:val="18"/>
                <w:highlight w:val="lightGray"/>
              </w:rPr>
            </w:pPr>
            <w:r w:rsidRPr="000556A4">
              <w:rPr>
                <w:rFonts w:asciiTheme="minorHAnsi" w:hAnsiTheme="minorHAnsi" w:cstheme="minorHAnsi"/>
                <w:b w:val="0"/>
                <w:bCs w:val="0"/>
                <w:sz w:val="18"/>
                <w:szCs w:val="18"/>
              </w:rPr>
              <w:t>Extended range of pests/diseases; Increased over-wintering resulting in faster build-up in the growing season</w:t>
            </w:r>
          </w:p>
        </w:tc>
        <w:tc>
          <w:tcPr>
            <w:tcW w:w="47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5ACE026C"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Mar>
              <w:top w:w="28" w:type="dxa"/>
              <w:left w:w="28" w:type="dxa"/>
              <w:bottom w:w="28" w:type="dxa"/>
              <w:right w:w="28" w:type="dxa"/>
            </w:tcMar>
            <w:vAlign w:val="center"/>
          </w:tcPr>
          <w:p w14:paraId="2C3FCDA4"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26C0CF57"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4DDF1060"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01840F91"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vAlign w:val="center"/>
          </w:tcPr>
          <w:p w14:paraId="4255D53D" w14:textId="77777777" w:rsidR="0020438B" w:rsidRPr="004F363E" w:rsidRDefault="0020438B" w:rsidP="000F5A1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bl>
    <w:p w14:paraId="4ACAFD19" w14:textId="77777777" w:rsidR="00117336" w:rsidRDefault="00117336" w:rsidP="00810E80">
      <w:pPr>
        <w:rPr>
          <w:rFonts w:ascii="Calibri" w:eastAsia="Calibri" w:hAnsi="Calibri"/>
          <w:szCs w:val="22"/>
        </w:rPr>
      </w:pPr>
    </w:p>
    <w:p w14:paraId="76507ABD" w14:textId="7275B9CC" w:rsidR="006A7CDE" w:rsidRDefault="005262C3" w:rsidP="005843A4">
      <w:pPr>
        <w:pStyle w:val="Heading2"/>
      </w:pPr>
      <w:bookmarkStart w:id="63" w:name="_Ref48656331"/>
      <w:bookmarkStart w:id="64" w:name="_Toc52873093"/>
      <w:bookmarkStart w:id="65" w:name="_Toc53075124"/>
      <w:r>
        <w:lastRenderedPageBreak/>
        <w:t>Methodology-specific analyses</w:t>
      </w:r>
      <w:bookmarkEnd w:id="63"/>
      <w:bookmarkEnd w:id="64"/>
      <w:bookmarkEnd w:id="65"/>
    </w:p>
    <w:p w14:paraId="11D8FF47" w14:textId="3CEEA53A" w:rsidR="00F31BE7" w:rsidRDefault="00FB2D3A" w:rsidP="00F31BE7">
      <w:pPr>
        <w:pStyle w:val="Heading3"/>
      </w:pPr>
      <w:bookmarkStart w:id="66" w:name="_Ref47640019"/>
      <w:r>
        <w:t>Re-establishment</w:t>
      </w:r>
      <w:r w:rsidR="00CE0C65">
        <w:t xml:space="preserve"> </w:t>
      </w:r>
      <w:r w:rsidR="00F31BE7">
        <w:t>of native forests</w:t>
      </w:r>
      <w:bookmarkEnd w:id="66"/>
    </w:p>
    <w:p w14:paraId="35C99CD6" w14:textId="4DFCBFC1" w:rsidR="004A7153" w:rsidRDefault="005F7998" w:rsidP="00F31BE7">
      <w:pPr>
        <w:pStyle w:val="Heading4"/>
      </w:pPr>
      <w:r>
        <w:t>Embedded Methodologies</w:t>
      </w:r>
    </w:p>
    <w:p w14:paraId="65C3D9FB" w14:textId="36CF8D88" w:rsidR="006C5856" w:rsidRPr="009409A2" w:rsidRDefault="000651DF" w:rsidP="009409A2">
      <w:pPr>
        <w:pStyle w:val="BodyText"/>
        <w:spacing w:after="0"/>
        <w:rPr>
          <w:rFonts w:asciiTheme="minorHAnsi" w:hAnsiTheme="minorHAnsi"/>
          <w:smallCaps/>
          <w:sz w:val="20"/>
          <w:szCs w:val="20"/>
        </w:rPr>
      </w:pPr>
      <w:hyperlink r:id="rId47" w:history="1">
        <w:r w:rsidR="006C5856" w:rsidRPr="009409A2">
          <w:rPr>
            <w:rStyle w:val="Hyperlink"/>
            <w:rFonts w:asciiTheme="minorHAnsi" w:hAnsiTheme="minorHAnsi"/>
            <w:smallCaps/>
            <w:sz w:val="20"/>
            <w:szCs w:val="20"/>
          </w:rPr>
          <w:t>Human-Induced Regeneration of a Permanent Even-Aged Native Forest (2013)</w:t>
        </w:r>
      </w:hyperlink>
      <w:r w:rsidR="00BA6735">
        <w:rPr>
          <w:rFonts w:asciiTheme="minorHAnsi" w:hAnsiTheme="minorHAnsi"/>
          <w:smallCaps/>
          <w:sz w:val="20"/>
          <w:szCs w:val="20"/>
        </w:rPr>
        <w:t xml:space="preserve"> (HIR)</w:t>
      </w:r>
    </w:p>
    <w:p w14:paraId="2D5B5CBF" w14:textId="537568DB" w:rsidR="006C5856" w:rsidRPr="009409A2" w:rsidRDefault="000651DF" w:rsidP="009409A2">
      <w:pPr>
        <w:pStyle w:val="BodyText"/>
        <w:spacing w:before="0"/>
        <w:rPr>
          <w:smallCaps/>
        </w:rPr>
      </w:pPr>
      <w:hyperlink r:id="rId48" w:history="1">
        <w:r w:rsidR="009409A2" w:rsidRPr="009409A2">
          <w:rPr>
            <w:rStyle w:val="Hyperlink"/>
            <w:rFonts w:asciiTheme="minorHAnsi" w:hAnsiTheme="minorHAnsi"/>
            <w:smallCaps/>
            <w:sz w:val="20"/>
            <w:szCs w:val="20"/>
          </w:rPr>
          <w:t>Native Forests from Managed Regrowth (2013)</w:t>
        </w:r>
      </w:hyperlink>
      <w:r w:rsidR="00BA6735">
        <w:rPr>
          <w:rFonts w:asciiTheme="minorHAnsi" w:hAnsiTheme="minorHAnsi"/>
          <w:smallCaps/>
          <w:sz w:val="20"/>
          <w:szCs w:val="20"/>
        </w:rPr>
        <w:t xml:space="preserve"> (NFMR)</w:t>
      </w:r>
    </w:p>
    <w:p w14:paraId="2EA67554" w14:textId="1163D260" w:rsidR="00600E41" w:rsidRDefault="00600E41" w:rsidP="00600E41">
      <w:pPr>
        <w:pStyle w:val="BodyText"/>
      </w:pPr>
      <w:r>
        <w:t>The HIR (Human-Induced Regeneration</w:t>
      </w:r>
      <w:r w:rsidR="008C2662">
        <w:t>) methodology</w:t>
      </w:r>
      <w:r>
        <w:t xml:space="preserve"> currently has the highest uptake of the ERF methodologies, comprising 49.5% of all contracted abatement under the scheme, and 60% of all contracted land-based abatement. Under the HIR methodology, Australian Carbon Credit Units (ACCUs) are awarded on the basis of a change in management that allows a forest to re-grow, with subsequent accounting of the accumulation of carbon in the recovering vegetation and forest debris over time.</w:t>
      </w:r>
    </w:p>
    <w:p w14:paraId="42EFE5AA" w14:textId="11B8DF08" w:rsidR="00600E41" w:rsidRDefault="00600E41" w:rsidP="00600E41">
      <w:pPr>
        <w:pStyle w:val="BodyText"/>
      </w:pPr>
      <w:r>
        <w:t>The eligibility requirements to register an HIR project are that, in the 10 years prior to the project, the land was non-forest, with active management preventing forest cover being attained (such as grazing and/or clearing). The land must also be non-forested at the commencement of the project and must have the potential to attain forest cover through natural regeneration. Whilst purchasing land specifically to undertake an HIR project is likely uneconomic, for existing landholders, the HIR methodology can be cost-effective, particularly in more arid areas where the opportunity costs are low. This likely explains, at least in part, the widespread uptake of the activity to date in low rainfall, semi-arid regions of Australia (averaging &lt;500 mm per year). Unlike m</w:t>
      </w:r>
      <w:r w:rsidR="00B97605">
        <w:t xml:space="preserve">any </w:t>
      </w:r>
      <w:r>
        <w:t xml:space="preserve">carbon projects, HIR requires minimal upfront costs, greatly reducing the </w:t>
      </w:r>
      <w:r w:rsidR="00836F46">
        <w:t xml:space="preserve">financial </w:t>
      </w:r>
      <w:r>
        <w:t xml:space="preserve">risk to proponents. The main management actions include the removal of clearing pressures, management of grazing from livestock, feral animal control, and weed management. </w:t>
      </w:r>
    </w:p>
    <w:p w14:paraId="084A95E9" w14:textId="20A1FD5B" w:rsidR="00600E41" w:rsidRDefault="00600E41" w:rsidP="00600E41">
      <w:pPr>
        <w:pStyle w:val="BodyText"/>
      </w:pPr>
      <w:r>
        <w:t>Thus far, the majority of contracted projects have been developed in inland regions of northern NSW (particularly around Cobar) and southern Queensland. This likely reflect</w:t>
      </w:r>
      <w:r w:rsidR="00225468">
        <w:t>s</w:t>
      </w:r>
      <w:r>
        <w:t xml:space="preserve"> relatively low returns from grazing in these regions, and perhaps the diffusion of the method through landholder social networks. There are currently several registered projects in WA, where adoption has so far been slower due to uncertainties as to the compatibility of carbon activities with pastoral lease conditions, which have now been resolved. </w:t>
      </w:r>
    </w:p>
    <w:p w14:paraId="10E25A77" w14:textId="6E82000B" w:rsidR="003C28A3" w:rsidRDefault="008C2662" w:rsidP="008C2662">
      <w:pPr>
        <w:pStyle w:val="BodyText"/>
      </w:pPr>
      <w:r>
        <w:t>The Native Forest from Managed Regrowth (2013) methodology allow</w:t>
      </w:r>
      <w:r w:rsidR="005A1C84">
        <w:t>s</w:t>
      </w:r>
      <w:r>
        <w:t xml:space="preserve"> native vegetation to grow and become forest by stopping activities involving the chemical or mechanical destruction or suppression of native vegetation, with the cessation of these activities (and the optional introduction of new management practices to support regeneration) allowing native trees to regenerate and become forest. The project area must be currently non-forested, </w:t>
      </w:r>
      <w:r w:rsidR="00D61E11">
        <w:t xml:space="preserve">have been </w:t>
      </w:r>
      <w:r>
        <w:t xml:space="preserve">cleared at least once for pastoral use, and there must have been forest cover on that land before it was cleared. The main differences between </w:t>
      </w:r>
      <w:r w:rsidR="00562393">
        <w:t xml:space="preserve">the </w:t>
      </w:r>
      <w:r>
        <w:t>Native Forest from Managed Regrowth and Human Induced Regrowth methodologies lie in the requirement to demonstrate that the land has previously been cleared of forest cover, and the potential to include some existing woody biomass as part of a baseline calculation, although zero baseline projects are also permitted.</w:t>
      </w:r>
      <w:r w:rsidR="005029E0">
        <w:t xml:space="preserve"> With respect to risk</w:t>
      </w:r>
      <w:r w:rsidR="00ED707A">
        <w:t>s</w:t>
      </w:r>
      <w:r w:rsidR="005029E0">
        <w:t xml:space="preserve"> to sequestration, the two methodologies </w:t>
      </w:r>
      <w:r w:rsidR="00ED707A">
        <w:t>are based on the same mechanism (facilitation of the re-</w:t>
      </w:r>
      <w:r w:rsidR="00EE3696">
        <w:t>growth of native forest from an initially non-forest state).</w:t>
      </w:r>
    </w:p>
    <w:p w14:paraId="5D8FE0E0" w14:textId="64A327B4" w:rsidR="00600E41" w:rsidRDefault="003C28A3" w:rsidP="008C2662">
      <w:pPr>
        <w:pStyle w:val="BodyText"/>
      </w:pPr>
      <w:r>
        <w:lastRenderedPageBreak/>
        <w:t>For both methodologies</w:t>
      </w:r>
      <w:r w:rsidR="00912BF6">
        <w:t>, the included pools for accounting are above- and belowground living and dead biomass. Soil organic carbon is excluded from the accounting, but is briefly considered</w:t>
      </w:r>
      <w:r w:rsidR="00146056">
        <w:t xml:space="preserve"> as part of the risk assessment</w:t>
      </w:r>
      <w:r w:rsidR="00B73D1D">
        <w:t xml:space="preserve"> below</w:t>
      </w:r>
      <w:r w:rsidR="00146056">
        <w:t>.</w:t>
      </w:r>
      <w:r w:rsidR="00EE3696">
        <w:t xml:space="preserve"> </w:t>
      </w:r>
    </w:p>
    <w:p w14:paraId="2B8B08E3" w14:textId="0F10D404" w:rsidR="005F7998" w:rsidRDefault="00ED6C91" w:rsidP="005F7998">
      <w:pPr>
        <w:pStyle w:val="Heading4"/>
      </w:pPr>
      <w:r>
        <w:t>S</w:t>
      </w:r>
      <w:r w:rsidR="005F7998">
        <w:t>patial domain</w:t>
      </w:r>
    </w:p>
    <w:p w14:paraId="4075981D" w14:textId="2182CC49" w:rsidR="005F7998" w:rsidRDefault="001557DC" w:rsidP="005F7998">
      <w:pPr>
        <w:pStyle w:val="BodyText"/>
      </w:pPr>
      <w:r>
        <w:t>Activity under b</w:t>
      </w:r>
      <w:r w:rsidR="00146056">
        <w:t xml:space="preserve">oth methodologies </w:t>
      </w:r>
      <w:r>
        <w:t xml:space="preserve">is </w:t>
      </w:r>
      <w:r w:rsidR="00E379DC">
        <w:t>located</w:t>
      </w:r>
      <w:r w:rsidR="00C519B5">
        <w:t xml:space="preserve"> within the semi-arid </w:t>
      </w:r>
      <w:r w:rsidR="00854964">
        <w:t>r</w:t>
      </w:r>
      <w:r w:rsidR="00C074F1">
        <w:t xml:space="preserve">angeland </w:t>
      </w:r>
      <w:r w:rsidR="00C519B5">
        <w:t>zone</w:t>
      </w:r>
      <w:r w:rsidR="00254D1F">
        <w:t xml:space="preserve"> (</w:t>
      </w:r>
      <w:r w:rsidR="00752BDE">
        <w:fldChar w:fldCharType="begin"/>
      </w:r>
      <w:r w:rsidR="00752BDE">
        <w:instrText xml:space="preserve"> REF _Ref49781627 \h </w:instrText>
      </w:r>
      <w:r w:rsidR="00752BDE">
        <w:fldChar w:fldCharType="separate"/>
      </w:r>
      <w:r w:rsidR="00235F13">
        <w:t xml:space="preserve">Figure </w:t>
      </w:r>
      <w:r w:rsidR="00235F13">
        <w:rPr>
          <w:noProof/>
        </w:rPr>
        <w:t>5</w:t>
      </w:r>
      <w:r w:rsidR="00752BDE">
        <w:fldChar w:fldCharType="end"/>
      </w:r>
      <w:r w:rsidR="00254D1F">
        <w:t>)</w:t>
      </w:r>
      <w:r w:rsidR="00C074F1">
        <w:t xml:space="preserve">. </w:t>
      </w:r>
      <w:r w:rsidR="00EB7E78">
        <w:t>C</w:t>
      </w:r>
      <w:r w:rsidR="00C074F1">
        <w:t>ontra</w:t>
      </w:r>
      <w:r w:rsidR="00277D58">
        <w:t xml:space="preserve">cted projects </w:t>
      </w:r>
      <w:r w:rsidR="00120C7B">
        <w:t xml:space="preserve">for both methodologies </w:t>
      </w:r>
      <w:r w:rsidR="00277D58">
        <w:t>are concentrated towards the eastern edge of the Rangelands-</w:t>
      </w:r>
      <w:r w:rsidR="00E83F7B">
        <w:t>North</w:t>
      </w:r>
      <w:r w:rsidR="00277D58">
        <w:t xml:space="preserve"> NRM sub-cluster</w:t>
      </w:r>
      <w:r w:rsidR="00120C7B">
        <w:t xml:space="preserve">, with a number of registered </w:t>
      </w:r>
      <w:r w:rsidR="00B9344F">
        <w:t xml:space="preserve">(but not contracted) </w:t>
      </w:r>
      <w:r w:rsidR="00120C7B">
        <w:t xml:space="preserve">projects </w:t>
      </w:r>
      <w:r w:rsidR="00970709">
        <w:t xml:space="preserve">for HIR </w:t>
      </w:r>
      <w:r w:rsidR="00120C7B">
        <w:t xml:space="preserve">located </w:t>
      </w:r>
      <w:r w:rsidR="00E83F7B">
        <w:t>at the western extremity of the Rangelands-North sub-cluster.</w:t>
      </w:r>
      <w:r w:rsidR="00651FED">
        <w:t xml:space="preserve"> </w:t>
      </w:r>
    </w:p>
    <w:p w14:paraId="33D6861E" w14:textId="4F868667" w:rsidR="00245014" w:rsidRDefault="00245014" w:rsidP="00245014">
      <w:pPr>
        <w:pStyle w:val="BodyText"/>
      </w:pPr>
      <w:r>
        <w:t>Acacia communities are the dominant woody vegetation of arid and semi-arid Australia, and are also the predominant vegetation type managed under the HIR and N</w:t>
      </w:r>
      <w:r w:rsidR="00266C0E">
        <w:t>F</w:t>
      </w:r>
      <w:r>
        <w:t xml:space="preserve">MR methodologies. The environment is characterised by infrequent seasonal rainfall punctuated by occasional large rainfall events that stimulate reproduction, productivity, and the associated rapid growth of an ephemeral herbaceous ground cover. Following a return to dry conditions this ground cover ‘cures’, facilitating the spread of large landscape fires, particularly in grassland-dominated ecosystems (Nano et al. 2017). Soils are infertile with low levels of phosphorus and nitrogen, and it has been suggested the ability of </w:t>
      </w:r>
      <w:r w:rsidR="00D71D18">
        <w:t>acacia</w:t>
      </w:r>
      <w:r>
        <w:t xml:space="preserve"> species to fix atmospheric nitrogen is at least partly the reason for their success in this harsh environment (Beadle 1981), along with a suite of traits that allow them to persist and reproduce under the ‘boom and bust’ nature of the rainfall patterns (Nano and Pavey 2011; Foulkes et al. 2014). For example, many of the current HIR projects were established following the extensive </w:t>
      </w:r>
      <w:r w:rsidR="00854964">
        <w:t>L</w:t>
      </w:r>
      <w:r>
        <w:t>a Ni</w:t>
      </w:r>
      <w:r w:rsidR="00854964">
        <w:rPr>
          <w:rFonts w:cs="Calibri"/>
        </w:rPr>
        <w:t>ñ</w:t>
      </w:r>
      <w:r>
        <w:t>a rains in 2010 and 2011, that eventually broke the millennium drought.</w:t>
      </w:r>
    </w:p>
    <w:p w14:paraId="47E4029E" w14:textId="570EBA81" w:rsidR="00245014" w:rsidRDefault="00245014" w:rsidP="00245014">
      <w:pPr>
        <w:pStyle w:val="BodyText"/>
      </w:pPr>
      <w:r>
        <w:t xml:space="preserve">Rainfall is therefore the major determinant of forest potential, and because of its unpredictability is central to many of the climate impact factors associated with risk </w:t>
      </w:r>
      <w:r w:rsidR="009A3FF7">
        <w:t>to</w:t>
      </w:r>
      <w:r>
        <w:t xml:space="preserve"> abatement </w:t>
      </w:r>
      <w:r w:rsidR="009A3FF7">
        <w:rPr>
          <w:color w:val="auto"/>
        </w:rPr>
        <w:t>accumulation</w:t>
      </w:r>
      <w:r>
        <w:t>. Following a review of these two methodologies (ERAC 2019) the management of this inherent risk has been recently extended beyond the scheme-wide 5% risk of reversal buffer, to include additional project-level reporting requirements to ensure land is both capable of supporting forest cover, and that regeneration towards forest cover indeed is occurring over time, with a need to demonstrate at least 90% forest cover over the carbon estimation area for a certificate of entitlement to be issued (CER 2019).</w:t>
      </w:r>
    </w:p>
    <w:p w14:paraId="38AA77F6" w14:textId="77777777" w:rsidR="009B7756" w:rsidRDefault="009B7756" w:rsidP="00245014">
      <w:pPr>
        <w:pStyle w:val="BodyText"/>
      </w:pPr>
    </w:p>
    <w:p w14:paraId="06EDC7A9" w14:textId="77777777" w:rsidR="00EC6146" w:rsidRDefault="00EC6146" w:rsidP="00245014">
      <w:pPr>
        <w:pStyle w:val="BodyText"/>
        <w:rPr>
          <w:color w:val="auto"/>
        </w:rPr>
      </w:pPr>
    </w:p>
    <w:p w14:paraId="5B7685B0" w14:textId="77777777" w:rsidR="00EC6146" w:rsidRDefault="00EC6146" w:rsidP="00245014">
      <w:pPr>
        <w:pStyle w:val="BodyText"/>
        <w:rPr>
          <w:color w:val="auto"/>
        </w:rPr>
      </w:pPr>
    </w:p>
    <w:p w14:paraId="24C42170" w14:textId="77777777" w:rsidR="00EC6146" w:rsidRDefault="00EC6146" w:rsidP="00245014">
      <w:pPr>
        <w:pStyle w:val="BodyText"/>
        <w:rPr>
          <w:color w:val="auto"/>
        </w:rPr>
      </w:pPr>
    </w:p>
    <w:p w14:paraId="686B98AA" w14:textId="77777777" w:rsidR="00EC6146" w:rsidRDefault="00EC6146" w:rsidP="00245014">
      <w:pPr>
        <w:pStyle w:val="BodyText"/>
        <w:rPr>
          <w:color w:val="auto"/>
        </w:rPr>
      </w:pPr>
    </w:p>
    <w:p w14:paraId="0CA4E499" w14:textId="77777777" w:rsidR="00EC6146" w:rsidRDefault="00EC6146" w:rsidP="00245014">
      <w:pPr>
        <w:pStyle w:val="BodyText"/>
        <w:rPr>
          <w:color w:val="auto"/>
        </w:rPr>
      </w:pPr>
    </w:p>
    <w:p w14:paraId="0D70FBE9" w14:textId="77777777" w:rsidR="00EC6146" w:rsidRDefault="00EC6146" w:rsidP="00245014">
      <w:pPr>
        <w:pStyle w:val="BodyText"/>
        <w:rPr>
          <w:color w:val="auto"/>
        </w:rPr>
      </w:pPr>
    </w:p>
    <w:p w14:paraId="46E43CA3" w14:textId="77777777" w:rsidR="00EC6146" w:rsidRDefault="00EC6146" w:rsidP="00245014">
      <w:pPr>
        <w:pStyle w:val="BodyText"/>
        <w:rPr>
          <w:color w:val="auto"/>
        </w:rPr>
      </w:pPr>
    </w:p>
    <w:p w14:paraId="55A0081E" w14:textId="77777777" w:rsidR="00EC6146" w:rsidRDefault="00EC6146" w:rsidP="00245014">
      <w:pPr>
        <w:pStyle w:val="BodyText"/>
        <w:rPr>
          <w:color w:val="auto"/>
        </w:rPr>
      </w:pPr>
    </w:p>
    <w:p w14:paraId="7B46C610" w14:textId="77777777" w:rsidR="00EC6146" w:rsidRDefault="00EC6146" w:rsidP="00245014">
      <w:pPr>
        <w:pStyle w:val="BodyText"/>
        <w:rPr>
          <w:color w:val="auto"/>
        </w:rPr>
      </w:pPr>
    </w:p>
    <w:p w14:paraId="188AA68F" w14:textId="39B54428" w:rsidR="009B7756" w:rsidRDefault="00367DC0" w:rsidP="00245014">
      <w:pPr>
        <w:pStyle w:val="BodyText"/>
        <w:rPr>
          <w:color w:val="auto"/>
        </w:rPr>
      </w:pPr>
      <w:r>
        <w:rPr>
          <w:noProof/>
        </w:rPr>
        <w:lastRenderedPageBreak/>
        <mc:AlternateContent>
          <mc:Choice Requires="wpg">
            <w:drawing>
              <wp:anchor distT="0" distB="0" distL="114300" distR="114300" simplePos="0" relativeHeight="251658269" behindDoc="0" locked="0" layoutInCell="1" allowOverlap="1" wp14:anchorId="7A0485B3" wp14:editId="72A64611">
                <wp:simplePos x="0" y="0"/>
                <wp:positionH relativeFrom="column">
                  <wp:posOffset>1586382</wp:posOffset>
                </wp:positionH>
                <wp:positionV relativeFrom="paragraph">
                  <wp:posOffset>1743331</wp:posOffset>
                </wp:positionV>
                <wp:extent cx="1760561" cy="1084997"/>
                <wp:effectExtent l="0" t="0" r="0" b="1270"/>
                <wp:wrapNone/>
                <wp:docPr id="1068683836" name="Group 1068683836"/>
                <wp:cNvGraphicFramePr/>
                <a:graphic xmlns:a="http://schemas.openxmlformats.org/drawingml/2006/main">
                  <a:graphicData uri="http://schemas.microsoft.com/office/word/2010/wordprocessingGroup">
                    <wpg:wgp>
                      <wpg:cNvGrpSpPr/>
                      <wpg:grpSpPr>
                        <a:xfrm>
                          <a:off x="0" y="0"/>
                          <a:ext cx="1760561" cy="1084997"/>
                          <a:chOff x="0" y="0"/>
                          <a:chExt cx="1760561" cy="1084997"/>
                        </a:xfrm>
                      </wpg:grpSpPr>
                      <wps:wsp>
                        <wps:cNvPr id="1068683834" name="Text Box 1068683834"/>
                        <wps:cNvSpPr txBox="1"/>
                        <wps:spPr>
                          <a:xfrm>
                            <a:off x="307074" y="0"/>
                            <a:ext cx="1453487" cy="293427"/>
                          </a:xfrm>
                          <a:prstGeom prst="rect">
                            <a:avLst/>
                          </a:prstGeom>
                          <a:noFill/>
                          <a:ln w="6350">
                            <a:noFill/>
                          </a:ln>
                        </wps:spPr>
                        <wps:txbx>
                          <w:txbxContent>
                            <w:p w14:paraId="070EA27D" w14:textId="6ECB7DB3" w:rsidR="00A264AF" w:rsidRPr="00367DC0" w:rsidRDefault="00A264AF">
                              <w:pPr>
                                <w:rPr>
                                  <w:rFonts w:asciiTheme="minorHAnsi" w:hAnsiTheme="minorHAnsi" w:cstheme="minorHAnsi"/>
                                  <w:color w:val="FFFFFF" w:themeColor="background1"/>
                                </w:rPr>
                              </w:pPr>
                              <w:r w:rsidRPr="00367DC0">
                                <w:rPr>
                                  <w:rFonts w:asciiTheme="minorHAnsi" w:hAnsiTheme="minorHAnsi" w:cstheme="minorHAnsi"/>
                                  <w:color w:val="FFFFFF" w:themeColor="background1"/>
                                </w:rPr>
                                <w:t>Rangelands (North)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683835" name="Text Box 1068683835"/>
                        <wps:cNvSpPr txBox="1"/>
                        <wps:spPr>
                          <a:xfrm>
                            <a:off x="0" y="791570"/>
                            <a:ext cx="1453487" cy="293427"/>
                          </a:xfrm>
                          <a:prstGeom prst="rect">
                            <a:avLst/>
                          </a:prstGeom>
                          <a:noFill/>
                          <a:ln w="6350">
                            <a:noFill/>
                          </a:ln>
                        </wps:spPr>
                        <wps:txbx>
                          <w:txbxContent>
                            <w:p w14:paraId="41ADC752" w14:textId="63B7E2F8" w:rsidR="00A264AF" w:rsidRPr="00367DC0" w:rsidRDefault="00A264AF" w:rsidP="00367DC0">
                              <w:pPr>
                                <w:rPr>
                                  <w:rFonts w:asciiTheme="minorHAnsi" w:hAnsiTheme="minorHAnsi" w:cstheme="minorHAnsi"/>
                                  <w:color w:val="FFFFFF" w:themeColor="background1"/>
                                </w:rPr>
                              </w:pPr>
                              <w:r w:rsidRPr="00367DC0">
                                <w:rPr>
                                  <w:rFonts w:asciiTheme="minorHAnsi" w:hAnsiTheme="minorHAnsi" w:cstheme="minorHAnsi"/>
                                  <w:color w:val="FFFFFF" w:themeColor="background1"/>
                                </w:rPr>
                                <w:t>Rangelands (</w:t>
                              </w:r>
                              <w:r>
                                <w:rPr>
                                  <w:rFonts w:asciiTheme="minorHAnsi" w:hAnsiTheme="minorHAnsi" w:cstheme="minorHAnsi"/>
                                  <w:color w:val="FFFFFF" w:themeColor="background1"/>
                                </w:rPr>
                                <w:t>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0485B3" id="Group 1068683836" o:spid="_x0000_s1045" style="position:absolute;margin-left:124.9pt;margin-top:137.25pt;width:138.65pt;height:85.45pt;z-index:251658269" coordsize="17605,10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">
                <v:shape id="Text Box 1068683834" o:spid="_x0000_s1046" type="#_x0000_t202" style="position:absolute;left:3070;width:14535;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QWckA&#10;AADjAAAADwAAAGRycy9kb3ducmV2LnhtbERPS2vCQBC+F/wPywi91Y3ahiW6igTEUtqDj4u3MTsm&#10;wexszG417a/vFgo9zvee+bK3jbhR52vHGsajBARx4UzNpYbDfv2kQPiAbLBxTBq+yMNyMXiYY2bc&#10;nbd024VSxBD2GWqoQmgzKX1RkUU/ci1x5M6usxji2ZXSdHiP4baRkyRJpcWaY0OFLeUVFZfdp9Xw&#10;lq8/cHuaWPXd5Jv386q9Ho4vWj8O+9UMRKA+/Iv/3K8mzk9Slaqpmj7D708RAL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zuQWckAAADjAAAADwAAAAAAAAAAAAAAAACYAgAA&#10;ZHJzL2Rvd25yZXYueG1sUEsFBgAAAAAEAAQA9QAAAI4DAAAAAA==&#10;" filled="f" stroked="f" strokeweight=".5pt">
                  <v:textbox>
                    <w:txbxContent>
                      <w:p w14:paraId="070EA27D" w14:textId="6ECB7DB3" w:rsidR="00A264AF" w:rsidRPr="00367DC0" w:rsidRDefault="00A264AF">
                        <w:pPr>
                          <w:rPr>
                            <w:rFonts w:asciiTheme="minorHAnsi" w:hAnsiTheme="minorHAnsi" w:cstheme="minorHAnsi"/>
                            <w:color w:val="FFFFFF" w:themeColor="background1"/>
                          </w:rPr>
                        </w:pPr>
                        <w:r w:rsidRPr="00367DC0">
                          <w:rPr>
                            <w:rFonts w:asciiTheme="minorHAnsi" w:hAnsiTheme="minorHAnsi" w:cstheme="minorHAnsi"/>
                            <w:color w:val="FFFFFF" w:themeColor="background1"/>
                          </w:rPr>
                          <w:t>Rangelands (North)</w:t>
                        </w:r>
                      </w:p>
                    </w:txbxContent>
                  </v:textbox>
                </v:shape>
                <v:shape id="Text Box 1068683835" o:spid="_x0000_s1047" type="#_x0000_t202" style="position:absolute;top:7915;width:14534;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c1wskA&#10;AADjAAAADwAAAGRycy9kb3ducmV2LnhtbERPS2vCQBC+C/0Pywi96UbFsERXkYC0lPbg4+JtzI5J&#10;MDubZrea9td3CwWP871nue5tI27U+dqxhsk4AUFcOFNzqeF42I4UCB+QDTaOScM3eVivngZLzIy7&#10;845u+1CKGMI+Qw1VCG0mpS8qsujHriWO3MV1FkM8u1KaDu8x3DZymiSptFhzbKiwpbyi4rr/shre&#10;8u0H7s5Tq36a/OX9smk/j6e51s/DfrMAEagPD/G/+9XE+UmqUjVTszn8/RQB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Hc1wskAAADjAAAADwAAAAAAAAAAAAAAAACYAgAA&#10;ZHJzL2Rvd25yZXYueG1sUEsFBgAAAAAEAAQA9QAAAI4DAAAAAA==&#10;" filled="f" stroked="f" strokeweight=".5pt">
                  <v:textbox>
                    <w:txbxContent>
                      <w:p w14:paraId="41ADC752" w14:textId="63B7E2F8" w:rsidR="00A264AF" w:rsidRPr="00367DC0" w:rsidRDefault="00A264AF" w:rsidP="00367DC0">
                        <w:pPr>
                          <w:rPr>
                            <w:rFonts w:asciiTheme="minorHAnsi" w:hAnsiTheme="minorHAnsi" w:cstheme="minorHAnsi"/>
                            <w:color w:val="FFFFFF" w:themeColor="background1"/>
                          </w:rPr>
                        </w:pPr>
                        <w:r w:rsidRPr="00367DC0">
                          <w:rPr>
                            <w:rFonts w:asciiTheme="minorHAnsi" w:hAnsiTheme="minorHAnsi" w:cstheme="minorHAnsi"/>
                            <w:color w:val="FFFFFF" w:themeColor="background1"/>
                          </w:rPr>
                          <w:t>Rangelands (</w:t>
                        </w:r>
                        <w:r>
                          <w:rPr>
                            <w:rFonts w:asciiTheme="minorHAnsi" w:hAnsiTheme="minorHAnsi" w:cstheme="minorHAnsi"/>
                            <w:color w:val="FFFFFF" w:themeColor="background1"/>
                          </w:rPr>
                          <w:t>South)</w:t>
                        </w:r>
                      </w:p>
                    </w:txbxContent>
                  </v:textbox>
                </v:shape>
              </v:group>
            </w:pict>
          </mc:Fallback>
        </mc:AlternateContent>
      </w:r>
      <w:r w:rsidR="008F4725">
        <w:rPr>
          <w:noProof/>
        </w:rPr>
        <w:drawing>
          <wp:inline distT="0" distB="0" distL="0" distR="0" wp14:anchorId="787DE677" wp14:editId="6FDAEC4A">
            <wp:extent cx="5452280" cy="4581656"/>
            <wp:effectExtent l="0" t="0" r="0" b="0"/>
            <wp:docPr id="1986031941" name="Picture 203015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158086"/>
                    <pic:cNvPicPr/>
                  </pic:nvPicPr>
                  <pic:blipFill>
                    <a:blip r:embed="rId49">
                      <a:extLst>
                        <a:ext uri="{28A0092B-C50C-407E-A947-70E740481C1C}">
                          <a14:useLocalDpi xmlns:a14="http://schemas.microsoft.com/office/drawing/2010/main" val="0"/>
                        </a:ext>
                      </a:extLst>
                    </a:blip>
                    <a:stretch>
                      <a:fillRect/>
                    </a:stretch>
                  </pic:blipFill>
                  <pic:spPr>
                    <a:xfrm>
                      <a:off x="0" y="0"/>
                      <a:ext cx="5452280" cy="4581656"/>
                    </a:xfrm>
                    <a:prstGeom prst="rect">
                      <a:avLst/>
                    </a:prstGeom>
                  </pic:spPr>
                </pic:pic>
              </a:graphicData>
            </a:graphic>
          </wp:inline>
        </w:drawing>
      </w:r>
    </w:p>
    <w:p w14:paraId="5660329D" w14:textId="15CD61CB" w:rsidR="00EC6146" w:rsidRDefault="00EC6146" w:rsidP="00EC6146">
      <w:pPr>
        <w:pStyle w:val="Caption"/>
      </w:pPr>
      <w:bookmarkStart w:id="67" w:name="_Ref49781627"/>
      <w:bookmarkStart w:id="68" w:name="_Toc52968235"/>
      <w:r>
        <w:t xml:space="preserve">Figure </w:t>
      </w:r>
      <w:r>
        <w:fldChar w:fldCharType="begin"/>
      </w:r>
      <w:r>
        <w:instrText>SEQ Figure \* ARABIC</w:instrText>
      </w:r>
      <w:r>
        <w:fldChar w:fldCharType="separate"/>
      </w:r>
      <w:r w:rsidR="00235F13">
        <w:rPr>
          <w:noProof/>
        </w:rPr>
        <w:t>5</w:t>
      </w:r>
      <w:r>
        <w:fldChar w:fldCharType="end"/>
      </w:r>
      <w:bookmarkEnd w:id="67"/>
      <w:r>
        <w:t xml:space="preserve">. </w:t>
      </w:r>
      <w:r w:rsidRPr="00D73A51">
        <w:rPr>
          <w:b w:val="0"/>
          <w:bCs w:val="0"/>
        </w:rPr>
        <w:t>Locations of</w:t>
      </w:r>
      <w:r w:rsidR="00D73A51">
        <w:rPr>
          <w:b w:val="0"/>
          <w:bCs w:val="0"/>
        </w:rPr>
        <w:t xml:space="preserve"> </w:t>
      </w:r>
      <w:r w:rsidR="00B87B2C">
        <w:rPr>
          <w:b w:val="0"/>
          <w:bCs w:val="0"/>
        </w:rPr>
        <w:t xml:space="preserve">registered </w:t>
      </w:r>
      <w:r w:rsidR="00D73A51">
        <w:rPr>
          <w:b w:val="0"/>
          <w:bCs w:val="0"/>
        </w:rPr>
        <w:t>Human</w:t>
      </w:r>
      <w:r w:rsidR="00B87B2C">
        <w:rPr>
          <w:b w:val="0"/>
          <w:bCs w:val="0"/>
        </w:rPr>
        <w:t>-Induced Regeneration projects</w:t>
      </w:r>
      <w:r w:rsidRPr="00D73A51">
        <w:rPr>
          <w:b w:val="0"/>
          <w:bCs w:val="0"/>
        </w:rPr>
        <w:t xml:space="preserve"> </w:t>
      </w:r>
      <w:r w:rsidR="00B87B2C">
        <w:rPr>
          <w:b w:val="0"/>
          <w:bCs w:val="0"/>
        </w:rPr>
        <w:t xml:space="preserve">(red) and Native Forest from Managed Regrowth </w:t>
      </w:r>
      <w:r w:rsidR="002C2B15">
        <w:rPr>
          <w:b w:val="0"/>
          <w:bCs w:val="0"/>
        </w:rPr>
        <w:t>projects</w:t>
      </w:r>
      <w:r w:rsidR="0049116F">
        <w:rPr>
          <w:b w:val="0"/>
          <w:bCs w:val="0"/>
        </w:rPr>
        <w:t xml:space="preserve"> (black)</w:t>
      </w:r>
      <w:r>
        <w:rPr>
          <w:b w:val="0"/>
          <w:bCs w:val="0"/>
        </w:rPr>
        <w:t>.</w:t>
      </w:r>
      <w:r w:rsidR="00885424">
        <w:rPr>
          <w:b w:val="0"/>
          <w:bCs w:val="0"/>
        </w:rPr>
        <w:t xml:space="preserve"> As of the time of </w:t>
      </w:r>
      <w:r w:rsidR="002C2B15">
        <w:rPr>
          <w:b w:val="0"/>
          <w:bCs w:val="0"/>
        </w:rPr>
        <w:t>data compilation</w:t>
      </w:r>
      <w:r w:rsidR="00885424">
        <w:rPr>
          <w:b w:val="0"/>
          <w:bCs w:val="0"/>
        </w:rPr>
        <w:t xml:space="preserve"> (</w:t>
      </w:r>
      <w:r w:rsidR="00B10770">
        <w:rPr>
          <w:b w:val="0"/>
          <w:bCs w:val="0"/>
        </w:rPr>
        <w:t>7 August 2020) no</w:t>
      </w:r>
      <w:r w:rsidR="00086CAF">
        <w:rPr>
          <w:b w:val="0"/>
          <w:bCs w:val="0"/>
        </w:rPr>
        <w:t xml:space="preserve"> projects ha</w:t>
      </w:r>
      <w:r w:rsidR="007F4D1B">
        <w:rPr>
          <w:b w:val="0"/>
          <w:bCs w:val="0"/>
        </w:rPr>
        <w:t>d</w:t>
      </w:r>
      <w:r w:rsidR="00086CAF">
        <w:rPr>
          <w:b w:val="0"/>
          <w:bCs w:val="0"/>
        </w:rPr>
        <w:t xml:space="preserve"> been contracted under the ERF</w:t>
      </w:r>
      <w:r w:rsidR="00DE4B02">
        <w:rPr>
          <w:b w:val="0"/>
          <w:bCs w:val="0"/>
        </w:rPr>
        <w:t xml:space="preserve"> in Western Australia</w:t>
      </w:r>
      <w:r w:rsidR="001C6053">
        <w:rPr>
          <w:b w:val="0"/>
          <w:bCs w:val="0"/>
        </w:rPr>
        <w:t>.</w:t>
      </w:r>
      <w:r w:rsidR="006425D4">
        <w:rPr>
          <w:b w:val="0"/>
          <w:bCs w:val="0"/>
        </w:rPr>
        <w:t xml:space="preserve"> Revoked projects </w:t>
      </w:r>
      <w:r w:rsidR="00220FF8">
        <w:rPr>
          <w:b w:val="0"/>
          <w:bCs w:val="0"/>
        </w:rPr>
        <w:t>shown in white.</w:t>
      </w:r>
      <w:bookmarkEnd w:id="68"/>
    </w:p>
    <w:p w14:paraId="3BBC9414" w14:textId="35C4443F" w:rsidR="005F7998" w:rsidRDefault="00F9457D" w:rsidP="00283884">
      <w:pPr>
        <w:pStyle w:val="Heading4"/>
      </w:pPr>
      <w:r>
        <w:t xml:space="preserve">Risk assessment against identified climate impact </w:t>
      </w:r>
      <w:r w:rsidR="00283884">
        <w:t>factors</w:t>
      </w:r>
    </w:p>
    <w:p w14:paraId="3441B3AD" w14:textId="6F91ABC3" w:rsidR="00812451" w:rsidRDefault="00812451" w:rsidP="00E379DC">
      <w:pPr>
        <w:pStyle w:val="BodyText"/>
        <w:spacing w:after="0"/>
        <w:rPr>
          <w:i/>
          <w:iCs/>
        </w:rPr>
      </w:pPr>
      <w:r>
        <w:rPr>
          <w:i/>
          <w:iCs/>
        </w:rPr>
        <w:t>Factors affecting initial tree establishment and growth</w:t>
      </w:r>
    </w:p>
    <w:p w14:paraId="730B12D1" w14:textId="5A181BA3" w:rsidR="00C222EB" w:rsidRDefault="00C222EB" w:rsidP="00E379DC">
      <w:pPr>
        <w:pStyle w:val="BodyText"/>
        <w:spacing w:before="0"/>
        <w:rPr>
          <w:i/>
          <w:iCs/>
        </w:rPr>
      </w:pPr>
      <w:r>
        <w:rPr>
          <w:i/>
          <w:iCs/>
        </w:rPr>
        <w:t xml:space="preserve">Factors affecting </w:t>
      </w:r>
      <w:r w:rsidR="00615176">
        <w:rPr>
          <w:i/>
          <w:iCs/>
        </w:rPr>
        <w:t xml:space="preserve">longer-term </w:t>
      </w:r>
      <w:r>
        <w:rPr>
          <w:i/>
          <w:iCs/>
        </w:rPr>
        <w:t>vegetation growth rates</w:t>
      </w:r>
    </w:p>
    <w:p w14:paraId="75FF6C87" w14:textId="0230C35C" w:rsidR="004921DA" w:rsidRDefault="0041647D" w:rsidP="00D471A0">
      <w:pPr>
        <w:pStyle w:val="BodyText"/>
      </w:pPr>
      <w:r>
        <w:t>Future climatic condition</w:t>
      </w:r>
      <w:r w:rsidR="004A3460">
        <w:t>s</w:t>
      </w:r>
      <w:r>
        <w:t xml:space="preserve"> </w:t>
      </w:r>
      <w:r w:rsidR="00585F5C">
        <w:t xml:space="preserve">up to 2050 </w:t>
      </w:r>
      <w:r w:rsidR="004E74A0">
        <w:t xml:space="preserve">suggest </w:t>
      </w:r>
      <w:r w:rsidR="00585F5C">
        <w:t>a</w:t>
      </w:r>
      <w:r w:rsidR="009368C9">
        <w:t xml:space="preserve"> number of climate </w:t>
      </w:r>
      <w:r w:rsidR="006459B3">
        <w:t xml:space="preserve">change </w:t>
      </w:r>
      <w:r w:rsidR="00762B10">
        <w:t xml:space="preserve">risk factors </w:t>
      </w:r>
      <w:r w:rsidR="00585F5C">
        <w:t xml:space="preserve">have the potential to </w:t>
      </w:r>
      <w:r w:rsidR="00762B10">
        <w:t xml:space="preserve">combine to </w:t>
      </w:r>
      <w:r w:rsidR="006459B3">
        <w:t>place constraints on the ability of the forest</w:t>
      </w:r>
      <w:r w:rsidR="004E74A0">
        <w:t>s</w:t>
      </w:r>
      <w:r w:rsidR="006459B3">
        <w:t xml:space="preserve"> to regenerate, and to limit subsequent </w:t>
      </w:r>
      <w:r w:rsidR="00211D0F">
        <w:t xml:space="preserve">forest </w:t>
      </w:r>
      <w:r w:rsidR="006459B3">
        <w:t>gro</w:t>
      </w:r>
      <w:r w:rsidR="00FC1364">
        <w:t xml:space="preserve">wth; both of which could contribute to </w:t>
      </w:r>
      <w:r w:rsidR="006B3316">
        <w:t>reduced</w:t>
      </w:r>
      <w:r w:rsidR="00FC1364">
        <w:t xml:space="preserve"> abatement </w:t>
      </w:r>
      <w:r w:rsidR="006B3316">
        <w:t>accumulation</w:t>
      </w:r>
      <w:r w:rsidR="002B2925">
        <w:t>.</w:t>
      </w:r>
      <w:r w:rsidR="00782840">
        <w:t xml:space="preserve"> Risks to </w:t>
      </w:r>
      <w:r w:rsidR="006B3316">
        <w:t xml:space="preserve">maintenance </w:t>
      </w:r>
      <w:r w:rsidR="00782840">
        <w:t xml:space="preserve">from the factors </w:t>
      </w:r>
      <w:r w:rsidR="00D82D81">
        <w:t xml:space="preserve">identified </w:t>
      </w:r>
      <w:r w:rsidR="00782840">
        <w:t>here are considered negligible.</w:t>
      </w:r>
    </w:p>
    <w:p w14:paraId="415EBDCC" w14:textId="5140F6A8" w:rsidR="00D31DEC" w:rsidRDefault="00FF6B9C" w:rsidP="00D471A0">
      <w:pPr>
        <w:pStyle w:val="BodyText"/>
      </w:pPr>
      <w:r>
        <w:t xml:space="preserve">Increasing average </w:t>
      </w:r>
      <w:r w:rsidR="00D527ED">
        <w:t xml:space="preserve">annual </w:t>
      </w:r>
      <w:r>
        <w:t xml:space="preserve">temperatures </w:t>
      </w:r>
      <w:r w:rsidR="00D527ED">
        <w:t xml:space="preserve">are predicted to increase by </w:t>
      </w:r>
      <w:r w:rsidR="001B11B2">
        <w:t>1.0(</w:t>
      </w:r>
      <w:r w:rsidR="009A5A7A">
        <w:t>1.5)</w:t>
      </w:r>
      <w:r w:rsidR="00F70519">
        <w:t>1.8</w:t>
      </w:r>
      <w:r w:rsidR="009A5A7A">
        <w:rPr>
          <w:rStyle w:val="FootnoteReference"/>
        </w:rPr>
        <w:footnoteReference w:id="9"/>
      </w:r>
      <w:r w:rsidR="003E4770">
        <w:t xml:space="preserve"> degrees </w:t>
      </w:r>
      <w:r w:rsidR="001C6FD0">
        <w:t>Celsius</w:t>
      </w:r>
      <w:r w:rsidR="003E4770">
        <w:t xml:space="preserve"> for the </w:t>
      </w:r>
      <w:r w:rsidR="009A5A7A">
        <w:t xml:space="preserve">Rangelands South </w:t>
      </w:r>
      <w:r w:rsidR="003E4770">
        <w:t>sub-cluster, and 1.0(1.5)</w:t>
      </w:r>
      <w:r w:rsidR="00F70519">
        <w:t>2.1</w:t>
      </w:r>
      <w:r w:rsidR="001C6FD0">
        <w:t xml:space="preserve"> degrees Celsius for </w:t>
      </w:r>
      <w:r w:rsidR="00151961">
        <w:t xml:space="preserve">the </w:t>
      </w:r>
      <w:r w:rsidR="001C6FD0">
        <w:t>Rangelands North</w:t>
      </w:r>
      <w:r w:rsidR="00766231">
        <w:t xml:space="preserve"> sub-cluster</w:t>
      </w:r>
      <w:r w:rsidR="001C6FD0">
        <w:t xml:space="preserve">, both with </w:t>
      </w:r>
      <w:r w:rsidR="001C6FD0">
        <w:rPr>
          <w:i/>
          <w:iCs/>
        </w:rPr>
        <w:t>very high confidence</w:t>
      </w:r>
      <w:r w:rsidR="00EB5FB5">
        <w:rPr>
          <w:rStyle w:val="FootnoteReference"/>
          <w:i/>
          <w:iCs/>
        </w:rPr>
        <w:footnoteReference w:id="10"/>
      </w:r>
      <w:r w:rsidR="002C0465">
        <w:rPr>
          <w:i/>
          <w:iCs/>
        </w:rPr>
        <w:t>.</w:t>
      </w:r>
      <w:r>
        <w:t xml:space="preserve"> </w:t>
      </w:r>
      <w:r w:rsidR="00AB0A55">
        <w:t xml:space="preserve">Annual </w:t>
      </w:r>
      <w:r w:rsidR="00547892">
        <w:t xml:space="preserve">potential </w:t>
      </w:r>
      <w:r w:rsidR="00AB0A55">
        <w:t>e</w:t>
      </w:r>
      <w:r w:rsidR="0042655F">
        <w:t xml:space="preserve">vapotranspiration </w:t>
      </w:r>
      <w:r w:rsidR="00AB0A55">
        <w:t xml:space="preserve">is predicted to increase by </w:t>
      </w:r>
      <w:r w:rsidR="00247E2C">
        <w:t>1.5(3.8)5.6 mm year</w:t>
      </w:r>
      <w:r w:rsidR="00247E2C" w:rsidRPr="00247E2C">
        <w:rPr>
          <w:vertAlign w:val="superscript"/>
        </w:rPr>
        <w:t>-1</w:t>
      </w:r>
      <w:r w:rsidR="00247E2C">
        <w:t xml:space="preserve"> </w:t>
      </w:r>
      <w:r w:rsidR="00BF42CD">
        <w:t>and 1.7(4.5)6.6 mm year</w:t>
      </w:r>
      <w:r w:rsidR="00BF42CD" w:rsidRPr="00247E2C">
        <w:rPr>
          <w:vertAlign w:val="superscript"/>
        </w:rPr>
        <w:t>-1</w:t>
      </w:r>
      <w:r w:rsidR="00BF42CD">
        <w:t xml:space="preserve"> for the </w:t>
      </w:r>
      <w:r w:rsidR="003B4B30">
        <w:t>rangelands South and North sub-clusters respectively (</w:t>
      </w:r>
      <w:r w:rsidR="006A0F1D">
        <w:rPr>
          <w:i/>
          <w:iCs/>
        </w:rPr>
        <w:t>high confidence</w:t>
      </w:r>
      <w:r w:rsidR="006A0F1D">
        <w:t xml:space="preserve"> in the direction of the trend</w:t>
      </w:r>
      <w:r w:rsidR="00620062">
        <w:t xml:space="preserve"> for both sub-clusters</w:t>
      </w:r>
      <w:r w:rsidR="006A0F1D">
        <w:t xml:space="preserve">, but </w:t>
      </w:r>
      <w:r w:rsidR="006A0F1D">
        <w:rPr>
          <w:i/>
          <w:iCs/>
        </w:rPr>
        <w:t xml:space="preserve">medium confidence </w:t>
      </w:r>
      <w:r w:rsidR="006A0F1D">
        <w:t>in the magnitude</w:t>
      </w:r>
      <w:r w:rsidR="003B4B30">
        <w:t>)</w:t>
      </w:r>
      <w:r w:rsidR="00622009">
        <w:t xml:space="preserve">. </w:t>
      </w:r>
      <w:r w:rsidR="00524F08">
        <w:t>Projected c</w:t>
      </w:r>
      <w:r w:rsidR="00063AF2">
        <w:t>hanges in r</w:t>
      </w:r>
      <w:r w:rsidR="00EE10DC">
        <w:t xml:space="preserve">elative humidity </w:t>
      </w:r>
      <w:r w:rsidR="00524F08">
        <w:t>by 2050 are small</w:t>
      </w:r>
      <w:r w:rsidR="00046141">
        <w:t xml:space="preserve"> </w:t>
      </w:r>
      <w:r w:rsidR="00046141">
        <w:lastRenderedPageBreak/>
        <w:t>(</w:t>
      </w:r>
      <w:r w:rsidR="00BB6174">
        <w:t>median change approximately -1% for both sub-clusters</w:t>
      </w:r>
      <w:r w:rsidR="00C632D8">
        <w:t xml:space="preserve">, with </w:t>
      </w:r>
      <w:r w:rsidR="00C632D8">
        <w:rPr>
          <w:i/>
          <w:iCs/>
        </w:rPr>
        <w:t xml:space="preserve">medium </w:t>
      </w:r>
      <w:r w:rsidR="00C632D8" w:rsidRPr="00C632D8">
        <w:rPr>
          <w:i/>
          <w:iCs/>
        </w:rPr>
        <w:t>confidence</w:t>
      </w:r>
      <w:r w:rsidR="00C632D8">
        <w:t>)</w:t>
      </w:r>
      <w:r w:rsidR="0017388A">
        <w:t xml:space="preserve">. In the Rangelands </w:t>
      </w:r>
      <w:r w:rsidR="003D754D">
        <w:t>South sub-cluster</w:t>
      </w:r>
      <w:r w:rsidR="001230FB">
        <w:t>,</w:t>
      </w:r>
      <w:r w:rsidR="003D754D">
        <w:t xml:space="preserve"> </w:t>
      </w:r>
      <w:r w:rsidR="001A20B5">
        <w:t xml:space="preserve">changes in annual </w:t>
      </w:r>
      <w:r w:rsidR="00271053">
        <w:t xml:space="preserve">rainfall </w:t>
      </w:r>
      <w:r w:rsidR="001A20B5">
        <w:t>suggest a decline</w:t>
      </w:r>
      <w:r w:rsidR="003D754D">
        <w:t xml:space="preserve"> in the winter (</w:t>
      </w:r>
      <w:r w:rsidR="007E22E8">
        <w:t>-24.</w:t>
      </w:r>
      <w:r w:rsidR="005E1DE8">
        <w:t>8(</w:t>
      </w:r>
      <w:r w:rsidR="004D3435">
        <w:softHyphen/>
      </w:r>
      <w:r w:rsidR="005E1DE8">
        <w:t xml:space="preserve">-9.2)6.1 </w:t>
      </w:r>
      <w:r w:rsidR="004D3435">
        <w:t xml:space="preserve">% </w:t>
      </w:r>
      <w:r w:rsidR="003D754D" w:rsidRPr="00B34456">
        <w:t>with</w:t>
      </w:r>
      <w:r w:rsidR="003D754D">
        <w:rPr>
          <w:i/>
          <w:iCs/>
        </w:rPr>
        <w:t xml:space="preserve"> high confidence</w:t>
      </w:r>
      <w:r w:rsidR="003D754D" w:rsidRPr="003D754D">
        <w:t>)</w:t>
      </w:r>
      <w:r w:rsidR="001A20B5">
        <w:t xml:space="preserve">, </w:t>
      </w:r>
      <w:r w:rsidR="007D7B43">
        <w:t xml:space="preserve">however in the Rangelands North sub-cluster </w:t>
      </w:r>
      <w:r w:rsidR="00807D57">
        <w:t xml:space="preserve">the direction of change cannot be confidently projected, with </w:t>
      </w:r>
      <w:r w:rsidR="00311E96">
        <w:t xml:space="preserve">a wide spread of model results. </w:t>
      </w:r>
      <w:r w:rsidR="006409FC">
        <w:t>Time spent in drought is also expected to increase</w:t>
      </w:r>
      <w:r w:rsidR="008F6B3F">
        <w:t xml:space="preserve"> over the coming century, although by mid-cent</w:t>
      </w:r>
      <w:r w:rsidR="00C74153">
        <w:t xml:space="preserve">ury the </w:t>
      </w:r>
      <w:r w:rsidR="000B1B8B">
        <w:t>consensus amongst model projections is less strong</w:t>
      </w:r>
      <w:r w:rsidR="006409FC">
        <w:t xml:space="preserve"> (</w:t>
      </w:r>
      <w:r w:rsidR="0024206C">
        <w:t>-8.4(3.9)</w:t>
      </w:r>
      <w:r w:rsidR="00753A63">
        <w:t xml:space="preserve">17.8 % change, against a current baseline of </w:t>
      </w:r>
      <w:r w:rsidR="00FE4D4E">
        <w:t>36.25% time</w:t>
      </w:r>
      <w:r w:rsidR="00753A63">
        <w:t xml:space="preserve"> </w:t>
      </w:r>
      <w:r w:rsidR="00FE4D4E">
        <w:t>in drought</w:t>
      </w:r>
      <w:r w:rsidR="006409FC">
        <w:t>)</w:t>
      </w:r>
      <w:r w:rsidR="00FE4D4E">
        <w:t>.</w:t>
      </w:r>
      <w:r w:rsidR="00702265">
        <w:t xml:space="preserve"> Taken together</w:t>
      </w:r>
      <w:r w:rsidR="00803A8C">
        <w:t xml:space="preserve">, </w:t>
      </w:r>
      <w:r w:rsidR="005B281D">
        <w:t xml:space="preserve">these trends are consistent with </w:t>
      </w:r>
      <w:r w:rsidR="00562512">
        <w:t xml:space="preserve">an </w:t>
      </w:r>
      <w:r w:rsidR="005B281D">
        <w:t xml:space="preserve">overall prediction of decreasing </w:t>
      </w:r>
      <w:r w:rsidR="00803A8C">
        <w:t xml:space="preserve">soil moisture </w:t>
      </w:r>
      <w:r w:rsidR="005B281D">
        <w:t>over the century</w:t>
      </w:r>
      <w:r w:rsidR="00562512">
        <w:t>, particularly in winter (</w:t>
      </w:r>
      <w:r w:rsidR="00562512">
        <w:rPr>
          <w:i/>
          <w:iCs/>
        </w:rPr>
        <w:t>medium confidence</w:t>
      </w:r>
      <w:r w:rsidR="00562512">
        <w:t>)</w:t>
      </w:r>
      <w:r w:rsidR="009E4F5C">
        <w:t xml:space="preserve">, </w:t>
      </w:r>
      <w:r w:rsidR="00FF42AB">
        <w:t xml:space="preserve">and increasing plant stress, </w:t>
      </w:r>
      <w:r w:rsidR="00201B42">
        <w:t>which would be expected to reduce plant productivity</w:t>
      </w:r>
      <w:r w:rsidR="0091453C">
        <w:t xml:space="preserve">. </w:t>
      </w:r>
      <w:r w:rsidR="00D31DEC">
        <w:t>Extreme temperatures are also expected to increase</w:t>
      </w:r>
      <w:r w:rsidR="00533888">
        <w:t xml:space="preserve"> significantly</w:t>
      </w:r>
      <w:r w:rsidR="00045246">
        <w:t>, with substantial increases in the temperature reached on hot days, the frequency of hot days</w:t>
      </w:r>
      <w:r w:rsidR="004468C8">
        <w:t>, and</w:t>
      </w:r>
      <w:r w:rsidR="009E4F5C">
        <w:t xml:space="preserve"> </w:t>
      </w:r>
      <w:r w:rsidR="004468C8">
        <w:t>the duration of warm spells</w:t>
      </w:r>
      <w:r w:rsidR="009630C8">
        <w:t xml:space="preserve"> (</w:t>
      </w:r>
      <w:r w:rsidR="009630C8">
        <w:rPr>
          <w:i/>
          <w:iCs/>
        </w:rPr>
        <w:t>very high confidence)</w:t>
      </w:r>
      <w:r w:rsidR="004468C8">
        <w:t>.</w:t>
      </w:r>
      <w:r w:rsidR="009E4F5C">
        <w:t xml:space="preserve"> For example, </w:t>
      </w:r>
      <w:r w:rsidR="00FD400E">
        <w:t xml:space="preserve">the change in the number of days </w:t>
      </w:r>
      <w:r w:rsidR="001E485F">
        <w:t>year</w:t>
      </w:r>
      <w:r w:rsidR="001E485F" w:rsidRPr="001E485F">
        <w:rPr>
          <w:vertAlign w:val="superscript"/>
        </w:rPr>
        <w:t>-1</w:t>
      </w:r>
      <w:r w:rsidR="001E485F">
        <w:t xml:space="preserve"> </w:t>
      </w:r>
      <w:r w:rsidR="00FD400E">
        <w:t>expected to be greater than 35</w:t>
      </w:r>
      <w:r w:rsidR="00462582">
        <w:sym w:font="Symbol" w:char="F0B0"/>
      </w:r>
      <w:r w:rsidR="00462582">
        <w:t>C</w:t>
      </w:r>
      <w:r w:rsidR="00FD400E">
        <w:t xml:space="preserve"> for the Rangelands South sub-cluster </w:t>
      </w:r>
      <w:r w:rsidR="001E485F">
        <w:t xml:space="preserve">is </w:t>
      </w:r>
      <w:r w:rsidR="00CA3302">
        <w:t>7.3(16.2)</w:t>
      </w:r>
      <w:r w:rsidR="00D24C51">
        <w:t xml:space="preserve">28.5 (compared to </w:t>
      </w:r>
      <w:r w:rsidR="006F673F">
        <w:t>the current average of 55.2</w:t>
      </w:r>
      <w:r w:rsidR="00C75EE6" w:rsidRPr="00C75EE6">
        <w:t xml:space="preserve"> </w:t>
      </w:r>
      <w:r w:rsidR="00C75EE6">
        <w:t>days year</w:t>
      </w:r>
      <w:r w:rsidR="00C75EE6" w:rsidRPr="001E485F">
        <w:rPr>
          <w:vertAlign w:val="superscript"/>
        </w:rPr>
        <w:t>-1</w:t>
      </w:r>
      <w:r w:rsidR="006F673F">
        <w:t xml:space="preserve">), and </w:t>
      </w:r>
      <w:r w:rsidR="00C75EE6">
        <w:t xml:space="preserve">a change of </w:t>
      </w:r>
      <w:r w:rsidR="00200861">
        <w:t xml:space="preserve">16.0(29.8)46.9 </w:t>
      </w:r>
      <w:r w:rsidR="00C75EE6">
        <w:t>days year</w:t>
      </w:r>
      <w:r w:rsidR="00C75EE6" w:rsidRPr="001E485F">
        <w:rPr>
          <w:vertAlign w:val="superscript"/>
        </w:rPr>
        <w:t>-1</w:t>
      </w:r>
      <w:r w:rsidR="00C75EE6">
        <w:rPr>
          <w:vertAlign w:val="superscript"/>
        </w:rPr>
        <w:t xml:space="preserve"> </w:t>
      </w:r>
      <w:r w:rsidR="00C75EE6">
        <w:t>for the Rangelands South sub-cluster</w:t>
      </w:r>
      <w:r w:rsidR="002C2D8C">
        <w:t xml:space="preserve"> (with a current average of 120.2</w:t>
      </w:r>
      <w:r w:rsidR="002C2D8C" w:rsidRPr="00C75EE6">
        <w:t xml:space="preserve"> </w:t>
      </w:r>
      <w:r w:rsidR="002C2D8C">
        <w:t>days year</w:t>
      </w:r>
      <w:r w:rsidR="002C2D8C" w:rsidRPr="001E485F">
        <w:rPr>
          <w:vertAlign w:val="superscript"/>
        </w:rPr>
        <w:t>-1</w:t>
      </w:r>
      <w:r w:rsidR="002C2D8C">
        <w:t>).</w:t>
      </w:r>
      <w:r w:rsidR="005F26B3">
        <w:t xml:space="preserve"> These represent median increases of </w:t>
      </w:r>
      <w:r w:rsidR="00347563">
        <w:t>30% and 24%</w:t>
      </w:r>
      <w:r w:rsidR="00903790">
        <w:t xml:space="preserve"> for the South and North sub-clusters, respectively.</w:t>
      </w:r>
    </w:p>
    <w:p w14:paraId="266A59CF" w14:textId="67C5A256" w:rsidR="004D4352" w:rsidRDefault="004D4352" w:rsidP="00D471A0">
      <w:pPr>
        <w:pStyle w:val="BodyText"/>
      </w:pPr>
      <w:r>
        <w:t xml:space="preserve">One particular aspect of </w:t>
      </w:r>
      <w:r w:rsidR="00B565E5">
        <w:t xml:space="preserve">a changing climate that has received relatively little attention and which has the potential to impact </w:t>
      </w:r>
      <w:r w:rsidR="00CC7702">
        <w:t>tree establishment and early growth is the predicted decline in the number of frost risk days (</w:t>
      </w:r>
      <w:r w:rsidR="00CC7702">
        <w:rPr>
          <w:i/>
          <w:iCs/>
        </w:rPr>
        <w:t>high confidence</w:t>
      </w:r>
      <w:r w:rsidR="00CC7702" w:rsidRPr="00145674">
        <w:t>)</w:t>
      </w:r>
      <w:r w:rsidR="00CC7702">
        <w:t>.</w:t>
      </w:r>
      <w:r w:rsidR="004874A9">
        <w:t xml:space="preserve"> This could operate via two mechanisms. One is the requirement for seeds to undergo cold treatment to </w:t>
      </w:r>
      <w:r w:rsidR="00691D81">
        <w:t>ensure adequate germination, therefore a decline in opportunities of exposure</w:t>
      </w:r>
      <w:r w:rsidR="00BF08BF">
        <w:t xml:space="preserve"> could limit seed regeneration. The second is the </w:t>
      </w:r>
      <w:r w:rsidR="00A12875">
        <w:t xml:space="preserve">reduced exposure </w:t>
      </w:r>
      <w:r w:rsidR="00817369">
        <w:t xml:space="preserve">to cold temperature required for ‘frost-hardening’, such that when frost does occur plants may be </w:t>
      </w:r>
      <w:r w:rsidR="00796389">
        <w:t xml:space="preserve">less acclimated and </w:t>
      </w:r>
      <w:r w:rsidR="00817369">
        <w:t>more vulnerable to</w:t>
      </w:r>
      <w:r w:rsidR="00796389">
        <w:t xml:space="preserve"> damage through photo-inhibition and other physiological mechanisms.</w:t>
      </w:r>
      <w:r w:rsidR="00A73550">
        <w:t xml:space="preserve"> </w:t>
      </w:r>
      <w:r w:rsidR="00B52C66">
        <w:t xml:space="preserve">Frost-related mortality affects both the living biomass, and also the subsequent turnover of plant material to litter and the soil. </w:t>
      </w:r>
      <w:r w:rsidR="00A73550">
        <w:t>In the Rangelands South</w:t>
      </w:r>
      <w:r w:rsidR="00796389">
        <w:t xml:space="preserve"> </w:t>
      </w:r>
      <w:r w:rsidR="00A73550">
        <w:t xml:space="preserve">sub-cluster the expected reduction in days below </w:t>
      </w:r>
      <w:r w:rsidR="0036791E">
        <w:t>0</w:t>
      </w:r>
      <w:r w:rsidR="009B1E7F">
        <w:t>.0</w:t>
      </w:r>
      <w:r w:rsidR="00A73550">
        <w:t xml:space="preserve"> </w:t>
      </w:r>
      <w:r w:rsidR="003D3B37">
        <w:rPr>
          <w:rFonts w:ascii="Symbol" w:eastAsia="Symbol" w:hAnsi="Symbol" w:cs="Symbol"/>
        </w:rPr>
        <w:sym w:font="Symbol" w:char="F0B0"/>
      </w:r>
      <w:r w:rsidR="003D3B37">
        <w:t xml:space="preserve">C </w:t>
      </w:r>
      <w:r w:rsidR="0036791E">
        <w:t xml:space="preserve">is </w:t>
      </w:r>
      <w:r w:rsidR="008375AD">
        <w:t>-</w:t>
      </w:r>
      <w:r w:rsidR="005643B9">
        <w:t>10.3</w:t>
      </w:r>
      <w:r w:rsidR="008375AD">
        <w:t>(</w:t>
      </w:r>
      <w:r w:rsidR="009B1E7F">
        <w:t>-0.</w:t>
      </w:r>
      <w:r w:rsidR="005643B9">
        <w:t>2</w:t>
      </w:r>
      <w:r w:rsidR="009B1E7F">
        <w:t>)0.0</w:t>
      </w:r>
      <w:r w:rsidR="00BF08BF">
        <w:t xml:space="preserve"> </w:t>
      </w:r>
      <w:r w:rsidR="00010494">
        <w:t>days year</w:t>
      </w:r>
      <w:r w:rsidR="00010494" w:rsidRPr="00857287">
        <w:rPr>
          <w:vertAlign w:val="superscript"/>
        </w:rPr>
        <w:t>-1</w:t>
      </w:r>
      <w:r w:rsidR="00010494">
        <w:t xml:space="preserve"> </w:t>
      </w:r>
      <w:r w:rsidR="009B1E7F">
        <w:t xml:space="preserve">(relative to a current baseline of </w:t>
      </w:r>
      <w:r w:rsidR="000C5842">
        <w:t>5.3</w:t>
      </w:r>
      <w:r w:rsidR="00857287">
        <w:t xml:space="preserve"> days year</w:t>
      </w:r>
      <w:r w:rsidR="00857287" w:rsidRPr="00857287">
        <w:rPr>
          <w:vertAlign w:val="superscript"/>
        </w:rPr>
        <w:t>-1</w:t>
      </w:r>
      <w:r w:rsidR="00857287">
        <w:t>)</w:t>
      </w:r>
      <w:r w:rsidR="006104B7">
        <w:t xml:space="preserve">, and in the Rangelands North sub-cluster </w:t>
      </w:r>
      <w:r w:rsidR="000C5842">
        <w:t>-4.0(-0.1)0.0</w:t>
      </w:r>
      <w:r w:rsidR="006104B7">
        <w:t xml:space="preserve"> </w:t>
      </w:r>
      <w:r w:rsidR="00C16653">
        <w:t>days year</w:t>
      </w:r>
      <w:r w:rsidR="00C16653" w:rsidRPr="00857287">
        <w:rPr>
          <w:vertAlign w:val="superscript"/>
        </w:rPr>
        <w:t>-1</w:t>
      </w:r>
      <w:r w:rsidR="00C16653">
        <w:t xml:space="preserve"> (relative to a current baseline of </w:t>
      </w:r>
      <w:r w:rsidR="00506D01">
        <w:t>1.8</w:t>
      </w:r>
      <w:r w:rsidR="00C16653">
        <w:t xml:space="preserve"> days year</w:t>
      </w:r>
      <w:r w:rsidR="00C16653" w:rsidRPr="00857287">
        <w:rPr>
          <w:vertAlign w:val="superscript"/>
        </w:rPr>
        <w:t>-1</w:t>
      </w:r>
      <w:r w:rsidR="00C16653">
        <w:t>)</w:t>
      </w:r>
      <w:r w:rsidR="00506D01">
        <w:t>.</w:t>
      </w:r>
    </w:p>
    <w:p w14:paraId="76900C0F" w14:textId="5D75D7F5" w:rsidR="00790022" w:rsidRDefault="00790022" w:rsidP="00790022">
      <w:pPr>
        <w:pStyle w:val="BodyText"/>
      </w:pPr>
      <w:r>
        <w:t>Taken together, these projections suggest the likelihood of experiencing by 2050 a r</w:t>
      </w:r>
      <w:r w:rsidRPr="002575AF">
        <w:t xml:space="preserve">eduction in </w:t>
      </w:r>
      <w:r>
        <w:t xml:space="preserve">the </w:t>
      </w:r>
      <w:r w:rsidRPr="002575AF">
        <w:t xml:space="preserve">timing of suitable conditions for tree </w:t>
      </w:r>
      <w:r>
        <w:t xml:space="preserve">regeneration, reduced soil water, and the potential for heat-stress induced limitations to plant productivity are all likely, with an overall confidence of </w:t>
      </w:r>
      <w:r w:rsidRPr="006D5D2C">
        <w:rPr>
          <w:i/>
        </w:rPr>
        <w:t>high</w:t>
      </w:r>
      <w:r>
        <w:t>. Similarly, the red</w:t>
      </w:r>
      <w:r w:rsidR="00E85051">
        <w:t>u</w:t>
      </w:r>
      <w:r>
        <w:t>ction in frost days is also likely</w:t>
      </w:r>
      <w:r w:rsidR="00E85051">
        <w:t>,</w:t>
      </w:r>
      <w:r>
        <w:t xml:space="preserve"> </w:t>
      </w:r>
      <w:r w:rsidR="00E85051">
        <w:t xml:space="preserve">with </w:t>
      </w:r>
      <w:r w:rsidR="00E85051" w:rsidRPr="006D5D2C">
        <w:rPr>
          <w:i/>
        </w:rPr>
        <w:t>high confidence</w:t>
      </w:r>
      <w:r w:rsidR="00E85051">
        <w:t>.</w:t>
      </w:r>
      <w:r w:rsidR="00500106">
        <w:t xml:space="preserve"> </w:t>
      </w:r>
    </w:p>
    <w:p w14:paraId="7640049E" w14:textId="1D1A1BAB" w:rsidR="00D55ED7" w:rsidRDefault="00D55ED7" w:rsidP="00790022">
      <w:pPr>
        <w:pStyle w:val="BodyText"/>
      </w:pPr>
      <w:r>
        <w:t xml:space="preserve">There is </w:t>
      </w:r>
      <w:r w:rsidR="00427BFB">
        <w:t xml:space="preserve">also </w:t>
      </w:r>
      <w:r>
        <w:t xml:space="preserve">evidence that in </w:t>
      </w:r>
      <w:r w:rsidR="00427BFB">
        <w:t>r</w:t>
      </w:r>
      <w:r>
        <w:t>angeland regions, newly germinated and young tree seedlings are susceptible to excessive solar radiation and extreme temperatures, with the potential for high mortality rates during heatwaves (e.g. Ferrar et al. 1989; Good et al. 2014).</w:t>
      </w:r>
    </w:p>
    <w:p w14:paraId="33ABCB33" w14:textId="40D45CB1" w:rsidR="00C555E9" w:rsidRDefault="00C555E9" w:rsidP="009B4A15">
      <w:pPr>
        <w:pStyle w:val="BodyText"/>
      </w:pPr>
      <w:r>
        <w:t xml:space="preserve">Regarding the </w:t>
      </w:r>
      <w:r w:rsidR="00180F85">
        <w:t>potential for the decline in frost days to impact upon</w:t>
      </w:r>
      <w:r w:rsidR="00F313B2">
        <w:t xml:space="preserve"> the delivery of abatement</w:t>
      </w:r>
      <w:r w:rsidR="005D7CFF">
        <w:t xml:space="preserve">, there is very little in the way of supporting science </w:t>
      </w:r>
      <w:r w:rsidR="004A4344">
        <w:t xml:space="preserve">from these ecosystems </w:t>
      </w:r>
      <w:r w:rsidR="005D7CFF">
        <w:t xml:space="preserve">to </w:t>
      </w:r>
      <w:r w:rsidR="004A4344">
        <w:t>reliably assess what the consequences might be, and at this stage a formal risk rating is not possible</w:t>
      </w:r>
      <w:r w:rsidR="00261EC2">
        <w:t xml:space="preserve"> (</w:t>
      </w:r>
      <w:r w:rsidR="00B02E86">
        <w:t>Table 11</w:t>
      </w:r>
      <w:r w:rsidR="00261EC2">
        <w:t>)</w:t>
      </w:r>
      <w:r w:rsidR="004A4344">
        <w:t>.</w:t>
      </w:r>
    </w:p>
    <w:p w14:paraId="33C4539F" w14:textId="5A84223E" w:rsidR="00DA0CA6" w:rsidRDefault="00F02B6C" w:rsidP="00F02B6C">
      <w:pPr>
        <w:pStyle w:val="BodyText"/>
      </w:pPr>
      <w:r>
        <w:t>Although there is some evidence that increased woodiness (increase in stem number, stem size or crown cover) is a global</w:t>
      </w:r>
      <w:r w:rsidR="00462582">
        <w:t xml:space="preserve"> phenomenon</w:t>
      </w:r>
      <w:r>
        <w:t xml:space="preserve"> (e.g. Zhou et al. 2001, 2003; Fensham et al., 2005; Julien et al. 2006; Lucas et al., 2008; Ballantyne et al., 2012; Canadell et al., 2007; Fensholt et al., 2012; Nemani et al., 2003; Stevens et al. 2017), in Australia the increases in woodiness appear to be most pronounced in the </w:t>
      </w:r>
      <w:r w:rsidR="00854964">
        <w:t>rangeland</w:t>
      </w:r>
      <w:r w:rsidR="00DA0CA6">
        <w:t xml:space="preserve"> </w:t>
      </w:r>
      <w:r>
        <w:t>regions of Australia</w:t>
      </w:r>
      <w:r w:rsidR="00A7731B">
        <w:t xml:space="preserve"> (e.g. Donohue et al. 2013). </w:t>
      </w:r>
      <w:r w:rsidR="005A5212">
        <w:t xml:space="preserve">This increased </w:t>
      </w:r>
      <w:r w:rsidR="005A5212">
        <w:lastRenderedPageBreak/>
        <w:t>woodiness appears to be at least partly attributable to i</w:t>
      </w:r>
      <w:r w:rsidR="00DA0CA6" w:rsidRPr="00DA0CA6">
        <w:t>ncreases in atmospheric CO</w:t>
      </w:r>
      <w:r w:rsidR="00DA0CA6" w:rsidRPr="00565B14">
        <w:rPr>
          <w:vertAlign w:val="subscript"/>
        </w:rPr>
        <w:t>2</w:t>
      </w:r>
      <w:r w:rsidR="00DA0CA6" w:rsidRPr="00DA0CA6">
        <w:t xml:space="preserve"> concentrations since the industrial revolution</w:t>
      </w:r>
      <w:r w:rsidR="00C629A9">
        <w:t>,</w:t>
      </w:r>
      <w:r w:rsidR="00DA0CA6" w:rsidRPr="00DA0CA6">
        <w:t xml:space="preserve"> </w:t>
      </w:r>
      <w:r w:rsidR="00C629A9">
        <w:t xml:space="preserve">leading to </w:t>
      </w:r>
      <w:r w:rsidR="00DA0CA6" w:rsidRPr="00DA0CA6">
        <w:t>a ‘CO</w:t>
      </w:r>
      <w:r w:rsidR="00DA0CA6" w:rsidRPr="00565B14">
        <w:rPr>
          <w:vertAlign w:val="subscript"/>
        </w:rPr>
        <w:t>2</w:t>
      </w:r>
      <w:r w:rsidR="00DA0CA6" w:rsidRPr="00DA0CA6">
        <w:t xml:space="preserve"> fertilization effect’ that enhance</w:t>
      </w:r>
      <w:r w:rsidR="00E630DE">
        <w:t>s</w:t>
      </w:r>
      <w:r w:rsidR="00DA0CA6" w:rsidRPr="00DA0CA6">
        <w:t xml:space="preserve"> rates of photosynthesis. Elevated CO</w:t>
      </w:r>
      <w:r w:rsidR="00DA0CA6" w:rsidRPr="00565B14">
        <w:rPr>
          <w:vertAlign w:val="subscript"/>
        </w:rPr>
        <w:t>2</w:t>
      </w:r>
      <w:r w:rsidR="00DA0CA6" w:rsidRPr="00DA0CA6">
        <w:t xml:space="preserve"> </w:t>
      </w:r>
      <w:r w:rsidR="005A5212">
        <w:t xml:space="preserve">also </w:t>
      </w:r>
      <w:r w:rsidR="00DA0CA6" w:rsidRPr="00DA0CA6">
        <w:t xml:space="preserve">enhances </w:t>
      </w:r>
      <w:r w:rsidR="008D2F1C">
        <w:t>lea</w:t>
      </w:r>
      <w:r w:rsidR="00CE1EFB">
        <w:t>f</w:t>
      </w:r>
      <w:r w:rsidR="00750CB9">
        <w:t>-</w:t>
      </w:r>
      <w:r w:rsidR="008D2F1C">
        <w:t>leaf level</w:t>
      </w:r>
      <w:r w:rsidR="00DA0CA6" w:rsidRPr="00DA0CA6">
        <w:t xml:space="preserve"> water-use efficienc</w:t>
      </w:r>
      <w:r w:rsidR="008D2F1C">
        <w:t>y</w:t>
      </w:r>
      <w:r w:rsidR="00DA0CA6" w:rsidRPr="00DA0CA6">
        <w:t xml:space="preserve"> (WUE) via reduced stomatal conductance </w:t>
      </w:r>
      <w:r w:rsidR="00CE1EFB">
        <w:t>per unit</w:t>
      </w:r>
      <w:r w:rsidR="00DA0CA6" w:rsidRPr="00DA0CA6">
        <w:t xml:space="preserve"> leaf assimilation (Polley et al. 1997; Medlyn et al. 2001),</w:t>
      </w:r>
      <w:r w:rsidR="00E620D5">
        <w:t xml:space="preserve"> improving</w:t>
      </w:r>
      <w:r w:rsidR="00DA0CA6" w:rsidRPr="00DA0CA6">
        <w:t xml:space="preserve"> seedling survival and plant growth rates. </w:t>
      </w:r>
      <w:r w:rsidR="001948B3">
        <w:t>F</w:t>
      </w:r>
      <w:r w:rsidR="00E620D5">
        <w:t xml:space="preserve">aster </w:t>
      </w:r>
      <w:r w:rsidR="00925386">
        <w:t>biomass accumulation</w:t>
      </w:r>
      <w:r w:rsidR="007A57AC">
        <w:t xml:space="preserve"> </w:t>
      </w:r>
      <w:r w:rsidR="00925386">
        <w:t xml:space="preserve">can </w:t>
      </w:r>
      <w:r w:rsidR="001948B3">
        <w:t xml:space="preserve">however </w:t>
      </w:r>
      <w:r w:rsidR="00925386">
        <w:t>result in</w:t>
      </w:r>
      <w:r w:rsidR="00325AFD">
        <w:t xml:space="preserve"> greater whole plant</w:t>
      </w:r>
      <w:r w:rsidR="007A57AC">
        <w:t xml:space="preserve"> water </w:t>
      </w:r>
      <w:r w:rsidR="00325AFD">
        <w:t>use</w:t>
      </w:r>
      <w:r w:rsidR="001B4D5B">
        <w:t xml:space="preserve"> </w:t>
      </w:r>
      <w:r w:rsidR="000D010D">
        <w:t>under elevated CO</w:t>
      </w:r>
      <w:r w:rsidR="000D010D" w:rsidRPr="00565B14">
        <w:rPr>
          <w:vertAlign w:val="subscript"/>
        </w:rPr>
        <w:t>2</w:t>
      </w:r>
      <w:r w:rsidR="000D010D">
        <w:t xml:space="preserve">. </w:t>
      </w:r>
      <w:r w:rsidR="00652A26">
        <w:t>Based on this m</w:t>
      </w:r>
      <w:r w:rsidR="00DA0CA6" w:rsidRPr="00DA0CA6">
        <w:t xml:space="preserve">any workers have argued that the impacts </w:t>
      </w:r>
      <w:r w:rsidR="002447C8">
        <w:t xml:space="preserve">of </w:t>
      </w:r>
      <w:r w:rsidR="00DA0CA6" w:rsidRPr="00DA0CA6">
        <w:t>CO</w:t>
      </w:r>
      <w:r w:rsidR="00DA0CA6" w:rsidRPr="00565B14">
        <w:rPr>
          <w:vertAlign w:val="subscript"/>
        </w:rPr>
        <w:t>2</w:t>
      </w:r>
      <w:r w:rsidR="00DA0CA6" w:rsidRPr="00DA0CA6">
        <w:t xml:space="preserve"> fertilisation and improved WUE have </w:t>
      </w:r>
      <w:r w:rsidR="00DD6ED9">
        <w:t xml:space="preserve">contributed to </w:t>
      </w:r>
      <w:r w:rsidR="00DA0CA6" w:rsidRPr="00DA0CA6">
        <w:t>increased woodiness (e.g. Eamus &amp; Jarvis 1989; Farquhar 1997; Medlyn et al. 1999; Bond &amp; Midgley 2000; Berry &amp; Roderick 2002; Higgins &amp; Scheiter 201</w:t>
      </w:r>
      <w:r w:rsidR="00C80C0F">
        <w:t>4</w:t>
      </w:r>
      <w:r w:rsidR="00DA0CA6" w:rsidRPr="00DA0CA6">
        <w:t>; Eamus &amp; Palmer 2008; Donohue et al. 2013; Zhu et al. 2016)</w:t>
      </w:r>
      <w:r w:rsidR="00DD6ED9">
        <w:t>, although it is recognised</w:t>
      </w:r>
      <w:r w:rsidR="000B59BB">
        <w:t xml:space="preserve"> changed disturbance regimes </w:t>
      </w:r>
      <w:r w:rsidR="00090EDC">
        <w:t xml:space="preserve">(particularly fire), </w:t>
      </w:r>
      <w:r w:rsidR="00ED51ED">
        <w:t>land</w:t>
      </w:r>
      <w:r w:rsidR="00090EDC">
        <w:t>-</w:t>
      </w:r>
      <w:r w:rsidR="00ED51ED">
        <w:t>use change</w:t>
      </w:r>
      <w:r w:rsidR="000B59BB">
        <w:t xml:space="preserve">, </w:t>
      </w:r>
      <w:r w:rsidR="002152A4">
        <w:t xml:space="preserve">and </w:t>
      </w:r>
      <w:r w:rsidR="00744851">
        <w:t xml:space="preserve">changes </w:t>
      </w:r>
      <w:r w:rsidR="00056AEF">
        <w:t xml:space="preserve">(and interactions with) </w:t>
      </w:r>
      <w:r w:rsidR="00744851">
        <w:t>o</w:t>
      </w:r>
      <w:r w:rsidR="002152A4">
        <w:t xml:space="preserve">ther resources </w:t>
      </w:r>
      <w:r w:rsidR="003C25C8">
        <w:t xml:space="preserve">required for growth </w:t>
      </w:r>
      <w:r w:rsidR="002152A4">
        <w:t>such as light, water and nutrients</w:t>
      </w:r>
      <w:r w:rsidR="00090EDC">
        <w:t xml:space="preserve"> all likely </w:t>
      </w:r>
      <w:r w:rsidR="00E1453C">
        <w:t>play a role as well</w:t>
      </w:r>
      <w:r w:rsidR="00DA0CA6" w:rsidRPr="00DA0CA6">
        <w:t>.</w:t>
      </w:r>
    </w:p>
    <w:p w14:paraId="0D77B8B7" w14:textId="4D2F6B0A" w:rsidR="001F0C3F" w:rsidRDefault="001F0C3F" w:rsidP="00F02B6C">
      <w:pPr>
        <w:pStyle w:val="BodyText"/>
      </w:pPr>
      <w:r>
        <w:t>With persistent declines in rainfall</w:t>
      </w:r>
      <w:r w:rsidR="00F32A58">
        <w:t xml:space="preserve">, </w:t>
      </w:r>
      <w:r w:rsidR="00E50FF8">
        <w:t>increases in temperature</w:t>
      </w:r>
      <w:r>
        <w:t>,</w:t>
      </w:r>
      <w:r w:rsidR="00F32A58">
        <w:t xml:space="preserve"> and increased woodiness,</w:t>
      </w:r>
      <w:r w:rsidR="00A12FB0">
        <w:t xml:space="preserve"> it is predicted that</w:t>
      </w:r>
      <w:r>
        <w:t xml:space="preserve"> </w:t>
      </w:r>
      <w:r w:rsidR="00641E5E">
        <w:t xml:space="preserve">grass production </w:t>
      </w:r>
      <w:r w:rsidR="00B52C66">
        <w:t>and biomass</w:t>
      </w:r>
      <w:r w:rsidR="00641E5E">
        <w:t xml:space="preserve"> </w:t>
      </w:r>
      <w:r w:rsidR="005E4C28">
        <w:t xml:space="preserve">in </w:t>
      </w:r>
      <w:r w:rsidR="00854964">
        <w:t>rangeland</w:t>
      </w:r>
      <w:r w:rsidR="00A12FB0">
        <w:t xml:space="preserve">s </w:t>
      </w:r>
      <w:r w:rsidR="00641E5E">
        <w:t>may decline</w:t>
      </w:r>
      <w:r w:rsidR="00A12FB0">
        <w:t xml:space="preserve"> (e.g. Webb et al. 2012)</w:t>
      </w:r>
      <w:r w:rsidR="00641E5E">
        <w:t xml:space="preserve">, </w:t>
      </w:r>
      <w:r w:rsidR="0043599A">
        <w:t xml:space="preserve">which in turn may make </w:t>
      </w:r>
      <w:r w:rsidR="00C82520">
        <w:t xml:space="preserve">grazing livestock in much of the Australian rangelands </w:t>
      </w:r>
      <w:r w:rsidR="0043599A">
        <w:t>less economic</w:t>
      </w:r>
      <w:r w:rsidR="00245649">
        <w:t>ally viable</w:t>
      </w:r>
      <w:r w:rsidR="00BF2234">
        <w:t xml:space="preserve">. </w:t>
      </w:r>
      <w:r w:rsidR="00C00273" w:rsidRPr="00C00273">
        <w:t>High grazing intensities ha</w:t>
      </w:r>
      <w:r w:rsidR="00E71383">
        <w:t>ve</w:t>
      </w:r>
      <w:r w:rsidR="00C00273" w:rsidRPr="00C00273">
        <w:t xml:space="preserve"> also decreased </w:t>
      </w:r>
      <w:r w:rsidR="00005359">
        <w:t xml:space="preserve">the </w:t>
      </w:r>
      <w:r w:rsidR="00C00273" w:rsidRPr="00C00273">
        <w:t>woody:grass ratio due to the supressed emergence and growth of trees due to livestock browsing and trampling o</w:t>
      </w:r>
      <w:r w:rsidR="0064143F">
        <w:t>f</w:t>
      </w:r>
      <w:r w:rsidR="00C00273" w:rsidRPr="00C00273">
        <w:t xml:space="preserve"> saplings (Brand 2000; Eldridge et al. 2011), and from competition from an increase in abundance of weeds and under-storey species that are unpalatable to livestock (Diaz et al. 2007; Close et al. 2008; Duncan et al. 2008). </w:t>
      </w:r>
      <w:r w:rsidR="00C00273">
        <w:t>If</w:t>
      </w:r>
      <w:r w:rsidR="00C00273" w:rsidRPr="00C00273">
        <w:t xml:space="preserve"> livestock numbers declin</w:t>
      </w:r>
      <w:r w:rsidR="00C00273">
        <w:t xml:space="preserve">e </w:t>
      </w:r>
      <w:r w:rsidR="00C00273" w:rsidRPr="00C00273">
        <w:t xml:space="preserve">in </w:t>
      </w:r>
      <w:r w:rsidR="00220AC4">
        <w:t xml:space="preserve">the </w:t>
      </w:r>
      <w:r w:rsidR="00854964">
        <w:t>rangeland</w:t>
      </w:r>
      <w:r w:rsidR="00220AC4">
        <w:t xml:space="preserve">s, </w:t>
      </w:r>
      <w:r w:rsidR="00AC7087">
        <w:t xml:space="preserve">this may facilitate the </w:t>
      </w:r>
      <w:r w:rsidR="00C00273" w:rsidRPr="00C00273">
        <w:t>recovery of the woody:grass ratio. For example, Witt et al. (2011) found that the removal of grazing pressure in semi-arid woodlands over periods of 14-44 years resulted in a significant increase in regenerating trees. Similar results were found by Daryanto et al. (2013) in mulga woodland.</w:t>
      </w:r>
    </w:p>
    <w:p w14:paraId="1F10A066" w14:textId="372482D8" w:rsidR="00983F24" w:rsidRDefault="00AA7F70" w:rsidP="00983F24">
      <w:pPr>
        <w:pStyle w:val="BodyText"/>
      </w:pPr>
      <w:r>
        <w:t>Regarding the consequences to plant growth and establishment, the relatively harsh climatic conditions of arid Australia have produced a range of species adaptations to cope with long periods of dry conditions and low growth, and traits to take advantage of the advantageous growth conditions when they occur. The nature of the vegetation would thus help to mitigate against the projected changes above, and that catastrophic (&lt;20% of expected abatement achieved) or even major (20-50% of expected abatement achieved) consequences are unlikely. Indeed, Nolan et al. (2019) note that whilst the risks of recruitment failure in these ecosystems are, in general, high (estimated to be &gt;80%), the rules of the HIR and NFMR methodologies that require ‘forest potential’ to be already established on a site when a project is registered (such as evidence of existing successful regeneration) significantly mitigates this risk. Although there is little in the way of quantitative data to draw upon, here we assess the residual risks to reduced growth and establishment success to be both Moderate, which when combined with the likelihood assessment above (‘Likely’) gives an overall risk rating of Medium (</w:t>
      </w:r>
      <w:r w:rsidR="00983F24">
        <w:t>Table 11).</w:t>
      </w:r>
    </w:p>
    <w:p w14:paraId="4ABA841D" w14:textId="7CC4B345" w:rsidR="00AA7F70" w:rsidRDefault="00AA7F70" w:rsidP="00983F24">
      <w:pPr>
        <w:pStyle w:val="BodyText"/>
      </w:pPr>
      <w:r>
        <w:t xml:space="preserve">Because the risk factors discussed here simultaneously affect large areas of the continent, this risk rating applies to the portfolio of projects as a whole, as well as individual projects. </w:t>
      </w:r>
    </w:p>
    <w:p w14:paraId="29642AEB" w14:textId="77777777" w:rsidR="002C3C3F" w:rsidRDefault="002C3C3F" w:rsidP="00D471A0">
      <w:pPr>
        <w:pStyle w:val="BodyText"/>
        <w:rPr>
          <w:i/>
          <w:iCs/>
        </w:rPr>
      </w:pPr>
    </w:p>
    <w:p w14:paraId="2FD14ACA" w14:textId="780D1825" w:rsidR="0055042E" w:rsidRDefault="0055042E" w:rsidP="00D471A0">
      <w:pPr>
        <w:pStyle w:val="BodyText"/>
        <w:rPr>
          <w:i/>
          <w:iCs/>
        </w:rPr>
      </w:pPr>
      <w:r>
        <w:rPr>
          <w:i/>
          <w:iCs/>
        </w:rPr>
        <w:t>Pests and diseases</w:t>
      </w:r>
    </w:p>
    <w:p w14:paraId="3561F172" w14:textId="00B0D8C1" w:rsidR="009F57E6" w:rsidRDefault="006D5BD1" w:rsidP="00D471A0">
      <w:pPr>
        <w:pStyle w:val="BodyText"/>
      </w:pPr>
      <w:r>
        <w:t xml:space="preserve">Insects and fungi are strongly influenced by climatic conditions, particularly </w:t>
      </w:r>
      <w:r w:rsidR="00F84764">
        <w:t xml:space="preserve">temperature, </w:t>
      </w:r>
      <w:r w:rsidR="000C1329">
        <w:t xml:space="preserve">relative humidity and </w:t>
      </w:r>
      <w:r w:rsidR="00A94A7F">
        <w:t>rainfall</w:t>
      </w:r>
      <w:r w:rsidR="00BF2234">
        <w:t xml:space="preserve">. </w:t>
      </w:r>
      <w:r w:rsidR="007F2068">
        <w:t xml:space="preserve">For many forest pests and diseases in Australia, </w:t>
      </w:r>
      <w:r w:rsidR="00EF22CC">
        <w:t>a southwar</w:t>
      </w:r>
      <w:r w:rsidR="00247D89">
        <w:t xml:space="preserve">d shift </w:t>
      </w:r>
      <w:r w:rsidR="0096362D">
        <w:t>in distribut</w:t>
      </w:r>
      <w:r w:rsidR="00C73AA3">
        <w:t xml:space="preserve">ion is projected in response to </w:t>
      </w:r>
      <w:r w:rsidR="00ED0B67">
        <w:t>increasing temperatures and/or declining rainfall</w:t>
      </w:r>
      <w:r w:rsidR="00BF2234">
        <w:t xml:space="preserve">. </w:t>
      </w:r>
      <w:r w:rsidR="00D01CAF">
        <w:t xml:space="preserve">The </w:t>
      </w:r>
      <w:r w:rsidR="00D01CAF">
        <w:lastRenderedPageBreak/>
        <w:t>potential for new pest species to emerge in response to these shifts in distribution has been acknowledged</w:t>
      </w:r>
      <w:r w:rsidR="007574B3">
        <w:t>.</w:t>
      </w:r>
    </w:p>
    <w:p w14:paraId="1B948C2E" w14:textId="74183452" w:rsidR="0014351A" w:rsidRDefault="00EE4C20" w:rsidP="00D471A0">
      <w:pPr>
        <w:pStyle w:val="BodyText"/>
      </w:pPr>
      <w:r>
        <w:t xml:space="preserve">There is little research </w:t>
      </w:r>
      <w:r w:rsidR="005777DE">
        <w:t xml:space="preserve">on </w:t>
      </w:r>
      <w:r w:rsidR="00496F31">
        <w:t xml:space="preserve">the </w:t>
      </w:r>
      <w:r w:rsidR="00442E3D">
        <w:t xml:space="preserve">pests and diseases of </w:t>
      </w:r>
      <w:r w:rsidR="00A615EB">
        <w:t>f</w:t>
      </w:r>
      <w:r w:rsidR="00442E3D">
        <w:t>orest</w:t>
      </w:r>
      <w:r w:rsidR="00FC5CEB">
        <w:t xml:space="preserve"> species</w:t>
      </w:r>
      <w:r w:rsidR="00081B5D">
        <w:t xml:space="preserve"> within the HIR and NFMR activity areas</w:t>
      </w:r>
      <w:r w:rsidR="004848F5">
        <w:t xml:space="preserve">, or on </w:t>
      </w:r>
      <w:r w:rsidR="005777DE">
        <w:t xml:space="preserve">the implications of climate change for </w:t>
      </w:r>
      <w:r w:rsidR="00762B45">
        <w:t xml:space="preserve">any </w:t>
      </w:r>
      <w:r w:rsidR="005777DE">
        <w:t>pests and diseases</w:t>
      </w:r>
      <w:r w:rsidR="00BF2234">
        <w:t xml:space="preserve">. </w:t>
      </w:r>
      <w:r w:rsidR="000E192C">
        <w:t xml:space="preserve">Mitchell </w:t>
      </w:r>
      <w:r w:rsidR="00B64871">
        <w:t>(</w:t>
      </w:r>
      <w:r w:rsidR="000E192C">
        <w:t>1989</w:t>
      </w:r>
      <w:r w:rsidR="00B64871">
        <w:t>)</w:t>
      </w:r>
      <w:r w:rsidR="000E192C">
        <w:t xml:space="preserve"> </w:t>
      </w:r>
      <w:r w:rsidR="00CC6983">
        <w:t xml:space="preserve">highlighted the susceptibility of </w:t>
      </w:r>
      <w:r w:rsidR="00CC6983" w:rsidRPr="00FA380E">
        <w:rPr>
          <w:i/>
          <w:iCs/>
        </w:rPr>
        <w:t>Acacia aneura</w:t>
      </w:r>
      <w:r w:rsidR="00CC6983">
        <w:t xml:space="preserve"> to </w:t>
      </w:r>
      <w:r w:rsidR="00AF5EB8">
        <w:t xml:space="preserve">termite damage and </w:t>
      </w:r>
      <w:r w:rsidR="00504F14">
        <w:t xml:space="preserve">defoliation from insects, </w:t>
      </w:r>
      <w:r w:rsidR="00FA380E">
        <w:t>but provided no details of</w:t>
      </w:r>
      <w:r w:rsidR="00471C90">
        <w:t xml:space="preserve"> </w:t>
      </w:r>
      <w:r w:rsidR="008D50AA">
        <w:t xml:space="preserve">relevant </w:t>
      </w:r>
      <w:r w:rsidR="00471C90">
        <w:t>pest species</w:t>
      </w:r>
      <w:r w:rsidR="00867A4A">
        <w:t>.</w:t>
      </w:r>
      <w:r w:rsidR="007255AB">
        <w:t xml:space="preserve"> </w:t>
      </w:r>
      <w:r w:rsidR="00604162">
        <w:t>A study by</w:t>
      </w:r>
      <w:r w:rsidR="00247841">
        <w:t xml:space="preserve"> </w:t>
      </w:r>
      <w:r w:rsidR="00A61B6A">
        <w:t xml:space="preserve">Buczkowski and Bertelsmeier (2017) examined the </w:t>
      </w:r>
      <w:r w:rsidR="00D7756D">
        <w:t xml:space="preserve">effects of climate change on </w:t>
      </w:r>
      <w:r w:rsidR="005F2770">
        <w:t>the distribution of termites</w:t>
      </w:r>
      <w:r w:rsidR="00C66FA4">
        <w:t xml:space="preserve">, highlighting the species-specific nature of </w:t>
      </w:r>
      <w:r w:rsidR="00D976B6">
        <w:t>projected climate responses</w:t>
      </w:r>
      <w:r w:rsidR="00396015">
        <w:t xml:space="preserve"> and the lack of physiological data</w:t>
      </w:r>
      <w:r w:rsidR="00323C7A">
        <w:t xml:space="preserve"> for identifying </w:t>
      </w:r>
      <w:r w:rsidR="00FA380E">
        <w:t>species-specific environmental limiting factors</w:t>
      </w:r>
      <w:r w:rsidR="00BF2234">
        <w:t xml:space="preserve">. </w:t>
      </w:r>
      <w:r w:rsidR="002F674B">
        <w:t xml:space="preserve">An example using one species, </w:t>
      </w:r>
      <w:r w:rsidR="002F674B" w:rsidRPr="00BB1170">
        <w:rPr>
          <w:i/>
          <w:iCs/>
        </w:rPr>
        <w:t>Mastotermes darwiniensis</w:t>
      </w:r>
      <w:r w:rsidR="002F674B">
        <w:t xml:space="preserve">, </w:t>
      </w:r>
      <w:r w:rsidR="00364D48">
        <w:t>suggested range contractions in NW Australia</w:t>
      </w:r>
      <w:r w:rsidR="00C975A4">
        <w:t xml:space="preserve">, and either no change or an expansion </w:t>
      </w:r>
      <w:r w:rsidR="00F73483">
        <w:t>on the east coast</w:t>
      </w:r>
      <w:r w:rsidR="00CF57C7">
        <w:t>, but no change in the area covered by the HIR and NFMR activity areas</w:t>
      </w:r>
      <w:r w:rsidR="00BF2234">
        <w:t xml:space="preserve">. </w:t>
      </w:r>
      <w:r w:rsidR="00F231DC">
        <w:t>Desic</w:t>
      </w:r>
      <w:r w:rsidR="00753CE8">
        <w:t>c</w:t>
      </w:r>
      <w:r w:rsidR="00F231DC">
        <w:t xml:space="preserve">ation has been found to be </w:t>
      </w:r>
      <w:r w:rsidR="00BD1388">
        <w:t>an important determinant of termite abundance</w:t>
      </w:r>
      <w:r w:rsidR="001E32FC">
        <w:t xml:space="preserve">, suggesting that the </w:t>
      </w:r>
      <w:r w:rsidR="0001119D">
        <w:t>dr</w:t>
      </w:r>
      <w:r w:rsidR="009C1795">
        <w:t>ying trend</w:t>
      </w:r>
      <w:r w:rsidR="00E576A1">
        <w:t xml:space="preserve"> projected for the activity area over the coming decades may reduce</w:t>
      </w:r>
      <w:r w:rsidR="00EB6C02">
        <w:t xml:space="preserve"> abundance</w:t>
      </w:r>
      <w:r w:rsidR="002A6CA3">
        <w:t xml:space="preserve"> into the future</w:t>
      </w:r>
      <w:r w:rsidR="00BF2234">
        <w:t xml:space="preserve">. </w:t>
      </w:r>
    </w:p>
    <w:p w14:paraId="66023A3B" w14:textId="53D7D80E" w:rsidR="008B7104" w:rsidRPr="005A5F57" w:rsidRDefault="00862ED5" w:rsidP="00D471A0">
      <w:pPr>
        <w:pStyle w:val="BodyText"/>
      </w:pPr>
      <w:r>
        <w:t>Rabbits, hares, deer, goats, kangaroos and wallabies are common browsers of young trees (Reid 2020). Rabbits are predicted to retreat southwards (perhaps away from many current project areas in the lower rainfall zones of the rangelands) and whole ecosystems in the higher rainfall zones of the rangelands will be affected because browsing rabbits prevent mulga and other dominant rangeland plants from regenerating (Lange and Graham 1983; Cooke and Hunt 1987).</w:t>
      </w:r>
    </w:p>
    <w:p w14:paraId="6871AC2E" w14:textId="77777777" w:rsidR="00AD55CE" w:rsidRDefault="00AD55CE" w:rsidP="00AD55CE">
      <w:pPr>
        <w:pStyle w:val="BodyText"/>
        <w:rPr>
          <w:i/>
          <w:iCs/>
        </w:rPr>
      </w:pPr>
      <w:r>
        <w:rPr>
          <w:i/>
          <w:iCs/>
        </w:rPr>
        <w:t>Fire</w:t>
      </w:r>
    </w:p>
    <w:p w14:paraId="4D4CE2EC" w14:textId="080C9D1A" w:rsidR="006C3DF2" w:rsidRDefault="00063191" w:rsidP="00CB2D54">
      <w:pPr>
        <w:pStyle w:val="BodyText"/>
      </w:pPr>
      <w:r>
        <w:t>Arid ecosystem v</w:t>
      </w:r>
      <w:r w:rsidR="000F6DBA">
        <w:t xml:space="preserve">egetation dynamics </w:t>
      </w:r>
      <w:r>
        <w:t xml:space="preserve">within the HIR and NFMR </w:t>
      </w:r>
      <w:r w:rsidR="00D837D7">
        <w:t xml:space="preserve">activity </w:t>
      </w:r>
      <w:r w:rsidR="00733112">
        <w:t xml:space="preserve">areas </w:t>
      </w:r>
      <w:r w:rsidR="000F6DBA">
        <w:t xml:space="preserve">are broadly correlated with a gradient from the west of the continent to the east, with greater aridity in the west and a more consistent ground cover due to the common association of </w:t>
      </w:r>
      <w:r w:rsidR="00D837D7">
        <w:t xml:space="preserve">overstorey trees with </w:t>
      </w:r>
      <w:r w:rsidR="000F6DBA">
        <w:t xml:space="preserve">Spinifex hummock grasses, resulting in relatively higher ground fuel loads and fire activity, through central Australia where ground cover comprising tussock grasses become increasingly prevalent, and to eastern Australia with less predictability in herbaceous ground cover, and a corresponding reduction in the importance of fire. </w:t>
      </w:r>
      <w:r w:rsidR="00334109">
        <w:t xml:space="preserve">This trend can be seen in the historical record of fire occurrence over </w:t>
      </w:r>
      <w:r w:rsidR="00183805">
        <w:t>a 25 year period (1988-2013)</w:t>
      </w:r>
      <w:r w:rsidR="00BD5201">
        <w:t>(</w:t>
      </w:r>
      <w:r w:rsidR="00752BDE">
        <w:fldChar w:fldCharType="begin"/>
      </w:r>
      <w:r w:rsidR="00752BDE">
        <w:instrText xml:space="preserve"> REF _Ref49781678 \h </w:instrText>
      </w:r>
      <w:r w:rsidR="00752BDE">
        <w:fldChar w:fldCharType="separate"/>
      </w:r>
      <w:r w:rsidR="00235F13">
        <w:t xml:space="preserve">Figure </w:t>
      </w:r>
      <w:r w:rsidR="00235F13">
        <w:rPr>
          <w:noProof/>
        </w:rPr>
        <w:t>6</w:t>
      </w:r>
      <w:r w:rsidR="00752BDE">
        <w:fldChar w:fldCharType="end"/>
      </w:r>
      <w:r w:rsidR="000C61CA">
        <w:t>a</w:t>
      </w:r>
      <w:r w:rsidR="00514BF7">
        <w:t>), where</w:t>
      </w:r>
      <w:r w:rsidR="00C2381D">
        <w:t xml:space="preserve"> fire activity within the Western Australia group of registered projects is</w:t>
      </w:r>
      <w:r w:rsidR="00735A55">
        <w:t xml:space="preserve"> slightly more prevalent than </w:t>
      </w:r>
      <w:r w:rsidR="00BC62BF">
        <w:t>with</w:t>
      </w:r>
      <w:r w:rsidR="00735A55">
        <w:t>in the current distribution of HIR projects in eastern Australia.</w:t>
      </w:r>
      <w:r w:rsidR="00BC62BF">
        <w:t xml:space="preserve"> In both </w:t>
      </w:r>
      <w:r w:rsidR="006C3DF2">
        <w:t>regions</w:t>
      </w:r>
      <w:r w:rsidR="00BC62BF">
        <w:t>, however, fire activity is relatively low</w:t>
      </w:r>
      <w:r w:rsidR="00DB4C6C">
        <w:t>, both in terms of spatial extent and frequency.</w:t>
      </w:r>
      <w:r w:rsidR="00CB2D54">
        <w:t xml:space="preserve"> </w:t>
      </w:r>
      <w:r w:rsidR="004713EC">
        <w:t>Most available information</w:t>
      </w:r>
      <w:r w:rsidR="003F7A0C">
        <w:t xml:space="preserve"> on fire </w:t>
      </w:r>
      <w:r w:rsidR="006344FA">
        <w:t xml:space="preserve">dynamics </w:t>
      </w:r>
      <w:r w:rsidR="003F7A0C">
        <w:t xml:space="preserve">is </w:t>
      </w:r>
      <w:r w:rsidR="006C3DF2">
        <w:t>from the</w:t>
      </w:r>
      <w:r w:rsidR="003F7A0C">
        <w:t xml:space="preserve"> </w:t>
      </w:r>
      <w:r w:rsidR="00D71D18">
        <w:t>mulga</w:t>
      </w:r>
      <w:r w:rsidR="003F7A0C">
        <w:t xml:space="preserve"> woodlands, which also comprise</w:t>
      </w:r>
      <w:r w:rsidR="006C3DF2">
        <w:t>s</w:t>
      </w:r>
      <w:r w:rsidR="003F7A0C">
        <w:t xml:space="preserve"> a large proportion of current HIR and NFMR projects.</w:t>
      </w:r>
      <w:r w:rsidR="004713EC">
        <w:t xml:space="preserve"> </w:t>
      </w:r>
    </w:p>
    <w:p w14:paraId="4416635C" w14:textId="4015AFAC" w:rsidR="00CB2D54" w:rsidRPr="0093466A" w:rsidRDefault="00CB2D54" w:rsidP="00CB2D54">
      <w:pPr>
        <w:pStyle w:val="BodyText"/>
      </w:pPr>
      <w:r>
        <w:t xml:space="preserve">Towards the eastern extent of the </w:t>
      </w:r>
      <w:r w:rsidR="00D71D18">
        <w:t>mulga</w:t>
      </w:r>
      <w:r>
        <w:t xml:space="preserve"> distribution the evidence for fire as a primary driver of community dynamics is less compelling, due to a greater limitation of fuel loads, and a reliance on relatively rare sequences of rainfall events that provide the necessary growth condition to facilitate herbaceous growth and thus fire spread (Silcock et al. 2016). When fire does occur, the post-fire regeneration strategy and seed dynamics of </w:t>
      </w:r>
      <w:r w:rsidR="00D71D18">
        <w:t>mulga</w:t>
      </w:r>
      <w:r>
        <w:t xml:space="preserve"> suggest a trajectory towards recovery of the vegetation.</w:t>
      </w:r>
    </w:p>
    <w:p w14:paraId="02FABF16" w14:textId="1D979958" w:rsidR="000F6DBA" w:rsidRDefault="000F6DBA" w:rsidP="000F6DBA">
      <w:pPr>
        <w:pStyle w:val="BodyText"/>
      </w:pPr>
      <w:r>
        <w:t xml:space="preserve">In response to fire, </w:t>
      </w:r>
      <w:r w:rsidR="00D71D18">
        <w:t>mulga</w:t>
      </w:r>
      <w:r>
        <w:t xml:space="preserve"> is capable of re-sprouting vegetatively from epicormic buds following low severity fire, but is readily killed by high severity fire (Wright and Fensham 2017). However, during normal growth conditions </w:t>
      </w:r>
      <w:r w:rsidR="00D71D18">
        <w:t>mulga</w:t>
      </w:r>
      <w:r>
        <w:t xml:space="preserve"> communities are typically fire-resistant due to their low productivity and lack of ground vegetation cover (required to provide fuel connectivity). </w:t>
      </w:r>
      <w:r>
        <w:lastRenderedPageBreak/>
        <w:t xml:space="preserve">Widespread fire therefore occurs only after significant rainfall; but because mast seeding in </w:t>
      </w:r>
      <w:r w:rsidR="00D71D18">
        <w:t>mulga</w:t>
      </w:r>
      <w:r>
        <w:t xml:space="preserve"> is triggered by rainfall, this provides the capacity and the mechanism for subsequent community recovery (Wright and Zuur 2014; Wright and Fensham 2017). Mulga does not require fire to set seed and reproduce, though germination is enhanced by elevated soil temperatures associated with burning (Wright et al. 2016), and because the soil seedbank does not appear to have significant longevity, regeneration is likely tied to episodic rainfall events (Fensham et al. 2012). Whilst reductions in fire activity would seem to have limited impact on </w:t>
      </w:r>
      <w:r w:rsidR="00D71D18">
        <w:t>mulga</w:t>
      </w:r>
      <w:r>
        <w:t xml:space="preserve">, an increase in fire occurrence beyond the capacity of the </w:t>
      </w:r>
      <w:r w:rsidR="00D71D18">
        <w:t>mulga</w:t>
      </w:r>
      <w:r>
        <w:t xml:space="preserve"> to self-reproduce has been suggested as a potential trigger leading to the local loss of the </w:t>
      </w:r>
      <w:r w:rsidR="00D71D18">
        <w:t>mulga</w:t>
      </w:r>
      <w:r>
        <w:t xml:space="preserve"> overstorey (Nano and Clarke 2008; Nicholas et al. 2009; Ward et al. 2014). Though actual evidence for the contraction of </w:t>
      </w:r>
      <w:r w:rsidR="00D71D18">
        <w:t>mulga</w:t>
      </w:r>
      <w:r>
        <w:t xml:space="preserve"> in response to this mechanism remains equivocal (Nano et al. 2017).</w:t>
      </w:r>
      <w:r w:rsidR="007029AC">
        <w:t xml:space="preserve"> </w:t>
      </w:r>
      <w:r w:rsidR="00013474">
        <w:t xml:space="preserve">Species able to vegetatively </w:t>
      </w:r>
      <w:r w:rsidR="007029AC">
        <w:t xml:space="preserve">re-sprout </w:t>
      </w:r>
      <w:r w:rsidR="00013474">
        <w:t xml:space="preserve">from fire </w:t>
      </w:r>
      <w:r w:rsidR="007029AC">
        <w:t xml:space="preserve">are generally considered </w:t>
      </w:r>
      <w:r w:rsidR="00013474">
        <w:t xml:space="preserve">to be at lower risk </w:t>
      </w:r>
      <w:r w:rsidR="007029AC">
        <w:t>than vegetation that requires seedling germination for recruitment</w:t>
      </w:r>
      <w:r w:rsidR="00013474">
        <w:t xml:space="preserve">, given </w:t>
      </w:r>
      <w:r w:rsidR="00716DCF">
        <w:t>the potential for regenerating shoot</w:t>
      </w:r>
      <w:r w:rsidR="00755E8C">
        <w:t>s</w:t>
      </w:r>
      <w:r w:rsidR="00716DCF">
        <w:t xml:space="preserve"> to be somewhat buffered by</w:t>
      </w:r>
      <w:r w:rsidR="00755E8C">
        <w:t xml:space="preserve"> their ability to </w:t>
      </w:r>
      <w:r w:rsidR="005971A3">
        <w:t>relatively quickly re-sprout</w:t>
      </w:r>
      <w:r w:rsidR="00D61204">
        <w:t xml:space="preserve"> from the parent plant</w:t>
      </w:r>
      <w:r w:rsidR="005971A3">
        <w:t xml:space="preserve">, and to be able to </w:t>
      </w:r>
      <w:r w:rsidR="00755E8C">
        <w:t xml:space="preserve">draw </w:t>
      </w:r>
      <w:r w:rsidR="005971A3">
        <w:t xml:space="preserve">upon stored resources </w:t>
      </w:r>
      <w:r w:rsidR="003B726D">
        <w:t xml:space="preserve">such as </w:t>
      </w:r>
      <w:r w:rsidR="00A93684">
        <w:t xml:space="preserve">lignotubers </w:t>
      </w:r>
      <w:r w:rsidR="007029AC">
        <w:t>(Nolan et al. 2019).</w:t>
      </w:r>
      <w:r>
        <w:t xml:space="preserve">   </w:t>
      </w:r>
    </w:p>
    <w:p w14:paraId="417931C5" w14:textId="37444356" w:rsidR="00AD55CE" w:rsidRPr="001C7BDA" w:rsidRDefault="001C7BDA" w:rsidP="00D471A0">
      <w:pPr>
        <w:pStyle w:val="BodyText"/>
      </w:pPr>
      <w:r>
        <w:t>Within the Rangeland</w:t>
      </w:r>
      <w:r w:rsidR="00F46D2A">
        <w:t>s</w:t>
      </w:r>
      <w:r>
        <w:t xml:space="preserve"> </w:t>
      </w:r>
      <w:r w:rsidR="00161906">
        <w:t>North</w:t>
      </w:r>
      <w:r>
        <w:t xml:space="preserve"> sub-cluster</w:t>
      </w:r>
      <w:r w:rsidR="002366FA">
        <w:t xml:space="preserve"> the number of </w:t>
      </w:r>
      <w:r w:rsidR="00573901">
        <w:t>days year</w:t>
      </w:r>
      <w:r w:rsidR="00573901" w:rsidRPr="00573901">
        <w:rPr>
          <w:vertAlign w:val="superscript"/>
        </w:rPr>
        <w:t>-1</w:t>
      </w:r>
      <w:r w:rsidR="00573901">
        <w:t xml:space="preserve"> with a Forest Fire Danger Index (</w:t>
      </w:r>
      <w:r w:rsidR="00590ECA">
        <w:t xml:space="preserve">FFDI) greater than ‘High’ is expected by 2050 to </w:t>
      </w:r>
      <w:r w:rsidR="00C01A46">
        <w:t>change</w:t>
      </w:r>
      <w:r w:rsidR="00590ECA">
        <w:t xml:space="preserve"> by </w:t>
      </w:r>
      <w:r w:rsidR="00C01A46">
        <w:t>-2.3(</w:t>
      </w:r>
      <w:r w:rsidR="00D87315">
        <w:t>9.5)32.6 days year</w:t>
      </w:r>
      <w:r w:rsidR="00D87315" w:rsidRPr="00573901">
        <w:rPr>
          <w:vertAlign w:val="superscript"/>
        </w:rPr>
        <w:t>-1</w:t>
      </w:r>
      <w:r w:rsidR="00D87315">
        <w:t xml:space="preserve">, </w:t>
      </w:r>
      <w:r w:rsidR="005933A8">
        <w:t xml:space="preserve">corresponding to </w:t>
      </w:r>
      <w:r w:rsidR="00D87315">
        <w:t xml:space="preserve">a </w:t>
      </w:r>
      <w:r w:rsidR="002B71A2">
        <w:t xml:space="preserve">median </w:t>
      </w:r>
      <w:r w:rsidR="00D87315">
        <w:t xml:space="preserve">increase of </w:t>
      </w:r>
      <w:r w:rsidR="00126F43">
        <w:t>4%</w:t>
      </w:r>
      <w:r w:rsidR="002B71A2">
        <w:t xml:space="preserve"> above the current baseline of 261 days year</w:t>
      </w:r>
      <w:r w:rsidR="002B71A2" w:rsidRPr="00573901">
        <w:rPr>
          <w:vertAlign w:val="superscript"/>
        </w:rPr>
        <w:t>-1</w:t>
      </w:r>
      <w:r w:rsidR="00E46FE4">
        <w:t xml:space="preserve">. For </w:t>
      </w:r>
      <w:r w:rsidR="00161906">
        <w:t>the Rangelands South sub-cluster</w:t>
      </w:r>
      <w:r w:rsidR="00F46D2A">
        <w:t>,</w:t>
      </w:r>
      <w:r w:rsidR="00161906">
        <w:t xml:space="preserve"> the change is expected to be </w:t>
      </w:r>
      <w:r w:rsidR="00F26F3B">
        <w:t>3.6(18.5)</w:t>
      </w:r>
      <w:r w:rsidR="005933A8">
        <w:t>37.0 days year</w:t>
      </w:r>
      <w:r w:rsidR="005933A8" w:rsidRPr="00573901">
        <w:rPr>
          <w:vertAlign w:val="superscript"/>
        </w:rPr>
        <w:t>-1</w:t>
      </w:r>
      <w:r w:rsidR="005933A8">
        <w:t xml:space="preserve">, corresponding to a median increase of </w:t>
      </w:r>
      <w:r w:rsidR="00C1507B">
        <w:t>11</w:t>
      </w:r>
      <w:r w:rsidR="005933A8">
        <w:t xml:space="preserve">% above the current baseline of </w:t>
      </w:r>
      <w:r w:rsidR="00F947EA">
        <w:t>166</w:t>
      </w:r>
      <w:r w:rsidR="005933A8">
        <w:t xml:space="preserve"> days year</w:t>
      </w:r>
      <w:r w:rsidR="005933A8" w:rsidRPr="00573901">
        <w:rPr>
          <w:vertAlign w:val="superscript"/>
        </w:rPr>
        <w:t>-1</w:t>
      </w:r>
      <w:r w:rsidR="00F947EA">
        <w:t>.</w:t>
      </w:r>
      <w:r w:rsidR="00D87315">
        <w:t xml:space="preserve"> </w:t>
      </w:r>
      <w:r w:rsidR="00012D10">
        <w:t xml:space="preserve">Corresponding changes </w:t>
      </w:r>
      <w:r w:rsidR="002D09CA">
        <w:t xml:space="preserve">for </w:t>
      </w:r>
      <w:r w:rsidR="00012D10">
        <w:t xml:space="preserve">the annual cumulative FFDI are </w:t>
      </w:r>
      <w:r w:rsidR="00DF073C">
        <w:t xml:space="preserve">a </w:t>
      </w:r>
      <w:r w:rsidR="00EB110C">
        <w:t>6%</w:t>
      </w:r>
      <w:r>
        <w:t xml:space="preserve"> </w:t>
      </w:r>
      <w:r w:rsidR="002D09CA">
        <w:t xml:space="preserve">median </w:t>
      </w:r>
      <w:r w:rsidR="00DF073C">
        <w:t xml:space="preserve">increase for the Rangelands </w:t>
      </w:r>
      <w:r w:rsidR="002D09CA">
        <w:t xml:space="preserve">North sub-cluster, and </w:t>
      </w:r>
      <w:r w:rsidR="00FF1928">
        <w:t>11% increase for the Rangelands South sub-cluster.</w:t>
      </w:r>
      <w:r w:rsidR="004114FE">
        <w:t xml:space="preserve"> Given fire activity is driven by </w:t>
      </w:r>
      <w:r w:rsidR="00BD00CF">
        <w:t xml:space="preserve">preceding </w:t>
      </w:r>
      <w:r w:rsidR="00D97B11">
        <w:t>rainfall</w:t>
      </w:r>
      <w:r w:rsidR="00BD00CF">
        <w:t xml:space="preserve"> in the arid zone</w:t>
      </w:r>
      <w:r w:rsidR="00D97B11">
        <w:t xml:space="preserve">, </w:t>
      </w:r>
      <w:r w:rsidR="00BD00CF">
        <w:t>and rainfall projections are highly uncertain</w:t>
      </w:r>
      <w:r w:rsidR="00242CB9">
        <w:t xml:space="preserve">, </w:t>
      </w:r>
      <w:r w:rsidR="00D97B11">
        <w:t xml:space="preserve">there is </w:t>
      </w:r>
      <w:r w:rsidR="00242CB9">
        <w:t xml:space="preserve">therefore </w:t>
      </w:r>
      <w:r w:rsidR="00D97B11">
        <w:t xml:space="preserve">overall </w:t>
      </w:r>
      <w:r w:rsidR="000F5F5A">
        <w:rPr>
          <w:i/>
          <w:iCs/>
        </w:rPr>
        <w:t>l</w:t>
      </w:r>
      <w:r w:rsidR="00D97B11">
        <w:rPr>
          <w:i/>
          <w:iCs/>
        </w:rPr>
        <w:t xml:space="preserve">ow confidence </w:t>
      </w:r>
      <w:r w:rsidR="00D97B11">
        <w:t xml:space="preserve">in the projections for changes in fire </w:t>
      </w:r>
      <w:r w:rsidR="00AE0E7C">
        <w:t>risk.</w:t>
      </w:r>
      <w:r w:rsidR="00D97B11">
        <w:t xml:space="preserve"> </w:t>
      </w:r>
    </w:p>
    <w:p w14:paraId="693EBCF2" w14:textId="26F846D1" w:rsidR="000D0EBF" w:rsidRDefault="00AE0E7C" w:rsidP="000D0EBF">
      <w:pPr>
        <w:pStyle w:val="BodyText"/>
      </w:pPr>
      <w:r>
        <w:t xml:space="preserve">Based on this analysis </w:t>
      </w:r>
      <w:r w:rsidR="00B05E8D">
        <w:t xml:space="preserve">the current risks to sequestration from fire </w:t>
      </w:r>
      <w:r w:rsidR="00C27368">
        <w:t xml:space="preserve">are </w:t>
      </w:r>
      <w:r w:rsidR="00214BEC">
        <w:t xml:space="preserve">deemed to be </w:t>
      </w:r>
      <w:r w:rsidR="00C27368">
        <w:t>relatively low, given the low historical occurrence of fire in the affected vegetation types</w:t>
      </w:r>
      <w:r w:rsidR="00214BEC">
        <w:t>, even during high</w:t>
      </w:r>
      <w:r w:rsidR="001C6510">
        <w:t xml:space="preserve"> fire years</w:t>
      </w:r>
      <w:r w:rsidR="009942D6">
        <w:t xml:space="preserve"> (</w:t>
      </w:r>
      <w:r w:rsidR="00752BDE">
        <w:fldChar w:fldCharType="begin"/>
      </w:r>
      <w:r w:rsidR="00752BDE">
        <w:instrText xml:space="preserve"> REF _Ref49781678 \h </w:instrText>
      </w:r>
      <w:r w:rsidR="00752BDE">
        <w:fldChar w:fldCharType="separate"/>
      </w:r>
      <w:r w:rsidR="00235F13">
        <w:t xml:space="preserve">Figure </w:t>
      </w:r>
      <w:r w:rsidR="00235F13">
        <w:rPr>
          <w:noProof/>
        </w:rPr>
        <w:t>6</w:t>
      </w:r>
      <w:r w:rsidR="00752BDE">
        <w:fldChar w:fldCharType="end"/>
      </w:r>
      <w:r w:rsidR="009942D6">
        <w:t>c)</w:t>
      </w:r>
      <w:r w:rsidR="001C6510">
        <w:t>,</w:t>
      </w:r>
      <w:r w:rsidR="00C27368">
        <w:t xml:space="preserve"> and the regenerative traits of the vegetation that allow them to recover post-fire</w:t>
      </w:r>
      <w:r w:rsidR="00B908FC">
        <w:t xml:space="preserve">. By 2050 </w:t>
      </w:r>
      <w:r w:rsidR="007604A8">
        <w:t>a modest c</w:t>
      </w:r>
      <w:r w:rsidR="00B908FC">
        <w:t>hange in the fire risk is expected across the region as a whole</w:t>
      </w:r>
      <w:r w:rsidR="007604A8">
        <w:t xml:space="preserve">, but because of the high uncertainty the likelihood is considered to be </w:t>
      </w:r>
      <w:r w:rsidR="00C305A4">
        <w:t xml:space="preserve">‘about as likely as not’; and given the impacted vegetation types </w:t>
      </w:r>
      <w:r w:rsidR="004B5F52">
        <w:t>are largely fire resistant</w:t>
      </w:r>
      <w:r w:rsidR="001C6510">
        <w:t>,</w:t>
      </w:r>
      <w:r w:rsidR="00AE7A12">
        <w:t xml:space="preserve"> then the consequences are considered </w:t>
      </w:r>
      <w:r w:rsidR="001769B1">
        <w:t>‘</w:t>
      </w:r>
      <w:r w:rsidR="00AE7A12">
        <w:t>minor</w:t>
      </w:r>
      <w:r w:rsidR="001769B1">
        <w:t>’</w:t>
      </w:r>
      <w:r w:rsidR="00AE7A12">
        <w:t xml:space="preserve"> </w:t>
      </w:r>
      <w:r w:rsidR="000D0EBF">
        <w:t xml:space="preserve">for both </w:t>
      </w:r>
      <w:r w:rsidR="001769B1">
        <w:t xml:space="preserve">abatement </w:t>
      </w:r>
      <w:r w:rsidR="006B3316">
        <w:t>accumulation</w:t>
      </w:r>
      <w:r w:rsidR="000D0EBF">
        <w:t xml:space="preserve"> and </w:t>
      </w:r>
      <w:r w:rsidR="006B3316">
        <w:t>maintenance</w:t>
      </w:r>
      <w:r w:rsidR="000D0EBF">
        <w:t>.</w:t>
      </w:r>
      <w:r w:rsidR="001C6510">
        <w:t xml:space="preserve"> Th</w:t>
      </w:r>
      <w:r w:rsidR="000F23CD">
        <w:t xml:space="preserve">e </w:t>
      </w:r>
      <w:r w:rsidR="005E52FE">
        <w:t xml:space="preserve">resulting </w:t>
      </w:r>
      <w:r w:rsidR="000F23CD">
        <w:t xml:space="preserve">risk rating for fire to significantly impact </w:t>
      </w:r>
      <w:r w:rsidR="00A10329">
        <w:t xml:space="preserve">either abatement </w:t>
      </w:r>
      <w:r w:rsidR="006B3316">
        <w:t xml:space="preserve">accumulation </w:t>
      </w:r>
      <w:r w:rsidR="00A10329">
        <w:t xml:space="preserve">or </w:t>
      </w:r>
      <w:r w:rsidR="006B3316">
        <w:t>maintenance</w:t>
      </w:r>
      <w:r w:rsidR="00A10329">
        <w:t xml:space="preserve"> is </w:t>
      </w:r>
      <w:r w:rsidR="005E52FE">
        <w:t xml:space="preserve">therefore </w:t>
      </w:r>
      <w:r w:rsidR="00A10329">
        <w:t>low at the</w:t>
      </w:r>
      <w:r w:rsidR="00486608">
        <w:t xml:space="preserve"> whole portfolio level, and whilst also low at the individual project level</w:t>
      </w:r>
      <w:r w:rsidR="00404465">
        <w:t xml:space="preserve">, there always remains a chance of </w:t>
      </w:r>
      <w:r w:rsidR="007675EF">
        <w:t xml:space="preserve">some </w:t>
      </w:r>
      <w:r w:rsidR="00404465">
        <w:t>unplanned wildfire</w:t>
      </w:r>
      <w:r w:rsidR="00F34DA7">
        <w:t xml:space="preserve">, and proponents should be prepared </w:t>
      </w:r>
      <w:r w:rsidR="006458AF">
        <w:t>to manage for this</w:t>
      </w:r>
      <w:r w:rsidR="00F34DA7">
        <w:t xml:space="preserve"> this</w:t>
      </w:r>
      <w:r w:rsidR="00404465">
        <w:t xml:space="preserve">. For the HIR </w:t>
      </w:r>
      <w:r w:rsidR="00936BA4">
        <w:t xml:space="preserve">and NFMR </w:t>
      </w:r>
      <w:r w:rsidR="00404465">
        <w:t xml:space="preserve">activities </w:t>
      </w:r>
      <w:r w:rsidR="00936BA4">
        <w:t xml:space="preserve">the </w:t>
      </w:r>
      <w:r w:rsidR="00FF1BDB">
        <w:t>locations</w:t>
      </w:r>
      <w:r w:rsidR="00936BA4">
        <w:t xml:space="preserve"> in western Australia are likely to be more impacted</w:t>
      </w:r>
      <w:r w:rsidR="00FF1BDB">
        <w:t xml:space="preserve"> than eastern Australia</w:t>
      </w:r>
      <w:r w:rsidR="00936BA4">
        <w:t xml:space="preserve">, given </w:t>
      </w:r>
      <w:r w:rsidR="00FF1BDB">
        <w:t>the general differences in understory fuels</w:t>
      </w:r>
      <w:r w:rsidR="00805FA4">
        <w:t xml:space="preserve"> and slight</w:t>
      </w:r>
      <w:r w:rsidR="006458AF">
        <w:t>ly</w:t>
      </w:r>
      <w:r w:rsidR="00805FA4">
        <w:t xml:space="preserve"> greater prevalence of historical fire. </w:t>
      </w:r>
      <w:r w:rsidR="00EE464E">
        <w:t>I</w:t>
      </w:r>
      <w:r w:rsidR="00805FA4">
        <w:t>f HIR</w:t>
      </w:r>
      <w:r w:rsidR="00EE464E">
        <w:t xml:space="preserve"> or NFMR</w:t>
      </w:r>
      <w:r w:rsidR="00805FA4">
        <w:t xml:space="preserve"> activities were to spread into more productive areas</w:t>
      </w:r>
      <w:r w:rsidR="00EE464E">
        <w:t xml:space="preserve"> in the future</w:t>
      </w:r>
      <w:r w:rsidR="00805FA4">
        <w:t xml:space="preserve">, such as further </w:t>
      </w:r>
      <w:r w:rsidR="00EE464E">
        <w:t xml:space="preserve">east </w:t>
      </w:r>
      <w:r w:rsidR="00805FA4">
        <w:t xml:space="preserve">into Queensland, then it is likely the fire risk would also be relatively higher, again </w:t>
      </w:r>
      <w:r w:rsidR="00BB1E6F">
        <w:t xml:space="preserve">driven by </w:t>
      </w:r>
      <w:r w:rsidR="00805FA4">
        <w:t>higher</w:t>
      </w:r>
      <w:r w:rsidR="00CE7045">
        <w:t xml:space="preserve"> grassy understory fuel loads, as evidenced by greater historical fire activity (</w:t>
      </w:r>
      <w:r w:rsidR="00752BDE">
        <w:fldChar w:fldCharType="begin"/>
      </w:r>
      <w:r w:rsidR="00752BDE">
        <w:instrText xml:space="preserve"> REF _Ref49781678 \h </w:instrText>
      </w:r>
      <w:r w:rsidR="00752BDE">
        <w:fldChar w:fldCharType="separate"/>
      </w:r>
      <w:r w:rsidR="00235F13">
        <w:t xml:space="preserve">Figure </w:t>
      </w:r>
      <w:r w:rsidR="00235F13">
        <w:rPr>
          <w:noProof/>
        </w:rPr>
        <w:t>6</w:t>
      </w:r>
      <w:r w:rsidR="00752BDE">
        <w:fldChar w:fldCharType="end"/>
      </w:r>
      <w:r w:rsidR="0086249C">
        <w:t>a</w:t>
      </w:r>
      <w:r w:rsidR="00CE7045">
        <w:t>).</w:t>
      </w:r>
    </w:p>
    <w:p w14:paraId="4B71A7C5" w14:textId="5652F1AE" w:rsidR="000D0EBF" w:rsidRDefault="00DE401B" w:rsidP="00D471A0">
      <w:pPr>
        <w:pStyle w:val="BodyText"/>
        <w:rPr>
          <w:i/>
          <w:iCs/>
        </w:rPr>
      </w:pPr>
      <w:r>
        <w:rPr>
          <w:i/>
          <w:iCs/>
          <w:noProof/>
        </w:rPr>
        <w:lastRenderedPageBreak/>
        <mc:AlternateContent>
          <mc:Choice Requires="wps">
            <w:drawing>
              <wp:anchor distT="0" distB="0" distL="114300" distR="114300" simplePos="0" relativeHeight="251658248" behindDoc="0" locked="0" layoutInCell="1" allowOverlap="1" wp14:anchorId="5BBB08DD" wp14:editId="3CA7C54D">
                <wp:simplePos x="0" y="0"/>
                <wp:positionH relativeFrom="column">
                  <wp:posOffset>113716</wp:posOffset>
                </wp:positionH>
                <wp:positionV relativeFrom="paragraph">
                  <wp:posOffset>272669</wp:posOffset>
                </wp:positionV>
                <wp:extent cx="373075" cy="336500"/>
                <wp:effectExtent l="0" t="0" r="0" b="6985"/>
                <wp:wrapNone/>
                <wp:docPr id="1302523913" name="Text Box 1302523913"/>
                <wp:cNvGraphicFramePr/>
                <a:graphic xmlns:a="http://schemas.openxmlformats.org/drawingml/2006/main">
                  <a:graphicData uri="http://schemas.microsoft.com/office/word/2010/wordprocessingShape">
                    <wps:wsp>
                      <wps:cNvSpPr txBox="1"/>
                      <wps:spPr>
                        <a:xfrm>
                          <a:off x="0" y="0"/>
                          <a:ext cx="373075" cy="336500"/>
                        </a:xfrm>
                        <a:prstGeom prst="rect">
                          <a:avLst/>
                        </a:prstGeom>
                        <a:noFill/>
                        <a:ln w="6350">
                          <a:noFill/>
                        </a:ln>
                      </wps:spPr>
                      <wps:txbx>
                        <w:txbxContent>
                          <w:p w14:paraId="3C0A4EB4" w14:textId="65387DAF" w:rsidR="00A264AF" w:rsidRDefault="00A264A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BB08DD" id="Text Box 1302523913" o:spid="_x0000_s1048" type="#_x0000_t202" style="position:absolute;margin-left:8.95pt;margin-top:21.45pt;width:29.4pt;height:26.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" filled="f" stroked="f" strokeweight=".5pt">
                <v:textbox>
                  <w:txbxContent>
                    <w:p w14:paraId="3C0A4EB4" w14:textId="65387DAF" w:rsidR="00A264AF" w:rsidRDefault="00A264AF">
                      <w:r>
                        <w:t>(a)</w:t>
                      </w:r>
                    </w:p>
                  </w:txbxContent>
                </v:textbox>
              </v:shape>
            </w:pict>
          </mc:Fallback>
        </mc:AlternateContent>
      </w:r>
      <w:r w:rsidR="00546F1D">
        <w:rPr>
          <w:i/>
          <w:iCs/>
          <w:noProof/>
        </w:rPr>
        <w:drawing>
          <wp:inline distT="0" distB="0" distL="0" distR="0" wp14:anchorId="7CBB093B" wp14:editId="6BCA4EA8">
            <wp:extent cx="4235500" cy="3598262"/>
            <wp:effectExtent l="0" t="0" r="0" b="2540"/>
            <wp:docPr id="1302523909" name="Picture 130252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2339" cy="3612567"/>
                    </a:xfrm>
                    <a:prstGeom prst="rect">
                      <a:avLst/>
                    </a:prstGeom>
                    <a:noFill/>
                    <a:ln>
                      <a:noFill/>
                    </a:ln>
                  </pic:spPr>
                </pic:pic>
              </a:graphicData>
            </a:graphic>
          </wp:inline>
        </w:drawing>
      </w:r>
      <w:r w:rsidR="00A22726">
        <w:rPr>
          <w:i/>
          <w:iCs/>
          <w:noProof/>
        </w:rPr>
        <w:drawing>
          <wp:inline distT="0" distB="0" distL="0" distR="0" wp14:anchorId="302F1680" wp14:editId="05414B24">
            <wp:extent cx="634185" cy="3284525"/>
            <wp:effectExtent l="0" t="0" r="0" b="0"/>
            <wp:docPr id="1302523910" name="Picture 130252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8081" cy="3356494"/>
                    </a:xfrm>
                    <a:prstGeom prst="rect">
                      <a:avLst/>
                    </a:prstGeom>
                    <a:noFill/>
                    <a:ln>
                      <a:noFill/>
                    </a:ln>
                  </pic:spPr>
                </pic:pic>
              </a:graphicData>
            </a:graphic>
          </wp:inline>
        </w:drawing>
      </w:r>
    </w:p>
    <w:p w14:paraId="50711B5F" w14:textId="170427EE" w:rsidR="00060A04" w:rsidRDefault="00DE401B" w:rsidP="00D471A0">
      <w:pPr>
        <w:pStyle w:val="BodyText"/>
        <w:rPr>
          <w:i/>
          <w:iCs/>
        </w:rPr>
      </w:pPr>
      <w:r>
        <w:rPr>
          <w:i/>
          <w:iCs/>
          <w:noProof/>
        </w:rPr>
        <mc:AlternateContent>
          <mc:Choice Requires="wps">
            <w:drawing>
              <wp:anchor distT="0" distB="0" distL="114300" distR="114300" simplePos="0" relativeHeight="251658250" behindDoc="0" locked="0" layoutInCell="1" allowOverlap="1" wp14:anchorId="3300C2D2" wp14:editId="34EC4F9D">
                <wp:simplePos x="0" y="0"/>
                <wp:positionH relativeFrom="column">
                  <wp:posOffset>2414016</wp:posOffset>
                </wp:positionH>
                <wp:positionV relativeFrom="paragraph">
                  <wp:posOffset>7315</wp:posOffset>
                </wp:positionV>
                <wp:extent cx="373075" cy="336500"/>
                <wp:effectExtent l="0" t="0" r="0" b="6985"/>
                <wp:wrapNone/>
                <wp:docPr id="1302523915" name="Text Box 1302523915"/>
                <wp:cNvGraphicFramePr/>
                <a:graphic xmlns:a="http://schemas.openxmlformats.org/drawingml/2006/main">
                  <a:graphicData uri="http://schemas.microsoft.com/office/word/2010/wordprocessingShape">
                    <wps:wsp>
                      <wps:cNvSpPr txBox="1"/>
                      <wps:spPr>
                        <a:xfrm>
                          <a:off x="0" y="0"/>
                          <a:ext cx="373075" cy="336500"/>
                        </a:xfrm>
                        <a:prstGeom prst="rect">
                          <a:avLst/>
                        </a:prstGeom>
                        <a:noFill/>
                        <a:ln w="6350">
                          <a:noFill/>
                        </a:ln>
                      </wps:spPr>
                      <wps:txbx>
                        <w:txbxContent>
                          <w:p w14:paraId="042DC09C" w14:textId="10A5D6B8" w:rsidR="00A264AF" w:rsidRDefault="00A264AF" w:rsidP="00DE401B">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00C2D2" id="Text Box 1302523915" o:spid="_x0000_s1049" type="#_x0000_t202" style="position:absolute;margin-left:190.1pt;margin-top:.6pt;width:29.4pt;height:26.5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" filled="f" stroked="f" strokeweight=".5pt">
                <v:textbox>
                  <w:txbxContent>
                    <w:p w14:paraId="042DC09C" w14:textId="10A5D6B8" w:rsidR="00A264AF" w:rsidRDefault="00A264AF" w:rsidP="00DE401B">
                      <w:r>
                        <w:t>(c)</w:t>
                      </w:r>
                    </w:p>
                  </w:txbxContent>
                </v:textbox>
              </v:shape>
            </w:pict>
          </mc:Fallback>
        </mc:AlternateContent>
      </w:r>
      <w:r>
        <w:rPr>
          <w:i/>
          <w:iCs/>
          <w:noProof/>
        </w:rPr>
        <w:drawing>
          <wp:inline distT="0" distB="0" distL="0" distR="0" wp14:anchorId="3114146E" wp14:editId="68B701F7">
            <wp:extent cx="2388963" cy="2011680"/>
            <wp:effectExtent l="0" t="0" r="0" b="7620"/>
            <wp:docPr id="1302523912" name="Picture 130252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5671" cy="2051011"/>
                    </a:xfrm>
                    <a:prstGeom prst="rect">
                      <a:avLst/>
                    </a:prstGeom>
                    <a:noFill/>
                    <a:ln>
                      <a:noFill/>
                    </a:ln>
                  </pic:spPr>
                </pic:pic>
              </a:graphicData>
            </a:graphic>
          </wp:inline>
        </w:drawing>
      </w:r>
      <w:r>
        <w:rPr>
          <w:i/>
          <w:iCs/>
          <w:noProof/>
        </w:rPr>
        <mc:AlternateContent>
          <mc:Choice Requires="wps">
            <w:drawing>
              <wp:anchor distT="0" distB="0" distL="114300" distR="114300" simplePos="0" relativeHeight="251658249" behindDoc="0" locked="0" layoutInCell="1" allowOverlap="1" wp14:anchorId="68C7F6A0" wp14:editId="4FD348F5">
                <wp:simplePos x="0" y="0"/>
                <wp:positionH relativeFrom="column">
                  <wp:posOffset>80468</wp:posOffset>
                </wp:positionH>
                <wp:positionV relativeFrom="paragraph">
                  <wp:posOffset>3429</wp:posOffset>
                </wp:positionV>
                <wp:extent cx="373075" cy="336500"/>
                <wp:effectExtent l="0" t="0" r="0" b="6985"/>
                <wp:wrapNone/>
                <wp:docPr id="1302523914" name="Text Box 1302523914"/>
                <wp:cNvGraphicFramePr/>
                <a:graphic xmlns:a="http://schemas.openxmlformats.org/drawingml/2006/main">
                  <a:graphicData uri="http://schemas.microsoft.com/office/word/2010/wordprocessingShape">
                    <wps:wsp>
                      <wps:cNvSpPr txBox="1"/>
                      <wps:spPr>
                        <a:xfrm>
                          <a:off x="0" y="0"/>
                          <a:ext cx="373075" cy="336500"/>
                        </a:xfrm>
                        <a:prstGeom prst="rect">
                          <a:avLst/>
                        </a:prstGeom>
                        <a:noFill/>
                        <a:ln w="6350">
                          <a:noFill/>
                        </a:ln>
                      </wps:spPr>
                      <wps:txbx>
                        <w:txbxContent>
                          <w:p w14:paraId="0AC67178" w14:textId="1116B8BB" w:rsidR="00A264AF" w:rsidRDefault="00A264AF" w:rsidP="00DE401B">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C7F6A0" id="Text Box 1302523914" o:spid="_x0000_s1050" type="#_x0000_t202" style="position:absolute;margin-left:6.35pt;margin-top:.25pt;width:29.4pt;height:26.5pt;z-index:251658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" filled="f" stroked="f" strokeweight=".5pt">
                <v:textbox>
                  <w:txbxContent>
                    <w:p w14:paraId="0AC67178" w14:textId="1116B8BB" w:rsidR="00A264AF" w:rsidRDefault="00A264AF" w:rsidP="00DE401B">
                      <w:r>
                        <w:t>(b)</w:t>
                      </w:r>
                    </w:p>
                  </w:txbxContent>
                </v:textbox>
              </v:shape>
            </w:pict>
          </mc:Fallback>
        </mc:AlternateContent>
      </w:r>
      <w:r w:rsidRPr="1F802AF8">
        <w:rPr>
          <w:i/>
          <w:iCs/>
        </w:rPr>
        <w:t xml:space="preserve">  </w:t>
      </w:r>
      <w:r w:rsidR="00060A04">
        <w:rPr>
          <w:i/>
          <w:iCs/>
          <w:noProof/>
        </w:rPr>
        <w:drawing>
          <wp:inline distT="0" distB="0" distL="0" distR="0" wp14:anchorId="5493A215" wp14:editId="77A2ABE1">
            <wp:extent cx="2392070" cy="1985232"/>
            <wp:effectExtent l="0" t="0" r="8255" b="0"/>
            <wp:docPr id="1302523911" name="Picture 130252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02655" cy="1994017"/>
                    </a:xfrm>
                    <a:prstGeom prst="rect">
                      <a:avLst/>
                    </a:prstGeom>
                    <a:noFill/>
                    <a:ln>
                      <a:noFill/>
                    </a:ln>
                  </pic:spPr>
                </pic:pic>
              </a:graphicData>
            </a:graphic>
          </wp:inline>
        </w:drawing>
      </w:r>
    </w:p>
    <w:p w14:paraId="4382966A" w14:textId="57CB8BF9" w:rsidR="00BD5201" w:rsidRDefault="00BD5201" w:rsidP="00BD5201">
      <w:pPr>
        <w:pStyle w:val="Caption"/>
      </w:pPr>
      <w:bookmarkStart w:id="69" w:name="_Ref49781678"/>
      <w:bookmarkStart w:id="70" w:name="_Toc52968236"/>
      <w:r>
        <w:t xml:space="preserve">Figure </w:t>
      </w:r>
      <w:r>
        <w:fldChar w:fldCharType="begin"/>
      </w:r>
      <w:r>
        <w:instrText>SEQ Figure \* ARABIC</w:instrText>
      </w:r>
      <w:r>
        <w:fldChar w:fldCharType="separate"/>
      </w:r>
      <w:r w:rsidR="00235F13">
        <w:rPr>
          <w:noProof/>
        </w:rPr>
        <w:t>6</w:t>
      </w:r>
      <w:r>
        <w:fldChar w:fldCharType="end"/>
      </w:r>
      <w:bookmarkEnd w:id="69"/>
      <w:r>
        <w:t xml:space="preserve">. </w:t>
      </w:r>
      <w:r w:rsidR="00DE401B" w:rsidRPr="00DE401B">
        <w:rPr>
          <w:b w:val="0"/>
          <w:bCs w:val="0"/>
        </w:rPr>
        <w:t xml:space="preserve">(a) </w:t>
      </w:r>
      <w:r w:rsidR="00D633D9">
        <w:rPr>
          <w:b w:val="0"/>
          <w:bCs w:val="0"/>
        </w:rPr>
        <w:t>Number of fires</w:t>
      </w:r>
      <w:r w:rsidR="00314041" w:rsidRPr="00314041">
        <w:rPr>
          <w:b w:val="0"/>
          <w:bCs w:val="0"/>
        </w:rPr>
        <w:t xml:space="preserve"> </w:t>
      </w:r>
      <w:r w:rsidR="00314041">
        <w:rPr>
          <w:b w:val="0"/>
          <w:bCs w:val="0"/>
        </w:rPr>
        <w:t xml:space="preserve">over the period </w:t>
      </w:r>
      <w:r w:rsidR="00D633D9">
        <w:rPr>
          <w:b w:val="0"/>
          <w:bCs w:val="0"/>
        </w:rPr>
        <w:t>1</w:t>
      </w:r>
      <w:r w:rsidR="00314041">
        <w:rPr>
          <w:b w:val="0"/>
          <w:bCs w:val="0"/>
        </w:rPr>
        <w:t>988 to 2013</w:t>
      </w:r>
      <w:r w:rsidR="00691633">
        <w:rPr>
          <w:b w:val="0"/>
          <w:bCs w:val="0"/>
        </w:rPr>
        <w:t>. Red areas show the locations of HIR and NFMR project activity</w:t>
      </w:r>
      <w:r w:rsidRPr="0021349E">
        <w:rPr>
          <w:b w:val="0"/>
          <w:bCs w:val="0"/>
        </w:rPr>
        <w:t>.</w:t>
      </w:r>
      <w:r w:rsidR="00DE401B">
        <w:rPr>
          <w:b w:val="0"/>
          <w:bCs w:val="0"/>
        </w:rPr>
        <w:t xml:space="preserve"> (b) </w:t>
      </w:r>
      <w:r w:rsidR="000612DE">
        <w:rPr>
          <w:b w:val="0"/>
          <w:bCs w:val="0"/>
        </w:rPr>
        <w:t>Combined f</w:t>
      </w:r>
      <w:r w:rsidR="00DE401B">
        <w:rPr>
          <w:b w:val="0"/>
          <w:bCs w:val="0"/>
        </w:rPr>
        <w:t xml:space="preserve">ire burn areas for </w:t>
      </w:r>
      <w:r w:rsidR="000612DE">
        <w:rPr>
          <w:b w:val="0"/>
          <w:bCs w:val="0"/>
        </w:rPr>
        <w:t xml:space="preserve">low-fire years </w:t>
      </w:r>
      <w:r w:rsidR="00DE401B">
        <w:rPr>
          <w:b w:val="0"/>
          <w:bCs w:val="0"/>
        </w:rPr>
        <w:t>2004 and 2005</w:t>
      </w:r>
      <w:r w:rsidR="000612DE">
        <w:rPr>
          <w:b w:val="0"/>
          <w:bCs w:val="0"/>
        </w:rPr>
        <w:t>. (c) Combined fire burn areas for high-fire years 2011 and 2012.</w:t>
      </w:r>
      <w:bookmarkEnd w:id="70"/>
    </w:p>
    <w:p w14:paraId="0AAEFE74" w14:textId="4A72A2BA" w:rsidR="000D0EBF" w:rsidRDefault="000D0EBF" w:rsidP="00D471A0">
      <w:pPr>
        <w:pStyle w:val="BodyText"/>
        <w:rPr>
          <w:i/>
          <w:iCs/>
        </w:rPr>
      </w:pPr>
    </w:p>
    <w:p w14:paraId="53533AC8" w14:textId="003FF0E9" w:rsidR="0055042E" w:rsidRDefault="0055042E" w:rsidP="00D471A0">
      <w:pPr>
        <w:pStyle w:val="BodyText"/>
        <w:rPr>
          <w:i/>
          <w:iCs/>
        </w:rPr>
      </w:pPr>
      <w:r>
        <w:rPr>
          <w:i/>
          <w:iCs/>
        </w:rPr>
        <w:t>Drought</w:t>
      </w:r>
    </w:p>
    <w:p w14:paraId="695313DD" w14:textId="44EEB1BA" w:rsidR="00286BA9" w:rsidRDefault="00286BA9" w:rsidP="00FC47CD">
      <w:pPr>
        <w:pStyle w:val="BodyText"/>
      </w:pPr>
      <w:r w:rsidRPr="00EC747B">
        <w:t xml:space="preserve">Many researchers studying semi-arid regions of Australia have suggested that </w:t>
      </w:r>
      <w:r>
        <w:t xml:space="preserve">there are </w:t>
      </w:r>
      <w:r w:rsidR="00CC14B8">
        <w:t xml:space="preserve">boom-bust cycles of </w:t>
      </w:r>
      <w:r w:rsidRPr="00EC747B">
        <w:t xml:space="preserve">woodiness </w:t>
      </w:r>
      <w:r w:rsidR="006B7B15">
        <w:t xml:space="preserve">associated with </w:t>
      </w:r>
      <w:r w:rsidRPr="00EC747B">
        <w:t xml:space="preserve">multiple decades of episodic climate cycles (Fensham 2008; Silcock et al. 2013; Witt 2013; Silcock et al. 2016). Such cycles drive variability in the vegetation carbon sink within the vast amount of inland and northern Australia, which in turn, </w:t>
      </w:r>
      <w:r w:rsidR="00D71D18">
        <w:t>contributes significantly</w:t>
      </w:r>
      <w:r w:rsidRPr="00EC747B">
        <w:t xml:space="preserve"> </w:t>
      </w:r>
      <w:r w:rsidR="00D71D18">
        <w:t xml:space="preserve">to </w:t>
      </w:r>
      <w:r w:rsidRPr="00EC747B">
        <w:t>the global vegetation sink (Houghton et al. 2012; Poulter et al. 2014; Ballantyne et al. 2015; Haverd et al. 2017).</w:t>
      </w:r>
      <w:r w:rsidR="00E253D9">
        <w:t xml:space="preserve"> </w:t>
      </w:r>
    </w:p>
    <w:p w14:paraId="3CBF6334" w14:textId="597A1BE7" w:rsidR="008860CA" w:rsidRDefault="000F5769" w:rsidP="00FC47CD">
      <w:pPr>
        <w:pStyle w:val="BodyText"/>
      </w:pPr>
      <w:r>
        <w:t>Drought can be defined in many different ways</w:t>
      </w:r>
      <w:r w:rsidR="00683546">
        <w:t>. Here, t</w:t>
      </w:r>
      <w:r w:rsidR="003E0A50">
        <w:t>hree drought-specific statistics were available for analysis</w:t>
      </w:r>
      <w:r w:rsidR="00200D43">
        <w:t xml:space="preserve">, </w:t>
      </w:r>
      <w:r w:rsidR="00683546">
        <w:t xml:space="preserve">all </w:t>
      </w:r>
      <w:r w:rsidR="00200D43">
        <w:t>based on the Standardised Precipitation Index (SPI) which is calculated from temporal trends in rainfall</w:t>
      </w:r>
      <w:r w:rsidR="005323B1">
        <w:t xml:space="preserve">, </w:t>
      </w:r>
      <w:r w:rsidR="00F06BDD">
        <w:t xml:space="preserve">with </w:t>
      </w:r>
      <w:r w:rsidR="00EA040E">
        <w:t>three drought severity levels</w:t>
      </w:r>
      <w:r w:rsidR="00F06BDD">
        <w:t xml:space="preserve"> defined</w:t>
      </w:r>
      <w:r w:rsidR="00EA040E">
        <w:t>: moderate, severe and extreme</w:t>
      </w:r>
      <w:r w:rsidR="00683546">
        <w:t xml:space="preserve"> (</w:t>
      </w:r>
      <w:r w:rsidR="00841F8F">
        <w:t>Whetton et al. 2015</w:t>
      </w:r>
      <w:r w:rsidR="00683546">
        <w:t>)</w:t>
      </w:r>
      <w:r w:rsidR="005323B1">
        <w:t>. The first statistic, time in drought</w:t>
      </w:r>
      <w:r w:rsidR="001066A8">
        <w:t xml:space="preserve"> (%)</w:t>
      </w:r>
      <w:r w:rsidR="005323B1">
        <w:t>, provides</w:t>
      </w:r>
      <w:r w:rsidR="00EA040E">
        <w:t xml:space="preserve"> a broad indication </w:t>
      </w:r>
      <w:r w:rsidR="00EA040E">
        <w:lastRenderedPageBreak/>
        <w:t xml:space="preserve">of overall expected changes in </w:t>
      </w:r>
      <w:r w:rsidR="001066A8">
        <w:t xml:space="preserve">the proportion of time spent in </w:t>
      </w:r>
      <w:r w:rsidR="002703D1">
        <w:t xml:space="preserve">moderate </w:t>
      </w:r>
      <w:r w:rsidR="001066A8">
        <w:t xml:space="preserve">drought </w:t>
      </w:r>
      <w:r w:rsidR="008C785B">
        <w:t xml:space="preserve">conditions or above. </w:t>
      </w:r>
      <w:r w:rsidR="008860CA">
        <w:t xml:space="preserve">This aspect of drought risk was considered above in the discussion of risks to recruitment and tree growth, </w:t>
      </w:r>
      <w:r w:rsidR="00761D3D">
        <w:t xml:space="preserve">in that case </w:t>
      </w:r>
      <w:r w:rsidR="008860CA">
        <w:t xml:space="preserve">with a particular focus on risks to abatement </w:t>
      </w:r>
      <w:r w:rsidR="009A3FF7">
        <w:rPr>
          <w:color w:val="auto"/>
        </w:rPr>
        <w:t>accumulation</w:t>
      </w:r>
      <w:r w:rsidR="008860CA">
        <w:t>.</w:t>
      </w:r>
    </w:p>
    <w:p w14:paraId="36245277" w14:textId="218BB08A" w:rsidR="003404C4" w:rsidRDefault="008C785B" w:rsidP="003404C4">
      <w:pPr>
        <w:pStyle w:val="BodyText"/>
        <w:rPr>
          <w:i/>
          <w:iCs/>
        </w:rPr>
      </w:pPr>
      <w:r>
        <w:t>The other</w:t>
      </w:r>
      <w:r w:rsidR="005C25D4">
        <w:t xml:space="preserve"> two statistic</w:t>
      </w:r>
      <w:r w:rsidR="00172CCC">
        <w:t>s</w:t>
      </w:r>
      <w:r w:rsidR="005C25D4">
        <w:t xml:space="preserve"> quantify the </w:t>
      </w:r>
      <w:r w:rsidR="00A22DCE">
        <w:t xml:space="preserve">occurrence of extreme drought conditions, </w:t>
      </w:r>
      <w:r w:rsidR="006C6D46">
        <w:t xml:space="preserve">and have implications for tree mortality and </w:t>
      </w:r>
      <w:r w:rsidR="00E34A9C">
        <w:t xml:space="preserve">thus </w:t>
      </w:r>
      <w:r w:rsidR="009C6631">
        <w:t xml:space="preserve">risks to abatement </w:t>
      </w:r>
      <w:r w:rsidR="006B3316">
        <w:t>maintenance</w:t>
      </w:r>
      <w:r w:rsidR="009C6631">
        <w:t xml:space="preserve">. </w:t>
      </w:r>
      <w:r w:rsidR="00A7625A">
        <w:t xml:space="preserve">Mortality from extreme drought </w:t>
      </w:r>
      <w:r w:rsidR="002B72DF">
        <w:t xml:space="preserve">in arid environments </w:t>
      </w:r>
      <w:r w:rsidR="00A7625A">
        <w:t>appears common</w:t>
      </w:r>
      <w:r w:rsidR="002B72DF">
        <w:t xml:space="preserve">. Fensham et al. </w:t>
      </w:r>
      <w:r w:rsidR="00E44DEB">
        <w:t>(201</w:t>
      </w:r>
      <w:r w:rsidR="00DC4BFD">
        <w:t>9</w:t>
      </w:r>
      <w:r w:rsidR="00E44DEB">
        <w:t xml:space="preserve">) provided evidence for </w:t>
      </w:r>
      <w:r w:rsidR="003404C4">
        <w:t xml:space="preserve">18% - 30% </w:t>
      </w:r>
      <w:r w:rsidR="00E44DEB">
        <w:t xml:space="preserve">mortality from historical droughts in the </w:t>
      </w:r>
      <w:r w:rsidR="00467AC0">
        <w:t>20</w:t>
      </w:r>
      <w:r w:rsidR="00467AC0" w:rsidRPr="00467AC0">
        <w:rPr>
          <w:vertAlign w:val="superscript"/>
        </w:rPr>
        <w:t>th</w:t>
      </w:r>
      <w:r w:rsidR="00467AC0">
        <w:t xml:space="preserve"> century</w:t>
      </w:r>
      <w:r w:rsidR="00C379E7">
        <w:t xml:space="preserve"> in northern Australia</w:t>
      </w:r>
      <w:r w:rsidR="003404C4">
        <w:t>, which is consistent with Silcock et al. (201</w:t>
      </w:r>
      <w:r w:rsidR="00DC4BFD">
        <w:t>6</w:t>
      </w:r>
      <w:r w:rsidR="003404C4">
        <w:t xml:space="preserve">) </w:t>
      </w:r>
      <w:r w:rsidR="00F71D41">
        <w:t xml:space="preserve">who noted up to 20% mortality </w:t>
      </w:r>
      <w:r w:rsidR="003404C4">
        <w:t xml:space="preserve">in eastern Australia </w:t>
      </w:r>
      <w:r w:rsidR="00D71D18">
        <w:t>mulga</w:t>
      </w:r>
      <w:r w:rsidR="003404C4">
        <w:t xml:space="preserve"> communities</w:t>
      </w:r>
      <w:r w:rsidR="00F71D41">
        <w:t xml:space="preserve"> f</w:t>
      </w:r>
      <w:r w:rsidR="003404C4">
        <w:t>ollowing the millennium drought at the start of this century.</w:t>
      </w:r>
      <w:r w:rsidR="00C02635">
        <w:t xml:space="preserve"> Mitchell </w:t>
      </w:r>
      <w:r w:rsidR="008017C3">
        <w:t>et al. (</w:t>
      </w:r>
      <w:r w:rsidR="004A0AA3">
        <w:t>20</w:t>
      </w:r>
      <w:r w:rsidR="000F1571">
        <w:t>1</w:t>
      </w:r>
      <w:r w:rsidR="004A0AA3">
        <w:t>4</w:t>
      </w:r>
      <w:r w:rsidR="008017C3">
        <w:t xml:space="preserve">) </w:t>
      </w:r>
      <w:r w:rsidR="00C02635">
        <w:t xml:space="preserve">in their review of drought-related dieback </w:t>
      </w:r>
      <w:r w:rsidR="00B42304">
        <w:t xml:space="preserve">events </w:t>
      </w:r>
      <w:r w:rsidR="00EB5F15">
        <w:t>documented two</w:t>
      </w:r>
      <w:r w:rsidR="004A0AA3">
        <w:t xml:space="preserve"> </w:t>
      </w:r>
      <w:r w:rsidR="00753DAF">
        <w:t>historical m</w:t>
      </w:r>
      <w:r w:rsidR="008017C3">
        <w:t>ortality events within the HIR activity zone of eastern Australia</w:t>
      </w:r>
      <w:r w:rsidR="005B09FE">
        <w:t xml:space="preserve"> (Wilcan</w:t>
      </w:r>
      <w:r w:rsidR="00ED30BD">
        <w:t>n</w:t>
      </w:r>
      <w:r w:rsidR="005B09FE">
        <w:t>ia and Cobar)</w:t>
      </w:r>
      <w:r w:rsidR="00AC1288">
        <w:t>, and</w:t>
      </w:r>
      <w:r w:rsidR="006958D6">
        <w:t xml:space="preserve"> </w:t>
      </w:r>
      <w:r w:rsidR="00AC1288">
        <w:t xml:space="preserve">in their analysis noted the importance of both extreme drought conditions and </w:t>
      </w:r>
      <w:r w:rsidR="00C7069F">
        <w:t>extreme temperatures as a mortality trigger.</w:t>
      </w:r>
      <w:r w:rsidR="00AE157E">
        <w:t xml:space="preserve"> In an analysis of results from </w:t>
      </w:r>
      <w:r w:rsidR="0009109E">
        <w:t xml:space="preserve">the CSIRO Mk 3.5 GCM </w:t>
      </w:r>
      <w:r w:rsidR="007708F4">
        <w:t>applied to the locations of previous dieback events</w:t>
      </w:r>
      <w:r w:rsidR="004A6605">
        <w:t>, Mitchell et al. (20</w:t>
      </w:r>
      <w:r w:rsidR="000F1571">
        <w:t>1</w:t>
      </w:r>
      <w:r w:rsidR="004A6605">
        <w:t xml:space="preserve">4) </w:t>
      </w:r>
      <w:r w:rsidR="00BB3D22">
        <w:t xml:space="preserve">also </w:t>
      </w:r>
      <w:r w:rsidR="004A6605">
        <w:t>concluded droughts capable of inducing significant tree die-off</w:t>
      </w:r>
      <w:r w:rsidR="00F85D29">
        <w:t xml:space="preserve"> could increase from 1 in 24 years to 1 in 15 years by 2050, together with a doubling</w:t>
      </w:r>
      <w:r w:rsidR="0051621E">
        <w:t xml:space="preserve"> in the occurrence of associated heat waves.</w:t>
      </w:r>
      <w:r w:rsidR="007708F4">
        <w:t xml:space="preserve"> </w:t>
      </w:r>
      <w:r w:rsidR="00585C47">
        <w:t xml:space="preserve">This </w:t>
      </w:r>
      <w:r w:rsidR="00393EB7">
        <w:t>trend for</w:t>
      </w:r>
      <w:r w:rsidR="00585C47">
        <w:t xml:space="preserve"> increasing extreme drought risk and higher extreme temperature is</w:t>
      </w:r>
      <w:r w:rsidR="003F37DA">
        <w:t xml:space="preserve"> consistent with the </w:t>
      </w:r>
      <w:r w:rsidR="001A34BF">
        <w:t xml:space="preserve">projections </w:t>
      </w:r>
      <w:r w:rsidR="008B1580">
        <w:t xml:space="preserve">considered </w:t>
      </w:r>
      <w:r w:rsidR="001A34BF">
        <w:t xml:space="preserve">here, with </w:t>
      </w:r>
      <w:r w:rsidR="008B1580">
        <w:t>a</w:t>
      </w:r>
      <w:r w:rsidR="00DC46E0">
        <w:t xml:space="preserve">n increase in the frequency of extreme drought </w:t>
      </w:r>
      <w:r w:rsidR="00590113">
        <w:t xml:space="preserve">by 2050 </w:t>
      </w:r>
      <w:r w:rsidR="00DC46E0">
        <w:t xml:space="preserve">predicted to </w:t>
      </w:r>
      <w:r w:rsidR="000729CD">
        <w:t xml:space="preserve">be </w:t>
      </w:r>
      <w:r w:rsidR="007378A3">
        <w:t>-0.1</w:t>
      </w:r>
      <w:r w:rsidR="000729CD">
        <w:t>(0.</w:t>
      </w:r>
      <w:r w:rsidR="007378A3">
        <w:t>3</w:t>
      </w:r>
      <w:r w:rsidR="000729CD">
        <w:t>)</w:t>
      </w:r>
      <w:r w:rsidR="007378A3">
        <w:t>1.3</w:t>
      </w:r>
      <w:r w:rsidR="006929DA">
        <w:t xml:space="preserve"> </w:t>
      </w:r>
      <w:r w:rsidR="00FA4EF8">
        <w:t>events every 20 years</w:t>
      </w:r>
      <w:r w:rsidR="00C02163">
        <w:t xml:space="preserve">, corresponding to a </w:t>
      </w:r>
      <w:r w:rsidR="00DC46E0">
        <w:t xml:space="preserve">change </w:t>
      </w:r>
      <w:r w:rsidR="00C02163">
        <w:t>in median frequency from 1</w:t>
      </w:r>
      <w:r w:rsidR="005E6F73">
        <w:t xml:space="preserve"> in 18 years </w:t>
      </w:r>
      <w:r w:rsidR="00C02163">
        <w:t xml:space="preserve">to </w:t>
      </w:r>
      <w:r w:rsidR="006D065E">
        <w:t>1 in 15 years</w:t>
      </w:r>
      <w:r w:rsidR="00AD33C0">
        <w:t xml:space="preserve">, </w:t>
      </w:r>
      <w:r w:rsidR="00961210">
        <w:t xml:space="preserve">with </w:t>
      </w:r>
      <w:r w:rsidR="00961210">
        <w:rPr>
          <w:i/>
          <w:iCs/>
        </w:rPr>
        <w:t xml:space="preserve">medium </w:t>
      </w:r>
      <w:r w:rsidR="0094028F" w:rsidRPr="0094028F">
        <w:rPr>
          <w:i/>
          <w:iCs/>
        </w:rPr>
        <w:t>confidence</w:t>
      </w:r>
      <w:r w:rsidR="0087566A">
        <w:t xml:space="preserve"> </w:t>
      </w:r>
      <w:r w:rsidR="0094028F">
        <w:t>in trend</w:t>
      </w:r>
      <w:r w:rsidR="00961210">
        <w:t xml:space="preserve"> for increasing time in drought</w:t>
      </w:r>
      <w:r w:rsidR="0094028F">
        <w:t xml:space="preserve">. </w:t>
      </w:r>
      <w:r w:rsidR="00C83C87">
        <w:t>The change in the number of days year</w:t>
      </w:r>
      <w:r w:rsidR="00C83C87" w:rsidRPr="001E485F">
        <w:rPr>
          <w:vertAlign w:val="superscript"/>
        </w:rPr>
        <w:t>-1</w:t>
      </w:r>
      <w:r w:rsidR="00C83C87">
        <w:t xml:space="preserve"> expected to be greater than 35</w:t>
      </w:r>
      <w:r w:rsidR="00462582">
        <w:sym w:font="Symbol" w:char="F0B0"/>
      </w:r>
      <w:r w:rsidR="00462582">
        <w:t>C</w:t>
      </w:r>
      <w:r w:rsidR="00C83C87">
        <w:t xml:space="preserve"> for the Rangelands </w:t>
      </w:r>
      <w:r w:rsidR="009A1DFA">
        <w:t xml:space="preserve">North and </w:t>
      </w:r>
      <w:r w:rsidR="00C83C87">
        <w:t>South sub-cluster</w:t>
      </w:r>
      <w:r w:rsidR="009A1DFA">
        <w:t xml:space="preserve">s </w:t>
      </w:r>
      <w:r w:rsidR="00450B33">
        <w:t xml:space="preserve">was </w:t>
      </w:r>
      <w:r w:rsidR="009A1DFA">
        <w:t xml:space="preserve">noted above to be </w:t>
      </w:r>
      <w:r w:rsidR="00C83C87">
        <w:t>7.3(16.2)28.5 and 16.0(29.8)46.9 days year</w:t>
      </w:r>
      <w:r w:rsidR="00C83C87" w:rsidRPr="001E485F">
        <w:rPr>
          <w:vertAlign w:val="superscript"/>
        </w:rPr>
        <w:t>-</w:t>
      </w:r>
      <w:r w:rsidR="00C83C87" w:rsidRPr="002B143D">
        <w:rPr>
          <w:vertAlign w:val="superscript"/>
        </w:rPr>
        <w:t>1</w:t>
      </w:r>
      <w:r w:rsidR="002031B7">
        <w:t>, c</w:t>
      </w:r>
      <w:r w:rsidR="002B143D">
        <w:t xml:space="preserve">orresponding to increases </w:t>
      </w:r>
      <w:r w:rsidR="00654A4A">
        <w:t xml:space="preserve">of </w:t>
      </w:r>
      <w:r w:rsidR="00BA4371">
        <w:t>30% and 24%</w:t>
      </w:r>
      <w:r w:rsidR="003C6D95">
        <w:t xml:space="preserve"> above historical conditions,</w:t>
      </w:r>
      <w:r w:rsidR="00BA4371">
        <w:t xml:space="preserve"> respectively (</w:t>
      </w:r>
      <w:r w:rsidR="003C6D95">
        <w:rPr>
          <w:i/>
          <w:iCs/>
        </w:rPr>
        <w:t>high confidence</w:t>
      </w:r>
      <w:r w:rsidR="00BA4371">
        <w:t>)</w:t>
      </w:r>
      <w:r w:rsidR="00C83C87">
        <w:t>.</w:t>
      </w:r>
    </w:p>
    <w:p w14:paraId="12E06D8D" w14:textId="087F6BD9" w:rsidR="009D3BA4" w:rsidRDefault="0055563B" w:rsidP="003C6D95">
      <w:pPr>
        <w:pStyle w:val="BodyText"/>
      </w:pPr>
      <w:r>
        <w:t xml:space="preserve">Given the historical record of drought-induced </w:t>
      </w:r>
      <w:r w:rsidR="00A96C9D">
        <w:t xml:space="preserve">dieback, with </w:t>
      </w:r>
      <w:r w:rsidR="00BF0872">
        <w:t xml:space="preserve">recorded </w:t>
      </w:r>
      <w:r w:rsidR="00A96C9D">
        <w:t>mortality rates up to 30%, and potentiall</w:t>
      </w:r>
      <w:r w:rsidR="00FC1138">
        <w:t>y higher (Fensham et al. 201</w:t>
      </w:r>
      <w:r w:rsidR="00DC4BFD">
        <w:t>9</w:t>
      </w:r>
      <w:r w:rsidR="00FC1138">
        <w:t xml:space="preserve">), </w:t>
      </w:r>
      <w:r w:rsidR="00BF0872">
        <w:t>and the indication that the likelihood of such events will either</w:t>
      </w:r>
      <w:r w:rsidR="00F84B66">
        <w:t xml:space="preserve"> stay the same or increase up to 2050, then the consequences </w:t>
      </w:r>
      <w:r w:rsidR="002646FF">
        <w:t xml:space="preserve">of drought mortality </w:t>
      </w:r>
      <w:r w:rsidR="00F84B66">
        <w:t xml:space="preserve">are </w:t>
      </w:r>
      <w:r w:rsidR="00A24FEE">
        <w:t xml:space="preserve">potentially </w:t>
      </w:r>
      <w:r w:rsidR="00F75A7C">
        <w:t>Moderate (</w:t>
      </w:r>
      <w:r w:rsidR="005F30F0">
        <w:t xml:space="preserve">a potential for </w:t>
      </w:r>
      <w:r w:rsidR="00F84B66" w:rsidRPr="00F84B66">
        <w:t>20-50% of sequestered abatement lost</w:t>
      </w:r>
      <w:r w:rsidR="00F75A7C">
        <w:t>)</w:t>
      </w:r>
      <w:r w:rsidR="00E32A31">
        <w:t xml:space="preserve">. </w:t>
      </w:r>
      <w:r w:rsidR="00A24FEE">
        <w:t>However, t</w:t>
      </w:r>
      <w:r w:rsidR="0040287C">
        <w:t xml:space="preserve">his may be overly pessimistic, given dead standing trees remain </w:t>
      </w:r>
      <w:r w:rsidR="00AE336F">
        <w:t xml:space="preserve">on-site </w:t>
      </w:r>
      <w:r w:rsidR="0040287C">
        <w:t>a</w:t>
      </w:r>
      <w:r w:rsidR="00AE336F">
        <w:t>nd</w:t>
      </w:r>
      <w:r w:rsidR="0040287C">
        <w:t xml:space="preserve"> </w:t>
      </w:r>
      <w:r w:rsidR="007E0491">
        <w:t xml:space="preserve">will continue to </w:t>
      </w:r>
      <w:r w:rsidR="0040287C">
        <w:t>store carbon</w:t>
      </w:r>
      <w:r w:rsidR="00016F30">
        <w:t xml:space="preserve"> as the living vegetation recovers. W</w:t>
      </w:r>
      <w:r w:rsidR="00272D16">
        <w:t xml:space="preserve">ithout further modelling </w:t>
      </w:r>
      <w:r w:rsidR="004518BD">
        <w:t xml:space="preserve">or field observation </w:t>
      </w:r>
      <w:r w:rsidR="00272D16">
        <w:t xml:space="preserve">the </w:t>
      </w:r>
      <w:r w:rsidR="00A2044E">
        <w:t xml:space="preserve">magnitude and time-course of the fate of mortality-induced carbon </w:t>
      </w:r>
      <w:r w:rsidR="007A2030">
        <w:t xml:space="preserve">inclusive of both living and dead biomass </w:t>
      </w:r>
      <w:r w:rsidR="004518BD">
        <w:t xml:space="preserve">remains unquantified. </w:t>
      </w:r>
      <w:r w:rsidR="005E0805">
        <w:t xml:space="preserve">Given this uncertainty, the risk rating for </w:t>
      </w:r>
      <w:r w:rsidR="006B3316">
        <w:t>maintenance</w:t>
      </w:r>
      <w:r w:rsidR="005E0805">
        <w:t xml:space="preserve"> due to drought </w:t>
      </w:r>
      <w:r w:rsidR="00651FCE">
        <w:t>is deemed to be Low/Moderate.</w:t>
      </w:r>
    </w:p>
    <w:p w14:paraId="46FB24F4" w14:textId="218EEDE8" w:rsidR="00A7625A" w:rsidRDefault="004518BD" w:rsidP="003C6D95">
      <w:pPr>
        <w:pStyle w:val="BodyText"/>
      </w:pPr>
      <w:r>
        <w:t>The consequences for</w:t>
      </w:r>
      <w:r w:rsidR="00BC03E4">
        <w:t xml:space="preserve"> combinations of extreme drought and temperature extremes to limit recruitment and long-term growth rates </w:t>
      </w:r>
      <w:r w:rsidR="00651FCE">
        <w:t xml:space="preserve">is rated </w:t>
      </w:r>
      <w:r w:rsidR="00FB19A3">
        <w:t>Moderate (</w:t>
      </w:r>
      <w:r w:rsidR="00FB19A3" w:rsidRPr="00FB19A3">
        <w:t>50-80% of expected abatement achieved</w:t>
      </w:r>
      <w:r w:rsidR="00FB19A3">
        <w:t>)</w:t>
      </w:r>
      <w:r w:rsidR="0006097B">
        <w:t>.</w:t>
      </w:r>
    </w:p>
    <w:p w14:paraId="11CB3D2D" w14:textId="02B8F298" w:rsidR="0006097B" w:rsidRDefault="006A71A5" w:rsidP="003C6D95">
      <w:pPr>
        <w:pStyle w:val="BodyText"/>
      </w:pPr>
      <w:r>
        <w:t>D</w:t>
      </w:r>
      <w:r w:rsidR="0006097B">
        <w:t xml:space="preserve">rought events are intimately </w:t>
      </w:r>
      <w:r>
        <w:t xml:space="preserve">related to </w:t>
      </w:r>
      <w:r w:rsidR="0006097B">
        <w:t>trends in rainfall</w:t>
      </w:r>
      <w:r>
        <w:t xml:space="preserve">, and given the historical </w:t>
      </w:r>
      <w:r w:rsidR="003A7735">
        <w:t xml:space="preserve">‘boom-bust’ </w:t>
      </w:r>
      <w:r>
        <w:t xml:space="preserve">pattern of </w:t>
      </w:r>
      <w:r w:rsidR="003A7735">
        <w:t xml:space="preserve">episodic rainfall </w:t>
      </w:r>
      <w:r w:rsidR="003C3FA8">
        <w:t xml:space="preserve">are </w:t>
      </w:r>
      <w:r w:rsidR="003A7735">
        <w:t>likely to continue into the future</w:t>
      </w:r>
      <w:r w:rsidR="00E53CD2">
        <w:t xml:space="preserve">, </w:t>
      </w:r>
      <w:r w:rsidR="00EA48A6">
        <w:t xml:space="preserve">and be exacerbated by climate change, the likelihood is considered ‘Likely’. When combined with the </w:t>
      </w:r>
      <w:r w:rsidR="004334DA">
        <w:t xml:space="preserve">Moderate </w:t>
      </w:r>
      <w:r w:rsidR="00EA48A6">
        <w:t>consequence</w:t>
      </w:r>
      <w:r w:rsidR="004334DA">
        <w:t xml:space="preserve"> rating</w:t>
      </w:r>
      <w:r w:rsidR="00EA48A6">
        <w:t>, this leads to a Medium risk category.</w:t>
      </w:r>
      <w:r w:rsidR="00D93ED9">
        <w:t xml:space="preserve"> Because drought events can encompass broad spatial areas</w:t>
      </w:r>
      <w:r w:rsidR="00106270">
        <w:t xml:space="preserve">, this has implications both at the individual project level, as well as at the </w:t>
      </w:r>
      <w:r w:rsidR="004721A6">
        <w:t>whole portfolio.</w:t>
      </w:r>
      <w:r w:rsidR="00D93ED9">
        <w:t xml:space="preserve"> </w:t>
      </w:r>
      <w:r w:rsidR="00EA48A6">
        <w:t xml:space="preserve"> </w:t>
      </w:r>
    </w:p>
    <w:p w14:paraId="116793D4" w14:textId="2EB631D8" w:rsidR="003C6D95" w:rsidRDefault="003C6D95" w:rsidP="003C6D95">
      <w:pPr>
        <w:pStyle w:val="BodyText"/>
      </w:pPr>
    </w:p>
    <w:p w14:paraId="1EA309A8" w14:textId="77777777" w:rsidR="00A75AC4" w:rsidRDefault="00A75AC4" w:rsidP="003C6D95">
      <w:pPr>
        <w:pStyle w:val="BodyText"/>
      </w:pPr>
    </w:p>
    <w:p w14:paraId="5E1FCD1B" w14:textId="77777777" w:rsidR="00E3677C" w:rsidRDefault="00E3677C" w:rsidP="00A75AC4">
      <w:pPr>
        <w:pStyle w:val="BodyText"/>
        <w:spacing w:before="0" w:after="0" w:line="240" w:lineRule="auto"/>
        <w:rPr>
          <w:i/>
          <w:iCs/>
        </w:rPr>
      </w:pPr>
      <w:r>
        <w:rPr>
          <w:i/>
          <w:iCs/>
        </w:rPr>
        <w:lastRenderedPageBreak/>
        <w:t>Flooding</w:t>
      </w:r>
    </w:p>
    <w:p w14:paraId="7DDDC3E7" w14:textId="15A00731" w:rsidR="008169DE" w:rsidRDefault="0086249C" w:rsidP="00A75AC4">
      <w:pPr>
        <w:pStyle w:val="BodyText"/>
        <w:spacing w:before="0" w:after="0" w:line="240" w:lineRule="auto"/>
        <w:rPr>
          <w:i/>
          <w:iCs/>
        </w:rPr>
      </w:pPr>
      <w:r>
        <w:rPr>
          <w:i/>
          <w:iCs/>
        </w:rPr>
        <w:t>Storm Damage</w:t>
      </w:r>
    </w:p>
    <w:p w14:paraId="45C88B8C" w14:textId="4427DBB6" w:rsidR="00121052" w:rsidRDefault="00D65423" w:rsidP="00D471A0">
      <w:pPr>
        <w:pStyle w:val="BodyText"/>
      </w:pPr>
      <w:r>
        <w:t xml:space="preserve">Direct </w:t>
      </w:r>
      <w:r w:rsidR="00045E58">
        <w:t xml:space="preserve">mechanical </w:t>
      </w:r>
      <w:r>
        <w:t xml:space="preserve">damage from storms </w:t>
      </w:r>
      <w:r w:rsidR="00045E58">
        <w:t xml:space="preserve">is possible in all forested ecosystems, but there is little evidence </w:t>
      </w:r>
      <w:r w:rsidR="001301FF">
        <w:t xml:space="preserve">for widespread storm damage </w:t>
      </w:r>
      <w:r w:rsidR="006452BF">
        <w:t>across</w:t>
      </w:r>
      <w:r w:rsidR="001301FF">
        <w:t xml:space="preserve"> arid Australia. Based on the uncertainty in rainfall </w:t>
      </w:r>
      <w:r w:rsidR="004D4CA0">
        <w:t>projections</w:t>
      </w:r>
      <w:r w:rsidR="00666C15">
        <w:t xml:space="preserve"> the confidence </w:t>
      </w:r>
      <w:r w:rsidR="00B173EB">
        <w:t xml:space="preserve">in any changes in future storm activity are </w:t>
      </w:r>
      <w:r w:rsidR="00B173EB" w:rsidRPr="00B173EB">
        <w:rPr>
          <w:i/>
          <w:iCs/>
        </w:rPr>
        <w:t>low</w:t>
      </w:r>
      <w:r w:rsidR="00B173EB">
        <w:t xml:space="preserve">. </w:t>
      </w:r>
      <w:r w:rsidR="00314BAC">
        <w:t>However</w:t>
      </w:r>
      <w:r w:rsidR="00174BE1">
        <w:t>,</w:t>
      </w:r>
      <w:r w:rsidR="00314BAC">
        <w:t xml:space="preserve"> f</w:t>
      </w:r>
      <w:r w:rsidR="00FD196B">
        <w:t xml:space="preserve">or both the Rangelands-South and Rangelands-North </w:t>
      </w:r>
      <w:r w:rsidR="007F0A69">
        <w:t>sub-clusters the</w:t>
      </w:r>
      <w:r w:rsidR="00807AE8">
        <w:t xml:space="preserve"> projections</w:t>
      </w:r>
      <w:r w:rsidR="00314BAC">
        <w:t xml:space="preserve"> are</w:t>
      </w:r>
      <w:r w:rsidR="00807AE8">
        <w:t xml:space="preserve">, with </w:t>
      </w:r>
      <w:r w:rsidR="000F5F5A">
        <w:rPr>
          <w:i/>
          <w:iCs/>
        </w:rPr>
        <w:t>h</w:t>
      </w:r>
      <w:r w:rsidR="00807AE8">
        <w:rPr>
          <w:i/>
          <w:iCs/>
        </w:rPr>
        <w:t>igh</w:t>
      </w:r>
      <w:r w:rsidR="00ED3BCD">
        <w:rPr>
          <w:i/>
          <w:iCs/>
        </w:rPr>
        <w:t xml:space="preserve"> confidence</w:t>
      </w:r>
      <w:r w:rsidR="00ED3BCD">
        <w:t xml:space="preserve">, </w:t>
      </w:r>
      <w:r w:rsidR="002A415A">
        <w:t xml:space="preserve">of a future increase in the intensity of rainfall events. </w:t>
      </w:r>
      <w:r w:rsidR="007E70DC">
        <w:t xml:space="preserve">By 2050 the </w:t>
      </w:r>
      <w:r w:rsidR="00263819">
        <w:t xml:space="preserve">indication is an increase </w:t>
      </w:r>
      <w:r w:rsidR="001C5AFD">
        <w:t xml:space="preserve">in </w:t>
      </w:r>
      <w:r w:rsidR="002A51BF">
        <w:t>the number of days per year that exceed the 99.9</w:t>
      </w:r>
      <w:r w:rsidR="002A51BF" w:rsidRPr="002A51BF">
        <w:rPr>
          <w:vertAlign w:val="superscript"/>
        </w:rPr>
        <w:t>th</w:t>
      </w:r>
      <w:r w:rsidR="002A51BF">
        <w:t xml:space="preserve"> percentile </w:t>
      </w:r>
      <w:r w:rsidR="003774C4">
        <w:t xml:space="preserve">are projected </w:t>
      </w:r>
      <w:r w:rsidR="00203FE6">
        <w:t xml:space="preserve">to increase </w:t>
      </w:r>
      <w:r w:rsidR="006B30B9">
        <w:t xml:space="preserve">by </w:t>
      </w:r>
      <w:r w:rsidR="00406A35">
        <w:t>-</w:t>
      </w:r>
      <w:r w:rsidR="00203FE6">
        <w:t xml:space="preserve">0.12(0.24)0.55 </w:t>
      </w:r>
      <w:r w:rsidR="006B30B9">
        <w:t xml:space="preserve">days for the Rangelands North sub-cluster, and </w:t>
      </w:r>
      <w:r w:rsidR="00BC0876">
        <w:t xml:space="preserve">-0.14(0.10)0.44 days </w:t>
      </w:r>
      <w:r w:rsidR="0025574D">
        <w:t xml:space="preserve">for the </w:t>
      </w:r>
      <w:r w:rsidR="00BC0876">
        <w:t xml:space="preserve">Rangelands </w:t>
      </w:r>
      <w:r w:rsidR="0025574D">
        <w:t xml:space="preserve">South </w:t>
      </w:r>
      <w:r w:rsidR="00BC0876">
        <w:t>sub-cluster</w:t>
      </w:r>
      <w:r w:rsidR="0025574D">
        <w:t xml:space="preserve">. Whilst these values </w:t>
      </w:r>
      <w:r w:rsidR="000C4472">
        <w:t xml:space="preserve">appear </w:t>
      </w:r>
      <w:r w:rsidR="0025574D">
        <w:t xml:space="preserve">low, they represent </w:t>
      </w:r>
      <w:r w:rsidR="00091A3C">
        <w:t xml:space="preserve">the </w:t>
      </w:r>
      <w:r w:rsidR="004303A0">
        <w:t>top 0.1% of rainfall events</w:t>
      </w:r>
      <w:r w:rsidR="000C4472">
        <w:t xml:space="preserve">, and correspond to </w:t>
      </w:r>
      <w:r w:rsidR="0025574D">
        <w:t xml:space="preserve">median increases of </w:t>
      </w:r>
      <w:r w:rsidR="00C733A5">
        <w:t>45% and 18% for the North and South sub-clusters, respectively</w:t>
      </w:r>
      <w:r w:rsidR="000C4472">
        <w:t xml:space="preserve">. </w:t>
      </w:r>
      <w:r w:rsidR="00BF115C">
        <w:t xml:space="preserve">Predicted changes in windspeed across the sub-clusters are small, at less than </w:t>
      </w:r>
      <w:r w:rsidR="00121052">
        <w:rPr>
          <w:rFonts w:cs="Calibri"/>
        </w:rPr>
        <w:t>±</w:t>
      </w:r>
      <w:r w:rsidR="00121052">
        <w:t>2%</w:t>
      </w:r>
      <w:r w:rsidR="00BF115C">
        <w:t>.</w:t>
      </w:r>
    </w:p>
    <w:p w14:paraId="36AAACD7" w14:textId="72E8076B" w:rsidR="00250537" w:rsidRDefault="00CF7953" w:rsidP="00D471A0">
      <w:pPr>
        <w:pStyle w:val="BodyText"/>
      </w:pPr>
      <w:r w:rsidRPr="00011D65">
        <w:t>Floods in arid regions are generally caused by</w:t>
      </w:r>
      <w:r>
        <w:t xml:space="preserve"> </w:t>
      </w:r>
      <w:r w:rsidRPr="00011D65">
        <w:t>storms of high intensity over a smaller part of the catchment, thus</w:t>
      </w:r>
      <w:r>
        <w:t xml:space="preserve"> </w:t>
      </w:r>
      <w:r w:rsidRPr="00011D65">
        <w:t>the variability of flood is much greater from year to year and from</w:t>
      </w:r>
      <w:r>
        <w:t xml:space="preserve"> </w:t>
      </w:r>
      <w:r w:rsidRPr="00011D65">
        <w:t>site to site in the arid regions than elsewhere</w:t>
      </w:r>
      <w:r>
        <w:t xml:space="preserve"> (Zaman et al. 2012). </w:t>
      </w:r>
      <w:r w:rsidR="009B5B79">
        <w:t>Flooding common</w:t>
      </w:r>
      <w:r>
        <w:t>ly follows</w:t>
      </w:r>
      <w:r w:rsidR="009B5B79">
        <w:t xml:space="preserve"> large rainfall events</w:t>
      </w:r>
      <w:r w:rsidR="008D42E4">
        <w:t xml:space="preserve">, and </w:t>
      </w:r>
      <w:r w:rsidR="00F5377E">
        <w:t>tends to develop slowly and last for periods from weeks to months.</w:t>
      </w:r>
      <w:r w:rsidR="00250537">
        <w:t xml:space="preserve"> Floods in </w:t>
      </w:r>
      <w:r w:rsidR="009D15C0">
        <w:t xml:space="preserve">Arid Australia </w:t>
      </w:r>
      <w:r w:rsidR="00250537">
        <w:t>can lead to losses of livestock and damage to crops, as well as extensive damage to rural towns and road and rail links</w:t>
      </w:r>
      <w:r w:rsidR="009D15C0">
        <w:t xml:space="preserve">, and can </w:t>
      </w:r>
      <w:r w:rsidR="00250537">
        <w:t>result in the isolation of whole communities</w:t>
      </w:r>
      <w:r w:rsidR="009D15C0">
        <w:t xml:space="preserve">. </w:t>
      </w:r>
      <w:r w:rsidR="00AE0A20">
        <w:t xml:space="preserve">However, flood impacts on woody vegetation </w:t>
      </w:r>
      <w:r w:rsidR="00CD437D">
        <w:t>in arid Australia are largely undocumented.</w:t>
      </w:r>
      <w:r w:rsidR="005F1C9F">
        <w:t xml:space="preserve"> Whilst there is the potential for localised erosion</w:t>
      </w:r>
      <w:r w:rsidR="00F12C66">
        <w:t xml:space="preserve"> imp</w:t>
      </w:r>
      <w:r w:rsidR="000A018B">
        <w:t>a</w:t>
      </w:r>
      <w:r w:rsidR="00F12C66">
        <w:t xml:space="preserve">cts, these are likely confined to drainage channels and not </w:t>
      </w:r>
      <w:r w:rsidR="0095484C">
        <w:t xml:space="preserve">generally </w:t>
      </w:r>
      <w:r w:rsidR="00F12C66">
        <w:t>impact the broader landscape.</w:t>
      </w:r>
      <w:r w:rsidR="00487E0E">
        <w:t xml:space="preserve"> Rather than being a negative impact on sequestration, it is possible any increase in flood events</w:t>
      </w:r>
      <w:r w:rsidR="000A018B">
        <w:t xml:space="preserve">, through increasing water availability, would </w:t>
      </w:r>
      <w:r w:rsidR="0095484C">
        <w:t xml:space="preserve">lead to a net </w:t>
      </w:r>
      <w:r w:rsidR="000A018B">
        <w:t>benefit o</w:t>
      </w:r>
      <w:r w:rsidR="0095484C">
        <w:t>n</w:t>
      </w:r>
      <w:r w:rsidR="000A018B">
        <w:t xml:space="preserve"> sequestration.</w:t>
      </w:r>
    </w:p>
    <w:p w14:paraId="150D3E59" w14:textId="45755123" w:rsidR="00250537" w:rsidRDefault="0095484C" w:rsidP="00D471A0">
      <w:pPr>
        <w:pStyle w:val="BodyText"/>
      </w:pPr>
      <w:r>
        <w:t xml:space="preserve">Because of the localised nature of </w:t>
      </w:r>
      <w:r w:rsidR="00E06E56">
        <w:t>storm damage, there are unlikely to be portfolio-wide implications</w:t>
      </w:r>
      <w:r w:rsidR="001436B5">
        <w:t xml:space="preserve"> on either risks to abatement </w:t>
      </w:r>
      <w:r w:rsidR="006B3316">
        <w:t>accumulation</w:t>
      </w:r>
      <w:r w:rsidR="001436B5">
        <w:t xml:space="preserve"> or </w:t>
      </w:r>
      <w:r w:rsidR="006B3316">
        <w:t>maintenance</w:t>
      </w:r>
      <w:r w:rsidR="001436B5">
        <w:t>.</w:t>
      </w:r>
      <w:r w:rsidR="00F064EE">
        <w:t xml:space="preserve"> Through the high confidence in the prediction of </w:t>
      </w:r>
      <w:r w:rsidR="00DC4FFB">
        <w:t xml:space="preserve">the </w:t>
      </w:r>
      <w:r w:rsidR="00F064EE">
        <w:t>increased</w:t>
      </w:r>
      <w:r w:rsidR="00DC4FFB">
        <w:t xml:space="preserve"> intensity of rainfall events the likelihood of </w:t>
      </w:r>
      <w:r w:rsidR="004C01E9">
        <w:t xml:space="preserve">floods occurring and possibly increasing into the future is ‘Likely’, however the consequences </w:t>
      </w:r>
      <w:r w:rsidR="00FB7A2E">
        <w:t xml:space="preserve">are rated as Insignificant, leading to an overall risk rating for both </w:t>
      </w:r>
      <w:r w:rsidR="00F5513B">
        <w:t>flood and storm disturbance as ‘Low’.</w:t>
      </w:r>
      <w:r w:rsidR="00D753EB">
        <w:t xml:space="preserve"> The consequence for storm-related damage is rated as minor</w:t>
      </w:r>
      <w:r w:rsidR="002F3DD5">
        <w:t>, as for an individual project the potential for some</w:t>
      </w:r>
      <w:r w:rsidR="00110C65">
        <w:t xml:space="preserve"> storm-related mortality is possible, though the overall risk rating remains low.</w:t>
      </w:r>
      <w:r w:rsidR="002F3DD5">
        <w:t xml:space="preserve"> </w:t>
      </w:r>
    </w:p>
    <w:p w14:paraId="119419EE" w14:textId="4FEA26FA" w:rsidR="00B43BA0" w:rsidRDefault="00B43BA0" w:rsidP="00B43BA0">
      <w:pPr>
        <w:pStyle w:val="BodyText"/>
        <w:spacing w:before="0" w:after="0" w:line="240" w:lineRule="auto"/>
        <w:rPr>
          <w:i/>
          <w:iCs/>
        </w:rPr>
      </w:pPr>
      <w:r>
        <w:rPr>
          <w:i/>
          <w:iCs/>
        </w:rPr>
        <w:t>Heat stress</w:t>
      </w:r>
    </w:p>
    <w:p w14:paraId="167D5229" w14:textId="28CE7672" w:rsidR="00086C1F" w:rsidRDefault="00B43BA0" w:rsidP="008F77B3">
      <w:pPr>
        <w:pStyle w:val="BodyText"/>
        <w:rPr>
          <w:i/>
          <w:iCs/>
        </w:rPr>
      </w:pPr>
      <w:r>
        <w:t xml:space="preserve">Heat stress </w:t>
      </w:r>
      <w:r w:rsidR="00BA102D">
        <w:t xml:space="preserve">is a climate change risk factor common to many sequestration projects. </w:t>
      </w:r>
      <w:r w:rsidR="008F77B3">
        <w:t>In addition to increasing mortality, heat stress may also decrease long-term carbon storage due to the diversion of resources away from growth to heat shock proteins (Bita and Gerats 2013; Teskey et al. 2015), particularly when the frequency of heat stress is relatively high compared to the time required for tissue recovery (Curtis et al. 2014). O</w:t>
      </w:r>
      <w:r w:rsidR="0071507E">
        <w:t xml:space="preserve">ne risk that is </w:t>
      </w:r>
      <w:r w:rsidR="00BA102D">
        <w:t xml:space="preserve">specific </w:t>
      </w:r>
      <w:r w:rsidR="0071507E">
        <w:t>to the</w:t>
      </w:r>
      <w:r w:rsidR="00BA102D">
        <w:t xml:space="preserve"> </w:t>
      </w:r>
      <w:r w:rsidR="0071507E">
        <w:t>re-establishment of native forests is the impact of heat stress on seed</w:t>
      </w:r>
      <w:r w:rsidR="00DD61DF">
        <w:t xml:space="preserve"> </w:t>
      </w:r>
      <w:r w:rsidR="0071507E">
        <w:t>ba</w:t>
      </w:r>
      <w:r w:rsidR="00DD61DF">
        <w:t>n</w:t>
      </w:r>
      <w:r w:rsidR="0071507E">
        <w:t xml:space="preserve">k persistence. </w:t>
      </w:r>
      <w:r w:rsidR="00AC7B75">
        <w:t>P</w:t>
      </w:r>
      <w:r w:rsidR="00395BA9">
        <w:t xml:space="preserve">rojected increased temperatures will produce significantly higher soil temperatures </w:t>
      </w:r>
      <w:r w:rsidR="00FA6340">
        <w:t>(particularly in semi-arid and rangeland regions</w:t>
      </w:r>
      <w:r w:rsidR="00AC7B75">
        <w:t xml:space="preserve"> where these Methodologies are common</w:t>
      </w:r>
      <w:r w:rsidR="00FA6340">
        <w:t xml:space="preserve">), and this may </w:t>
      </w:r>
      <w:r w:rsidR="004943B0">
        <w:t xml:space="preserve">hinder regeneration due to an </w:t>
      </w:r>
      <w:r w:rsidR="00395BA9">
        <w:t>accelerate</w:t>
      </w:r>
      <w:r w:rsidR="004943B0">
        <w:t xml:space="preserve">d </w:t>
      </w:r>
      <w:r w:rsidR="00395BA9">
        <w:t>decline of seed viability</w:t>
      </w:r>
      <w:r w:rsidR="006A7B5A">
        <w:t xml:space="preserve"> (Ooi </w:t>
      </w:r>
      <w:r w:rsidR="00A6177C">
        <w:t>2012; Ooi et al. 2014).</w:t>
      </w:r>
      <w:r w:rsidR="00933C3C">
        <w:t xml:space="preserve"> There is also some evidence that seed production </w:t>
      </w:r>
      <w:r w:rsidR="006B01DF">
        <w:t xml:space="preserve">(at least in some plants) may be hindered by heat stress (e.g. Ozga et al. 2016), and this may also hinder rates of regeneration. </w:t>
      </w:r>
    </w:p>
    <w:p w14:paraId="3ABA6963" w14:textId="57A36BB6" w:rsidR="008702A9" w:rsidRDefault="008702A9" w:rsidP="00D471A0">
      <w:pPr>
        <w:pStyle w:val="BodyText"/>
        <w:rPr>
          <w:i/>
          <w:iCs/>
        </w:rPr>
      </w:pPr>
      <w:r>
        <w:rPr>
          <w:i/>
          <w:iCs/>
        </w:rPr>
        <w:lastRenderedPageBreak/>
        <w:t>Other carbon pools</w:t>
      </w:r>
    </w:p>
    <w:p w14:paraId="666F424B" w14:textId="2ACD7282" w:rsidR="0055042E" w:rsidRPr="00E038B5" w:rsidRDefault="00E038B5" w:rsidP="00D471A0">
      <w:pPr>
        <w:pStyle w:val="BodyText"/>
      </w:pPr>
      <w:r>
        <w:t>S</w:t>
      </w:r>
      <w:r w:rsidR="00C16387">
        <w:t>ol organic carbon is exclud</w:t>
      </w:r>
      <w:r w:rsidR="00BE2B22">
        <w:t>ed</w:t>
      </w:r>
      <w:r w:rsidR="00C16387">
        <w:t xml:space="preserve"> from the accounting</w:t>
      </w:r>
      <w:r w:rsidR="00261E08">
        <w:t xml:space="preserve"> rules for the HIR and NFMR methodologies. Given increasing vegetation cover is </w:t>
      </w:r>
      <w:r w:rsidR="00AD1943">
        <w:t>generally</w:t>
      </w:r>
      <w:r w:rsidR="00430CA0">
        <w:t xml:space="preserve"> associated with increasing soil carbon, th</w:t>
      </w:r>
      <w:r w:rsidR="00AD1943">
        <w:t>e exclusion of soil carbon likely represents a conservative assumption</w:t>
      </w:r>
      <w:r>
        <w:t>.</w:t>
      </w:r>
      <w:r w:rsidR="00AD1943">
        <w:t xml:space="preserve"> </w:t>
      </w:r>
      <w:r w:rsidR="00AE30D0">
        <w:t xml:space="preserve">Risks to soil carbon in the arid zone largely </w:t>
      </w:r>
      <w:r w:rsidR="007B7B4C">
        <w:t>arise from management decisions, particularly grazing pressure, which lies outside of the scope of this review.</w:t>
      </w:r>
      <w:r w:rsidR="0040248A">
        <w:t xml:space="preserve"> Climate-related risks </w:t>
      </w:r>
      <w:r w:rsidR="00D26289">
        <w:t xml:space="preserve">will be </w:t>
      </w:r>
      <w:r w:rsidR="0040248A">
        <w:t xml:space="preserve">mostly associated with </w:t>
      </w:r>
      <w:r w:rsidR="00F76716">
        <w:t>changes to average conditions such as temperature</w:t>
      </w:r>
      <w:r w:rsidR="00D26289">
        <w:t>, and</w:t>
      </w:r>
      <w:r w:rsidR="00F76716">
        <w:t xml:space="preserve"> long-term trends in soil moisture</w:t>
      </w:r>
      <w:r w:rsidR="00D26289">
        <w:t xml:space="preserve">, which will both affect </w:t>
      </w:r>
      <w:r w:rsidR="00B54301">
        <w:t>soil microbial function and organic matter decomposition. The consequences for soil carbon across arid Australia, which is characterised by infertile soils and low carbon stocks</w:t>
      </w:r>
      <w:r w:rsidR="00513D37">
        <w:t>, remains unknown.</w:t>
      </w:r>
    </w:p>
    <w:p w14:paraId="41C7B5A4" w14:textId="77777777" w:rsidR="00A75AC4" w:rsidRDefault="00A75AC4" w:rsidP="00513D37">
      <w:pPr>
        <w:pStyle w:val="Heading4"/>
        <w:keepNext w:val="0"/>
        <w:keepLines w:val="0"/>
        <w:widowControl w:val="0"/>
      </w:pPr>
    </w:p>
    <w:p w14:paraId="24C4AEB6" w14:textId="477A8185" w:rsidR="00CF16D2" w:rsidRDefault="00CF16D2" w:rsidP="00513D37">
      <w:pPr>
        <w:pStyle w:val="Heading4"/>
        <w:keepNext w:val="0"/>
        <w:keepLines w:val="0"/>
        <w:widowControl w:val="0"/>
      </w:pPr>
      <w:r>
        <w:t>Summary</w:t>
      </w:r>
    </w:p>
    <w:p w14:paraId="0C70A650" w14:textId="40B67F7C" w:rsidR="00513D37" w:rsidRDefault="003719EC" w:rsidP="00513D37">
      <w:pPr>
        <w:pStyle w:val="BodyText"/>
      </w:pPr>
      <w:r>
        <w:t xml:space="preserve">From the perspective of abatement </w:t>
      </w:r>
      <w:r w:rsidR="009A3FF7">
        <w:rPr>
          <w:color w:val="auto"/>
        </w:rPr>
        <w:t>accumulation</w:t>
      </w:r>
      <w:r>
        <w:t xml:space="preserve">, the main </w:t>
      </w:r>
      <w:r w:rsidR="0055646C">
        <w:t xml:space="preserve">risks are associated with changes in the climate that </w:t>
      </w:r>
      <w:r w:rsidR="00160366">
        <w:t xml:space="preserve">affect the survivorship of young regenerating stands, and the growth rates of mature stands. </w:t>
      </w:r>
      <w:r w:rsidR="00A6424D">
        <w:t xml:space="preserve">The main drivers were identified to be changes in average </w:t>
      </w:r>
      <w:r w:rsidR="00EB26CE">
        <w:t xml:space="preserve">and maximum </w:t>
      </w:r>
      <w:r w:rsidR="00A6424D">
        <w:t>temperature</w:t>
      </w:r>
      <w:r w:rsidR="00EB26CE">
        <w:t>, a</w:t>
      </w:r>
      <w:r w:rsidR="00A6424D">
        <w:t>nd the associated variables potential evapotranspiration and</w:t>
      </w:r>
      <w:r w:rsidR="005739CC">
        <w:t xml:space="preserve"> relative humidity, which have the potential to reduce net primary productivity, and hence rates of carbon sequestration.</w:t>
      </w:r>
      <w:r w:rsidR="00A6424D">
        <w:t xml:space="preserve"> </w:t>
      </w:r>
      <w:r w:rsidR="00795C51">
        <w:t>The overall risk rating was judged to be Medium</w:t>
      </w:r>
      <w:r w:rsidR="00D428C4">
        <w:t xml:space="preserve"> (with </w:t>
      </w:r>
      <w:r w:rsidR="00D428C4" w:rsidRPr="00D428C4">
        <w:rPr>
          <w:i/>
          <w:iCs/>
        </w:rPr>
        <w:t>high</w:t>
      </w:r>
      <w:r w:rsidR="00D428C4">
        <w:t xml:space="preserve"> confidence)</w:t>
      </w:r>
      <w:r w:rsidR="00795C51">
        <w:t xml:space="preserve">, corresponding </w:t>
      </w:r>
      <w:r w:rsidR="00A450B7">
        <w:t xml:space="preserve">to </w:t>
      </w:r>
      <w:r w:rsidR="001079A5">
        <w:t xml:space="preserve">a possible limit of </w:t>
      </w:r>
      <w:r w:rsidR="00A450B7" w:rsidRPr="00A450B7">
        <w:t>50-80% of expected abatement achieved.</w:t>
      </w:r>
      <w:r w:rsidR="004973E5">
        <w:t xml:space="preserve"> A large unknown is the implication of </w:t>
      </w:r>
      <w:r w:rsidR="00DB0BBE">
        <w:t xml:space="preserve">the predicted significant reduction in frost days by 2050, which may have both </w:t>
      </w:r>
      <w:r w:rsidR="003C376C">
        <w:t xml:space="preserve">negative (via changes to frost-hardening and </w:t>
      </w:r>
      <w:r w:rsidR="00B9284C">
        <w:t xml:space="preserve">possibly </w:t>
      </w:r>
      <w:r w:rsidR="003C376C">
        <w:t>adversely affecting germination requirements</w:t>
      </w:r>
      <w:r w:rsidR="00B9284C">
        <w:t>) and positive (through a reduction of frost-related tissue damage)</w:t>
      </w:r>
      <w:r w:rsidR="00621EE3">
        <w:t xml:space="preserve"> aspects. No attempt was made to assign a risk rating to these factors.</w:t>
      </w:r>
      <w:r w:rsidR="001079A5">
        <w:t xml:space="preserve"> Because of the </w:t>
      </w:r>
      <w:r w:rsidR="00527A11">
        <w:t>broad spatial influence of these risk factors, there are implications at both the whole portfolio level, as well as the individual project level.</w:t>
      </w:r>
    </w:p>
    <w:p w14:paraId="280DC049" w14:textId="7F131C29" w:rsidR="00331665" w:rsidRDefault="00626D39" w:rsidP="00331665">
      <w:pPr>
        <w:pStyle w:val="BodyText"/>
      </w:pPr>
      <w:r>
        <w:t xml:space="preserve">For </w:t>
      </w:r>
      <w:r w:rsidR="009A3FF7">
        <w:t xml:space="preserve">risks to the maintenance of </w:t>
      </w:r>
      <w:r>
        <w:t xml:space="preserve">abatement, the main risk factor identified was from mortality associated with extreme drought, although </w:t>
      </w:r>
      <w:r w:rsidR="00C8015B">
        <w:t>the ultimate consequences for carbon abatement are uncertain</w:t>
      </w:r>
      <w:r w:rsidR="0032744E">
        <w:t xml:space="preserve"> as they are a </w:t>
      </w:r>
      <w:r w:rsidR="00524C1D">
        <w:t xml:space="preserve">function of the combined rates of </w:t>
      </w:r>
      <w:r w:rsidR="00331665">
        <w:t xml:space="preserve">subsequent </w:t>
      </w:r>
      <w:r w:rsidR="0032744E">
        <w:t xml:space="preserve">debris </w:t>
      </w:r>
      <w:r w:rsidR="00524C1D">
        <w:t xml:space="preserve">decay </w:t>
      </w:r>
      <w:r w:rsidR="0032744E">
        <w:t>and other losses (such as from termites)</w:t>
      </w:r>
      <w:r w:rsidR="00331665">
        <w:t>,</w:t>
      </w:r>
      <w:r w:rsidR="0032744E">
        <w:t xml:space="preserve"> </w:t>
      </w:r>
      <w:r w:rsidR="004973E5">
        <w:t>and rates of post-drought recovery.</w:t>
      </w:r>
      <w:r w:rsidR="00C8015B">
        <w:t xml:space="preserve"> </w:t>
      </w:r>
      <w:r w:rsidR="00D00295">
        <w:t>Because of this uncertainty t</w:t>
      </w:r>
      <w:r w:rsidR="00621EE3">
        <w:t xml:space="preserve">he overall risk rating was judged to be </w:t>
      </w:r>
      <w:r w:rsidR="003C7F9C">
        <w:t>Low</w:t>
      </w:r>
      <w:r w:rsidR="009D7FA2">
        <w:t>/</w:t>
      </w:r>
      <w:r w:rsidR="00621EE3">
        <w:t>Medium</w:t>
      </w:r>
      <w:r w:rsidR="00D428C4">
        <w:t xml:space="preserve"> (with </w:t>
      </w:r>
      <w:r w:rsidR="000F5F5A">
        <w:rPr>
          <w:i/>
          <w:iCs/>
        </w:rPr>
        <w:t>m</w:t>
      </w:r>
      <w:r w:rsidR="00D428C4">
        <w:rPr>
          <w:i/>
          <w:iCs/>
        </w:rPr>
        <w:t xml:space="preserve">edium </w:t>
      </w:r>
      <w:r w:rsidR="00D428C4">
        <w:t>confidence)</w:t>
      </w:r>
      <w:r w:rsidR="000D0E98">
        <w:t>.</w:t>
      </w:r>
      <w:r w:rsidR="00331665">
        <w:t xml:space="preserve"> Because of the potentially broad spatial </w:t>
      </w:r>
      <w:r w:rsidR="00E331A7">
        <w:t>scale of drought events</w:t>
      </w:r>
      <w:r w:rsidR="00331665">
        <w:t xml:space="preserve">, </w:t>
      </w:r>
      <w:r w:rsidR="00E331A7">
        <w:t>and given the concentration of current projects geographically</w:t>
      </w:r>
      <w:r w:rsidR="00F56664">
        <w:t xml:space="preserve">, </w:t>
      </w:r>
      <w:r w:rsidR="00331665">
        <w:t>there are implications at both the whole portfolio level, as well as the individual project level.</w:t>
      </w:r>
    </w:p>
    <w:p w14:paraId="214CE491" w14:textId="37C4B1C9" w:rsidR="00413968" w:rsidRDefault="00F56664" w:rsidP="00D57FE0">
      <w:pPr>
        <w:pStyle w:val="BodyText"/>
      </w:pPr>
      <w:r>
        <w:t>Fire is undoubtedly a major driver of vegetation dynamics across</w:t>
      </w:r>
      <w:r w:rsidR="00E62B09">
        <w:t xml:space="preserve"> all of Australia, including the vegetation types managed under HIR and NFMR</w:t>
      </w:r>
      <w:r w:rsidR="00DE4F27">
        <w:t xml:space="preserve">. Despite this, most projects have been established in areas of low historical fire, driven by </w:t>
      </w:r>
      <w:r w:rsidR="00135D83">
        <w:t xml:space="preserve">naturally low contiguity of ground fuels, even in years following major rainfall events. </w:t>
      </w:r>
      <w:r w:rsidR="00AE23CA">
        <w:t xml:space="preserve">The overall conclusion is that risks from changed fire regimes for these methodologies are low, and localised </w:t>
      </w:r>
      <w:r w:rsidR="00FB71BE">
        <w:t>at the project-scale. There are three caveats to this. First, in western Australia the ground fuel loads tend</w:t>
      </w:r>
      <w:r w:rsidR="00D012C2">
        <w:t xml:space="preserve"> </w:t>
      </w:r>
      <w:r w:rsidR="00FB71BE">
        <w:t xml:space="preserve">to be higher, with </w:t>
      </w:r>
      <w:r w:rsidR="00D012C2">
        <w:t>correspondingly higher historical fire activity; therefore the registered projects in that region</w:t>
      </w:r>
      <w:r w:rsidR="00DD03B3">
        <w:t xml:space="preserve"> should carefully consider their fire management </w:t>
      </w:r>
      <w:r w:rsidR="000916B9">
        <w:t>programmes</w:t>
      </w:r>
      <w:r w:rsidR="00DD03B3">
        <w:t xml:space="preserve"> </w:t>
      </w:r>
      <w:r w:rsidR="000916B9">
        <w:t>and local fire risks</w:t>
      </w:r>
      <w:r w:rsidR="00E930E9">
        <w:t>. Second, expansion of existing activity into more productive lands</w:t>
      </w:r>
      <w:r w:rsidR="00FB5C1C">
        <w:t xml:space="preserve">, for example further east into Queensland, </w:t>
      </w:r>
      <w:r w:rsidR="00E930E9">
        <w:t xml:space="preserve">will </w:t>
      </w:r>
      <w:r w:rsidR="00043DC8">
        <w:t>increase the fire risk. Third, the role of the invas</w:t>
      </w:r>
      <w:r w:rsidR="009323E8">
        <w:t>ive</w:t>
      </w:r>
      <w:r w:rsidR="00043DC8">
        <w:t xml:space="preserve"> </w:t>
      </w:r>
      <w:r w:rsidR="00D71D18">
        <w:t>buffel</w:t>
      </w:r>
      <w:r w:rsidR="00043DC8">
        <w:t xml:space="preserve"> </w:t>
      </w:r>
      <w:r w:rsidR="00D71D18">
        <w:t>grass</w:t>
      </w:r>
      <w:r w:rsidR="00043DC8">
        <w:t xml:space="preserve"> has not been </w:t>
      </w:r>
      <w:r w:rsidR="00043DC8">
        <w:lastRenderedPageBreak/>
        <w:t>considered here, but has the potential to</w:t>
      </w:r>
      <w:r w:rsidR="009323E8">
        <w:t xml:space="preserve"> increase fuel connectivity and increase fire intensity. Management of exotic weeds </w:t>
      </w:r>
      <w:r w:rsidR="00F77683">
        <w:t xml:space="preserve">like </w:t>
      </w:r>
      <w:r w:rsidR="00D71D18">
        <w:t>buffel</w:t>
      </w:r>
      <w:r w:rsidR="00F77683">
        <w:t xml:space="preserve"> </w:t>
      </w:r>
      <w:r w:rsidR="00D71D18">
        <w:t>grass</w:t>
      </w:r>
      <w:r w:rsidR="00F77683">
        <w:t xml:space="preserve"> </w:t>
      </w:r>
      <w:r w:rsidR="009323E8">
        <w:t xml:space="preserve">will be required </w:t>
      </w:r>
      <w:r w:rsidR="00F77683">
        <w:t>in order to safeguard sequestration in areas</w:t>
      </w:r>
      <w:r w:rsidR="00413968">
        <w:t xml:space="preserve"> where this invasive is establishing, or is established</w:t>
      </w:r>
      <w:r w:rsidR="00F77683">
        <w:t xml:space="preserve">. </w:t>
      </w:r>
      <w:r w:rsidR="00085D6F">
        <w:t xml:space="preserve">Note there are no specific requirements written into the methodologies to require weed control (or wildfire management plans). </w:t>
      </w:r>
      <w:r w:rsidR="00EA209A">
        <w:t>Rather, state laws that place requirements on landholders to manage weeds and fire risks are expected to be adhered to as part of undertaking ERF project activities</w:t>
      </w:r>
      <w:r w:rsidR="00D57FE0">
        <w:t>.</w:t>
      </w:r>
    </w:p>
    <w:p w14:paraId="661BB78B" w14:textId="77777777" w:rsidR="00A75AC4" w:rsidRDefault="00A75AC4" w:rsidP="00FC0E0D">
      <w:pPr>
        <w:pStyle w:val="Caption"/>
      </w:pPr>
      <w:bookmarkStart w:id="71" w:name="_Ref46304853"/>
    </w:p>
    <w:p w14:paraId="6A780791" w14:textId="35457F56" w:rsidR="00FC0E0D" w:rsidRPr="00351B86" w:rsidRDefault="00FC0E0D" w:rsidP="00FC0E0D">
      <w:pPr>
        <w:pStyle w:val="Caption"/>
        <w:rPr>
          <w:b w:val="0"/>
          <w:szCs w:val="20"/>
        </w:rPr>
      </w:pPr>
      <w:bookmarkStart w:id="72" w:name="_Toc52971066"/>
      <w:r>
        <w:t xml:space="preserve">Table </w:t>
      </w:r>
      <w:r>
        <w:fldChar w:fldCharType="begin"/>
      </w:r>
      <w:r>
        <w:instrText>SEQ Table \* ARABIC</w:instrText>
      </w:r>
      <w:r>
        <w:fldChar w:fldCharType="separate"/>
      </w:r>
      <w:r w:rsidR="00235F13">
        <w:rPr>
          <w:noProof/>
        </w:rPr>
        <w:t>11</w:t>
      </w:r>
      <w:r>
        <w:fldChar w:fldCharType="end"/>
      </w:r>
      <w:bookmarkEnd w:id="71"/>
      <w:r>
        <w:t xml:space="preserve">. </w:t>
      </w:r>
      <w:r w:rsidRPr="00FC0E0D">
        <w:rPr>
          <w:b w:val="0"/>
          <w:bCs w:val="0"/>
        </w:rPr>
        <w:t xml:space="preserve">Risk assessment for </w:t>
      </w:r>
      <w:r w:rsidR="00C4667D">
        <w:rPr>
          <w:b w:val="0"/>
          <w:bCs w:val="0"/>
        </w:rPr>
        <w:t xml:space="preserve">the </w:t>
      </w:r>
      <w:r w:rsidR="00FB2D3A">
        <w:rPr>
          <w:b w:val="0"/>
          <w:bCs w:val="0"/>
        </w:rPr>
        <w:t>Re-</w:t>
      </w:r>
      <w:r w:rsidR="003B5E83">
        <w:rPr>
          <w:b w:val="0"/>
          <w:bCs w:val="0"/>
        </w:rPr>
        <w:t>establishment of</w:t>
      </w:r>
      <w:r w:rsidR="00C4667D">
        <w:rPr>
          <w:b w:val="0"/>
          <w:bCs w:val="0"/>
        </w:rPr>
        <w:t xml:space="preserve"> Native </w:t>
      </w:r>
      <w:r w:rsidR="00665DCE">
        <w:rPr>
          <w:b w:val="0"/>
          <w:bCs w:val="0"/>
        </w:rPr>
        <w:t>F</w:t>
      </w:r>
      <w:r w:rsidR="00C4667D">
        <w:rPr>
          <w:b w:val="0"/>
          <w:bCs w:val="0"/>
        </w:rPr>
        <w:t>orest</w:t>
      </w:r>
      <w:r w:rsidR="001C49EB">
        <w:rPr>
          <w:b w:val="0"/>
          <w:bCs w:val="0"/>
        </w:rPr>
        <w:t xml:space="preserve"> activities</w:t>
      </w:r>
      <w:r w:rsidRPr="00351B86">
        <w:rPr>
          <w:b w:val="0"/>
          <w:szCs w:val="20"/>
        </w:rPr>
        <w:t>.</w:t>
      </w:r>
      <w:bookmarkEnd w:id="72"/>
    </w:p>
    <w:tbl>
      <w:tblPr>
        <w:tblStyle w:val="TableCSIRO"/>
        <w:tblW w:w="9498" w:type="dxa"/>
        <w:tblInd w:w="-14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3686"/>
        <w:gridCol w:w="1276"/>
        <w:gridCol w:w="188"/>
        <w:gridCol w:w="1088"/>
        <w:gridCol w:w="1134"/>
        <w:gridCol w:w="1114"/>
        <w:gridCol w:w="326"/>
        <w:gridCol w:w="326"/>
        <w:gridCol w:w="360"/>
      </w:tblGrid>
      <w:tr w:rsidR="00BB45A4" w:rsidRPr="004F363E" w14:paraId="74AE79FA" w14:textId="77777777" w:rsidTr="004354E2">
        <w:trPr>
          <w:cnfStyle w:val="100000000000" w:firstRow="1" w:lastRow="0" w:firstColumn="0" w:lastColumn="0" w:oddVBand="0" w:evenVBand="0" w:oddHBand="0" w:evenHBand="0" w:firstRowFirstColumn="0" w:firstRowLastColumn="0" w:lastRowFirstColumn="0" w:lastRowLastColumn="0"/>
          <w:cantSplit/>
          <w:trHeight w:val="1174"/>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tcMar>
              <w:top w:w="28" w:type="dxa"/>
              <w:left w:w="28" w:type="dxa"/>
              <w:bottom w:w="28" w:type="dxa"/>
              <w:right w:w="28" w:type="dxa"/>
            </w:tcMar>
            <w:vAlign w:val="center"/>
          </w:tcPr>
          <w:p w14:paraId="1A9AB4DE" w14:textId="77777777" w:rsidR="00BB45A4" w:rsidRDefault="00BB45A4" w:rsidP="004354E2">
            <w:pPr>
              <w:jc w:val="center"/>
            </w:pPr>
          </w:p>
          <w:p w14:paraId="3C1957DB" w14:textId="77777777" w:rsidR="00BB45A4" w:rsidRDefault="00BB45A4" w:rsidP="004354E2">
            <w:pPr>
              <w:rPr>
                <w:b w:val="0"/>
                <w:bCs w:val="0"/>
              </w:rPr>
            </w:pPr>
          </w:p>
          <w:p w14:paraId="334C30AB" w14:textId="77777777" w:rsidR="00BB45A4" w:rsidRPr="00867ED7" w:rsidRDefault="00BB45A4" w:rsidP="004354E2">
            <w:pPr>
              <w:rPr>
                <w:rFonts w:asciiTheme="minorHAnsi" w:hAnsiTheme="minorHAnsi" w:cstheme="minorHAnsi"/>
                <w:color w:val="000000" w:themeColor="text1"/>
                <w:sz w:val="18"/>
                <w:szCs w:val="18"/>
              </w:rPr>
            </w:pPr>
          </w:p>
        </w:tc>
        <w:tc>
          <w:tcPr>
            <w:tcW w:w="1276" w:type="dxa"/>
            <w:shd w:val="clear" w:color="auto" w:fill="FFFFFF" w:themeFill="background1"/>
          </w:tcPr>
          <w:p w14:paraId="0CF3EE3C" w14:textId="77777777" w:rsidR="00BB45A4" w:rsidRDefault="00BB45A4"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88" w:type="dxa"/>
            <w:shd w:val="clear" w:color="auto" w:fill="FFFFFF" w:themeFill="background1"/>
            <w:tcMar>
              <w:top w:w="28" w:type="dxa"/>
              <w:left w:w="28" w:type="dxa"/>
              <w:bottom w:w="28" w:type="dxa"/>
              <w:right w:w="28" w:type="dxa"/>
            </w:tcMar>
            <w:vAlign w:val="center"/>
          </w:tcPr>
          <w:p w14:paraId="05072CAC" w14:textId="77777777" w:rsidR="00BB45A4" w:rsidRDefault="00BB45A4"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shd w:val="clear" w:color="auto" w:fill="FFFFFF" w:themeFill="background1"/>
            <w:vAlign w:val="center"/>
          </w:tcPr>
          <w:p w14:paraId="7F4970C9" w14:textId="77777777" w:rsidR="00BB45A4" w:rsidRDefault="00BB45A4"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34" w:type="dxa"/>
            <w:shd w:val="clear" w:color="auto" w:fill="FFFFFF" w:themeFill="background1"/>
            <w:tcMar>
              <w:top w:w="28" w:type="dxa"/>
              <w:left w:w="28" w:type="dxa"/>
              <w:bottom w:w="28" w:type="dxa"/>
              <w:right w:w="28" w:type="dxa"/>
            </w:tcMar>
            <w:vAlign w:val="center"/>
          </w:tcPr>
          <w:p w14:paraId="3F78D8F6" w14:textId="77777777" w:rsidR="00BB45A4" w:rsidRDefault="00BB45A4"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14" w:type="dxa"/>
            <w:shd w:val="clear" w:color="auto" w:fill="FFFFFF" w:themeFill="background1"/>
            <w:vAlign w:val="center"/>
          </w:tcPr>
          <w:p w14:paraId="1A283EA5" w14:textId="77777777" w:rsidR="00BB45A4" w:rsidRDefault="00BB45A4"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6" w:type="dxa"/>
            <w:vMerge w:val="restart"/>
            <w:shd w:val="clear" w:color="auto" w:fill="FFFFFF" w:themeFill="background1"/>
            <w:textDirection w:val="btLr"/>
          </w:tcPr>
          <w:p w14:paraId="14F7FB4A" w14:textId="77777777" w:rsidR="00BB45A4" w:rsidRDefault="00BB45A4"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Portfolio-level risks?</w:t>
            </w:r>
          </w:p>
        </w:tc>
        <w:tc>
          <w:tcPr>
            <w:tcW w:w="326" w:type="dxa"/>
            <w:vMerge w:val="restart"/>
            <w:shd w:val="clear" w:color="auto" w:fill="FFFFFF" w:themeFill="background1"/>
            <w:textDirection w:val="btLr"/>
          </w:tcPr>
          <w:p w14:paraId="086FF3F8" w14:textId="77777777" w:rsidR="00BB45A4" w:rsidRDefault="00BB45A4"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accumulation</w:t>
            </w:r>
          </w:p>
        </w:tc>
        <w:tc>
          <w:tcPr>
            <w:tcW w:w="360" w:type="dxa"/>
            <w:vMerge w:val="restart"/>
            <w:shd w:val="clear" w:color="auto" w:fill="FFFFFF" w:themeFill="background1"/>
            <w:textDirection w:val="btLr"/>
          </w:tcPr>
          <w:p w14:paraId="49EF1968" w14:textId="77777777" w:rsidR="00BB45A4" w:rsidRDefault="00BB45A4"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maintenance</w:t>
            </w:r>
          </w:p>
        </w:tc>
      </w:tr>
      <w:tr w:rsidR="00BB45A4" w:rsidRPr="002A6E7B" w14:paraId="642FAA2B" w14:textId="77777777" w:rsidTr="004354E2">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3686" w:type="dxa"/>
            <w:tcBorders>
              <w:top w:val="nil"/>
              <w:bottom w:val="nil"/>
            </w:tcBorders>
            <w:shd w:val="clear" w:color="auto" w:fill="FFFFFF" w:themeFill="background1"/>
            <w:tcMar>
              <w:top w:w="28" w:type="dxa"/>
              <w:left w:w="28" w:type="dxa"/>
              <w:bottom w:w="28" w:type="dxa"/>
              <w:right w:w="28" w:type="dxa"/>
            </w:tcMar>
            <w:vAlign w:val="bottom"/>
          </w:tcPr>
          <w:p w14:paraId="648A6BCC" w14:textId="47C77E78" w:rsidR="00BB45A4" w:rsidRPr="002A6E7B" w:rsidRDefault="0098494B" w:rsidP="004354E2">
            <w:pPr>
              <w:rPr>
                <w:rFonts w:asciiTheme="minorHAnsi" w:hAnsiTheme="minorHAnsi" w:cstheme="minorHAnsi"/>
                <w:color w:val="000000" w:themeColor="text1"/>
                <w:sz w:val="18"/>
                <w:szCs w:val="18"/>
              </w:rPr>
            </w:pPr>
            <w:r w:rsidRPr="007B5CAD">
              <w:rPr>
                <w:rFonts w:asciiTheme="minorHAnsi" w:hAnsiTheme="minorHAnsi" w:cstheme="minorHAnsi"/>
                <w:color w:val="000000" w:themeColor="text1"/>
                <w:sz w:val="18"/>
                <w:szCs w:val="18"/>
              </w:rPr>
              <w:t>Direct impacts via primary climate change variables</w:t>
            </w:r>
          </w:p>
        </w:tc>
        <w:tc>
          <w:tcPr>
            <w:tcW w:w="1276" w:type="dxa"/>
            <w:tcBorders>
              <w:top w:val="nil"/>
              <w:bottom w:val="nil"/>
            </w:tcBorders>
            <w:shd w:val="clear" w:color="auto" w:fill="FFFFFF" w:themeFill="background1"/>
            <w:vAlign w:val="bottom"/>
          </w:tcPr>
          <w:p w14:paraId="2D56543E" w14:textId="77777777" w:rsidR="00BB45A4"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Science c</w:t>
            </w:r>
            <w:r w:rsidRPr="002A6E7B">
              <w:rPr>
                <w:rFonts w:asciiTheme="minorHAnsi" w:hAnsiTheme="minorHAnsi" w:cstheme="minorHAnsi"/>
                <w:b/>
                <w:bCs/>
                <w:color w:val="000000" w:themeColor="text1"/>
                <w:sz w:val="18"/>
                <w:szCs w:val="18"/>
              </w:rPr>
              <w:t>onfidence</w:t>
            </w:r>
          </w:p>
          <w:p w14:paraId="63EA8DE9"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in projection</w:t>
            </w:r>
          </w:p>
        </w:tc>
        <w:tc>
          <w:tcPr>
            <w:tcW w:w="188" w:type="dxa"/>
            <w:tcBorders>
              <w:top w:val="nil"/>
              <w:bottom w:val="nil"/>
            </w:tcBorders>
            <w:shd w:val="clear" w:color="auto" w:fill="FFFFFF" w:themeFill="background1"/>
            <w:tcMar>
              <w:top w:w="28" w:type="dxa"/>
              <w:left w:w="28" w:type="dxa"/>
              <w:bottom w:w="28" w:type="dxa"/>
              <w:right w:w="28" w:type="dxa"/>
            </w:tcMar>
            <w:vAlign w:val="bottom"/>
          </w:tcPr>
          <w:p w14:paraId="3853171C"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88" w:type="dxa"/>
            <w:tcBorders>
              <w:top w:val="nil"/>
              <w:bottom w:val="nil"/>
            </w:tcBorders>
            <w:shd w:val="clear" w:color="auto" w:fill="FFFFFF" w:themeFill="background1"/>
            <w:vAlign w:val="bottom"/>
          </w:tcPr>
          <w:p w14:paraId="66AA637D"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likelihood</w:t>
            </w:r>
          </w:p>
        </w:tc>
        <w:tc>
          <w:tcPr>
            <w:tcW w:w="1134" w:type="dxa"/>
            <w:tcBorders>
              <w:top w:val="nil"/>
              <w:bottom w:val="nil"/>
            </w:tcBorders>
            <w:shd w:val="clear" w:color="auto" w:fill="FFFFFF" w:themeFill="background1"/>
            <w:tcMar>
              <w:top w:w="28" w:type="dxa"/>
              <w:left w:w="28" w:type="dxa"/>
              <w:bottom w:w="28" w:type="dxa"/>
              <w:right w:w="28" w:type="dxa"/>
            </w:tcMar>
            <w:vAlign w:val="bottom"/>
          </w:tcPr>
          <w:p w14:paraId="31B795D7"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Consequence</w:t>
            </w:r>
          </w:p>
        </w:tc>
        <w:tc>
          <w:tcPr>
            <w:tcW w:w="1114" w:type="dxa"/>
            <w:tcBorders>
              <w:top w:val="nil"/>
              <w:bottom w:val="nil"/>
            </w:tcBorders>
            <w:shd w:val="clear" w:color="auto" w:fill="FFFFFF" w:themeFill="background1"/>
            <w:vAlign w:val="bottom"/>
          </w:tcPr>
          <w:p w14:paraId="6AFC345E"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Risk rating</w:t>
            </w:r>
          </w:p>
        </w:tc>
        <w:tc>
          <w:tcPr>
            <w:tcW w:w="326" w:type="dxa"/>
            <w:vMerge/>
            <w:tcBorders>
              <w:bottom w:val="nil"/>
            </w:tcBorders>
            <w:shd w:val="clear" w:color="auto" w:fill="FFFFFF" w:themeFill="background1"/>
            <w:vAlign w:val="bottom"/>
          </w:tcPr>
          <w:p w14:paraId="6871DD20"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6" w:type="dxa"/>
            <w:vMerge/>
            <w:tcBorders>
              <w:bottom w:val="nil"/>
            </w:tcBorders>
            <w:shd w:val="clear" w:color="auto" w:fill="FFFFFF" w:themeFill="background1"/>
            <w:vAlign w:val="bottom"/>
          </w:tcPr>
          <w:p w14:paraId="733D12E0"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60" w:type="dxa"/>
            <w:vMerge/>
            <w:tcBorders>
              <w:bottom w:val="nil"/>
            </w:tcBorders>
            <w:shd w:val="clear" w:color="auto" w:fill="FFFFFF" w:themeFill="background1"/>
            <w:vAlign w:val="bottom"/>
          </w:tcPr>
          <w:p w14:paraId="090A1E0E"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6FBBF9AA" w14:textId="77777777" w:rsidTr="004354E2">
        <w:trPr>
          <w:trHeight w:val="376"/>
        </w:trPr>
        <w:tc>
          <w:tcPr>
            <w:cnfStyle w:val="001000000000" w:firstRow="0" w:lastRow="0" w:firstColumn="1" w:lastColumn="0" w:oddVBand="0" w:evenVBand="0" w:oddHBand="0" w:evenHBand="0" w:firstRowFirstColumn="0" w:firstRowLastColumn="0" w:lastRowFirstColumn="0" w:lastRowLastColumn="0"/>
            <w:tcW w:w="3686"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3A01E79" w14:textId="49CB0460" w:rsidR="00BB45A4" w:rsidRPr="004F363E" w:rsidRDefault="00FA7575" w:rsidP="004354E2">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Heat-stress limiting plant growth and increasing mortality rates</w:t>
            </w:r>
          </w:p>
        </w:tc>
        <w:tc>
          <w:tcPr>
            <w:tcW w:w="1276" w:type="dxa"/>
            <w:tcBorders>
              <w:bottom w:val="single" w:sz="4" w:space="0" w:color="D9D9D9" w:themeColor="background1" w:themeShade="D9"/>
              <w:right w:val="single" w:sz="4" w:space="0" w:color="BFBFBF" w:themeColor="background1" w:themeShade="BF"/>
            </w:tcBorders>
            <w:shd w:val="clear" w:color="auto" w:fill="FFFFFF" w:themeFill="background1"/>
            <w:vAlign w:val="center"/>
          </w:tcPr>
          <w:p w14:paraId="00BDBC30" w14:textId="77777777" w:rsidR="00BB45A4" w:rsidRDefault="00BB45A4"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09E921B5" w14:textId="77777777" w:rsidR="00BB45A4" w:rsidRPr="004F363E" w:rsidRDefault="00BB45A4"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tcBorders>
            <w:shd w:val="clear" w:color="auto" w:fill="FFFFFF" w:themeFill="background1"/>
            <w:vAlign w:val="center"/>
          </w:tcPr>
          <w:p w14:paraId="4FBECCEF" w14:textId="77777777" w:rsidR="00BB45A4" w:rsidRDefault="00BB45A4"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5C8CA4C" w14:textId="77777777" w:rsidR="00BB45A4" w:rsidRPr="004F363E" w:rsidRDefault="00BB45A4"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14" w:type="dxa"/>
            <w:tcBorders>
              <w:bottom w:val="single" w:sz="4" w:space="0" w:color="D9D9D9" w:themeColor="background1" w:themeShade="D9"/>
            </w:tcBorders>
            <w:shd w:val="clear" w:color="auto" w:fill="ED7D31"/>
            <w:vAlign w:val="center"/>
          </w:tcPr>
          <w:p w14:paraId="6305A31E" w14:textId="77777777" w:rsidR="00BB45A4" w:rsidRPr="004F363E" w:rsidRDefault="00BB45A4"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 w:type="dxa"/>
            <w:tcBorders>
              <w:bottom w:val="single" w:sz="4" w:space="0" w:color="D9D9D9" w:themeColor="background1" w:themeShade="D9"/>
            </w:tcBorders>
            <w:shd w:val="clear" w:color="auto" w:fill="FFFFFF" w:themeFill="background1"/>
            <w:vAlign w:val="center"/>
          </w:tcPr>
          <w:p w14:paraId="6A4FAA1C" w14:textId="77777777" w:rsidR="00BB45A4" w:rsidRDefault="00BB45A4"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6" w:type="dxa"/>
            <w:tcBorders>
              <w:bottom w:val="single" w:sz="4" w:space="0" w:color="D9D9D9" w:themeColor="background1" w:themeShade="D9"/>
            </w:tcBorders>
            <w:shd w:val="clear" w:color="auto" w:fill="FFFFFF" w:themeFill="background1"/>
            <w:vAlign w:val="center"/>
          </w:tcPr>
          <w:p w14:paraId="0D3DE9D0" w14:textId="77777777" w:rsidR="00BB45A4" w:rsidRDefault="00BB45A4"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bottom w:val="single" w:sz="4" w:space="0" w:color="D9D9D9" w:themeColor="background1" w:themeShade="D9"/>
            </w:tcBorders>
            <w:shd w:val="clear" w:color="auto" w:fill="FFFFFF" w:themeFill="background1"/>
            <w:vAlign w:val="center"/>
          </w:tcPr>
          <w:p w14:paraId="1B3F8AC9" w14:textId="77777777" w:rsidR="00BB45A4" w:rsidRDefault="00BB45A4"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2D948375" w14:textId="77777777" w:rsidTr="0065299D">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965D4E3" w14:textId="6E7CDC4F" w:rsidR="00FA7575" w:rsidRPr="004F363E" w:rsidRDefault="00FA7575" w:rsidP="00FA7575">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276" w:type="dxa"/>
            <w:tcBorders>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72A4D21E" w14:textId="320410FB" w:rsidR="00FA7575" w:rsidRDefault="00FA7575" w:rsidP="00FA75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381DB7F1" w14:textId="77777777" w:rsidR="00FA7575" w:rsidRPr="004F363E" w:rsidRDefault="00FA7575" w:rsidP="00FA75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672679E1" w14:textId="2E0DAE5D" w:rsidR="00FA7575" w:rsidRDefault="00FA7575" w:rsidP="00FA75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A1EAB11" w14:textId="7F516CAB" w:rsidR="00FA7575" w:rsidRPr="004F363E" w:rsidRDefault="00FA7575" w:rsidP="00FA75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15958E75" w14:textId="5A68DB09" w:rsidR="00FA7575" w:rsidRPr="004F363E" w:rsidRDefault="00FA7575" w:rsidP="00FA75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586EBD5" w14:textId="03A7C9E8" w:rsidR="00FA7575" w:rsidRDefault="00FA7575" w:rsidP="00FA75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4120F3D" w14:textId="3A59A57D" w:rsidR="00FA7575" w:rsidRDefault="00FA7575" w:rsidP="00FA75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3DF6E3B" w14:textId="77777777" w:rsidR="00FA7575" w:rsidRDefault="00FA7575" w:rsidP="00FA75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5313279C" w14:textId="77777777" w:rsidTr="00C16121">
        <w:trPr>
          <w:trHeight w:val="417"/>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583F7EC" w14:textId="119F0F07" w:rsidR="00F95196" w:rsidRPr="004F363E" w:rsidRDefault="00F95196" w:rsidP="00F95196">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276" w:type="dxa"/>
            <w:tcBorders>
              <w:left w:val="single" w:sz="4" w:space="0" w:color="D9D9D9" w:themeColor="background1" w:themeShade="D9"/>
              <w:right w:val="single" w:sz="4" w:space="0" w:color="BFBFBF" w:themeColor="background1" w:themeShade="BF"/>
            </w:tcBorders>
            <w:shd w:val="clear" w:color="auto" w:fill="FFFFFF" w:themeFill="background1"/>
            <w:vAlign w:val="center"/>
          </w:tcPr>
          <w:p w14:paraId="22CAD91A" w14:textId="6DC46105" w:rsidR="00F95196" w:rsidRDefault="00F95196" w:rsidP="00F951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5AF76F0B" w14:textId="77777777" w:rsidR="00F95196" w:rsidRPr="004F363E" w:rsidRDefault="00F95196" w:rsidP="00F951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right w:val="single" w:sz="4" w:space="0" w:color="D9D9D9" w:themeColor="background1" w:themeShade="D9"/>
            </w:tcBorders>
            <w:shd w:val="clear" w:color="auto" w:fill="FFFFFF" w:themeFill="background1"/>
            <w:vAlign w:val="center"/>
          </w:tcPr>
          <w:p w14:paraId="616BE677" w14:textId="03CC7565" w:rsidR="00F95196" w:rsidRDefault="00F95196" w:rsidP="00F951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3754B89" w14:textId="4E2206B3" w:rsidR="00F95196" w:rsidRPr="004F363E" w:rsidRDefault="00F95196" w:rsidP="00F951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45DF7440" w14:textId="4D192A42" w:rsidR="00F95196" w:rsidRPr="004F363E" w:rsidRDefault="00F95196" w:rsidP="00F951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287B9EE8" w14:textId="597716D1" w:rsidR="00F95196" w:rsidRDefault="00F95196" w:rsidP="00F951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6"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298BF416" w14:textId="1F80B168" w:rsidR="00F95196" w:rsidRDefault="00F95196" w:rsidP="00F951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791FC69B" w14:textId="77777777" w:rsidR="00F95196" w:rsidRDefault="00F95196" w:rsidP="00F951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25CFB957" w14:textId="77777777" w:rsidTr="004354E2">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0E37CE4" w14:textId="177D6C22" w:rsidR="00EA1255" w:rsidRPr="004F363E" w:rsidRDefault="00EA1255" w:rsidP="00EA1255">
            <w:pPr>
              <w:ind w:left="401"/>
              <w:rPr>
                <w:rFonts w:asciiTheme="minorHAnsi" w:hAnsiTheme="minorHAnsi" w:cstheme="minorHAnsi"/>
                <w:b w:val="0"/>
                <w:bCs w:val="0"/>
                <w:color w:val="000000" w:themeColor="text1"/>
                <w:sz w:val="18"/>
                <w:szCs w:val="18"/>
              </w:rPr>
            </w:pPr>
            <w:r w:rsidRPr="003770AA">
              <w:rPr>
                <w:rFonts w:asciiTheme="minorHAnsi" w:hAnsiTheme="minorHAnsi" w:cstheme="minorHAnsi"/>
                <w:b w:val="0"/>
                <w:bCs w:val="0"/>
                <w:color w:val="000000" w:themeColor="text1"/>
                <w:sz w:val="18"/>
                <w:szCs w:val="18"/>
              </w:rPr>
              <w:t>Changes in timing/occurrence of suitable conditions for tree and crop establishment</w:t>
            </w:r>
          </w:p>
        </w:tc>
        <w:tc>
          <w:tcPr>
            <w:tcW w:w="1276" w:type="dxa"/>
            <w:tcBorders>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523AFBE9" w14:textId="41AA09C7" w:rsidR="00EA1255" w:rsidRDefault="00EA1255" w:rsidP="00EA12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3BDF059E" w14:textId="77777777" w:rsidR="00EA1255" w:rsidRPr="004F363E" w:rsidRDefault="00EA1255" w:rsidP="00EA12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75E74E6B" w14:textId="3345DE53" w:rsidR="00EA1255" w:rsidRDefault="00EA1255" w:rsidP="00EA12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5B85EC6" w14:textId="1A6EF77D" w:rsidR="00EA1255" w:rsidRPr="004F363E" w:rsidRDefault="00EA1255" w:rsidP="00EA12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4D18AE2A" w14:textId="2E192804" w:rsidR="00EA1255" w:rsidRPr="004F363E" w:rsidRDefault="00EA1255" w:rsidP="00EA12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6DE721A" w14:textId="1620DE5F" w:rsidR="00EA1255" w:rsidRDefault="00EA1255" w:rsidP="00EA12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ECC180D" w14:textId="05FFAFD7" w:rsidR="00EA1255" w:rsidRDefault="00EA1255" w:rsidP="00EA12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6C384EF" w14:textId="77777777" w:rsidR="00EA1255" w:rsidRDefault="00EA1255" w:rsidP="00EA125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30C1629F" w14:textId="77777777" w:rsidTr="00257082">
        <w:trPr>
          <w:trHeight w:val="417"/>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D060364" w14:textId="59CEAFAE" w:rsidR="000023A2" w:rsidRPr="004F363E" w:rsidRDefault="000023A2" w:rsidP="000023A2">
            <w:pPr>
              <w:ind w:left="401"/>
              <w:rPr>
                <w:rFonts w:asciiTheme="minorHAnsi" w:hAnsiTheme="minorHAnsi" w:cstheme="minorHAnsi"/>
                <w:b w:val="0"/>
                <w:bCs w:val="0"/>
                <w:color w:val="000000" w:themeColor="text1"/>
                <w:sz w:val="18"/>
                <w:szCs w:val="18"/>
              </w:rPr>
            </w:pPr>
            <w:r w:rsidRPr="003770AA">
              <w:rPr>
                <w:rFonts w:asciiTheme="minorHAnsi" w:hAnsiTheme="minorHAnsi" w:cstheme="minorHAnsi"/>
                <w:b w:val="0"/>
                <w:bCs w:val="0"/>
                <w:sz w:val="18"/>
                <w:szCs w:val="18"/>
              </w:rPr>
              <w:t>Increased frost damage associated with increased dryness / reduced opportunities for frost hardening.</w:t>
            </w:r>
          </w:p>
        </w:tc>
        <w:tc>
          <w:tcPr>
            <w:tcW w:w="1276" w:type="dxa"/>
            <w:tcBorders>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5ABCE36D" w14:textId="6936904F" w:rsidR="000023A2" w:rsidRDefault="000023A2" w:rsidP="000023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1B6DAD1C" w14:textId="77777777" w:rsidR="000023A2" w:rsidRPr="004F363E" w:rsidRDefault="000023A2" w:rsidP="000023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5996BCD9" w14:textId="6D4B0854" w:rsidR="000023A2" w:rsidRDefault="000023A2" w:rsidP="000023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6D7BB16" w14:textId="728B725A" w:rsidR="000023A2" w:rsidRPr="004F363E" w:rsidRDefault="000023A2" w:rsidP="000023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1D30DDD6" w14:textId="6AAEE000" w:rsidR="000023A2" w:rsidRPr="004F363E" w:rsidRDefault="000023A2" w:rsidP="000023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6BB1FF9" w14:textId="4AE9C706" w:rsidR="000023A2" w:rsidRDefault="000023A2" w:rsidP="000023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3C68D5F" w14:textId="51D46333" w:rsidR="000023A2" w:rsidRDefault="000023A2" w:rsidP="000023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32A1700" w14:textId="77777777" w:rsidR="000023A2" w:rsidRDefault="000023A2" w:rsidP="000023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28F713BA" w14:textId="77777777" w:rsidTr="00257082">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5F13EEA" w14:textId="5BEE7763" w:rsidR="000023A2" w:rsidRPr="000556A4" w:rsidRDefault="000023A2" w:rsidP="000023A2">
            <w:pPr>
              <w:ind w:left="401"/>
              <w:rPr>
                <w:rFonts w:asciiTheme="minorHAnsi" w:hAnsiTheme="minorHAnsi" w:cstheme="minorHAnsi"/>
                <w:color w:val="000000" w:themeColor="text1"/>
                <w:sz w:val="18"/>
                <w:szCs w:val="18"/>
              </w:rPr>
            </w:pPr>
            <w:r w:rsidRPr="003770AA">
              <w:rPr>
                <w:rFonts w:asciiTheme="minorHAnsi" w:hAnsiTheme="minorHAnsi" w:cstheme="minorHAnsi"/>
                <w:b w:val="0"/>
                <w:bCs w:val="0"/>
                <w:sz w:val="18"/>
                <w:szCs w:val="18"/>
              </w:rPr>
              <w:t>Decreased frost days with implications for increased seed dormancy and reduced germination rates</w:t>
            </w:r>
          </w:p>
        </w:tc>
        <w:tc>
          <w:tcPr>
            <w:tcW w:w="1276" w:type="dxa"/>
            <w:tcBorders>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13073F9F" w14:textId="66670554" w:rsidR="000023A2" w:rsidRDefault="000023A2" w:rsidP="000023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18207B79" w14:textId="77777777" w:rsidR="000023A2" w:rsidRDefault="000023A2" w:rsidP="000023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312D9A17" w14:textId="194444BB" w:rsidR="000023A2" w:rsidRDefault="000023A2" w:rsidP="000023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D7D229F" w14:textId="6B0D6BE9" w:rsidR="000023A2" w:rsidRDefault="000023A2" w:rsidP="000023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04A6056F" w14:textId="7CF1A966" w:rsidR="000023A2" w:rsidRDefault="000023A2" w:rsidP="000023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02B145D" w14:textId="6AE9CC60" w:rsidR="000023A2" w:rsidRDefault="000023A2" w:rsidP="000023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FB937F6" w14:textId="5DFCB3A6" w:rsidR="000023A2" w:rsidRDefault="000023A2" w:rsidP="000023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FA49BBA" w14:textId="77777777" w:rsidR="000023A2" w:rsidRDefault="000023A2" w:rsidP="000023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47A3494B" w14:textId="77777777" w:rsidTr="0079036B">
        <w:trPr>
          <w:trHeight w:val="417"/>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FDF8F03" w14:textId="16610D5A" w:rsidR="0079036B" w:rsidRPr="003770AA" w:rsidRDefault="0079036B" w:rsidP="0079036B">
            <w:pPr>
              <w:ind w:left="401"/>
              <w:rPr>
                <w:rFonts w:asciiTheme="minorHAnsi" w:hAnsiTheme="minorHAnsi" w:cstheme="minorHAnsi"/>
                <w:b w:val="0"/>
                <w:bCs w:val="0"/>
                <w:sz w:val="18"/>
                <w:szCs w:val="18"/>
              </w:rPr>
            </w:pPr>
            <w:r w:rsidRPr="000556A4">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276" w:type="dxa"/>
            <w:tcBorders>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1E7E4A32" w14:textId="2449EE6B"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6DF12D6A" w14:textId="77777777"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58681FC3" w14:textId="434C459B"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D97572E" w14:textId="601710C4"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Insignificant</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21F8434C" w14:textId="6FEB17A7"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C3A8E4E" w14:textId="77777777"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D721C0D" w14:textId="28F74373"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DAB1723" w14:textId="77777777"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6005B725" w14:textId="77777777" w:rsidTr="0079036B">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A4D7EAB" w14:textId="30E36E44" w:rsidR="0079036B" w:rsidRPr="003770AA" w:rsidRDefault="0079036B" w:rsidP="0079036B">
            <w:pPr>
              <w:ind w:left="401"/>
              <w:rPr>
                <w:rFonts w:asciiTheme="minorHAnsi" w:hAnsiTheme="minorHAnsi" w:cstheme="minorHAnsi"/>
                <w:b w:val="0"/>
                <w:bCs w:val="0"/>
                <w:sz w:val="18"/>
                <w:szCs w:val="18"/>
              </w:rPr>
            </w:pPr>
            <w:r>
              <w:rPr>
                <w:rFonts w:asciiTheme="minorHAnsi" w:hAnsiTheme="minorHAnsi" w:cstheme="minorHAnsi"/>
                <w:b w:val="0"/>
                <w:bCs w:val="0"/>
                <w:color w:val="000000" w:themeColor="text1"/>
                <w:sz w:val="18"/>
                <w:szCs w:val="18"/>
              </w:rPr>
              <w:t>Flood-related s</w:t>
            </w:r>
            <w:r w:rsidRPr="004F363E">
              <w:rPr>
                <w:rFonts w:asciiTheme="minorHAnsi" w:hAnsiTheme="minorHAnsi" w:cstheme="minorHAnsi"/>
                <w:b w:val="0"/>
                <w:bCs w:val="0"/>
                <w:color w:val="000000" w:themeColor="text1"/>
                <w:sz w:val="18"/>
                <w:szCs w:val="18"/>
              </w:rPr>
              <w:t>oil erosion and deposition</w:t>
            </w:r>
          </w:p>
        </w:tc>
        <w:tc>
          <w:tcPr>
            <w:tcW w:w="1276" w:type="dxa"/>
            <w:tcBorders>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3A015457" w14:textId="2009F83A" w:rsidR="0079036B" w:rsidRDefault="0079036B" w:rsidP="00790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600D6EDC" w14:textId="77777777" w:rsidR="0079036B" w:rsidRDefault="0079036B" w:rsidP="00790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7E62E547" w14:textId="39849486" w:rsidR="0079036B" w:rsidRDefault="0079036B" w:rsidP="00790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302E28F" w14:textId="2E42AF26" w:rsidR="0079036B" w:rsidRDefault="0079036B" w:rsidP="00790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Insignificant</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10BA54E7" w14:textId="4F460FCF" w:rsidR="0079036B" w:rsidRDefault="0079036B" w:rsidP="00790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757EA4C" w14:textId="77777777" w:rsidR="0079036B" w:rsidRDefault="0079036B" w:rsidP="00790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2C45148" w14:textId="4DD94B38" w:rsidR="0079036B" w:rsidRDefault="0079036B" w:rsidP="00790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06F11AC" w14:textId="77777777" w:rsidR="0079036B" w:rsidRDefault="0079036B" w:rsidP="007903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43FF7A46" w14:textId="77777777" w:rsidTr="0079036B">
        <w:trPr>
          <w:trHeight w:val="417"/>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4278713" w14:textId="77777777" w:rsidR="0079036B" w:rsidRDefault="0079036B" w:rsidP="0079036B">
            <w:pPr>
              <w:ind w:left="393"/>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 xml:space="preserve">Mechanical damage from wind and storms </w:t>
            </w:r>
          </w:p>
          <w:p w14:paraId="3810C5B9" w14:textId="77777777" w:rsidR="0079036B" w:rsidRPr="003770AA" w:rsidRDefault="0079036B" w:rsidP="0079036B">
            <w:pPr>
              <w:ind w:left="401"/>
              <w:rPr>
                <w:rFonts w:asciiTheme="minorHAnsi" w:hAnsiTheme="minorHAnsi" w:cstheme="minorHAnsi"/>
                <w:b w:val="0"/>
                <w:bCs w:val="0"/>
                <w:sz w:val="18"/>
                <w:szCs w:val="18"/>
              </w:rPr>
            </w:pPr>
          </w:p>
        </w:tc>
        <w:tc>
          <w:tcPr>
            <w:tcW w:w="1276" w:type="dxa"/>
            <w:tcBorders>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767E23F8" w14:textId="1B75B4AD"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6036D229" w14:textId="77777777"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32294C7B" w14:textId="0DA12359"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About as likely as not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567DF80" w14:textId="79D5C048"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2CF62305" w14:textId="183E77C7"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9AA317B" w14:textId="77777777"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1394481" w14:textId="2F85DD3E"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D05D66A" w14:textId="3D856618" w:rsidR="0079036B" w:rsidRDefault="0079036B" w:rsidP="007903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2A6E7B" w14:paraId="6B004603" w14:textId="77777777" w:rsidTr="004354E2">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9BC824A" w14:textId="00BC1A71" w:rsidR="00BB45A4" w:rsidRPr="002A6E7B" w:rsidRDefault="0098494B" w:rsidP="004354E2">
            <w:pPr>
              <w:ind w:left="117"/>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Direct impacts via secondary climate change variables</w:t>
            </w:r>
          </w:p>
        </w:tc>
        <w:tc>
          <w:tcPr>
            <w:tcW w:w="1276"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3FDF21CE"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88" w:type="dxa"/>
            <w:tcBorders>
              <w:top w:val="nil"/>
              <w:bottom w:val="nil"/>
            </w:tcBorders>
            <w:shd w:val="clear" w:color="auto" w:fill="FFFFFF" w:themeFill="background1"/>
            <w:tcMar>
              <w:top w:w="28" w:type="dxa"/>
              <w:left w:w="28" w:type="dxa"/>
              <w:bottom w:w="28" w:type="dxa"/>
              <w:right w:w="28" w:type="dxa"/>
            </w:tcMar>
            <w:vAlign w:val="center"/>
          </w:tcPr>
          <w:p w14:paraId="6E20BC44"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88"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78E37423"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8EB513C"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14"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069841A5"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6"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A1AF810"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6"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7AB3C3B"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60"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F3262AD" w14:textId="77777777" w:rsidR="00BB45A4" w:rsidRPr="002A6E7B" w:rsidRDefault="00BB45A4"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04B61862" w14:textId="77777777" w:rsidTr="0098494B">
        <w:trPr>
          <w:trHeight w:val="275"/>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48ABFA7" w14:textId="29EBBFCF" w:rsidR="0098494B" w:rsidRPr="00E73F23" w:rsidRDefault="0098494B" w:rsidP="0098494B">
            <w:pPr>
              <w:ind w:left="401"/>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 xml:space="preserve">Drought-induced </w:t>
            </w:r>
            <w:r>
              <w:rPr>
                <w:rFonts w:asciiTheme="minorHAnsi" w:hAnsiTheme="minorHAnsi" w:cstheme="minorHAnsi"/>
                <w:b w:val="0"/>
                <w:bCs w:val="0"/>
                <w:color w:val="000000" w:themeColor="text1"/>
                <w:sz w:val="18"/>
                <w:szCs w:val="18"/>
              </w:rPr>
              <w:t xml:space="preserve">plant </w:t>
            </w:r>
            <w:r w:rsidRPr="000556A4">
              <w:rPr>
                <w:rFonts w:asciiTheme="minorHAnsi" w:hAnsiTheme="minorHAnsi" w:cstheme="minorHAnsi"/>
                <w:b w:val="0"/>
                <w:bCs w:val="0"/>
                <w:color w:val="000000" w:themeColor="text1"/>
                <w:sz w:val="18"/>
                <w:szCs w:val="18"/>
              </w:rPr>
              <w:t>mortality, with possibility of recruitment failure.</w:t>
            </w:r>
          </w:p>
        </w:tc>
        <w:tc>
          <w:tcPr>
            <w:tcW w:w="12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59E72622" w14:textId="542A2291" w:rsidR="0098494B"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13AED699" w14:textId="77777777" w:rsidR="0098494B" w:rsidRPr="004F363E"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top w:val="single" w:sz="4" w:space="0" w:color="D9D9D9" w:themeColor="background1" w:themeShade="D9"/>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356B62CE" w14:textId="6F7D019E" w:rsidR="0098494B"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3BA4DA7" w14:textId="29B40EA6" w:rsidR="0098494B" w:rsidRPr="004F363E"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1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7BA2C0B5" w14:textId="77777777" w:rsidR="0098494B"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p w14:paraId="4D41F12F" w14:textId="2DC7C7C1" w:rsidR="0098494B" w:rsidRPr="004F363E"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5CE791A" w14:textId="64471572" w:rsidR="0098494B"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D08E345" w14:textId="160EAA8E" w:rsidR="0098494B"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9037541" w14:textId="4BB1D1E4" w:rsidR="0098494B" w:rsidRDefault="0098494B" w:rsidP="0098494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6E3BD539" w14:textId="77777777" w:rsidTr="004354E2">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8D20BF1" w14:textId="6AAD1315" w:rsidR="0021021C" w:rsidRPr="00E73F23" w:rsidRDefault="0021021C" w:rsidP="0021021C">
            <w:pPr>
              <w:ind w:left="401"/>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1276" w:type="dxa"/>
            <w:tcBorders>
              <w:left w:val="single" w:sz="4" w:space="0" w:color="D9D9D9" w:themeColor="background1" w:themeShade="D9"/>
              <w:right w:val="single" w:sz="4" w:space="0" w:color="BFBFBF" w:themeColor="background1" w:themeShade="BF"/>
            </w:tcBorders>
            <w:shd w:val="clear" w:color="auto" w:fill="FFFFFF" w:themeFill="background1"/>
            <w:vAlign w:val="center"/>
          </w:tcPr>
          <w:p w14:paraId="0D20FA11" w14:textId="0CC1EB31" w:rsidR="0021021C" w:rsidRDefault="0021021C" w:rsidP="0021021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452605AA" w14:textId="77777777" w:rsidR="0021021C" w:rsidRPr="004F363E" w:rsidRDefault="0021021C" w:rsidP="0021021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right w:val="single" w:sz="4" w:space="0" w:color="D9D9D9" w:themeColor="background1" w:themeShade="D9"/>
            </w:tcBorders>
            <w:shd w:val="clear" w:color="auto" w:fill="FFFFFF" w:themeFill="background1"/>
            <w:vAlign w:val="center"/>
          </w:tcPr>
          <w:p w14:paraId="5EB41A08" w14:textId="0668731F" w:rsidR="0021021C" w:rsidRDefault="0021021C" w:rsidP="0021021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E57857D" w14:textId="70152834" w:rsidR="0021021C" w:rsidRPr="004F363E" w:rsidRDefault="0021021C" w:rsidP="0021021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3EA8EB6B" w14:textId="76B438B7" w:rsidR="0021021C" w:rsidRPr="004F363E" w:rsidRDefault="0021021C" w:rsidP="0021021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6"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715C4DFF" w14:textId="77777777" w:rsidR="0021021C" w:rsidRDefault="0021021C" w:rsidP="0021021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6"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7D291F94" w14:textId="7AF0BEFC" w:rsidR="0021021C" w:rsidRDefault="0021021C" w:rsidP="0021021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2DAD58FE" w14:textId="00DBC927" w:rsidR="0021021C" w:rsidRDefault="0021021C" w:rsidP="0021021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2A6E7B" w14:paraId="402B9978" w14:textId="77777777" w:rsidTr="004354E2">
        <w:trPr>
          <w:trHeight w:val="29"/>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7BF75343" w14:textId="3C835675" w:rsidR="0021021C" w:rsidRPr="002A6E7B" w:rsidRDefault="0021021C" w:rsidP="004354E2">
            <w:pPr>
              <w:ind w:left="117"/>
              <w:rPr>
                <w:rFonts w:asciiTheme="minorHAnsi" w:hAnsiTheme="minorHAnsi" w:cstheme="minorHAnsi"/>
                <w:color w:val="000000" w:themeColor="text1"/>
                <w:sz w:val="18"/>
                <w:szCs w:val="18"/>
              </w:rPr>
            </w:pPr>
            <w:r w:rsidRPr="0021021C">
              <w:rPr>
                <w:rFonts w:asciiTheme="minorHAnsi" w:hAnsiTheme="minorHAnsi" w:cstheme="minorHAnsi"/>
                <w:color w:val="000000" w:themeColor="text1"/>
                <w:sz w:val="18"/>
                <w:szCs w:val="18"/>
              </w:rPr>
              <w:t>Indirect impacts via climate change impacts on weeds, pests and diseases</w:t>
            </w:r>
          </w:p>
        </w:tc>
        <w:tc>
          <w:tcPr>
            <w:tcW w:w="1276"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5A422314" w14:textId="77777777" w:rsidR="0021021C" w:rsidRPr="002A6E7B" w:rsidRDefault="0021021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88" w:type="dxa"/>
            <w:tcBorders>
              <w:top w:val="nil"/>
              <w:left w:val="nil"/>
              <w:bottom w:val="nil"/>
              <w:right w:val="nil"/>
            </w:tcBorders>
            <w:shd w:val="clear" w:color="auto" w:fill="FFFFFF" w:themeFill="background1"/>
            <w:tcMar>
              <w:top w:w="28" w:type="dxa"/>
              <w:left w:w="28" w:type="dxa"/>
              <w:bottom w:w="28" w:type="dxa"/>
              <w:right w:w="28" w:type="dxa"/>
            </w:tcMar>
            <w:vAlign w:val="center"/>
          </w:tcPr>
          <w:p w14:paraId="3648AC47" w14:textId="77777777" w:rsidR="0021021C" w:rsidRPr="002A6E7B" w:rsidRDefault="0021021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088"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1D05FCDB" w14:textId="77777777" w:rsidR="0021021C" w:rsidRPr="002A6E7B" w:rsidRDefault="0021021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09C227F7" w14:textId="77777777" w:rsidR="0021021C" w:rsidRPr="002A6E7B" w:rsidRDefault="0021021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1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7883F05D" w14:textId="77777777" w:rsidR="0021021C" w:rsidRPr="002A6E7B" w:rsidRDefault="0021021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26"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78A9247B" w14:textId="77777777" w:rsidR="0021021C" w:rsidRPr="002A6E7B" w:rsidRDefault="0021021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26"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0BE976E7" w14:textId="77777777" w:rsidR="0021021C" w:rsidRPr="002A6E7B" w:rsidRDefault="0021021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6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168324E8" w14:textId="77777777" w:rsidR="0021021C" w:rsidRPr="002A6E7B" w:rsidRDefault="0021021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41468E45" w14:textId="77777777" w:rsidTr="00257082">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36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86FDA74" w14:textId="722C5195" w:rsidR="006C7D84" w:rsidRPr="004F363E" w:rsidRDefault="006C7D84" w:rsidP="006C7D84">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Extended range of pests/diseases; Increased over-wintering resulting in faster build-up in the growing season</w:t>
            </w:r>
          </w:p>
        </w:tc>
        <w:tc>
          <w:tcPr>
            <w:tcW w:w="1276" w:type="dxa"/>
            <w:tcBorders>
              <w:left w:val="single" w:sz="4" w:space="0" w:color="D9D9D9" w:themeColor="background1" w:themeShade="D9"/>
              <w:bottom w:val="single" w:sz="4" w:space="0" w:color="D9D9D9" w:themeColor="background1" w:themeShade="D9"/>
              <w:right w:val="single" w:sz="4" w:space="0" w:color="BFBFBF" w:themeColor="background1" w:themeShade="BF"/>
            </w:tcBorders>
            <w:shd w:val="clear" w:color="auto" w:fill="FFFFFF" w:themeFill="background1"/>
            <w:vAlign w:val="center"/>
          </w:tcPr>
          <w:p w14:paraId="461C5999" w14:textId="2942C707" w:rsidR="006C7D84" w:rsidRDefault="006C7D84" w:rsidP="006C7D8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88" w:type="dxa"/>
            <w:tcBorders>
              <w:top w:val="nil"/>
              <w:left w:val="single" w:sz="4" w:space="0" w:color="BFBFBF" w:themeColor="background1" w:themeShade="BF"/>
              <w:bottom w:val="nil"/>
              <w:right w:val="single" w:sz="4" w:space="0" w:color="BFBFBF" w:themeColor="background1" w:themeShade="BF"/>
            </w:tcBorders>
            <w:shd w:val="clear" w:color="auto" w:fill="FFFFFF" w:themeFill="background1"/>
            <w:tcMar>
              <w:top w:w="28" w:type="dxa"/>
              <w:left w:w="28" w:type="dxa"/>
              <w:bottom w:w="28" w:type="dxa"/>
              <w:right w:w="28" w:type="dxa"/>
            </w:tcMar>
            <w:vAlign w:val="center"/>
          </w:tcPr>
          <w:p w14:paraId="48A62B08" w14:textId="77777777" w:rsidR="006C7D84" w:rsidRPr="004F363E" w:rsidRDefault="006C7D84" w:rsidP="006C7D8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8" w:type="dxa"/>
            <w:tcBorders>
              <w:left w:val="single" w:sz="4" w:space="0" w:color="BFBFBF" w:themeColor="background1" w:themeShade="BF"/>
              <w:bottom w:val="single" w:sz="4" w:space="0" w:color="D9D9D9" w:themeColor="background1" w:themeShade="D9"/>
              <w:right w:val="single" w:sz="4" w:space="0" w:color="D9D9D9" w:themeColor="background1" w:themeShade="D9"/>
            </w:tcBorders>
            <w:shd w:val="clear" w:color="auto" w:fill="FFFFFF" w:themeFill="background1"/>
            <w:vAlign w:val="center"/>
          </w:tcPr>
          <w:p w14:paraId="29CDB3B0" w14:textId="01DA21CD" w:rsidR="006C7D84" w:rsidRDefault="006C7D84" w:rsidP="006C7D8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3734259" w14:textId="284F692D" w:rsidR="006C7D84" w:rsidRPr="004F363E" w:rsidRDefault="006C7D84" w:rsidP="006C7D8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1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07C54141" w14:textId="0982A391" w:rsidR="006C7D84" w:rsidRPr="004F363E" w:rsidRDefault="006C7D84" w:rsidP="006C7D8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56503D3" w14:textId="77777777" w:rsidR="006C7D84" w:rsidRDefault="006C7D84" w:rsidP="006C7D8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F508BBE" w14:textId="73C9AF57" w:rsidR="006C7D84" w:rsidRDefault="006C7D84" w:rsidP="006C7D8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6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00DECE9" w14:textId="1B588941" w:rsidR="006C7D84" w:rsidRDefault="006C7D84" w:rsidP="006C7D8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bl>
    <w:p w14:paraId="49699EEB" w14:textId="2E0DAFAC" w:rsidR="008F1E10" w:rsidRDefault="008F1E10" w:rsidP="008F1E10">
      <w:pPr>
        <w:pStyle w:val="Heading3"/>
      </w:pPr>
      <w:r>
        <w:lastRenderedPageBreak/>
        <w:t>Protection of existing forests</w:t>
      </w:r>
    </w:p>
    <w:p w14:paraId="740272C9" w14:textId="77777777" w:rsidR="008F1E10" w:rsidRDefault="008F1E10" w:rsidP="008F1E10">
      <w:pPr>
        <w:pStyle w:val="Heading4"/>
      </w:pPr>
      <w:r>
        <w:t>Embedded Methodologies</w:t>
      </w:r>
    </w:p>
    <w:p w14:paraId="1CFA8BEC" w14:textId="4B45B85E" w:rsidR="008F1E10" w:rsidRPr="009409A2" w:rsidRDefault="000651DF" w:rsidP="008F1E10">
      <w:pPr>
        <w:pStyle w:val="BodyText"/>
        <w:spacing w:after="0"/>
        <w:rPr>
          <w:rFonts w:asciiTheme="minorHAnsi" w:hAnsiTheme="minorHAnsi"/>
          <w:smallCaps/>
          <w:sz w:val="20"/>
          <w:szCs w:val="20"/>
        </w:rPr>
      </w:pPr>
      <w:hyperlink r:id="rId54" w:history="1">
        <w:r w:rsidR="008F1E10" w:rsidRPr="006A6EEC">
          <w:rPr>
            <w:rStyle w:val="Hyperlink"/>
            <w:rFonts w:asciiTheme="minorHAnsi" w:hAnsiTheme="minorHAnsi"/>
            <w:smallCaps/>
            <w:sz w:val="20"/>
            <w:szCs w:val="20"/>
          </w:rPr>
          <w:t>Avoided Clearing of Native Regrowth</w:t>
        </w:r>
        <w:r w:rsidR="008F1E10" w:rsidRPr="009409A2">
          <w:rPr>
            <w:rStyle w:val="Hyperlink"/>
            <w:rFonts w:asciiTheme="minorHAnsi" w:hAnsiTheme="minorHAnsi"/>
            <w:smallCaps/>
            <w:sz w:val="20"/>
            <w:szCs w:val="20"/>
          </w:rPr>
          <w:t xml:space="preserve"> (2013)</w:t>
        </w:r>
      </w:hyperlink>
      <w:r w:rsidR="008F1E10">
        <w:rPr>
          <w:rFonts w:asciiTheme="minorHAnsi" w:hAnsiTheme="minorHAnsi"/>
          <w:smallCaps/>
          <w:sz w:val="20"/>
          <w:szCs w:val="20"/>
        </w:rPr>
        <w:t xml:space="preserve"> (Avoided-C)</w:t>
      </w:r>
    </w:p>
    <w:p w14:paraId="52D69CCC" w14:textId="4E642293" w:rsidR="008F1E10" w:rsidRPr="009409A2" w:rsidRDefault="000651DF" w:rsidP="008F1E10">
      <w:pPr>
        <w:pStyle w:val="BodyText"/>
        <w:spacing w:before="0"/>
        <w:rPr>
          <w:smallCaps/>
        </w:rPr>
      </w:pPr>
      <w:hyperlink r:id="rId55" w:history="1">
        <w:hyperlink r:id="rId56" w:history="1">
          <w:r w:rsidR="008F1E10">
            <w:rPr>
              <w:rStyle w:val="Hyperlink"/>
              <w:rFonts w:asciiTheme="minorHAnsi" w:hAnsiTheme="minorHAnsi"/>
              <w:smallCaps/>
              <w:sz w:val="20"/>
              <w:szCs w:val="20"/>
            </w:rPr>
            <w:t>Avoided Deforestation</w:t>
          </w:r>
          <w:r w:rsidR="008F1E10" w:rsidRPr="009409A2">
            <w:rPr>
              <w:rStyle w:val="Hyperlink"/>
              <w:rFonts w:asciiTheme="minorHAnsi" w:hAnsiTheme="minorHAnsi"/>
              <w:smallCaps/>
              <w:sz w:val="20"/>
              <w:szCs w:val="20"/>
            </w:rPr>
            <w:t xml:space="preserve"> (201</w:t>
          </w:r>
          <w:r w:rsidR="008F1E10">
            <w:rPr>
              <w:rStyle w:val="Hyperlink"/>
              <w:rFonts w:asciiTheme="minorHAnsi" w:hAnsiTheme="minorHAnsi"/>
              <w:smallCaps/>
              <w:sz w:val="20"/>
              <w:szCs w:val="20"/>
            </w:rPr>
            <w:t>5</w:t>
          </w:r>
          <w:r w:rsidR="008F1E10" w:rsidRPr="009409A2">
            <w:rPr>
              <w:rStyle w:val="Hyperlink"/>
              <w:rFonts w:asciiTheme="minorHAnsi" w:hAnsiTheme="minorHAnsi"/>
              <w:smallCaps/>
              <w:sz w:val="20"/>
              <w:szCs w:val="20"/>
            </w:rPr>
            <w:t>)</w:t>
          </w:r>
        </w:hyperlink>
      </w:hyperlink>
      <w:r w:rsidR="008F1E10">
        <w:rPr>
          <w:rFonts w:asciiTheme="minorHAnsi" w:hAnsiTheme="minorHAnsi"/>
          <w:smallCaps/>
          <w:sz w:val="20"/>
          <w:szCs w:val="20"/>
        </w:rPr>
        <w:t xml:space="preserve"> (Avoided-D)</w:t>
      </w:r>
    </w:p>
    <w:p w14:paraId="478F04AA" w14:textId="35A61293" w:rsidR="008F1E10" w:rsidRPr="00890C67" w:rsidRDefault="008F1E10" w:rsidP="008F1E10">
      <w:pPr>
        <w:pStyle w:val="BodyText"/>
        <w:rPr>
          <w:color w:val="auto"/>
        </w:rPr>
      </w:pPr>
      <w:r>
        <w:rPr>
          <w:color w:val="auto"/>
        </w:rPr>
        <w:t>T</w:t>
      </w:r>
      <w:r w:rsidRPr="00890C67">
        <w:rPr>
          <w:color w:val="auto"/>
        </w:rPr>
        <w:t xml:space="preserve">he Avoided-C and Avoided-D methodologies </w:t>
      </w:r>
      <w:r>
        <w:rPr>
          <w:color w:val="auto"/>
        </w:rPr>
        <w:t>both recognise</w:t>
      </w:r>
      <w:r w:rsidRPr="00890C67">
        <w:rPr>
          <w:color w:val="auto"/>
        </w:rPr>
        <w:t xml:space="preserve"> abatement </w:t>
      </w:r>
      <w:r>
        <w:rPr>
          <w:color w:val="auto"/>
        </w:rPr>
        <w:t xml:space="preserve">through </w:t>
      </w:r>
      <w:r w:rsidRPr="00890C67">
        <w:rPr>
          <w:color w:val="auto"/>
        </w:rPr>
        <w:t xml:space="preserve">retaining areas of native forest that would otherwise have been cleared as a result of normal business practice, though the eligibility requirements and method of abatement calculation differ.  </w:t>
      </w:r>
    </w:p>
    <w:p w14:paraId="479A6CBB" w14:textId="265262D0" w:rsidR="008F1E10" w:rsidRPr="00890C67" w:rsidRDefault="008F1E10" w:rsidP="008F1E10">
      <w:pPr>
        <w:pStyle w:val="BodyText"/>
        <w:rPr>
          <w:color w:val="auto"/>
        </w:rPr>
      </w:pPr>
      <w:r w:rsidRPr="00890C67">
        <w:rPr>
          <w:color w:val="auto"/>
        </w:rPr>
        <w:t>The Avoided-D methodology currently contributes significantly to the ERF scheme, with a total contracted abatement of 26 Mt CO2-e, delivering on average 2.9 Mt CO</w:t>
      </w:r>
      <w:r w:rsidRPr="00890C67">
        <w:rPr>
          <w:color w:val="auto"/>
          <w:vertAlign w:val="subscript"/>
        </w:rPr>
        <w:t>2</w:t>
      </w:r>
      <w:r w:rsidRPr="00890C67">
        <w:rPr>
          <w:color w:val="auto"/>
        </w:rPr>
        <w:t>-e yr</w:t>
      </w:r>
      <w:r w:rsidRPr="00890C67">
        <w:rPr>
          <w:color w:val="auto"/>
          <w:vertAlign w:val="superscript"/>
        </w:rPr>
        <w:t>-1</w:t>
      </w:r>
      <w:r w:rsidRPr="00890C67">
        <w:rPr>
          <w:color w:val="auto"/>
        </w:rPr>
        <w:t>. The key eligibility requirement is the possession of a valid clearing consent that was issued before 1 July 2010, for the purposes of permanent conversion of forest cover to cropland or grassland. In effect, this has limited the scope of the activity to properties in NSW that have permits to clear vegetation through an Invasive Native Scrub Property Vegetation Plan (INS PVP), issued prior to 2010 under the New South Wales Native Vegetation Act 2003 (repealed 2017). The abatement calculation method is by field-based measurement. Because only a small number of permits remain relinquished (relative to the total eligible number of permits), it would appear future abatement opportunities under this methodology are negligible.</w:t>
      </w:r>
    </w:p>
    <w:p w14:paraId="4C6428D9" w14:textId="1FF484FF" w:rsidR="008F1E10" w:rsidRPr="00890C67" w:rsidRDefault="008F1E10" w:rsidP="008F1E10">
      <w:pPr>
        <w:pStyle w:val="BodyText"/>
        <w:rPr>
          <w:color w:val="auto"/>
        </w:rPr>
      </w:pPr>
      <w:r w:rsidRPr="00890C67">
        <w:rPr>
          <w:color w:val="auto"/>
        </w:rPr>
        <w:t>In comparison</w:t>
      </w:r>
      <w:r>
        <w:rPr>
          <w:color w:val="auto"/>
        </w:rPr>
        <w:t xml:space="preserve"> to Avoided-D</w:t>
      </w:r>
      <w:r w:rsidRPr="00890C67">
        <w:rPr>
          <w:color w:val="auto"/>
        </w:rPr>
        <w:t>, the Avoided-C methodology has had limited uptake, with only two contracted projects and a total contracted abatement of 0.35 Mt CO2-e. Abatement under the method is calculated using FullCAM. The key requirements are the need to provide evidence of the two most recent clearing events. There is also a requirement to demonstrate that the vegetation satisfies the requirements of forest cover, that the forest comprises native species, that there is an unrestricted right to clear the land, and that following clearing the forest regenerates. There is also a requirement that each Carbon Estimation Area (CEA) within a project shares the same management history.</w:t>
      </w:r>
    </w:p>
    <w:p w14:paraId="5EDAB671" w14:textId="131EB47A" w:rsidR="008F1E10" w:rsidRPr="00890C67" w:rsidRDefault="008F1E10" w:rsidP="008F1E10">
      <w:pPr>
        <w:pStyle w:val="BodyText"/>
        <w:rPr>
          <w:color w:val="auto"/>
        </w:rPr>
      </w:pPr>
      <w:r w:rsidRPr="00890C67">
        <w:rPr>
          <w:color w:val="auto"/>
        </w:rPr>
        <w:t xml:space="preserve">Because both methods involve essentially the same activity – a management change that ensures the retention of native forest cover </w:t>
      </w:r>
      <w:r w:rsidR="00430DD5">
        <w:rPr>
          <w:color w:val="auto"/>
        </w:rPr>
        <w:t>–</w:t>
      </w:r>
      <w:r w:rsidRPr="00890C67">
        <w:rPr>
          <w:color w:val="auto"/>
        </w:rPr>
        <w:t xml:space="preserve"> the risk </w:t>
      </w:r>
      <w:r>
        <w:rPr>
          <w:color w:val="auto"/>
        </w:rPr>
        <w:t>factors</w:t>
      </w:r>
      <w:r w:rsidRPr="00890C67">
        <w:rPr>
          <w:color w:val="auto"/>
        </w:rPr>
        <w:t xml:space="preserve"> are therefore considered similar.</w:t>
      </w:r>
      <w:r w:rsidR="004E7FC6">
        <w:rPr>
          <w:color w:val="auto"/>
        </w:rPr>
        <w:t xml:space="preserve"> </w:t>
      </w:r>
    </w:p>
    <w:p w14:paraId="519F1778" w14:textId="784A18FF" w:rsidR="008F1E10" w:rsidRPr="00D40272" w:rsidRDefault="008F1E10" w:rsidP="008F1E10">
      <w:pPr>
        <w:pStyle w:val="Heading4"/>
        <w:rPr>
          <w:color w:val="008CAC" w:themeColor="accent2" w:themeTint="BF"/>
        </w:rPr>
      </w:pPr>
      <w:r w:rsidRPr="00D40272">
        <w:rPr>
          <w:color w:val="008CAC" w:themeColor="accent2" w:themeTint="BF"/>
        </w:rPr>
        <w:t>Spatial domain</w:t>
      </w:r>
    </w:p>
    <w:p w14:paraId="5F680AB6" w14:textId="500AA68B" w:rsidR="008F1E10" w:rsidRPr="00D40272" w:rsidRDefault="008F1E10" w:rsidP="008F1E10">
      <w:pPr>
        <w:pStyle w:val="BodyText"/>
        <w:rPr>
          <w:rFonts w:cs="Calibri"/>
        </w:rPr>
      </w:pPr>
      <w:r w:rsidRPr="00D40272">
        <w:rPr>
          <w:color w:val="auto"/>
        </w:rPr>
        <w:t>All of</w:t>
      </w:r>
      <w:r>
        <w:rPr>
          <w:color w:val="auto"/>
        </w:rPr>
        <w:t xml:space="preserve"> the </w:t>
      </w:r>
      <w:r w:rsidRPr="00D40272">
        <w:rPr>
          <w:color w:val="auto"/>
        </w:rPr>
        <w:t xml:space="preserve">registered and contracted projects under Avoided-D are located in the same geographic region in eastern Australia as </w:t>
      </w:r>
      <w:r>
        <w:rPr>
          <w:color w:val="auto"/>
        </w:rPr>
        <w:t xml:space="preserve">the HIR </w:t>
      </w:r>
      <w:r w:rsidRPr="00D40272">
        <w:rPr>
          <w:color w:val="auto"/>
        </w:rPr>
        <w:t xml:space="preserve">and NFMR projects. This is understandable, given both categories of activity involve a change in the management of woody vegetation in predominantly </w:t>
      </w:r>
      <w:r>
        <w:rPr>
          <w:color w:val="auto"/>
        </w:rPr>
        <w:t xml:space="preserve">grazed areas, and hence the underlying </w:t>
      </w:r>
      <w:r w:rsidRPr="00D40272">
        <w:rPr>
          <w:color w:val="auto"/>
        </w:rPr>
        <w:t>economics</w:t>
      </w:r>
      <w:r>
        <w:rPr>
          <w:color w:val="auto"/>
        </w:rPr>
        <w:t xml:space="preserve"> are similar, leading to a focus of activity in areas of similar environmental conditions, vegetation composition, and in areas with relatively low opportunity costs. </w:t>
      </w:r>
      <w:r w:rsidRPr="55D534F3">
        <w:rPr>
          <w:rFonts w:cs="Calibri"/>
          <w:szCs w:val="24"/>
        </w:rPr>
        <w:t>Although there are relatively few Avoided-C projects (with three registered and two contract projects), the indication</w:t>
      </w:r>
      <w:r>
        <w:rPr>
          <w:rFonts w:cs="Calibri"/>
          <w:szCs w:val="24"/>
        </w:rPr>
        <w:t>s are</w:t>
      </w:r>
      <w:r w:rsidRPr="55D534F3">
        <w:rPr>
          <w:rFonts w:cs="Calibri"/>
          <w:szCs w:val="24"/>
        </w:rPr>
        <w:t xml:space="preserve"> that the optimal location for these projects is in the slightly more productive (higher rainfall) semi-arid woodland areas within the East Coast – North (ECN) and Central Slopes (CS) sub-clusters (Figure 7</w:t>
      </w:r>
      <w:r>
        <w:rPr>
          <w:rFonts w:cs="Calibri"/>
          <w:szCs w:val="24"/>
        </w:rPr>
        <w:t>a</w:t>
      </w:r>
      <w:r w:rsidRPr="55D534F3">
        <w:rPr>
          <w:rFonts w:cs="Calibri"/>
          <w:szCs w:val="24"/>
        </w:rPr>
        <w:t xml:space="preserve">). This aligns with the focus of this methodology on areas that have been subject to repeated </w:t>
      </w:r>
      <w:r>
        <w:rPr>
          <w:rFonts w:cs="Calibri"/>
          <w:szCs w:val="24"/>
        </w:rPr>
        <w:t>tree</w:t>
      </w:r>
      <w:r w:rsidRPr="55D534F3">
        <w:rPr>
          <w:rFonts w:cs="Calibri"/>
          <w:szCs w:val="24"/>
        </w:rPr>
        <w:t xml:space="preserve"> clearing, primarily to promote understory grass production for cattle farming</w:t>
      </w:r>
      <w:r>
        <w:rPr>
          <w:rFonts w:cs="Calibri"/>
          <w:szCs w:val="24"/>
        </w:rPr>
        <w:t xml:space="preserve"> via the reduction in competition between fodder grasses and trees (Walker et al. 197</w:t>
      </w:r>
      <w:r w:rsidR="000E0631">
        <w:rPr>
          <w:rFonts w:cs="Calibri"/>
          <w:szCs w:val="24"/>
        </w:rPr>
        <w:t>2</w:t>
      </w:r>
      <w:r>
        <w:rPr>
          <w:rFonts w:cs="Calibri"/>
          <w:szCs w:val="24"/>
        </w:rPr>
        <w:t>)</w:t>
      </w:r>
      <w:r w:rsidRPr="55D534F3">
        <w:rPr>
          <w:rFonts w:cs="Calibri"/>
          <w:szCs w:val="24"/>
        </w:rPr>
        <w:t>.</w:t>
      </w:r>
    </w:p>
    <w:p w14:paraId="0EB8DEA6" w14:textId="309E71EF" w:rsidR="008F1E10" w:rsidRDefault="008F1E10" w:rsidP="008F1E10">
      <w:pPr>
        <w:pStyle w:val="BodyText"/>
        <w:rPr>
          <w:rFonts w:cs="Calibri"/>
        </w:rPr>
      </w:pPr>
      <w:r w:rsidRPr="00D40272">
        <w:rPr>
          <w:color w:val="auto"/>
        </w:rPr>
        <w:lastRenderedPageBreak/>
        <w:t xml:space="preserve">Because of the overlap </w:t>
      </w:r>
      <w:r>
        <w:rPr>
          <w:color w:val="auto"/>
        </w:rPr>
        <w:t xml:space="preserve">in land use </w:t>
      </w:r>
      <w:r w:rsidRPr="00D40272">
        <w:rPr>
          <w:color w:val="auto"/>
        </w:rPr>
        <w:t>amongst the HIR, NFMR</w:t>
      </w:r>
      <w:r>
        <w:rPr>
          <w:color w:val="auto"/>
        </w:rPr>
        <w:t xml:space="preserve"> and </w:t>
      </w:r>
      <w:r w:rsidRPr="00D40272">
        <w:rPr>
          <w:color w:val="auto"/>
        </w:rPr>
        <w:t>Avoided-D activities</w:t>
      </w:r>
      <w:r>
        <w:rPr>
          <w:color w:val="auto"/>
        </w:rPr>
        <w:t xml:space="preserve"> (rangeland grazing)</w:t>
      </w:r>
      <w:r w:rsidRPr="00D40272">
        <w:rPr>
          <w:color w:val="auto"/>
        </w:rPr>
        <w:t xml:space="preserve">, </w:t>
      </w:r>
      <w:r>
        <w:rPr>
          <w:color w:val="auto"/>
        </w:rPr>
        <w:t>the</w:t>
      </w:r>
      <w:r w:rsidRPr="00D40272">
        <w:rPr>
          <w:color w:val="auto"/>
        </w:rPr>
        <w:t xml:space="preserve"> range of native forest types is therefore similar</w:t>
      </w:r>
      <w:r w:rsidRPr="00331095">
        <w:rPr>
          <w:color w:val="auto"/>
        </w:rPr>
        <w:t xml:space="preserve"> also, dominated by </w:t>
      </w:r>
      <w:r w:rsidR="00D71D18">
        <w:rPr>
          <w:color w:val="auto"/>
        </w:rPr>
        <w:t>a</w:t>
      </w:r>
      <w:r w:rsidRPr="00331095">
        <w:rPr>
          <w:color w:val="auto"/>
        </w:rPr>
        <w:t xml:space="preserve">cacia and </w:t>
      </w:r>
      <w:r w:rsidR="00D71D18">
        <w:rPr>
          <w:color w:val="auto"/>
        </w:rPr>
        <w:t>e</w:t>
      </w:r>
      <w:r w:rsidRPr="00331095">
        <w:rPr>
          <w:color w:val="auto"/>
        </w:rPr>
        <w:t xml:space="preserve">ucalypt woodlands (see Section </w:t>
      </w:r>
      <w:r w:rsidRPr="00331095">
        <w:rPr>
          <w:color w:val="auto"/>
        </w:rPr>
        <w:fldChar w:fldCharType="begin"/>
      </w:r>
      <w:r w:rsidRPr="00331095">
        <w:rPr>
          <w:color w:val="auto"/>
        </w:rPr>
        <w:instrText xml:space="preserve"> REF _Ref47640019 \r \h </w:instrText>
      </w:r>
      <w:r w:rsidRPr="00331095">
        <w:rPr>
          <w:color w:val="auto"/>
        </w:rPr>
      </w:r>
      <w:r w:rsidRPr="00331095">
        <w:rPr>
          <w:color w:val="auto"/>
        </w:rPr>
        <w:fldChar w:fldCharType="separate"/>
      </w:r>
      <w:r w:rsidR="00235F13">
        <w:rPr>
          <w:color w:val="auto"/>
        </w:rPr>
        <w:t>3.3.1</w:t>
      </w:r>
      <w:r w:rsidRPr="00331095">
        <w:rPr>
          <w:color w:val="auto"/>
        </w:rPr>
        <w:fldChar w:fldCharType="end"/>
      </w:r>
      <w:r>
        <w:rPr>
          <w:color w:val="auto"/>
        </w:rPr>
        <w:t xml:space="preserve"> and </w:t>
      </w:r>
      <w:r w:rsidRPr="55D534F3">
        <w:rPr>
          <w:rFonts w:cs="Calibri"/>
          <w:szCs w:val="24"/>
        </w:rPr>
        <w:t>Figure 7</w:t>
      </w:r>
      <w:r>
        <w:rPr>
          <w:rFonts w:cs="Calibri"/>
          <w:szCs w:val="24"/>
        </w:rPr>
        <w:t>b</w:t>
      </w:r>
      <w:r w:rsidRPr="00D40272">
        <w:rPr>
          <w:color w:val="auto"/>
        </w:rPr>
        <w:t>)</w:t>
      </w:r>
      <w:r>
        <w:rPr>
          <w:color w:val="auto"/>
        </w:rPr>
        <w:t>. This is also generally true for the areas most likely to support Avoided-C activity in the ECN and ES sub-clusters, although the potential for more co</w:t>
      </w:r>
      <w:r w:rsidRPr="4B1EC17C">
        <w:rPr>
          <w:color w:val="auto"/>
        </w:rPr>
        <w:t>nsistent ground cover following p</w:t>
      </w:r>
      <w:r w:rsidRPr="6827099B">
        <w:rPr>
          <w:color w:val="auto"/>
        </w:rPr>
        <w:t xml:space="preserve">eriods of high rainfall </w:t>
      </w:r>
      <w:r w:rsidRPr="4B1EC17C">
        <w:rPr>
          <w:color w:val="auto"/>
        </w:rPr>
        <w:t xml:space="preserve">in these </w:t>
      </w:r>
      <w:r>
        <w:rPr>
          <w:color w:val="auto"/>
        </w:rPr>
        <w:t xml:space="preserve">woodlands </w:t>
      </w:r>
      <w:r w:rsidRPr="6827099B">
        <w:rPr>
          <w:color w:val="auto"/>
        </w:rPr>
        <w:t>has additional implications for fire risk (see below)</w:t>
      </w:r>
      <w:r>
        <w:rPr>
          <w:color w:val="auto"/>
        </w:rPr>
        <w:t xml:space="preserve">, and where the dominant tree species is less likely to be </w:t>
      </w:r>
      <w:r w:rsidR="00D71D18">
        <w:rPr>
          <w:color w:val="auto"/>
        </w:rPr>
        <w:t>mulga</w:t>
      </w:r>
      <w:r>
        <w:rPr>
          <w:color w:val="auto"/>
        </w:rPr>
        <w:t>, which is confined predominantly to the more arid areas (Peeters and Butler 2014) (</w:t>
      </w:r>
      <w:r w:rsidRPr="55D534F3">
        <w:rPr>
          <w:rFonts w:cs="Calibri"/>
          <w:szCs w:val="24"/>
        </w:rPr>
        <w:t>Figure 7</w:t>
      </w:r>
      <w:r>
        <w:rPr>
          <w:rFonts w:cs="Calibri"/>
          <w:szCs w:val="24"/>
        </w:rPr>
        <w:t>b</w:t>
      </w:r>
      <w:r>
        <w:rPr>
          <w:color w:val="auto"/>
        </w:rPr>
        <w:t>)</w:t>
      </w:r>
      <w:r w:rsidRPr="6827099B">
        <w:rPr>
          <w:color w:val="auto"/>
        </w:rPr>
        <w:t>.</w:t>
      </w:r>
      <w:r w:rsidRPr="4B1EC17C">
        <w:rPr>
          <w:color w:val="auto"/>
        </w:rPr>
        <w:t xml:space="preserve"> </w:t>
      </w:r>
      <w:bookmarkStart w:id="73" w:name="_Hlk49595232"/>
      <w:r w:rsidR="004E7FC6">
        <w:rPr>
          <w:color w:val="auto"/>
        </w:rPr>
        <w:t xml:space="preserve">The risk assessments are based on analysis of the regions identified in </w:t>
      </w:r>
      <w:r w:rsidR="004E7FC6" w:rsidRPr="55D534F3">
        <w:rPr>
          <w:rFonts w:cs="Calibri"/>
          <w:szCs w:val="24"/>
        </w:rPr>
        <w:t>Figure 7</w:t>
      </w:r>
      <w:r w:rsidR="004E7FC6">
        <w:rPr>
          <w:rFonts w:cs="Calibri"/>
          <w:szCs w:val="24"/>
        </w:rPr>
        <w:t xml:space="preserve">, and are not weighted by the current level of project activity (which for Avoided-C is low). The </w:t>
      </w:r>
      <w:r w:rsidR="00B23410">
        <w:rPr>
          <w:rFonts w:cs="Calibri"/>
          <w:szCs w:val="24"/>
        </w:rPr>
        <w:t xml:space="preserve">risk </w:t>
      </w:r>
      <w:r w:rsidR="004E7FC6">
        <w:rPr>
          <w:rFonts w:cs="Calibri"/>
          <w:szCs w:val="24"/>
        </w:rPr>
        <w:t xml:space="preserve">analysis therefore encompasses both </w:t>
      </w:r>
      <w:r w:rsidR="00B23410">
        <w:rPr>
          <w:rFonts w:cs="Calibri"/>
          <w:szCs w:val="24"/>
        </w:rPr>
        <w:t>current and potential future project activity.</w:t>
      </w:r>
      <w:bookmarkEnd w:id="73"/>
      <w:r w:rsidRPr="1C15CC5D">
        <w:rPr>
          <w:rFonts w:cs="Calibri"/>
        </w:rPr>
        <w:t xml:space="preserve"> </w:t>
      </w:r>
    </w:p>
    <w:p w14:paraId="3BE3E9EE" w14:textId="43D5E2E6" w:rsidR="008F1E10" w:rsidRPr="00922718" w:rsidRDefault="008F1E10" w:rsidP="008F1E10">
      <w:pPr>
        <w:pStyle w:val="BodyText"/>
      </w:pPr>
      <w:r w:rsidRPr="00E07579">
        <w:rPr>
          <w:noProof/>
        </w:rPr>
        <mc:AlternateContent>
          <mc:Choice Requires="wps">
            <w:drawing>
              <wp:anchor distT="0" distB="0" distL="114300" distR="114300" simplePos="0" relativeHeight="251658259" behindDoc="0" locked="0" layoutInCell="1" allowOverlap="1" wp14:anchorId="248F4DB0" wp14:editId="36A8BE84">
                <wp:simplePos x="0" y="0"/>
                <wp:positionH relativeFrom="margin">
                  <wp:posOffset>0</wp:posOffset>
                </wp:positionH>
                <wp:positionV relativeFrom="paragraph">
                  <wp:posOffset>0</wp:posOffset>
                </wp:positionV>
                <wp:extent cx="373075" cy="336500"/>
                <wp:effectExtent l="0" t="0" r="0" b="6985"/>
                <wp:wrapNone/>
                <wp:docPr id="7" name="Text Box 7"/>
                <wp:cNvGraphicFramePr/>
                <a:graphic xmlns:a="http://schemas.openxmlformats.org/drawingml/2006/main">
                  <a:graphicData uri="http://schemas.microsoft.com/office/word/2010/wordprocessingShape">
                    <wps:wsp>
                      <wps:cNvSpPr txBox="1"/>
                      <wps:spPr>
                        <a:xfrm>
                          <a:off x="0" y="0"/>
                          <a:ext cx="373075" cy="336500"/>
                        </a:xfrm>
                        <a:prstGeom prst="rect">
                          <a:avLst/>
                        </a:prstGeom>
                        <a:noFill/>
                        <a:ln w="6350">
                          <a:noFill/>
                        </a:ln>
                      </wps:spPr>
                      <wps:txbx>
                        <w:txbxContent>
                          <w:p w14:paraId="0B4E61EA" w14:textId="77777777" w:rsidR="00A264AF" w:rsidRDefault="00A264AF" w:rsidP="008F1E1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8F4DB0" id="Text Box 7" o:spid="_x0000_s1051" type="#_x0000_t202" style="position:absolute;margin-left:0;margin-top:0;width:29.4pt;height:26.5pt;z-index:25165825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" filled="f" stroked="f" strokeweight=".5pt">
                <v:textbox>
                  <w:txbxContent>
                    <w:p w14:paraId="0B4E61EA" w14:textId="77777777" w:rsidR="00A264AF" w:rsidRDefault="00A264AF" w:rsidP="008F1E10">
                      <w:r>
                        <w:t>(a)</w:t>
                      </w:r>
                    </w:p>
                  </w:txbxContent>
                </v:textbox>
                <w10:wrap anchorx="margin"/>
              </v:shape>
            </w:pict>
          </mc:Fallback>
        </mc:AlternateContent>
      </w:r>
      <w:r w:rsidRPr="00E07579">
        <w:rPr>
          <w:noProof/>
        </w:rPr>
        <mc:AlternateContent>
          <mc:Choice Requires="wps">
            <w:drawing>
              <wp:anchor distT="0" distB="0" distL="114300" distR="114300" simplePos="0" relativeHeight="251658260" behindDoc="0" locked="0" layoutInCell="1" allowOverlap="1" wp14:anchorId="3BA4CBD7" wp14:editId="02A19776">
                <wp:simplePos x="0" y="0"/>
                <wp:positionH relativeFrom="column">
                  <wp:posOffset>2999740</wp:posOffset>
                </wp:positionH>
                <wp:positionV relativeFrom="paragraph">
                  <wp:posOffset>3810</wp:posOffset>
                </wp:positionV>
                <wp:extent cx="372745" cy="335915"/>
                <wp:effectExtent l="0" t="0" r="0" b="6985"/>
                <wp:wrapNone/>
                <wp:docPr id="8" name="Text Box 8"/>
                <wp:cNvGraphicFramePr/>
                <a:graphic xmlns:a="http://schemas.openxmlformats.org/drawingml/2006/main">
                  <a:graphicData uri="http://schemas.microsoft.com/office/word/2010/wordprocessingShape">
                    <wps:wsp>
                      <wps:cNvSpPr txBox="1"/>
                      <wps:spPr>
                        <a:xfrm>
                          <a:off x="0" y="0"/>
                          <a:ext cx="372745" cy="335915"/>
                        </a:xfrm>
                        <a:prstGeom prst="rect">
                          <a:avLst/>
                        </a:prstGeom>
                        <a:noFill/>
                        <a:ln w="6350">
                          <a:noFill/>
                        </a:ln>
                      </wps:spPr>
                      <wps:txbx>
                        <w:txbxContent>
                          <w:p w14:paraId="590EFFD5" w14:textId="77777777" w:rsidR="00A264AF" w:rsidRDefault="00A264AF" w:rsidP="008F1E1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A4CBD7" id="Text Box 8" o:spid="_x0000_s1052" type="#_x0000_t202" style="position:absolute;margin-left:236.2pt;margin-top:.3pt;width:29.35pt;height:26.45pt;z-index:251658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" filled="f" stroked="f" strokeweight=".5pt">
                <v:textbox>
                  <w:txbxContent>
                    <w:p w14:paraId="590EFFD5" w14:textId="77777777" w:rsidR="00A264AF" w:rsidRDefault="00A264AF" w:rsidP="008F1E10">
                      <w:r>
                        <w:t>(b)</w:t>
                      </w:r>
                    </w:p>
                  </w:txbxContent>
                </v:textbox>
              </v:shape>
            </w:pict>
          </mc:Fallback>
        </mc:AlternateContent>
      </w:r>
    </w:p>
    <w:p w14:paraId="319231C5" w14:textId="65E09A23" w:rsidR="008F1E10" w:rsidRDefault="00367DC0" w:rsidP="008F1E10">
      <w:pPr>
        <w:pStyle w:val="BodyText"/>
        <w:rPr>
          <w:color w:val="auto"/>
        </w:rPr>
      </w:pPr>
      <w:r>
        <w:rPr>
          <w:b/>
          <w:bCs/>
          <w:noProof/>
        </w:rPr>
        <mc:AlternateContent>
          <mc:Choice Requires="wps">
            <w:drawing>
              <wp:anchor distT="0" distB="0" distL="114300" distR="114300" simplePos="0" relativeHeight="251658272" behindDoc="0" locked="0" layoutInCell="1" allowOverlap="1" wp14:anchorId="276FE8B5" wp14:editId="0C3C449D">
                <wp:simplePos x="0" y="0"/>
                <wp:positionH relativeFrom="column">
                  <wp:posOffset>1519745</wp:posOffset>
                </wp:positionH>
                <wp:positionV relativeFrom="paragraph">
                  <wp:posOffset>1476100</wp:posOffset>
                </wp:positionV>
                <wp:extent cx="1030406" cy="511791"/>
                <wp:effectExtent l="0" t="0" r="0" b="3175"/>
                <wp:wrapNone/>
                <wp:docPr id="1850805824" name="Text Box 1850805824"/>
                <wp:cNvGraphicFramePr/>
                <a:graphic xmlns:a="http://schemas.openxmlformats.org/drawingml/2006/main">
                  <a:graphicData uri="http://schemas.microsoft.com/office/word/2010/wordprocessingShape">
                    <wps:wsp>
                      <wps:cNvSpPr txBox="1"/>
                      <wps:spPr>
                        <a:xfrm>
                          <a:off x="0" y="0"/>
                          <a:ext cx="1030406" cy="511791"/>
                        </a:xfrm>
                        <a:prstGeom prst="rect">
                          <a:avLst/>
                        </a:prstGeom>
                        <a:noFill/>
                        <a:ln w="6350">
                          <a:noFill/>
                        </a:ln>
                      </wps:spPr>
                      <wps:txbx>
                        <w:txbxContent>
                          <w:p w14:paraId="17A75BDC" w14:textId="77777777" w:rsidR="00A264AF"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Central</w:t>
                            </w:r>
                          </w:p>
                          <w:p w14:paraId="353D3631" w14:textId="1CA8ED61" w:rsidR="00A264AF" w:rsidRPr="00367DC0"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Slopes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FE8B5" id="Text Box 1850805824" o:spid="_x0000_s1053" type="#_x0000_t202" style="position:absolute;margin-left:119.65pt;margin-top:116.25pt;width:81.15pt;height:40.3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" filled="f" stroked="f" strokeweight=".5pt">
                <v:textbox>
                  <w:txbxContent>
                    <w:p w14:paraId="17A75BDC" w14:textId="77777777" w:rsidR="00A264AF"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Central</w:t>
                      </w:r>
                    </w:p>
                    <w:p w14:paraId="353D3631" w14:textId="1CA8ED61" w:rsidR="00A264AF" w:rsidRPr="00367DC0"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Slopes</w:t>
                      </w:r>
                    </w:p>
                  </w:txbxContent>
                </v:textbox>
              </v:shape>
            </w:pict>
          </mc:Fallback>
        </mc:AlternateContent>
      </w:r>
      <w:r>
        <w:rPr>
          <w:b/>
          <w:bCs/>
          <w:noProof/>
        </w:rPr>
        <mc:AlternateContent>
          <mc:Choice Requires="wps">
            <w:drawing>
              <wp:anchor distT="0" distB="0" distL="114300" distR="114300" simplePos="0" relativeHeight="251658273" behindDoc="0" locked="0" layoutInCell="1" allowOverlap="1" wp14:anchorId="3DFE91F2" wp14:editId="7F20FE18">
                <wp:simplePos x="0" y="0"/>
                <wp:positionH relativeFrom="column">
                  <wp:posOffset>1400999</wp:posOffset>
                </wp:positionH>
                <wp:positionV relativeFrom="paragraph">
                  <wp:posOffset>458489</wp:posOffset>
                </wp:positionV>
                <wp:extent cx="661916" cy="689211"/>
                <wp:effectExtent l="0" t="0" r="0" b="0"/>
                <wp:wrapNone/>
                <wp:docPr id="1850805825" name="Text Box 1850805825"/>
                <wp:cNvGraphicFramePr/>
                <a:graphic xmlns:a="http://schemas.openxmlformats.org/drawingml/2006/main">
                  <a:graphicData uri="http://schemas.microsoft.com/office/word/2010/wordprocessingShape">
                    <wps:wsp>
                      <wps:cNvSpPr txBox="1"/>
                      <wps:spPr>
                        <a:xfrm>
                          <a:off x="0" y="0"/>
                          <a:ext cx="661916" cy="689211"/>
                        </a:xfrm>
                        <a:prstGeom prst="rect">
                          <a:avLst/>
                        </a:prstGeom>
                        <a:noFill/>
                        <a:ln w="6350">
                          <a:noFill/>
                        </a:ln>
                      </wps:spPr>
                      <wps:txbx>
                        <w:txbxContent>
                          <w:p w14:paraId="4F398DDC" w14:textId="77777777" w:rsidR="00A264AF"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East</w:t>
                            </w:r>
                          </w:p>
                          <w:p w14:paraId="32D97B7E" w14:textId="7F1E79F4" w:rsidR="00A264AF"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Coast</w:t>
                            </w:r>
                          </w:p>
                          <w:p w14:paraId="6E3DB4D0" w14:textId="71E09B86" w:rsidR="00A264AF" w:rsidRPr="00367DC0"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(North)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E91F2" id="Text Box 1850805825" o:spid="_x0000_s1054" type="#_x0000_t202" style="position:absolute;margin-left:110.3pt;margin-top:36.1pt;width:52.1pt;height:54.2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" filled="f" stroked="f" strokeweight=".5pt">
                <v:textbox>
                  <w:txbxContent>
                    <w:p w14:paraId="4F398DDC" w14:textId="77777777" w:rsidR="00A264AF"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East</w:t>
                      </w:r>
                    </w:p>
                    <w:p w14:paraId="32D97B7E" w14:textId="7F1E79F4" w:rsidR="00A264AF"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Coast</w:t>
                      </w:r>
                    </w:p>
                    <w:p w14:paraId="6E3DB4D0" w14:textId="71E09B86" w:rsidR="00A264AF" w:rsidRPr="00367DC0" w:rsidRDefault="00A264AF" w:rsidP="00367DC0">
                      <w:pPr>
                        <w:rPr>
                          <w:rFonts w:asciiTheme="minorHAnsi" w:hAnsiTheme="minorHAnsi" w:cstheme="minorHAnsi"/>
                          <w:color w:val="FFFFFF" w:themeColor="background1"/>
                          <w:sz w:val="22"/>
                          <w:szCs w:val="22"/>
                        </w:rPr>
                      </w:pPr>
                      <w:r>
                        <w:rPr>
                          <w:rFonts w:asciiTheme="minorHAnsi" w:hAnsiTheme="minorHAnsi" w:cstheme="minorHAnsi"/>
                          <w:color w:val="FFFFFF" w:themeColor="background1"/>
                          <w:sz w:val="22"/>
                          <w:szCs w:val="22"/>
                        </w:rPr>
                        <w:t>(North)</w:t>
                      </w:r>
                    </w:p>
                  </w:txbxContent>
                </v:textbox>
              </v:shape>
            </w:pict>
          </mc:Fallback>
        </mc:AlternateContent>
      </w:r>
      <w:r>
        <w:rPr>
          <w:b/>
          <w:bCs/>
          <w:noProof/>
        </w:rPr>
        <mc:AlternateContent>
          <mc:Choice Requires="wps">
            <w:drawing>
              <wp:anchor distT="0" distB="0" distL="114300" distR="114300" simplePos="0" relativeHeight="251658270" behindDoc="0" locked="0" layoutInCell="1" allowOverlap="1" wp14:anchorId="10B8F0CF" wp14:editId="2FC0E55B">
                <wp:simplePos x="0" y="0"/>
                <wp:positionH relativeFrom="column">
                  <wp:posOffset>186832</wp:posOffset>
                </wp:positionH>
                <wp:positionV relativeFrom="paragraph">
                  <wp:posOffset>1086410</wp:posOffset>
                </wp:positionV>
                <wp:extent cx="1030406" cy="511791"/>
                <wp:effectExtent l="0" t="0" r="0" b="3175"/>
                <wp:wrapNone/>
                <wp:docPr id="1068683838" name="Text Box 1068683838"/>
                <wp:cNvGraphicFramePr/>
                <a:graphic xmlns:a="http://schemas.openxmlformats.org/drawingml/2006/main">
                  <a:graphicData uri="http://schemas.microsoft.com/office/word/2010/wordprocessingShape">
                    <wps:wsp>
                      <wps:cNvSpPr txBox="1"/>
                      <wps:spPr>
                        <a:xfrm>
                          <a:off x="0" y="0"/>
                          <a:ext cx="1030406" cy="511791"/>
                        </a:xfrm>
                        <a:prstGeom prst="rect">
                          <a:avLst/>
                        </a:prstGeom>
                        <a:noFill/>
                        <a:ln w="6350">
                          <a:noFill/>
                        </a:ln>
                      </wps:spPr>
                      <wps:txbx>
                        <w:txbxContent>
                          <w:p w14:paraId="5A7C23F3" w14:textId="77777777" w:rsidR="00A264AF" w:rsidRPr="00367DC0" w:rsidRDefault="00A264AF" w:rsidP="00367DC0">
                            <w:pPr>
                              <w:rPr>
                                <w:rFonts w:asciiTheme="minorHAnsi" w:hAnsiTheme="minorHAnsi" w:cstheme="minorHAnsi"/>
                                <w:color w:val="FFFFFF" w:themeColor="background1"/>
                                <w:sz w:val="22"/>
                                <w:szCs w:val="22"/>
                              </w:rPr>
                            </w:pPr>
                            <w:r w:rsidRPr="00367DC0">
                              <w:rPr>
                                <w:rFonts w:asciiTheme="minorHAnsi" w:hAnsiTheme="minorHAnsi" w:cstheme="minorHAnsi"/>
                                <w:color w:val="FFFFFF" w:themeColor="background1"/>
                                <w:sz w:val="22"/>
                                <w:szCs w:val="22"/>
                              </w:rPr>
                              <w:t>Rangelands</w:t>
                            </w:r>
                          </w:p>
                          <w:p w14:paraId="40976630" w14:textId="197C8EBA" w:rsidR="00A264AF" w:rsidRPr="00367DC0" w:rsidRDefault="00A264AF" w:rsidP="00367DC0">
                            <w:pPr>
                              <w:rPr>
                                <w:rFonts w:asciiTheme="minorHAnsi" w:hAnsiTheme="minorHAnsi" w:cstheme="minorHAnsi"/>
                                <w:color w:val="FFFFFF" w:themeColor="background1"/>
                                <w:sz w:val="22"/>
                                <w:szCs w:val="22"/>
                              </w:rPr>
                            </w:pPr>
                            <w:r w:rsidRPr="00367DC0">
                              <w:rPr>
                                <w:rFonts w:asciiTheme="minorHAnsi" w:hAnsiTheme="minorHAnsi" w:cstheme="minorHAnsi"/>
                                <w:color w:val="FFFFFF" w:themeColor="background1"/>
                                <w:sz w:val="22"/>
                                <w:szCs w:val="22"/>
                              </w:rPr>
                              <w:t>(North)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8F0CF" id="Text Box 1068683838" o:spid="_x0000_s1055" type="#_x0000_t202" style="position:absolute;margin-left:14.7pt;margin-top:85.55pt;width:81.15pt;height:40.3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" filled="f" stroked="f" strokeweight=".5pt">
                <v:textbox>
                  <w:txbxContent>
                    <w:p w14:paraId="5A7C23F3" w14:textId="77777777" w:rsidR="00A264AF" w:rsidRPr="00367DC0" w:rsidRDefault="00A264AF" w:rsidP="00367DC0">
                      <w:pPr>
                        <w:rPr>
                          <w:rFonts w:asciiTheme="minorHAnsi" w:hAnsiTheme="minorHAnsi" w:cstheme="minorHAnsi"/>
                          <w:color w:val="FFFFFF" w:themeColor="background1"/>
                          <w:sz w:val="22"/>
                          <w:szCs w:val="22"/>
                        </w:rPr>
                      </w:pPr>
                      <w:r w:rsidRPr="00367DC0">
                        <w:rPr>
                          <w:rFonts w:asciiTheme="minorHAnsi" w:hAnsiTheme="minorHAnsi" w:cstheme="minorHAnsi"/>
                          <w:color w:val="FFFFFF" w:themeColor="background1"/>
                          <w:sz w:val="22"/>
                          <w:szCs w:val="22"/>
                        </w:rPr>
                        <w:t>Rangelands</w:t>
                      </w:r>
                    </w:p>
                    <w:p w14:paraId="40976630" w14:textId="197C8EBA" w:rsidR="00A264AF" w:rsidRPr="00367DC0" w:rsidRDefault="00A264AF" w:rsidP="00367DC0">
                      <w:pPr>
                        <w:rPr>
                          <w:rFonts w:asciiTheme="minorHAnsi" w:hAnsiTheme="minorHAnsi" w:cstheme="minorHAnsi"/>
                          <w:color w:val="FFFFFF" w:themeColor="background1"/>
                          <w:sz w:val="22"/>
                          <w:szCs w:val="22"/>
                        </w:rPr>
                      </w:pPr>
                      <w:r w:rsidRPr="00367DC0">
                        <w:rPr>
                          <w:rFonts w:asciiTheme="minorHAnsi" w:hAnsiTheme="minorHAnsi" w:cstheme="minorHAnsi"/>
                          <w:color w:val="FFFFFF" w:themeColor="background1"/>
                          <w:sz w:val="22"/>
                          <w:szCs w:val="22"/>
                        </w:rPr>
                        <w:t>(North)</w:t>
                      </w:r>
                    </w:p>
                  </w:txbxContent>
                </v:textbox>
              </v:shape>
            </w:pict>
          </mc:Fallback>
        </mc:AlternateContent>
      </w:r>
      <w:r>
        <w:rPr>
          <w:b/>
          <w:bCs/>
          <w:noProof/>
        </w:rPr>
        <mc:AlternateContent>
          <mc:Choice Requires="wps">
            <w:drawing>
              <wp:anchor distT="0" distB="0" distL="114300" distR="114300" simplePos="0" relativeHeight="251658271" behindDoc="0" locked="0" layoutInCell="1" allowOverlap="1" wp14:anchorId="5727058F" wp14:editId="162BAE5A">
                <wp:simplePos x="0" y="0"/>
                <wp:positionH relativeFrom="column">
                  <wp:posOffset>-54771</wp:posOffset>
                </wp:positionH>
                <wp:positionV relativeFrom="paragraph">
                  <wp:posOffset>2251710</wp:posOffset>
                </wp:positionV>
                <wp:extent cx="1452880" cy="470848"/>
                <wp:effectExtent l="0" t="0" r="0" b="5715"/>
                <wp:wrapNone/>
                <wp:docPr id="1068683839" name="Text Box 1068683839"/>
                <wp:cNvGraphicFramePr/>
                <a:graphic xmlns:a="http://schemas.openxmlformats.org/drawingml/2006/main">
                  <a:graphicData uri="http://schemas.microsoft.com/office/word/2010/wordprocessingShape">
                    <wps:wsp>
                      <wps:cNvSpPr txBox="1"/>
                      <wps:spPr>
                        <a:xfrm>
                          <a:off x="0" y="0"/>
                          <a:ext cx="1452880" cy="470848"/>
                        </a:xfrm>
                        <a:prstGeom prst="rect">
                          <a:avLst/>
                        </a:prstGeom>
                        <a:noFill/>
                        <a:ln w="6350">
                          <a:noFill/>
                        </a:ln>
                      </wps:spPr>
                      <wps:txbx>
                        <w:txbxContent>
                          <w:p w14:paraId="681AAEEF" w14:textId="77777777" w:rsidR="00A264AF" w:rsidRPr="00367DC0" w:rsidRDefault="00A264AF" w:rsidP="00367DC0">
                            <w:pPr>
                              <w:rPr>
                                <w:rFonts w:asciiTheme="minorHAnsi" w:hAnsiTheme="minorHAnsi" w:cstheme="minorHAnsi"/>
                                <w:color w:val="FFFFFF" w:themeColor="background1"/>
                                <w:sz w:val="22"/>
                                <w:szCs w:val="22"/>
                              </w:rPr>
                            </w:pPr>
                            <w:r w:rsidRPr="00367DC0">
                              <w:rPr>
                                <w:rFonts w:asciiTheme="minorHAnsi" w:hAnsiTheme="minorHAnsi" w:cstheme="minorHAnsi"/>
                                <w:color w:val="FFFFFF" w:themeColor="background1"/>
                                <w:sz w:val="22"/>
                                <w:szCs w:val="22"/>
                              </w:rPr>
                              <w:t>Rangelands</w:t>
                            </w:r>
                          </w:p>
                          <w:p w14:paraId="0392FA6F" w14:textId="11042C0D" w:rsidR="00A264AF" w:rsidRPr="00367DC0" w:rsidRDefault="00A264AF" w:rsidP="00367DC0">
                            <w:pPr>
                              <w:rPr>
                                <w:rFonts w:asciiTheme="minorHAnsi" w:hAnsiTheme="minorHAnsi" w:cstheme="minorHAnsi"/>
                                <w:color w:val="FFFFFF" w:themeColor="background1"/>
                                <w:sz w:val="22"/>
                                <w:szCs w:val="22"/>
                              </w:rPr>
                            </w:pPr>
                            <w:r w:rsidRPr="00367DC0">
                              <w:rPr>
                                <w:rFonts w:asciiTheme="minorHAnsi" w:hAnsiTheme="minorHAnsi" w:cstheme="minorHAnsi"/>
                                <w:color w:val="FFFFFF" w:themeColor="background1"/>
                                <w:sz w:val="22"/>
                                <w:szCs w:val="22"/>
                              </w:rPr>
                              <w:t>(South)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27058F" id="Text Box 1068683839" o:spid="_x0000_s1056" type="#_x0000_t202" style="position:absolute;margin-left:-4.3pt;margin-top:177.3pt;width:114.4pt;height:37.0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" filled="f" stroked="f" strokeweight=".5pt">
                <v:textbox>
                  <w:txbxContent>
                    <w:p w14:paraId="681AAEEF" w14:textId="77777777" w:rsidR="00A264AF" w:rsidRPr="00367DC0" w:rsidRDefault="00A264AF" w:rsidP="00367DC0">
                      <w:pPr>
                        <w:rPr>
                          <w:rFonts w:asciiTheme="minorHAnsi" w:hAnsiTheme="minorHAnsi" w:cstheme="minorHAnsi"/>
                          <w:color w:val="FFFFFF" w:themeColor="background1"/>
                          <w:sz w:val="22"/>
                          <w:szCs w:val="22"/>
                        </w:rPr>
                      </w:pPr>
                      <w:r w:rsidRPr="00367DC0">
                        <w:rPr>
                          <w:rFonts w:asciiTheme="minorHAnsi" w:hAnsiTheme="minorHAnsi" w:cstheme="minorHAnsi"/>
                          <w:color w:val="FFFFFF" w:themeColor="background1"/>
                          <w:sz w:val="22"/>
                          <w:szCs w:val="22"/>
                        </w:rPr>
                        <w:t>Rangelands</w:t>
                      </w:r>
                    </w:p>
                    <w:p w14:paraId="0392FA6F" w14:textId="11042C0D" w:rsidR="00A264AF" w:rsidRPr="00367DC0" w:rsidRDefault="00A264AF" w:rsidP="00367DC0">
                      <w:pPr>
                        <w:rPr>
                          <w:rFonts w:asciiTheme="minorHAnsi" w:hAnsiTheme="minorHAnsi" w:cstheme="minorHAnsi"/>
                          <w:color w:val="FFFFFF" w:themeColor="background1"/>
                          <w:sz w:val="22"/>
                          <w:szCs w:val="22"/>
                        </w:rPr>
                      </w:pPr>
                      <w:r w:rsidRPr="00367DC0">
                        <w:rPr>
                          <w:rFonts w:asciiTheme="minorHAnsi" w:hAnsiTheme="minorHAnsi" w:cstheme="minorHAnsi"/>
                          <w:color w:val="FFFFFF" w:themeColor="background1"/>
                          <w:sz w:val="22"/>
                          <w:szCs w:val="22"/>
                        </w:rPr>
                        <w:t>(South)</w:t>
                      </w:r>
                    </w:p>
                  </w:txbxContent>
                </v:textbox>
              </v:shape>
            </w:pict>
          </mc:Fallback>
        </mc:AlternateContent>
      </w:r>
      <w:r w:rsidR="008F1E10">
        <w:rPr>
          <w:b/>
          <w:bCs/>
          <w:noProof/>
        </w:rPr>
        <w:drawing>
          <wp:anchor distT="0" distB="0" distL="114300" distR="114300" simplePos="0" relativeHeight="251658251" behindDoc="0" locked="0" layoutInCell="1" allowOverlap="1" wp14:anchorId="1D3652A6" wp14:editId="24CC6174">
            <wp:simplePos x="0" y="0"/>
            <wp:positionH relativeFrom="column">
              <wp:posOffset>5046013</wp:posOffset>
            </wp:positionH>
            <wp:positionV relativeFrom="paragraph">
              <wp:posOffset>41161</wp:posOffset>
            </wp:positionV>
            <wp:extent cx="777600" cy="363600"/>
            <wp:effectExtent l="0" t="0" r="381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77600" cy="36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E10">
        <w:rPr>
          <w:noProof/>
        </w:rPr>
        <w:drawing>
          <wp:inline distT="0" distB="0" distL="0" distR="0" wp14:anchorId="48A4BBD9" wp14:editId="4FC35FCE">
            <wp:extent cx="2949815" cy="3275463"/>
            <wp:effectExtent l="0" t="0" r="3175" b="1270"/>
            <wp:docPr id="1903670874" name="Picture 203015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158090"/>
                    <pic:cNvPicPr/>
                  </pic:nvPicPr>
                  <pic:blipFill>
                    <a:blip r:embed="rId58">
                      <a:extLst>
                        <a:ext uri="{28A0092B-C50C-407E-A947-70E740481C1C}">
                          <a14:useLocalDpi xmlns:a14="http://schemas.microsoft.com/office/drawing/2010/main" val="0"/>
                        </a:ext>
                      </a:extLst>
                    </a:blip>
                    <a:stretch>
                      <a:fillRect/>
                    </a:stretch>
                  </pic:blipFill>
                  <pic:spPr>
                    <a:xfrm>
                      <a:off x="0" y="0"/>
                      <a:ext cx="2956317" cy="3282682"/>
                    </a:xfrm>
                    <a:prstGeom prst="rect">
                      <a:avLst/>
                    </a:prstGeom>
                  </pic:spPr>
                </pic:pic>
              </a:graphicData>
            </a:graphic>
          </wp:inline>
        </w:drawing>
      </w:r>
      <w:r w:rsidR="008F1E10">
        <w:rPr>
          <w:noProof/>
          <w:color w:val="auto"/>
        </w:rPr>
        <w:drawing>
          <wp:inline distT="0" distB="0" distL="0" distR="0" wp14:anchorId="626EB77E" wp14:editId="153F3250">
            <wp:extent cx="3033893" cy="324757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52237" cy="3267213"/>
                    </a:xfrm>
                    <a:prstGeom prst="rect">
                      <a:avLst/>
                    </a:prstGeom>
                    <a:noFill/>
                    <a:ln>
                      <a:noFill/>
                    </a:ln>
                  </pic:spPr>
                </pic:pic>
              </a:graphicData>
            </a:graphic>
          </wp:inline>
        </w:drawing>
      </w:r>
    </w:p>
    <w:p w14:paraId="03D13122" w14:textId="78E108C1" w:rsidR="008F1E10" w:rsidRDefault="008F1E10" w:rsidP="008F1E10">
      <w:pPr>
        <w:pStyle w:val="Caption"/>
        <w:rPr>
          <w:b w:val="0"/>
          <w:bCs w:val="0"/>
        </w:rPr>
      </w:pPr>
      <w:bookmarkStart w:id="74" w:name="_Toc52968237"/>
      <w:r>
        <w:t xml:space="preserve">Figure </w:t>
      </w:r>
      <w:r>
        <w:fldChar w:fldCharType="begin"/>
      </w:r>
      <w:r>
        <w:instrText>SEQ Figure \* ARABIC</w:instrText>
      </w:r>
      <w:r>
        <w:fldChar w:fldCharType="separate"/>
      </w:r>
      <w:r w:rsidR="00235F13">
        <w:rPr>
          <w:noProof/>
        </w:rPr>
        <w:t>7</w:t>
      </w:r>
      <w:r>
        <w:fldChar w:fldCharType="end"/>
      </w:r>
      <w:r>
        <w:t xml:space="preserve">. </w:t>
      </w:r>
      <w:r w:rsidRPr="00FF4F51">
        <w:rPr>
          <w:b w:val="0"/>
          <w:bCs w:val="0"/>
        </w:rPr>
        <w:t xml:space="preserve">(a) </w:t>
      </w:r>
      <w:r w:rsidRPr="00D73A51">
        <w:rPr>
          <w:b w:val="0"/>
          <w:bCs w:val="0"/>
        </w:rPr>
        <w:t>Locations of</w:t>
      </w:r>
      <w:r>
        <w:rPr>
          <w:b w:val="0"/>
          <w:bCs w:val="0"/>
        </w:rPr>
        <w:t xml:space="preserve"> registered Avoided-D</w:t>
      </w:r>
      <w:r w:rsidRPr="00D73A51">
        <w:rPr>
          <w:b w:val="0"/>
          <w:bCs w:val="0"/>
        </w:rPr>
        <w:t xml:space="preserve"> </w:t>
      </w:r>
      <w:r>
        <w:rPr>
          <w:b w:val="0"/>
          <w:bCs w:val="0"/>
        </w:rPr>
        <w:t>(red) and Avoided-C (black) projects. Revoked projects shown in white. (b) Spatial distribution of two main vegetation types applicable to Avoided-D and Avoided-C (</w:t>
      </w:r>
      <w:r>
        <w:rPr>
          <w:b w:val="0"/>
          <w:bCs w:val="0"/>
          <w:i/>
          <w:iCs/>
        </w:rPr>
        <w:t xml:space="preserve">Acacia aneura </w:t>
      </w:r>
      <w:r>
        <w:rPr>
          <w:b w:val="0"/>
          <w:bCs w:val="0"/>
        </w:rPr>
        <w:t>(</w:t>
      </w:r>
      <w:r w:rsidR="00D71D18">
        <w:rPr>
          <w:b w:val="0"/>
          <w:bCs w:val="0"/>
        </w:rPr>
        <w:t>mulga</w:t>
      </w:r>
      <w:r>
        <w:rPr>
          <w:b w:val="0"/>
          <w:bCs w:val="0"/>
        </w:rPr>
        <w:t xml:space="preserve"> woodlands) and </w:t>
      </w:r>
      <w:r>
        <w:rPr>
          <w:b w:val="0"/>
          <w:bCs w:val="0"/>
          <w:i/>
          <w:iCs/>
        </w:rPr>
        <w:t xml:space="preserve">Eucalyptus populnea </w:t>
      </w:r>
      <w:r>
        <w:rPr>
          <w:b w:val="0"/>
          <w:bCs w:val="0"/>
        </w:rPr>
        <w:t>(Poplar Box woodlands)). Species locations from the Atlas of Living Australia (</w:t>
      </w:r>
      <w:hyperlink r:id="rId60" w:history="1">
        <w:r w:rsidRPr="008363F7">
          <w:rPr>
            <w:rStyle w:val="Hyperlink"/>
            <w:b w:val="0"/>
            <w:bCs w:val="0"/>
          </w:rPr>
          <w:t>https://doi.org/10.26197/5f2e149ee5182</w:t>
        </w:r>
      </w:hyperlink>
      <w:r>
        <w:rPr>
          <w:b w:val="0"/>
          <w:bCs w:val="0"/>
        </w:rPr>
        <w:t>).</w:t>
      </w:r>
      <w:bookmarkEnd w:id="74"/>
    </w:p>
    <w:p w14:paraId="289C90FA" w14:textId="77777777" w:rsidR="008F1E10" w:rsidRPr="00191E3E" w:rsidRDefault="008F1E10" w:rsidP="008F1E10">
      <w:pPr>
        <w:pStyle w:val="Heading4"/>
      </w:pPr>
      <w:r w:rsidRPr="00191E3E">
        <w:t>Risk assessment against identified climate impact factors</w:t>
      </w:r>
    </w:p>
    <w:p w14:paraId="19729905" w14:textId="77777777" w:rsidR="008F1E10" w:rsidRPr="00191E3E" w:rsidRDefault="008F1E10" w:rsidP="008F1E10">
      <w:pPr>
        <w:pStyle w:val="BodyText"/>
        <w:spacing w:after="0"/>
        <w:rPr>
          <w:i/>
          <w:iCs/>
          <w:color w:val="auto"/>
        </w:rPr>
      </w:pPr>
      <w:r w:rsidRPr="00191E3E">
        <w:rPr>
          <w:i/>
          <w:iCs/>
          <w:color w:val="auto"/>
        </w:rPr>
        <w:t>Factors affecting initial tree establishment and growth</w:t>
      </w:r>
    </w:p>
    <w:p w14:paraId="5C651242" w14:textId="77777777" w:rsidR="008F1E10" w:rsidRPr="00191E3E" w:rsidRDefault="008F1E10" w:rsidP="008F1E10">
      <w:pPr>
        <w:pStyle w:val="BodyText"/>
        <w:spacing w:before="0"/>
        <w:rPr>
          <w:i/>
          <w:iCs/>
          <w:color w:val="auto"/>
        </w:rPr>
      </w:pPr>
      <w:r w:rsidRPr="00191E3E">
        <w:rPr>
          <w:i/>
          <w:iCs/>
          <w:color w:val="auto"/>
        </w:rPr>
        <w:t>Factors affecting longer-term vegetation growth rates</w:t>
      </w:r>
    </w:p>
    <w:p w14:paraId="2C7A45B8" w14:textId="704A9295" w:rsidR="008F1E10" w:rsidRPr="00191E3E" w:rsidRDefault="008F1E10" w:rsidP="008F1E10">
      <w:pPr>
        <w:pStyle w:val="BodyText"/>
        <w:rPr>
          <w:color w:val="auto"/>
        </w:rPr>
      </w:pPr>
      <w:r w:rsidRPr="00191E3E">
        <w:rPr>
          <w:color w:val="auto"/>
        </w:rPr>
        <w:t xml:space="preserve">Because the Avoided-D and Avoided-C activities both involve the maintenance of existing forest cover, risks associated with establishment and initial growth are much lower than activities involving the regeneration of new forests. This is because established vegetation is generally more resilient to such factors as changing temperature and rainfall patterns, </w:t>
      </w:r>
      <w:r>
        <w:rPr>
          <w:color w:val="auto"/>
        </w:rPr>
        <w:t xml:space="preserve">due to </w:t>
      </w:r>
      <w:r w:rsidRPr="00191E3E">
        <w:rPr>
          <w:color w:val="auto"/>
        </w:rPr>
        <w:t xml:space="preserve">traits such as the ability </w:t>
      </w:r>
      <w:r>
        <w:rPr>
          <w:color w:val="auto"/>
        </w:rPr>
        <w:t xml:space="preserve">of mature vegetation to </w:t>
      </w:r>
      <w:r w:rsidRPr="00191E3E">
        <w:rPr>
          <w:color w:val="auto"/>
        </w:rPr>
        <w:t>moderate physiological activity</w:t>
      </w:r>
      <w:r>
        <w:rPr>
          <w:color w:val="auto"/>
        </w:rPr>
        <w:t>,</w:t>
      </w:r>
      <w:r w:rsidRPr="00191E3E">
        <w:rPr>
          <w:color w:val="auto"/>
        </w:rPr>
        <w:t xml:space="preserve"> t</w:t>
      </w:r>
      <w:r>
        <w:rPr>
          <w:color w:val="auto"/>
        </w:rPr>
        <w:t>he</w:t>
      </w:r>
      <w:r w:rsidRPr="00191E3E">
        <w:rPr>
          <w:color w:val="auto"/>
        </w:rPr>
        <w:t xml:space="preserve"> support </w:t>
      </w:r>
      <w:r>
        <w:rPr>
          <w:color w:val="auto"/>
        </w:rPr>
        <w:t xml:space="preserve">of physiological </w:t>
      </w:r>
      <w:r w:rsidRPr="00191E3E">
        <w:rPr>
          <w:color w:val="auto"/>
        </w:rPr>
        <w:t xml:space="preserve">maintenance requirements through the use of stored reserves of photosynthate, and deep roots to access groundwater. The timing of suitable regeneration conditions to </w:t>
      </w:r>
      <w:r>
        <w:rPr>
          <w:color w:val="auto"/>
        </w:rPr>
        <w:t xml:space="preserve">offset </w:t>
      </w:r>
      <w:r w:rsidRPr="00191E3E">
        <w:rPr>
          <w:color w:val="auto"/>
        </w:rPr>
        <w:t xml:space="preserve">natural mortality is also less critical </w:t>
      </w:r>
      <w:r>
        <w:rPr>
          <w:color w:val="auto"/>
        </w:rPr>
        <w:t>for Avoided-D and Avoided-C activities</w:t>
      </w:r>
      <w:r w:rsidRPr="00191E3E">
        <w:rPr>
          <w:color w:val="auto"/>
        </w:rPr>
        <w:t xml:space="preserve">, given adult woodland trees are long-lived (with decadal to century lifespans). </w:t>
      </w:r>
      <w:r>
        <w:rPr>
          <w:color w:val="auto"/>
        </w:rPr>
        <w:t xml:space="preserve">In the case of </w:t>
      </w:r>
      <w:r w:rsidR="00D71D18">
        <w:rPr>
          <w:color w:val="auto"/>
        </w:rPr>
        <w:t>mulga</w:t>
      </w:r>
      <w:r>
        <w:rPr>
          <w:color w:val="auto"/>
        </w:rPr>
        <w:t xml:space="preserve">, seedling regeneration occurs readily, but </w:t>
      </w:r>
      <w:r>
        <w:rPr>
          <w:color w:val="auto"/>
        </w:rPr>
        <w:lastRenderedPageBreak/>
        <w:t xml:space="preserve">is particularly vigorous after wet periods and if animal stocking rates are low (Peeters and Butler 2014). In a study of recruitment and mortality </w:t>
      </w:r>
      <w:r w:rsidR="003E3F52">
        <w:rPr>
          <w:color w:val="auto"/>
        </w:rPr>
        <w:t>of</w:t>
      </w:r>
      <w:r>
        <w:rPr>
          <w:color w:val="auto"/>
        </w:rPr>
        <w:t xml:space="preserve"> </w:t>
      </w:r>
      <w:r w:rsidR="00D71D18">
        <w:rPr>
          <w:color w:val="auto"/>
        </w:rPr>
        <w:t>e</w:t>
      </w:r>
      <w:r>
        <w:rPr>
          <w:color w:val="auto"/>
        </w:rPr>
        <w:t xml:space="preserve">ucalypt woodland species in central western NSW, there was evidence mortality is balanced by new recruitment at the regional scale, although variable between locations (Taylor </w:t>
      </w:r>
      <w:r w:rsidRPr="006D5D2C">
        <w:rPr>
          <w:color w:val="auto"/>
        </w:rPr>
        <w:t>et al</w:t>
      </w:r>
      <w:r>
        <w:rPr>
          <w:color w:val="auto"/>
        </w:rPr>
        <w:t xml:space="preserve">. 2014). </w:t>
      </w:r>
      <w:r w:rsidRPr="00191E3E">
        <w:rPr>
          <w:color w:val="auto"/>
        </w:rPr>
        <w:t xml:space="preserve">There </w:t>
      </w:r>
      <w:r>
        <w:rPr>
          <w:color w:val="auto"/>
        </w:rPr>
        <w:t xml:space="preserve">does </w:t>
      </w:r>
      <w:r w:rsidRPr="00191E3E">
        <w:rPr>
          <w:color w:val="auto"/>
        </w:rPr>
        <w:t xml:space="preserve">remain an interesting ecological question regarding the very long-term persistence of </w:t>
      </w:r>
      <w:r>
        <w:rPr>
          <w:color w:val="auto"/>
        </w:rPr>
        <w:t xml:space="preserve">Australia’s arid and semi-arid woodlands </w:t>
      </w:r>
      <w:r w:rsidRPr="00191E3E">
        <w:rPr>
          <w:color w:val="auto"/>
        </w:rPr>
        <w:t xml:space="preserve">over coming centuries, relating to stand replacement dynamics and the potential for the gradual </w:t>
      </w:r>
      <w:r>
        <w:rPr>
          <w:color w:val="auto"/>
        </w:rPr>
        <w:t xml:space="preserve">species </w:t>
      </w:r>
      <w:r w:rsidRPr="00191E3E">
        <w:rPr>
          <w:color w:val="auto"/>
        </w:rPr>
        <w:t>replacement over time, but this is beyond the scope of this review.</w:t>
      </w:r>
      <w:r>
        <w:rPr>
          <w:color w:val="auto"/>
        </w:rPr>
        <w:t xml:space="preserve"> Th</w:t>
      </w:r>
      <w:r w:rsidR="00CD3D3D">
        <w:rPr>
          <w:color w:val="auto"/>
        </w:rPr>
        <w:t>e</w:t>
      </w:r>
      <w:r>
        <w:rPr>
          <w:color w:val="auto"/>
        </w:rPr>
        <w:t xml:space="preserve"> risks associated with Avoided-D and Avoided-C activities are therefore focussed on </w:t>
      </w:r>
      <w:r w:rsidR="006B3316">
        <w:t>maintenance</w:t>
      </w:r>
      <w:r>
        <w:rPr>
          <w:color w:val="auto"/>
        </w:rPr>
        <w:t xml:space="preserve">, rather than </w:t>
      </w:r>
      <w:r w:rsidR="006B3316">
        <w:rPr>
          <w:color w:val="auto"/>
        </w:rPr>
        <w:t>accumulation</w:t>
      </w:r>
      <w:r>
        <w:rPr>
          <w:color w:val="auto"/>
        </w:rPr>
        <w:t>, given all of the delivery is attained at the beginning of each project.</w:t>
      </w:r>
    </w:p>
    <w:p w14:paraId="69D17237" w14:textId="77777777" w:rsidR="008F1E10" w:rsidRPr="00191E3E" w:rsidRDefault="008F1E10" w:rsidP="00A75AC4">
      <w:pPr>
        <w:pStyle w:val="BodyText"/>
        <w:widowControl w:val="0"/>
        <w:rPr>
          <w:color w:val="auto"/>
        </w:rPr>
      </w:pPr>
      <w:r>
        <w:rPr>
          <w:color w:val="auto"/>
        </w:rPr>
        <w:t>Although risks associated with regeneration success are low, of p</w:t>
      </w:r>
      <w:r w:rsidRPr="00191E3E">
        <w:rPr>
          <w:color w:val="auto"/>
        </w:rPr>
        <w:t>otential</w:t>
      </w:r>
      <w:r>
        <w:rPr>
          <w:color w:val="auto"/>
        </w:rPr>
        <w:t xml:space="preserve">ly </w:t>
      </w:r>
      <w:r w:rsidRPr="00191E3E">
        <w:rPr>
          <w:color w:val="auto"/>
        </w:rPr>
        <w:t xml:space="preserve">greater significance is the effect </w:t>
      </w:r>
      <w:r>
        <w:rPr>
          <w:color w:val="auto"/>
        </w:rPr>
        <w:t>of</w:t>
      </w:r>
      <w:r w:rsidRPr="00191E3E">
        <w:rPr>
          <w:color w:val="auto"/>
        </w:rPr>
        <w:t xml:space="preserve"> climate impact factors such as heat stress and reduced soil water availability on the growth rates of adult plants, and the consequences of the interactions between increased plant stress and susceptibility to disturbances (see next section).</w:t>
      </w:r>
    </w:p>
    <w:p w14:paraId="2317A809" w14:textId="26F87679" w:rsidR="008F1E10" w:rsidRPr="00A75AC4" w:rsidRDefault="008F1E10" w:rsidP="00A75AC4">
      <w:pPr>
        <w:widowControl w:val="0"/>
        <w:spacing w:line="264" w:lineRule="auto"/>
        <w:rPr>
          <w:rFonts w:asciiTheme="minorHAnsi" w:hAnsiTheme="minorHAnsi" w:cstheme="minorHAnsi"/>
        </w:rPr>
      </w:pPr>
      <w:r w:rsidRPr="00A75AC4">
        <w:rPr>
          <w:rFonts w:asciiTheme="minorHAnsi" w:hAnsiTheme="minorHAnsi" w:cstheme="minorHAnsi"/>
        </w:rPr>
        <w:t xml:space="preserve">For the Avoided-D activity the climate impact factors relating to the potential for reduced growth and their likelihoods are the same as identified for HIR and NFMR, given the spatial overlap in their occurrence. Therefore, the potential for heat- and water-stress induced limitations to plant productivity are considered likely, with an overall confidence of </w:t>
      </w:r>
      <w:r w:rsidRPr="00A75AC4">
        <w:rPr>
          <w:rFonts w:asciiTheme="minorHAnsi" w:hAnsiTheme="minorHAnsi" w:cstheme="minorHAnsi"/>
          <w:i/>
        </w:rPr>
        <w:t>high</w:t>
      </w:r>
      <w:r w:rsidRPr="00A75AC4">
        <w:rPr>
          <w:rFonts w:asciiTheme="minorHAnsi" w:hAnsiTheme="minorHAnsi" w:cstheme="minorHAnsi"/>
        </w:rPr>
        <w:t>. Because existing forest cover is more robust to such impacts, and given the many adaptations the species possess for coping with existence in harsh, arid environments, the consequences of reductions to growth and the ability of the forests to self-regenerate are considered minor, leading to an overall risk rating of low (</w:t>
      </w:r>
      <w:r w:rsidR="000A1616" w:rsidRPr="00276753">
        <w:rPr>
          <w:rFonts w:asciiTheme="minorHAnsi" w:hAnsiTheme="minorHAnsi" w:cstheme="minorHAnsi"/>
        </w:rPr>
        <w:fldChar w:fldCharType="begin"/>
      </w:r>
      <w:r w:rsidR="000A1616" w:rsidRPr="00276753">
        <w:rPr>
          <w:rFonts w:asciiTheme="minorHAnsi" w:hAnsiTheme="minorHAnsi" w:cstheme="minorHAnsi"/>
        </w:rPr>
        <w:instrText xml:space="preserve"> REF _Ref49777031 \h </w:instrText>
      </w:r>
      <w:r w:rsidR="000A1616">
        <w:rPr>
          <w:rFonts w:asciiTheme="minorHAnsi" w:hAnsiTheme="minorHAnsi" w:cstheme="minorHAnsi"/>
        </w:rPr>
        <w:instrText xml:space="preserve"> \* MERGEFORMAT </w:instrText>
      </w:r>
      <w:r w:rsidR="000A1616" w:rsidRPr="00276753">
        <w:rPr>
          <w:rFonts w:asciiTheme="minorHAnsi" w:hAnsiTheme="minorHAnsi" w:cstheme="minorHAnsi"/>
        </w:rPr>
      </w:r>
      <w:r w:rsidR="000A1616" w:rsidRPr="00276753">
        <w:rPr>
          <w:rFonts w:asciiTheme="minorHAnsi" w:hAnsiTheme="minorHAnsi" w:cstheme="minorHAnsi"/>
        </w:rPr>
        <w:fldChar w:fldCharType="separate"/>
      </w:r>
      <w:r w:rsidR="00235F13" w:rsidRPr="00235F13">
        <w:rPr>
          <w:rFonts w:asciiTheme="minorHAnsi" w:hAnsiTheme="minorHAnsi" w:cstheme="minorHAnsi"/>
        </w:rPr>
        <w:t xml:space="preserve">Table </w:t>
      </w:r>
      <w:r w:rsidR="00235F13" w:rsidRPr="00235F13">
        <w:rPr>
          <w:rFonts w:asciiTheme="minorHAnsi" w:hAnsiTheme="minorHAnsi" w:cstheme="minorHAnsi"/>
          <w:noProof/>
        </w:rPr>
        <w:t>12</w:t>
      </w:r>
      <w:r w:rsidR="000A1616" w:rsidRPr="00276753">
        <w:rPr>
          <w:rFonts w:asciiTheme="minorHAnsi" w:hAnsiTheme="minorHAnsi" w:cstheme="minorHAnsi"/>
        </w:rPr>
        <w:fldChar w:fldCharType="end"/>
      </w:r>
      <w:r w:rsidRPr="00A75AC4">
        <w:rPr>
          <w:rFonts w:asciiTheme="minorHAnsi" w:hAnsiTheme="minorHAnsi" w:cstheme="minorHAnsi"/>
        </w:rPr>
        <w:t xml:space="preserve">). </w:t>
      </w:r>
    </w:p>
    <w:p w14:paraId="5D962501" w14:textId="77777777" w:rsidR="008F1E10" w:rsidRPr="00FE171D" w:rsidRDefault="008F1E10" w:rsidP="00A75AC4">
      <w:pPr>
        <w:pStyle w:val="BodyText"/>
        <w:widowControl w:val="0"/>
        <w:rPr>
          <w:color w:val="auto"/>
        </w:rPr>
      </w:pPr>
      <w:r w:rsidRPr="00A75AC4">
        <w:rPr>
          <w:rFonts w:asciiTheme="minorHAnsi" w:hAnsiTheme="minorHAnsi" w:cstheme="minorHAnsi"/>
          <w:color w:val="auto"/>
        </w:rPr>
        <w:t>For the Avoided-C activity the risk profile is also the same given the similarity in activity, but because of the geographic separation in the activity areas (with activity more likely to occ</w:t>
      </w:r>
      <w:r>
        <w:rPr>
          <w:color w:val="auto"/>
        </w:rPr>
        <w:t xml:space="preserve">ur in the </w:t>
      </w:r>
      <w:r w:rsidRPr="00191E3E">
        <w:rPr>
          <w:color w:val="auto"/>
        </w:rPr>
        <w:t xml:space="preserve">relatively higher rainfall areas </w:t>
      </w:r>
      <w:r>
        <w:rPr>
          <w:color w:val="auto"/>
        </w:rPr>
        <w:t>within the ECN and CS sub-clusters)</w:t>
      </w:r>
      <w:r w:rsidRPr="00191E3E">
        <w:rPr>
          <w:color w:val="auto"/>
        </w:rPr>
        <w:t xml:space="preserve"> there is the potential for the likelihoods and con</w:t>
      </w:r>
      <w:r w:rsidRPr="00FE171D">
        <w:rPr>
          <w:color w:val="auto"/>
        </w:rPr>
        <w:t xml:space="preserve">sequences to differ. The increase in average annual temperatures for the ECN and CS sub-clusters are within 15% in magnitude and spread compared to the two rangelands zones, as are the predictions for potential evapotranspiration (Appendix B). </w:t>
      </w:r>
      <w:r>
        <w:rPr>
          <w:color w:val="auto"/>
        </w:rPr>
        <w:t>For the ECN sub-cluster rainfall changes are possible but uncertain, with natural variability expected to be the main driver over coming decades. For the CS sub-cluster natural variability in rainfall is also expected, although by the end of the century a trend towards lower winter rainfall is expected (</w:t>
      </w:r>
      <w:r>
        <w:rPr>
          <w:i/>
          <w:iCs/>
          <w:color w:val="auto"/>
        </w:rPr>
        <w:t>high confidence</w:t>
      </w:r>
      <w:r>
        <w:rPr>
          <w:color w:val="auto"/>
        </w:rPr>
        <w:t>). Thus, these factors are all similar to those applicable to Avoided-D.</w:t>
      </w:r>
    </w:p>
    <w:p w14:paraId="641678FE" w14:textId="371D32CE" w:rsidR="008F1E10" w:rsidRPr="00A75AC4" w:rsidRDefault="008F1E10" w:rsidP="00A75AC4">
      <w:pPr>
        <w:pStyle w:val="BodyText"/>
        <w:widowControl w:val="0"/>
        <w:rPr>
          <w:rFonts w:asciiTheme="minorHAnsi" w:hAnsiTheme="minorHAnsi" w:cstheme="minorHAnsi"/>
          <w:color w:val="auto"/>
        </w:rPr>
      </w:pPr>
      <w:r>
        <w:rPr>
          <w:color w:val="auto"/>
        </w:rPr>
        <w:t xml:space="preserve">For both the CS and ECN sub-clusters the </w:t>
      </w:r>
      <w:r w:rsidRPr="00FE171D">
        <w:rPr>
          <w:color w:val="auto"/>
        </w:rPr>
        <w:t>change in time spent in drought is predicted to be lower than the two rangeland sub-clusters, with increases less than 1% against a baseline of 35-40% of time in drought (compared to increases of approximately 4% for the rangeland sub-clusters). Variability in projections across models for both the ECN and CS sub-clusters is high</w:t>
      </w:r>
      <w:r>
        <w:rPr>
          <w:color w:val="auto"/>
        </w:rPr>
        <w:t xml:space="preserve"> however</w:t>
      </w:r>
      <w:r w:rsidRPr="00FE171D">
        <w:rPr>
          <w:color w:val="auto"/>
        </w:rPr>
        <w:t xml:space="preserve">, with a range of </w:t>
      </w:r>
      <w:r w:rsidRPr="00B846C7">
        <w:rPr>
          <w:color w:val="auto"/>
        </w:rPr>
        <w:t>approximately -15% to +20%. Taken together, these trends are also consistent with an overall prediction of decreasing soil moisture over the century (</w:t>
      </w:r>
      <w:r w:rsidRPr="00B846C7">
        <w:rPr>
          <w:i/>
          <w:iCs/>
          <w:color w:val="auto"/>
        </w:rPr>
        <w:t>medium confidence</w:t>
      </w:r>
      <w:r w:rsidRPr="00B846C7">
        <w:rPr>
          <w:color w:val="auto"/>
        </w:rPr>
        <w:t xml:space="preserve">), and increasing plant stress, which would be expected to reduce plant productivity. Extreme temperatures are also expected to increase significantly, with substantial increases in the </w:t>
      </w:r>
      <w:r w:rsidRPr="00A75AC4">
        <w:rPr>
          <w:rFonts w:asciiTheme="minorHAnsi" w:hAnsiTheme="minorHAnsi" w:cstheme="minorHAnsi"/>
          <w:color w:val="auto"/>
        </w:rPr>
        <w:t>temperature reached on hot days, the frequency of hot days, and the duration of warm spells (</w:t>
      </w:r>
      <w:r w:rsidRPr="00A75AC4">
        <w:rPr>
          <w:rFonts w:asciiTheme="minorHAnsi" w:hAnsiTheme="minorHAnsi" w:cstheme="minorHAnsi"/>
          <w:i/>
          <w:iCs/>
          <w:color w:val="auto"/>
        </w:rPr>
        <w:t>very high confidence)</w:t>
      </w:r>
      <w:r w:rsidRPr="00A75AC4">
        <w:rPr>
          <w:rFonts w:asciiTheme="minorHAnsi" w:hAnsiTheme="minorHAnsi" w:cstheme="minorHAnsi"/>
          <w:color w:val="auto"/>
        </w:rPr>
        <w:t>. For example, the change in the number of days year</w:t>
      </w:r>
      <w:r w:rsidRPr="00A75AC4">
        <w:rPr>
          <w:rFonts w:asciiTheme="minorHAnsi" w:hAnsiTheme="minorHAnsi" w:cstheme="minorHAnsi"/>
          <w:color w:val="auto"/>
          <w:vertAlign w:val="superscript"/>
        </w:rPr>
        <w:t>-1</w:t>
      </w:r>
      <w:r w:rsidRPr="00A75AC4">
        <w:rPr>
          <w:rFonts w:asciiTheme="minorHAnsi" w:hAnsiTheme="minorHAnsi" w:cstheme="minorHAnsi"/>
          <w:color w:val="auto"/>
        </w:rPr>
        <w:t xml:space="preserve"> expected to be greater than 35</w:t>
      </w:r>
      <w:r w:rsidR="00462582">
        <w:sym w:font="Symbol" w:char="F0B0"/>
      </w:r>
      <w:r w:rsidR="00462582">
        <w:t>C</w:t>
      </w:r>
      <w:r w:rsidR="00462582" w:rsidRPr="00A75AC4">
        <w:rPr>
          <w:rFonts w:asciiTheme="minorHAnsi" w:hAnsiTheme="minorHAnsi" w:cstheme="minorHAnsi"/>
          <w:color w:val="auto"/>
        </w:rPr>
        <w:t xml:space="preserve"> </w:t>
      </w:r>
      <w:r w:rsidRPr="00A75AC4">
        <w:rPr>
          <w:rFonts w:asciiTheme="minorHAnsi" w:hAnsiTheme="minorHAnsi" w:cstheme="minorHAnsi"/>
          <w:color w:val="auto"/>
        </w:rPr>
        <w:t>for the ECN sub-cluster is 1.8(11.9)39.6 (compared to the current average of 21.6 days year</w:t>
      </w:r>
      <w:r w:rsidRPr="00A75AC4">
        <w:rPr>
          <w:rFonts w:asciiTheme="minorHAnsi" w:hAnsiTheme="minorHAnsi" w:cstheme="minorHAnsi"/>
          <w:color w:val="auto"/>
          <w:vertAlign w:val="superscript"/>
        </w:rPr>
        <w:t>-1</w:t>
      </w:r>
      <w:r w:rsidRPr="00A75AC4">
        <w:rPr>
          <w:rFonts w:asciiTheme="minorHAnsi" w:hAnsiTheme="minorHAnsi" w:cstheme="minorHAnsi"/>
          <w:color w:val="auto"/>
        </w:rPr>
        <w:t>), and a change of 2.9(15.2)31.2 days year</w:t>
      </w:r>
      <w:r w:rsidRPr="00A75AC4">
        <w:rPr>
          <w:rFonts w:asciiTheme="minorHAnsi" w:hAnsiTheme="minorHAnsi" w:cstheme="minorHAnsi"/>
          <w:color w:val="auto"/>
          <w:vertAlign w:val="superscript"/>
        </w:rPr>
        <w:t xml:space="preserve">-1 </w:t>
      </w:r>
      <w:r w:rsidRPr="00A75AC4">
        <w:rPr>
          <w:rFonts w:asciiTheme="minorHAnsi" w:hAnsiTheme="minorHAnsi" w:cstheme="minorHAnsi"/>
          <w:color w:val="auto"/>
        </w:rPr>
        <w:t xml:space="preserve">for the CS sub-cluster (with a current </w:t>
      </w:r>
      <w:r w:rsidRPr="00A75AC4">
        <w:rPr>
          <w:rFonts w:asciiTheme="minorHAnsi" w:hAnsiTheme="minorHAnsi" w:cstheme="minorHAnsi"/>
          <w:color w:val="auto"/>
        </w:rPr>
        <w:lastRenderedPageBreak/>
        <w:t>average of 26.4 days year</w:t>
      </w:r>
      <w:r w:rsidRPr="00A75AC4">
        <w:rPr>
          <w:rFonts w:asciiTheme="minorHAnsi" w:hAnsiTheme="minorHAnsi" w:cstheme="minorHAnsi"/>
          <w:color w:val="auto"/>
          <w:vertAlign w:val="superscript"/>
        </w:rPr>
        <w:t>-1</w:t>
      </w:r>
      <w:r w:rsidRPr="00A75AC4">
        <w:rPr>
          <w:rFonts w:asciiTheme="minorHAnsi" w:hAnsiTheme="minorHAnsi" w:cstheme="minorHAnsi"/>
          <w:color w:val="auto"/>
        </w:rPr>
        <w:t>). These are, again, similar in magnitude to Avoided-D.</w:t>
      </w:r>
    </w:p>
    <w:p w14:paraId="4D2C9C1D" w14:textId="4A29F38A" w:rsidR="008F1E10" w:rsidRPr="00A75AC4" w:rsidRDefault="008F1E10" w:rsidP="00A75AC4">
      <w:pPr>
        <w:widowControl w:val="0"/>
        <w:spacing w:line="264" w:lineRule="auto"/>
        <w:rPr>
          <w:rFonts w:asciiTheme="minorHAnsi" w:hAnsiTheme="minorHAnsi" w:cstheme="minorHAnsi"/>
        </w:rPr>
      </w:pPr>
      <w:r w:rsidRPr="00A75AC4">
        <w:rPr>
          <w:rFonts w:asciiTheme="minorHAnsi" w:hAnsiTheme="minorHAnsi" w:cstheme="minorHAnsi"/>
        </w:rPr>
        <w:t>Taken together, these projections suggest the likelihood of experiencing by 2050 heat- and water- stress induced limitations to plant productivity are all likely, with an overall confidence of high. Similarly, the reduction in frost days is also likely, with high confidence. Regarding the impacts on plant growth, because the Avoided-D and Avoided-C activities involve retention of mature forest with minimal exposure to regeneration losses, the consequences of reduced growth are assessed to be minor, which when combined with the likelihood assessment above (‘Likely’) gives an overall risk rating of Low (</w:t>
      </w:r>
      <w:r w:rsidR="000A1616" w:rsidRPr="000A1616">
        <w:rPr>
          <w:rFonts w:asciiTheme="minorHAnsi" w:hAnsiTheme="minorHAnsi" w:cstheme="minorHAnsi"/>
        </w:rPr>
        <w:fldChar w:fldCharType="begin"/>
      </w:r>
      <w:r w:rsidR="000A1616" w:rsidRPr="000A1616">
        <w:rPr>
          <w:rFonts w:asciiTheme="minorHAnsi" w:hAnsiTheme="minorHAnsi" w:cstheme="minorHAnsi"/>
        </w:rPr>
        <w:instrText xml:space="preserve"> REF _Ref49777031 \h </w:instrText>
      </w:r>
      <w:r w:rsidR="000A1616">
        <w:rPr>
          <w:rFonts w:asciiTheme="minorHAnsi" w:hAnsiTheme="minorHAnsi" w:cstheme="minorHAnsi"/>
        </w:rPr>
        <w:instrText xml:space="preserve"> \* MERGEFORMAT </w:instrText>
      </w:r>
      <w:r w:rsidR="000A1616" w:rsidRPr="000A1616">
        <w:rPr>
          <w:rFonts w:asciiTheme="minorHAnsi" w:hAnsiTheme="minorHAnsi" w:cstheme="minorHAnsi"/>
        </w:rPr>
      </w:r>
      <w:r w:rsidR="000A1616" w:rsidRPr="000A1616">
        <w:rPr>
          <w:rFonts w:asciiTheme="minorHAnsi" w:hAnsiTheme="minorHAnsi" w:cstheme="minorHAnsi"/>
        </w:rPr>
        <w:fldChar w:fldCharType="separate"/>
      </w:r>
      <w:r w:rsidR="00235F13" w:rsidRPr="00235F13">
        <w:rPr>
          <w:rFonts w:asciiTheme="minorHAnsi" w:hAnsiTheme="minorHAnsi" w:cstheme="minorHAnsi"/>
        </w:rPr>
        <w:t xml:space="preserve">Table </w:t>
      </w:r>
      <w:r w:rsidR="00235F13" w:rsidRPr="00235F13">
        <w:rPr>
          <w:rFonts w:asciiTheme="minorHAnsi" w:hAnsiTheme="minorHAnsi" w:cstheme="minorHAnsi"/>
          <w:noProof/>
        </w:rPr>
        <w:t>12</w:t>
      </w:r>
      <w:r w:rsidR="000A1616" w:rsidRPr="000A1616">
        <w:rPr>
          <w:rFonts w:asciiTheme="minorHAnsi" w:hAnsiTheme="minorHAnsi" w:cstheme="minorHAnsi"/>
        </w:rPr>
        <w:fldChar w:fldCharType="end"/>
      </w:r>
      <w:r w:rsidRPr="00A75AC4">
        <w:rPr>
          <w:rFonts w:asciiTheme="minorHAnsi" w:hAnsiTheme="minorHAnsi" w:cstheme="minorHAnsi"/>
        </w:rPr>
        <w:t xml:space="preserve">). </w:t>
      </w:r>
    </w:p>
    <w:p w14:paraId="1E289596" w14:textId="77777777" w:rsidR="008F1E10" w:rsidRDefault="008F1E10" w:rsidP="00A75AC4">
      <w:pPr>
        <w:pStyle w:val="BodyText"/>
        <w:widowControl w:val="0"/>
        <w:rPr>
          <w:i/>
          <w:iCs/>
          <w:color w:val="auto"/>
        </w:rPr>
      </w:pPr>
    </w:p>
    <w:p w14:paraId="15FF5A96" w14:textId="77777777" w:rsidR="008F1E10" w:rsidRPr="008E7FCC" w:rsidRDefault="008F1E10" w:rsidP="008F1E10">
      <w:pPr>
        <w:pStyle w:val="BodyText"/>
        <w:rPr>
          <w:i/>
          <w:iCs/>
          <w:color w:val="auto"/>
        </w:rPr>
      </w:pPr>
      <w:r w:rsidRPr="008E7FCC">
        <w:rPr>
          <w:i/>
          <w:iCs/>
          <w:color w:val="auto"/>
        </w:rPr>
        <w:t>Pests and diseases</w:t>
      </w:r>
    </w:p>
    <w:p w14:paraId="300A2487" w14:textId="71003548" w:rsidR="008F1E10" w:rsidRPr="008E7FCC" w:rsidRDefault="008F1E10" w:rsidP="008F1E10">
      <w:pPr>
        <w:pStyle w:val="BodyText"/>
        <w:rPr>
          <w:color w:val="auto"/>
        </w:rPr>
      </w:pPr>
      <w:r w:rsidRPr="008E7FCC">
        <w:rPr>
          <w:color w:val="auto"/>
        </w:rPr>
        <w:t xml:space="preserve">The conclusions regarding pests and diseases from Section </w:t>
      </w:r>
      <w:r w:rsidRPr="008E7FCC">
        <w:rPr>
          <w:color w:val="auto"/>
        </w:rPr>
        <w:fldChar w:fldCharType="begin"/>
      </w:r>
      <w:r w:rsidRPr="008E7FCC">
        <w:rPr>
          <w:color w:val="auto"/>
        </w:rPr>
        <w:instrText xml:space="preserve"> REF _Ref47640019 \r \h </w:instrText>
      </w:r>
      <w:r w:rsidRPr="008E7FCC">
        <w:rPr>
          <w:color w:val="auto"/>
        </w:rPr>
      </w:r>
      <w:r w:rsidRPr="008E7FCC">
        <w:rPr>
          <w:color w:val="auto"/>
        </w:rPr>
        <w:fldChar w:fldCharType="separate"/>
      </w:r>
      <w:r w:rsidR="00235F13">
        <w:rPr>
          <w:color w:val="auto"/>
        </w:rPr>
        <w:t>3.3.1</w:t>
      </w:r>
      <w:r w:rsidRPr="008E7FCC">
        <w:rPr>
          <w:color w:val="auto"/>
        </w:rPr>
        <w:fldChar w:fldCharType="end"/>
      </w:r>
      <w:r w:rsidRPr="008E7FCC">
        <w:rPr>
          <w:color w:val="auto"/>
        </w:rPr>
        <w:t xml:space="preserve"> apply here also, with the potential for shifts in the distributions, and the potential for new pest species to emerge, generally acknowledged, although with insufficient information to make definitive projections regarding </w:t>
      </w:r>
      <w:r w:rsidR="003E3F52">
        <w:rPr>
          <w:color w:val="auto"/>
        </w:rPr>
        <w:t>ei</w:t>
      </w:r>
      <w:r w:rsidRPr="008E7FCC">
        <w:rPr>
          <w:color w:val="auto"/>
        </w:rPr>
        <w:t>the</w:t>
      </w:r>
      <w:r w:rsidR="003E3F52">
        <w:rPr>
          <w:color w:val="auto"/>
        </w:rPr>
        <w:t>r</w:t>
      </w:r>
      <w:r w:rsidRPr="008E7FCC">
        <w:rPr>
          <w:color w:val="auto"/>
        </w:rPr>
        <w:t xml:space="preserve"> the </w:t>
      </w:r>
      <w:r w:rsidR="00D71D18">
        <w:rPr>
          <w:color w:val="auto"/>
        </w:rPr>
        <w:t>a</w:t>
      </w:r>
      <w:r w:rsidRPr="008E7FCC">
        <w:rPr>
          <w:color w:val="auto"/>
        </w:rPr>
        <w:t xml:space="preserve">cacia </w:t>
      </w:r>
      <w:r w:rsidR="003E3F52">
        <w:rPr>
          <w:color w:val="auto"/>
        </w:rPr>
        <w:t>or</w:t>
      </w:r>
      <w:r w:rsidRPr="008E7FCC">
        <w:rPr>
          <w:color w:val="auto"/>
        </w:rPr>
        <w:t xml:space="preserve"> </w:t>
      </w:r>
      <w:r w:rsidR="00D71D18">
        <w:rPr>
          <w:color w:val="auto"/>
        </w:rPr>
        <w:t>e</w:t>
      </w:r>
      <w:r w:rsidRPr="008E7FCC">
        <w:rPr>
          <w:color w:val="auto"/>
        </w:rPr>
        <w:t>ucalypt woodlands that underlie the</w:t>
      </w:r>
      <w:r>
        <w:rPr>
          <w:color w:val="auto"/>
        </w:rPr>
        <w:t xml:space="preserve"> Avoided-D and Avoided-C </w:t>
      </w:r>
      <w:r w:rsidRPr="008E7FCC">
        <w:rPr>
          <w:color w:val="auto"/>
        </w:rPr>
        <w:t xml:space="preserve">methodologies. </w:t>
      </w:r>
    </w:p>
    <w:p w14:paraId="1028206B" w14:textId="63DDB2FF" w:rsidR="008F1E10" w:rsidRPr="008E7FCC" w:rsidRDefault="008F1E10" w:rsidP="008F1E10">
      <w:pPr>
        <w:pStyle w:val="BodyText"/>
        <w:rPr>
          <w:color w:val="auto"/>
        </w:rPr>
      </w:pPr>
      <w:r w:rsidRPr="008E7FCC">
        <w:rPr>
          <w:color w:val="auto"/>
        </w:rPr>
        <w:t xml:space="preserve">One identified risk, noted in Section </w:t>
      </w:r>
      <w:r w:rsidRPr="008E7FCC">
        <w:rPr>
          <w:color w:val="auto"/>
        </w:rPr>
        <w:fldChar w:fldCharType="begin"/>
      </w:r>
      <w:r w:rsidRPr="008E7FCC">
        <w:rPr>
          <w:color w:val="auto"/>
        </w:rPr>
        <w:instrText xml:space="preserve"> REF _Ref47640019 \r \h </w:instrText>
      </w:r>
      <w:r w:rsidRPr="008E7FCC">
        <w:rPr>
          <w:color w:val="auto"/>
        </w:rPr>
      </w:r>
      <w:r w:rsidRPr="008E7FCC">
        <w:rPr>
          <w:color w:val="auto"/>
        </w:rPr>
        <w:fldChar w:fldCharType="separate"/>
      </w:r>
      <w:r w:rsidR="00235F13">
        <w:rPr>
          <w:color w:val="auto"/>
        </w:rPr>
        <w:t>3.3.1</w:t>
      </w:r>
      <w:r w:rsidRPr="008E7FCC">
        <w:rPr>
          <w:color w:val="auto"/>
        </w:rPr>
        <w:fldChar w:fldCharType="end"/>
      </w:r>
      <w:r w:rsidRPr="008E7FCC">
        <w:rPr>
          <w:color w:val="auto"/>
        </w:rPr>
        <w:t xml:space="preserve"> in the context of expansion of current HIR and NFMR activities eastwards, is the </w:t>
      </w:r>
      <w:r>
        <w:rPr>
          <w:color w:val="auto"/>
        </w:rPr>
        <w:t xml:space="preserve">presence </w:t>
      </w:r>
      <w:r w:rsidRPr="008E7FCC">
        <w:rPr>
          <w:color w:val="auto"/>
        </w:rPr>
        <w:t>of</w:t>
      </w:r>
      <w:r>
        <w:rPr>
          <w:color w:val="auto"/>
        </w:rPr>
        <w:t xml:space="preserve"> the invasive weed</w:t>
      </w:r>
      <w:r w:rsidRPr="008E7FCC">
        <w:rPr>
          <w:color w:val="auto"/>
        </w:rPr>
        <w:t xml:space="preserve"> </w:t>
      </w:r>
      <w:r w:rsidR="00D71D18">
        <w:rPr>
          <w:color w:val="auto"/>
        </w:rPr>
        <w:t>buffel</w:t>
      </w:r>
      <w:r w:rsidRPr="008E7FCC">
        <w:rPr>
          <w:color w:val="auto"/>
        </w:rPr>
        <w:t xml:space="preserve"> grass (</w:t>
      </w:r>
      <w:r w:rsidRPr="008E7FCC">
        <w:rPr>
          <w:i/>
          <w:iCs/>
          <w:color w:val="auto"/>
        </w:rPr>
        <w:t>Cenchrus ciliaris</w:t>
      </w:r>
      <w:r w:rsidRPr="008E7FCC">
        <w:rPr>
          <w:color w:val="auto"/>
        </w:rPr>
        <w:t xml:space="preserve">). Buffel grass is native to parts of Africa, Asia and the Middle East, and was introduced into Australia to improve livestock production and for soil stabilisation. The species is currently relatively uncommon in the core HIR and NFMR regions of the Rangelands North and South sub-clusters, but in the SC and ECN sub-clusters </w:t>
      </w:r>
      <w:r>
        <w:rPr>
          <w:color w:val="auto"/>
        </w:rPr>
        <w:t xml:space="preserve">where Avoided-C activities are most likely to take place </w:t>
      </w:r>
      <w:r w:rsidR="003E3F52">
        <w:rPr>
          <w:color w:val="auto"/>
        </w:rPr>
        <w:t xml:space="preserve">it </w:t>
      </w:r>
      <w:r w:rsidRPr="008E7FCC">
        <w:rPr>
          <w:color w:val="auto"/>
        </w:rPr>
        <w:t>can be a dominant component of the understory, particularly where intact woodlands are fragmented from clearing and other anthropogenic disturbance (</w:t>
      </w:r>
      <w:r>
        <w:rPr>
          <w:color w:val="auto"/>
        </w:rPr>
        <w:t xml:space="preserve">Franks 2002; </w:t>
      </w:r>
      <w:r w:rsidRPr="008E7FCC">
        <w:rPr>
          <w:color w:val="auto"/>
        </w:rPr>
        <w:t xml:space="preserve">Eyre et al. 2009). The main risk factor associated with </w:t>
      </w:r>
      <w:r w:rsidR="00D71D18">
        <w:rPr>
          <w:color w:val="auto"/>
        </w:rPr>
        <w:t>buffel</w:t>
      </w:r>
      <w:r w:rsidRPr="008E7FCC">
        <w:rPr>
          <w:color w:val="auto"/>
        </w:rPr>
        <w:t xml:space="preserve"> grass in the context of the native forest </w:t>
      </w:r>
      <w:r w:rsidR="00D71D18">
        <w:rPr>
          <w:color w:val="auto"/>
        </w:rPr>
        <w:t>r</w:t>
      </w:r>
      <w:r w:rsidR="00FB2D3A">
        <w:rPr>
          <w:color w:val="auto"/>
        </w:rPr>
        <w:t>e-establishment</w:t>
      </w:r>
      <w:r w:rsidR="00DD0B14">
        <w:rPr>
          <w:color w:val="auto"/>
        </w:rPr>
        <w:t xml:space="preserve"> </w:t>
      </w:r>
      <w:r w:rsidRPr="008E7FCC">
        <w:rPr>
          <w:color w:val="auto"/>
        </w:rPr>
        <w:t xml:space="preserve">and </w:t>
      </w:r>
      <w:r w:rsidR="00D71D18">
        <w:rPr>
          <w:color w:val="auto"/>
        </w:rPr>
        <w:t>p</w:t>
      </w:r>
      <w:r w:rsidRPr="008E7FCC">
        <w:rPr>
          <w:color w:val="auto"/>
        </w:rPr>
        <w:t xml:space="preserve">rotection methodologies is via its effect on fire regimes, </w:t>
      </w:r>
      <w:r>
        <w:rPr>
          <w:color w:val="auto"/>
        </w:rPr>
        <w:t xml:space="preserve">which are </w:t>
      </w:r>
      <w:r w:rsidRPr="008E7FCC">
        <w:rPr>
          <w:color w:val="auto"/>
        </w:rPr>
        <w:t xml:space="preserve">discussed further under ‘Fire’ below.  Projections of </w:t>
      </w:r>
      <w:r w:rsidR="00D71D18">
        <w:rPr>
          <w:color w:val="auto"/>
        </w:rPr>
        <w:t>buffel</w:t>
      </w:r>
      <w:r w:rsidRPr="008E7FCC">
        <w:rPr>
          <w:color w:val="auto"/>
        </w:rPr>
        <w:t xml:space="preserve"> grass spread under a 2070 high emissions scenario indicate significant potential for the species to migrate southwards over the coming decades (Martin et al. 2015).</w:t>
      </w:r>
    </w:p>
    <w:p w14:paraId="6E706662" w14:textId="77777777" w:rsidR="008F1E10" w:rsidRPr="008E7FCC" w:rsidRDefault="008F1E10" w:rsidP="008F1E10">
      <w:pPr>
        <w:pStyle w:val="BodyText"/>
        <w:rPr>
          <w:color w:val="808080" w:themeColor="background1" w:themeShade="80"/>
        </w:rPr>
      </w:pPr>
    </w:p>
    <w:p w14:paraId="6914C2AC" w14:textId="77777777" w:rsidR="008F1E10" w:rsidRPr="000C7F34" w:rsidRDefault="008F1E10" w:rsidP="008F1E10">
      <w:pPr>
        <w:pStyle w:val="BodyText"/>
        <w:rPr>
          <w:i/>
          <w:iCs/>
          <w:color w:val="auto"/>
        </w:rPr>
      </w:pPr>
      <w:r w:rsidRPr="000C7F34">
        <w:rPr>
          <w:i/>
          <w:iCs/>
          <w:color w:val="auto"/>
        </w:rPr>
        <w:t>Fire</w:t>
      </w:r>
    </w:p>
    <w:p w14:paraId="5C7D311A" w14:textId="193350C2" w:rsidR="008F1E10" w:rsidRPr="003E0B62" w:rsidRDefault="008F1E10" w:rsidP="008F1E10">
      <w:pPr>
        <w:pStyle w:val="BodyText"/>
        <w:rPr>
          <w:color w:val="auto"/>
        </w:rPr>
      </w:pPr>
      <w:r w:rsidRPr="000C7F34">
        <w:rPr>
          <w:color w:val="auto"/>
        </w:rPr>
        <w:t xml:space="preserve">Risks to Avoided-D projects from fire are considered to be the same as </w:t>
      </w:r>
      <w:r>
        <w:rPr>
          <w:color w:val="auto"/>
        </w:rPr>
        <w:t xml:space="preserve">those </w:t>
      </w:r>
      <w:r w:rsidRPr="000C7F34">
        <w:rPr>
          <w:color w:val="auto"/>
        </w:rPr>
        <w:t xml:space="preserve">for HIR </w:t>
      </w:r>
      <w:r w:rsidRPr="003E0B62">
        <w:rPr>
          <w:color w:val="auto"/>
        </w:rPr>
        <w:t>and NFMR, given the overlap in spatial extent</w:t>
      </w:r>
      <w:r>
        <w:rPr>
          <w:color w:val="auto"/>
        </w:rPr>
        <w:t xml:space="preserve">, </w:t>
      </w:r>
      <w:r w:rsidRPr="003E0B62">
        <w:rPr>
          <w:color w:val="auto"/>
        </w:rPr>
        <w:t>management</w:t>
      </w:r>
      <w:r>
        <w:rPr>
          <w:color w:val="auto"/>
        </w:rPr>
        <w:t>, and vegetation type</w:t>
      </w:r>
      <w:r w:rsidRPr="003E0B62">
        <w:rPr>
          <w:color w:val="auto"/>
        </w:rPr>
        <w:t xml:space="preserve">. The conclusion from </w:t>
      </w:r>
      <w:r>
        <w:rPr>
          <w:color w:val="auto"/>
        </w:rPr>
        <w:t xml:space="preserve">the HIR and NFMR </w:t>
      </w:r>
      <w:r w:rsidRPr="003E0B62">
        <w:rPr>
          <w:color w:val="auto"/>
        </w:rPr>
        <w:t xml:space="preserve">analysis was the current risks to sequestration from fire are deemed to be relatively low, given the low historical occurrence of fire in the affected vegetation types, even during high fire years, and the regenerative traits of the vegetation that allow them to recover post-fire. Because of the high uncertainty associated with fire prediction, the likelihood is considered to be ‘about as likely as not’; and given the impacted vegetation types are largely fire resistant, the consequences are considered ‘minor’. The resulting risk rating for fire to significantly impact </w:t>
      </w:r>
      <w:r w:rsidR="006B3316">
        <w:t xml:space="preserve">maintenance </w:t>
      </w:r>
      <w:r w:rsidRPr="003E0B62">
        <w:rPr>
          <w:color w:val="auto"/>
        </w:rPr>
        <w:t>is therefore low at the whole portfolio level. Whilst also low at the individual project level, there always remains a chance of some unplanned wildfire, and proponents should be prepared to manage for this.</w:t>
      </w:r>
    </w:p>
    <w:p w14:paraId="49D18C82" w14:textId="1AE9E7BE" w:rsidR="008F1E10" w:rsidRDefault="008F1E10" w:rsidP="008F1E10">
      <w:pPr>
        <w:pStyle w:val="BodyText"/>
        <w:rPr>
          <w:color w:val="auto"/>
        </w:rPr>
      </w:pPr>
      <w:r>
        <w:rPr>
          <w:color w:val="auto"/>
        </w:rPr>
        <w:lastRenderedPageBreak/>
        <w:t>The CS sub-cluster has relatively higher historical fire activity, due to relatively higher rainfall and associated higher connectivity of ground layer vegetation, particularly grasses (</w:t>
      </w:r>
      <w:r w:rsidR="00090CC9">
        <w:rPr>
          <w:color w:val="auto"/>
        </w:rPr>
        <w:fldChar w:fldCharType="begin"/>
      </w:r>
      <w:r w:rsidR="00090CC9">
        <w:rPr>
          <w:color w:val="auto"/>
        </w:rPr>
        <w:instrText xml:space="preserve"> REF _Ref49781775 \h </w:instrText>
      </w:r>
      <w:r w:rsidR="00090CC9">
        <w:rPr>
          <w:color w:val="auto"/>
        </w:rPr>
      </w:r>
      <w:r w:rsidR="00090CC9">
        <w:rPr>
          <w:color w:val="auto"/>
        </w:rPr>
        <w:fldChar w:fldCharType="separate"/>
      </w:r>
      <w:r w:rsidR="00235F13">
        <w:t xml:space="preserve">Figure </w:t>
      </w:r>
      <w:r w:rsidR="00235F13">
        <w:rPr>
          <w:noProof/>
        </w:rPr>
        <w:t>8</w:t>
      </w:r>
      <w:r w:rsidR="00090CC9">
        <w:rPr>
          <w:color w:val="auto"/>
        </w:rPr>
        <w:fldChar w:fldCharType="end"/>
      </w:r>
      <w:r>
        <w:rPr>
          <w:color w:val="auto"/>
        </w:rPr>
        <w:t xml:space="preserve">). </w:t>
      </w:r>
      <w:r w:rsidRPr="003C359C">
        <w:rPr>
          <w:color w:val="auto"/>
        </w:rPr>
        <w:t xml:space="preserve">Within the </w:t>
      </w:r>
      <w:r>
        <w:rPr>
          <w:color w:val="auto"/>
        </w:rPr>
        <w:t xml:space="preserve">CS </w:t>
      </w:r>
      <w:r w:rsidRPr="003C359C">
        <w:rPr>
          <w:color w:val="auto"/>
        </w:rPr>
        <w:t>sub-cluster the number of days year</w:t>
      </w:r>
      <w:r w:rsidRPr="003C359C">
        <w:rPr>
          <w:color w:val="auto"/>
          <w:vertAlign w:val="superscript"/>
        </w:rPr>
        <w:t>-1</w:t>
      </w:r>
      <w:r w:rsidRPr="003C359C">
        <w:rPr>
          <w:color w:val="auto"/>
        </w:rPr>
        <w:t xml:space="preserve"> with a Forest Fire Danger Index (FFDI) greater than ‘High’ is expected by 2050 to change by </w:t>
      </w:r>
      <w:r>
        <w:rPr>
          <w:color w:val="auto"/>
        </w:rPr>
        <w:t>10.7</w:t>
      </w:r>
      <w:r w:rsidRPr="003C359C">
        <w:rPr>
          <w:color w:val="auto"/>
        </w:rPr>
        <w:t>(</w:t>
      </w:r>
      <w:r>
        <w:rPr>
          <w:color w:val="auto"/>
        </w:rPr>
        <w:t>17.7</w:t>
      </w:r>
      <w:r w:rsidRPr="003C359C">
        <w:rPr>
          <w:color w:val="auto"/>
        </w:rPr>
        <w:t>)3</w:t>
      </w:r>
      <w:r>
        <w:rPr>
          <w:color w:val="auto"/>
        </w:rPr>
        <w:t>3.0</w:t>
      </w:r>
      <w:r w:rsidRPr="003C359C">
        <w:rPr>
          <w:color w:val="auto"/>
        </w:rPr>
        <w:t xml:space="preserve"> days year</w:t>
      </w:r>
      <w:r w:rsidRPr="003C359C">
        <w:rPr>
          <w:color w:val="auto"/>
          <w:vertAlign w:val="superscript"/>
        </w:rPr>
        <w:t>-1</w:t>
      </w:r>
      <w:r w:rsidRPr="003C359C">
        <w:rPr>
          <w:color w:val="auto"/>
        </w:rPr>
        <w:t xml:space="preserve">, corresponding to a median increase of </w:t>
      </w:r>
      <w:r>
        <w:rPr>
          <w:color w:val="auto"/>
        </w:rPr>
        <w:t>1</w:t>
      </w:r>
      <w:r w:rsidRPr="003C359C">
        <w:rPr>
          <w:color w:val="auto"/>
        </w:rPr>
        <w:t xml:space="preserve">4% above the current baseline of </w:t>
      </w:r>
      <w:r>
        <w:rPr>
          <w:color w:val="auto"/>
        </w:rPr>
        <w:t>124</w:t>
      </w:r>
      <w:r w:rsidRPr="003C359C">
        <w:rPr>
          <w:color w:val="auto"/>
        </w:rPr>
        <w:t xml:space="preserve"> days year</w:t>
      </w:r>
      <w:r w:rsidRPr="003C359C">
        <w:rPr>
          <w:color w:val="auto"/>
          <w:vertAlign w:val="superscript"/>
        </w:rPr>
        <w:t>-1</w:t>
      </w:r>
      <w:r w:rsidRPr="003C359C">
        <w:rPr>
          <w:color w:val="auto"/>
        </w:rPr>
        <w:t xml:space="preserve">. For the </w:t>
      </w:r>
      <w:r>
        <w:rPr>
          <w:color w:val="auto"/>
        </w:rPr>
        <w:t>ECN</w:t>
      </w:r>
      <w:r w:rsidRPr="003C359C">
        <w:rPr>
          <w:color w:val="auto"/>
        </w:rPr>
        <w:t xml:space="preserve"> sub-cluster the change is expected to be </w:t>
      </w:r>
      <w:r>
        <w:rPr>
          <w:color w:val="auto"/>
        </w:rPr>
        <w:t>4.0</w:t>
      </w:r>
      <w:r w:rsidRPr="003C359C">
        <w:rPr>
          <w:color w:val="auto"/>
        </w:rPr>
        <w:t>(</w:t>
      </w:r>
      <w:r>
        <w:rPr>
          <w:color w:val="auto"/>
        </w:rPr>
        <w:t>7.1</w:t>
      </w:r>
      <w:r w:rsidRPr="003C359C">
        <w:rPr>
          <w:color w:val="auto"/>
        </w:rPr>
        <w:t>)</w:t>
      </w:r>
      <w:r>
        <w:rPr>
          <w:color w:val="auto"/>
        </w:rPr>
        <w:t>24</w:t>
      </w:r>
      <w:r w:rsidRPr="003C359C">
        <w:rPr>
          <w:color w:val="auto"/>
        </w:rPr>
        <w:t>.0 days year</w:t>
      </w:r>
      <w:r w:rsidRPr="003C359C">
        <w:rPr>
          <w:color w:val="auto"/>
          <w:vertAlign w:val="superscript"/>
        </w:rPr>
        <w:t>-1</w:t>
      </w:r>
      <w:r w:rsidRPr="003C359C">
        <w:rPr>
          <w:color w:val="auto"/>
        </w:rPr>
        <w:t>, corresponding to a median increase of 1</w:t>
      </w:r>
      <w:r>
        <w:rPr>
          <w:color w:val="auto"/>
        </w:rPr>
        <w:t>2</w:t>
      </w:r>
      <w:r w:rsidRPr="003C359C">
        <w:rPr>
          <w:color w:val="auto"/>
        </w:rPr>
        <w:t xml:space="preserve">% above the current baseline of </w:t>
      </w:r>
      <w:r>
        <w:rPr>
          <w:color w:val="auto"/>
        </w:rPr>
        <w:t>57.5</w:t>
      </w:r>
      <w:r w:rsidRPr="003C359C">
        <w:rPr>
          <w:color w:val="auto"/>
        </w:rPr>
        <w:t xml:space="preserve"> days year</w:t>
      </w:r>
      <w:r w:rsidRPr="003C359C">
        <w:rPr>
          <w:color w:val="auto"/>
          <w:vertAlign w:val="superscript"/>
        </w:rPr>
        <w:t>-1</w:t>
      </w:r>
      <w:r w:rsidRPr="003C359C">
        <w:rPr>
          <w:color w:val="auto"/>
        </w:rPr>
        <w:t xml:space="preserve">. Corresponding changes for the annual cumulative FFDI are a </w:t>
      </w:r>
      <w:r>
        <w:rPr>
          <w:color w:val="auto"/>
        </w:rPr>
        <w:t>9</w:t>
      </w:r>
      <w:r w:rsidRPr="003C359C">
        <w:rPr>
          <w:color w:val="auto"/>
        </w:rPr>
        <w:t xml:space="preserve">% median increase for the </w:t>
      </w:r>
      <w:r>
        <w:rPr>
          <w:color w:val="auto"/>
        </w:rPr>
        <w:t>CS</w:t>
      </w:r>
      <w:r w:rsidRPr="003C359C">
        <w:rPr>
          <w:color w:val="auto"/>
        </w:rPr>
        <w:t xml:space="preserve"> sub-cluster, and </w:t>
      </w:r>
      <w:r>
        <w:rPr>
          <w:color w:val="auto"/>
        </w:rPr>
        <w:t>6</w:t>
      </w:r>
      <w:r w:rsidRPr="003C359C">
        <w:rPr>
          <w:color w:val="auto"/>
        </w:rPr>
        <w:t xml:space="preserve">% increase for the </w:t>
      </w:r>
      <w:r>
        <w:rPr>
          <w:color w:val="auto"/>
        </w:rPr>
        <w:t>ECN</w:t>
      </w:r>
      <w:r w:rsidRPr="003C359C">
        <w:rPr>
          <w:color w:val="auto"/>
        </w:rPr>
        <w:t xml:space="preserve"> sub-cluster. Given fire activity is driven by preceding rainfall in the arid zone, and rainfall projections are highly uncertain, there is therefore overall </w:t>
      </w:r>
      <w:r w:rsidR="00D71D18">
        <w:rPr>
          <w:i/>
          <w:iCs/>
          <w:color w:val="auto"/>
        </w:rPr>
        <w:t>l</w:t>
      </w:r>
      <w:r w:rsidRPr="003C359C">
        <w:rPr>
          <w:i/>
          <w:iCs/>
          <w:color w:val="auto"/>
        </w:rPr>
        <w:t xml:space="preserve">ow confidence </w:t>
      </w:r>
      <w:r w:rsidRPr="003C359C">
        <w:rPr>
          <w:color w:val="auto"/>
        </w:rPr>
        <w:t xml:space="preserve">in the projections for changes in fire risk. </w:t>
      </w:r>
    </w:p>
    <w:p w14:paraId="07083DCF" w14:textId="543DEE87" w:rsidR="008F1E10" w:rsidRPr="00206865" w:rsidRDefault="008F1E10" w:rsidP="008F1E10">
      <w:pPr>
        <w:pStyle w:val="BodyText"/>
        <w:rPr>
          <w:color w:val="auto"/>
        </w:rPr>
      </w:pPr>
      <w:r>
        <w:rPr>
          <w:color w:val="auto"/>
        </w:rPr>
        <w:t>Whilst fire is relatively more common across the ECN sub-cluster, and the projections are for increased fire danger by mid-century and beyond, the risk</w:t>
      </w:r>
      <w:r w:rsidR="006B3316">
        <w:rPr>
          <w:color w:val="auto"/>
        </w:rPr>
        <w:t>s</w:t>
      </w:r>
      <w:r>
        <w:rPr>
          <w:color w:val="auto"/>
        </w:rPr>
        <w:t xml:space="preserve"> </w:t>
      </w:r>
      <w:r w:rsidR="006B3316">
        <w:rPr>
          <w:color w:val="auto"/>
        </w:rPr>
        <w:t xml:space="preserve">to the </w:t>
      </w:r>
      <w:r w:rsidR="006B3316">
        <w:t>maintenance</w:t>
      </w:r>
      <w:r>
        <w:rPr>
          <w:color w:val="auto"/>
        </w:rPr>
        <w:t xml:space="preserve"> </w:t>
      </w:r>
      <w:r w:rsidR="006B3316">
        <w:rPr>
          <w:color w:val="auto"/>
        </w:rPr>
        <w:t>of</w:t>
      </w:r>
      <w:r>
        <w:rPr>
          <w:color w:val="auto"/>
        </w:rPr>
        <w:t xml:space="preserve"> sequestration is also deemed to be low (i.e., a likelihood of </w:t>
      </w:r>
      <w:r w:rsidRPr="003E0B62">
        <w:rPr>
          <w:color w:val="auto"/>
        </w:rPr>
        <w:t>‘about as likely as not’</w:t>
      </w:r>
      <w:r>
        <w:rPr>
          <w:color w:val="auto"/>
        </w:rPr>
        <w:t xml:space="preserve">, and a consequence of ‘minor’). This rating is due to the adaptations of the woodland species in these regions to fire that allow them to recover following disturbance. For example </w:t>
      </w:r>
      <w:r w:rsidRPr="00A97B4F">
        <w:rPr>
          <w:i/>
          <w:iCs/>
          <w:color w:val="auto"/>
        </w:rPr>
        <w:t>E. populnea</w:t>
      </w:r>
      <w:r>
        <w:rPr>
          <w:color w:val="auto"/>
        </w:rPr>
        <w:t xml:space="preserve"> woodlands can recover biomass within 7 years after severe mechanical removal and fire (Playford et al 2009), and in a controlled burn experiment Fensham et al. (2008) recorded seedling survival rates (via post-fire sponsorship from lignotubers) of </w:t>
      </w:r>
      <w:r w:rsidRPr="00A97B4F">
        <w:rPr>
          <w:i/>
          <w:iCs/>
          <w:color w:val="auto"/>
        </w:rPr>
        <w:t>E. populnea</w:t>
      </w:r>
      <w:r>
        <w:rPr>
          <w:i/>
          <w:iCs/>
          <w:color w:val="auto"/>
        </w:rPr>
        <w:t xml:space="preserve"> </w:t>
      </w:r>
      <w:r>
        <w:rPr>
          <w:color w:val="auto"/>
        </w:rPr>
        <w:t xml:space="preserve">and </w:t>
      </w:r>
      <w:r>
        <w:rPr>
          <w:i/>
          <w:iCs/>
          <w:color w:val="auto"/>
        </w:rPr>
        <w:t xml:space="preserve">E. melanophloia </w:t>
      </w:r>
      <w:r>
        <w:rPr>
          <w:color w:val="auto"/>
        </w:rPr>
        <w:t xml:space="preserve">of 87-93%, concluding fire may </w:t>
      </w:r>
      <w:r w:rsidRPr="00206865">
        <w:rPr>
          <w:color w:val="auto"/>
        </w:rPr>
        <w:t>not be a factor limiting structural development in woodlands where these species dominate.</w:t>
      </w:r>
    </w:p>
    <w:p w14:paraId="6237D4DC" w14:textId="2ADA086F" w:rsidR="008F1E10" w:rsidRPr="00206865" w:rsidRDefault="008F1E10" w:rsidP="008F1E10">
      <w:pPr>
        <w:pStyle w:val="BodyText"/>
        <w:rPr>
          <w:color w:val="auto"/>
        </w:rPr>
      </w:pPr>
      <w:r w:rsidRPr="00206865">
        <w:rPr>
          <w:color w:val="auto"/>
        </w:rPr>
        <w:t xml:space="preserve">As noted above, the spatial distribution of </w:t>
      </w:r>
      <w:r w:rsidR="00D71D18">
        <w:rPr>
          <w:color w:val="auto"/>
        </w:rPr>
        <w:t>buffel</w:t>
      </w:r>
      <w:r w:rsidRPr="00206865">
        <w:rPr>
          <w:color w:val="auto"/>
        </w:rPr>
        <w:t xml:space="preserve"> grass is predicted to shift in response to a changing climate, and high densities of </w:t>
      </w:r>
      <w:r w:rsidR="00D71D18">
        <w:rPr>
          <w:color w:val="auto"/>
        </w:rPr>
        <w:t>buffel</w:t>
      </w:r>
      <w:r w:rsidRPr="00206865">
        <w:rPr>
          <w:color w:val="auto"/>
        </w:rPr>
        <w:t xml:space="preserve"> increase the frequency and intensity of woodland fires through increasing ground fuel loads (Butler and Fairfax 2003; Peeters and Butler 2014). Whilst the incursion of </w:t>
      </w:r>
      <w:r w:rsidR="00D71D18">
        <w:rPr>
          <w:color w:val="auto"/>
        </w:rPr>
        <w:t>buffel</w:t>
      </w:r>
      <w:r w:rsidRPr="00206865">
        <w:rPr>
          <w:color w:val="auto"/>
        </w:rPr>
        <w:t xml:space="preserve"> grass has a negative impact on the recruitment and growth of many ground cover species (Franks 2002), and has been implicated in accelerated degradation through increased fire (Butler and Fairfax 2003), the longer-term implications for sequestration in the overstory trees remains unknown. Where </w:t>
      </w:r>
      <w:r w:rsidR="00D71D18">
        <w:rPr>
          <w:color w:val="auto"/>
        </w:rPr>
        <w:t>buffel</w:t>
      </w:r>
      <w:r w:rsidRPr="00206865">
        <w:rPr>
          <w:color w:val="auto"/>
        </w:rPr>
        <w:t xml:space="preserve"> grass is likely to be present, then management that includes both fire mitigation and control of exotic grasses would seem prudent (Peeters and Butler 2014). </w:t>
      </w:r>
    </w:p>
    <w:p w14:paraId="12EDF1A3" w14:textId="77777777" w:rsidR="008F1E10" w:rsidRPr="00F16A5E" w:rsidRDefault="008F1E10" w:rsidP="008F1E10">
      <w:pPr>
        <w:pStyle w:val="BodyText"/>
        <w:rPr>
          <w:color w:val="808080" w:themeColor="background1" w:themeShade="80"/>
        </w:rPr>
      </w:pPr>
    </w:p>
    <w:p w14:paraId="0ABF6951" w14:textId="77777777" w:rsidR="008F1E10" w:rsidRDefault="008F1E10" w:rsidP="008F1E10">
      <w:pPr>
        <w:rPr>
          <w:rFonts w:ascii="Calibri" w:eastAsia="Calibri" w:hAnsi="Calibri"/>
          <w:b/>
          <w:bCs/>
          <w:color w:val="808080" w:themeColor="background1" w:themeShade="80"/>
          <w:sz w:val="20"/>
          <w:szCs w:val="18"/>
        </w:rPr>
      </w:pPr>
      <w:r>
        <w:rPr>
          <w:color w:val="808080" w:themeColor="background1" w:themeShade="80"/>
        </w:rPr>
        <w:br w:type="page"/>
      </w:r>
    </w:p>
    <w:p w14:paraId="22704BD7" w14:textId="74975CBC" w:rsidR="008F1E10" w:rsidRPr="00701A9B" w:rsidRDefault="008F1E10" w:rsidP="00B23410">
      <w:pPr>
        <w:pStyle w:val="Caption"/>
      </w:pPr>
      <w:r w:rsidRPr="00F16A5E">
        <w:rPr>
          <w:i/>
          <w:iCs/>
          <w:noProof/>
          <w:color w:val="808080" w:themeColor="background1" w:themeShade="80"/>
        </w:rPr>
        <w:lastRenderedPageBreak/>
        <mc:AlternateContent>
          <mc:Choice Requires="wps">
            <w:drawing>
              <wp:anchor distT="0" distB="0" distL="114300" distR="114300" simplePos="0" relativeHeight="251658252" behindDoc="0" locked="0" layoutInCell="1" allowOverlap="1" wp14:anchorId="3BEBA5E5" wp14:editId="3479DDB0">
                <wp:simplePos x="0" y="0"/>
                <wp:positionH relativeFrom="column">
                  <wp:posOffset>-15989</wp:posOffset>
                </wp:positionH>
                <wp:positionV relativeFrom="paragraph">
                  <wp:posOffset>7174</wp:posOffset>
                </wp:positionV>
                <wp:extent cx="373075" cy="336500"/>
                <wp:effectExtent l="0" t="0" r="0" b="6985"/>
                <wp:wrapNone/>
                <wp:docPr id="18" name="Text Box 18"/>
                <wp:cNvGraphicFramePr/>
                <a:graphic xmlns:a="http://schemas.openxmlformats.org/drawingml/2006/main">
                  <a:graphicData uri="http://schemas.microsoft.com/office/word/2010/wordprocessingShape">
                    <wps:wsp>
                      <wps:cNvSpPr txBox="1"/>
                      <wps:spPr>
                        <a:xfrm>
                          <a:off x="0" y="0"/>
                          <a:ext cx="373075" cy="336500"/>
                        </a:xfrm>
                        <a:prstGeom prst="rect">
                          <a:avLst/>
                        </a:prstGeom>
                        <a:noFill/>
                        <a:ln w="6350">
                          <a:noFill/>
                        </a:ln>
                      </wps:spPr>
                      <wps:txbx>
                        <w:txbxContent>
                          <w:p w14:paraId="2F798691" w14:textId="77777777" w:rsidR="00A264AF" w:rsidRDefault="00A264AF" w:rsidP="008F1E1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EBA5E5" id="Text Box 18" o:spid="_x0000_s1057" type="#_x0000_t202" style="position:absolute;margin-left:-1.25pt;margin-top:.55pt;width:29.4pt;height:26.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" filled="f" stroked="f" strokeweight=".5pt">
                <v:textbox>
                  <w:txbxContent>
                    <w:p w14:paraId="2F798691" w14:textId="77777777" w:rsidR="00A264AF" w:rsidRDefault="00A264AF" w:rsidP="008F1E10">
                      <w:r>
                        <w:t>(a)</w:t>
                      </w:r>
                    </w:p>
                  </w:txbxContent>
                </v:textbox>
              </v:shape>
            </w:pict>
          </mc:Fallback>
        </mc:AlternateContent>
      </w:r>
    </w:p>
    <w:p w14:paraId="491A3D2A" w14:textId="2843FEE1" w:rsidR="008F1E10" w:rsidRDefault="008F1E10" w:rsidP="008F1E10">
      <w:pPr>
        <w:pStyle w:val="BodyText"/>
        <w:rPr>
          <w:noProof/>
        </w:rPr>
      </w:pPr>
      <w:r>
        <w:rPr>
          <w:noProof/>
        </w:rPr>
        <mc:AlternateContent>
          <mc:Choice Requires="wpg">
            <w:drawing>
              <wp:anchor distT="0" distB="0" distL="114300" distR="114300" simplePos="0" relativeHeight="251658257" behindDoc="0" locked="0" layoutInCell="1" allowOverlap="1" wp14:anchorId="1B8AAF07" wp14:editId="423A6C60">
                <wp:simplePos x="0" y="0"/>
                <wp:positionH relativeFrom="column">
                  <wp:posOffset>47767</wp:posOffset>
                </wp:positionH>
                <wp:positionV relativeFrom="paragraph">
                  <wp:posOffset>907832</wp:posOffset>
                </wp:positionV>
                <wp:extent cx="2100334" cy="2226006"/>
                <wp:effectExtent l="0" t="19050" r="14605" b="22225"/>
                <wp:wrapNone/>
                <wp:docPr id="2030158100" name="Group 2030158100"/>
                <wp:cNvGraphicFramePr/>
                <a:graphic xmlns:a="http://schemas.openxmlformats.org/drawingml/2006/main">
                  <a:graphicData uri="http://schemas.microsoft.com/office/word/2010/wordprocessingGroup">
                    <wpg:wgp>
                      <wpg:cNvGrpSpPr/>
                      <wpg:grpSpPr>
                        <a:xfrm>
                          <a:off x="0" y="0"/>
                          <a:ext cx="2100334" cy="2226006"/>
                          <a:chOff x="0" y="0"/>
                          <a:chExt cx="2100334" cy="2226006"/>
                        </a:xfrm>
                      </wpg:grpSpPr>
                      <wps:wsp>
                        <wps:cNvPr id="2030158097" name="Oval 2030158097"/>
                        <wps:cNvSpPr/>
                        <wps:spPr>
                          <a:xfrm>
                            <a:off x="0" y="1025003"/>
                            <a:ext cx="1119117" cy="1201003"/>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58098" name="Oval 2030158098"/>
                        <wps:cNvSpPr/>
                        <wps:spPr>
                          <a:xfrm>
                            <a:off x="1003111" y="308496"/>
                            <a:ext cx="266131" cy="266131"/>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58099" name="Oval 2030158099"/>
                        <wps:cNvSpPr/>
                        <wps:spPr>
                          <a:xfrm rot="20812492">
                            <a:off x="1745492" y="0"/>
                            <a:ext cx="354842" cy="266131"/>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E142F2" id="Group 2030158100" o:spid="_x0000_s1026" style="position:absolute;margin-left:3.75pt;margin-top:71.5pt;width:165.4pt;height:175.3pt;z-index:251658257" coordsize="21003,2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">
                <v:oval id="Oval 2030158097" o:spid="_x0000_s1027" style="position:absolute;top:10250;width:11191;height:12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AEswA&#10;AADjAAAADwAAAGRycy9kb3ducmV2LnhtbESP3UrDQBSE74W+w3KE3tndpqStsdvSKgEFb6w+wDF7&#10;8oPZszG7TaJP7wqCl8PMfMPsDpNtxUC9bxxrWC4UCOLCmYYrDW+v+c0WhA/IBlvHpOGLPBz2s6sd&#10;ZsaN/ELDOVQiQthnqKEOocuk9EVNFv3CdcTRK11vMUTZV9L0OEa4bWWi1FpabDgu1NjRfU3Fx/li&#10;NXwnm9VTPjyU7+u8pOfxMz2d0lTr+fV0vAMRaAr/4b/2o9GQqJVaplt1u4HfT/EPyP0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brAEswAAADjAAAADwAAAAAAAAAAAAAAAACY&#10;AgAAZHJzL2Rvd25yZXYueG1sUEsFBgAAAAAEAAQA9QAAAJEDAAAAAA==&#10;" filled="f" strokecolor="red" strokeweight="1pt"/>
                <v:oval id="Oval 2030158098" o:spid="_x0000_s1028" style="position:absolute;left:10031;top:3084;width:2661;height:2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VUYMkA&#10;AADjAAAADwAAAGRycy9kb3ducmV2LnhtbERPS07DMBDdI3EHa5C6o3ZTpZS0bkWpIoHEhsIBpvHk&#10;I+JxiN0k5fR4gcTy6f23+8m2YqDeN441LOYKBHHhTMOVhs+P/H4Nwgdkg61j0nAlD/vd7c0WM+NG&#10;fqfhFCoRQ9hnqKEOocuk9EVNFv3cdcSRK11vMUTYV9L0OMZw28pEqZW02HBsqLGj55qKr9PFavhJ&#10;Hpav+XAsz6u8pLfxOz0c0lTr2d30tAERaAr/4j/3i9GQqKVapGv1GEfHT/EPyN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CVUYMkAAADjAAAADwAAAAAAAAAAAAAAAACYAgAA&#10;ZHJzL2Rvd25yZXYueG1sUEsFBgAAAAAEAAQA9QAAAI4DAAAAAA==&#10;" filled="f" strokecolor="red" strokeweight="1pt"/>
                <v:oval id="Oval 2030158099" o:spid="_x0000_s1029" style="position:absolute;left:17454;width:3549;height:2661;rotation:-86016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90+8wA&#10;AADjAAAADwAAAGRycy9kb3ducmV2LnhtbESPQUvDQBSE70L/w/IK3uxuIpY27bZUMaUHoVgFPT6y&#10;r0na7NuQXZvYX+8KgsdhZr5hluvBNuJCna8da0gmCgRx4UzNpYb3t/xuBsIHZIONY9LwTR7Wq9HN&#10;EjPjen6lyyGUIkLYZ6ihCqHNpPRFRRb9xLXE0Tu6zmKIsiul6bCPcNvIVKmptFhzXKiwpaeKivPh&#10;y2p4ea6nfN5/pNf80223sk9O8jHX+nY8bBYgAg3hP/zX3hkNqbpXycNMzefw+yn+Abn6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B90+8wAAADjAAAADwAAAAAAAAAAAAAAAACY&#10;AgAAZHJzL2Rvd25yZXYueG1sUEsFBgAAAAAEAAQA9QAAAJEDAAAAAA==&#10;" filled="f" strokecolor="red" strokeweight="1pt"/>
              </v:group>
            </w:pict>
          </mc:Fallback>
        </mc:AlternateContent>
      </w:r>
      <w:r>
        <w:rPr>
          <w:noProof/>
        </w:rPr>
        <w:drawing>
          <wp:anchor distT="0" distB="0" distL="114300" distR="114300" simplePos="0" relativeHeight="251658255" behindDoc="0" locked="0" layoutInCell="1" allowOverlap="1" wp14:anchorId="11A7CA31" wp14:editId="565C64A2">
            <wp:simplePos x="0" y="0"/>
            <wp:positionH relativeFrom="column">
              <wp:posOffset>2895809</wp:posOffset>
            </wp:positionH>
            <wp:positionV relativeFrom="paragraph">
              <wp:posOffset>168000</wp:posOffset>
            </wp:positionV>
            <wp:extent cx="651600" cy="738000"/>
            <wp:effectExtent l="0" t="0" r="0" b="5080"/>
            <wp:wrapNone/>
            <wp:docPr id="2030158092" name="Picture 203015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1600" cy="73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0049">
        <w:rPr>
          <w:noProof/>
        </w:rPr>
        <w:t xml:space="preserve"> </w:t>
      </w:r>
      <w:r w:rsidR="00B23410">
        <w:rPr>
          <w:noProof/>
        </w:rPr>
        <w:drawing>
          <wp:inline distT="0" distB="0" distL="0" distR="0" wp14:anchorId="04A884E3" wp14:editId="0A571401">
            <wp:extent cx="2790999" cy="3462048"/>
            <wp:effectExtent l="0" t="0" r="9525" b="5080"/>
            <wp:docPr id="1850805855" name="Picture 185080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08895" cy="3484247"/>
                    </a:xfrm>
                    <a:prstGeom prst="rect">
                      <a:avLst/>
                    </a:prstGeom>
                    <a:noFill/>
                    <a:ln>
                      <a:noFill/>
                    </a:ln>
                  </pic:spPr>
                </pic:pic>
              </a:graphicData>
            </a:graphic>
          </wp:inline>
        </w:drawing>
      </w:r>
    </w:p>
    <w:p w14:paraId="0EA947BB" w14:textId="77777777" w:rsidR="008F1E10" w:rsidRPr="00F16A5E" w:rsidRDefault="008F1E10" w:rsidP="008F1E10">
      <w:pPr>
        <w:pStyle w:val="BodyText"/>
        <w:rPr>
          <w:i/>
          <w:iCs/>
          <w:color w:val="808080" w:themeColor="background1" w:themeShade="80"/>
        </w:rPr>
      </w:pPr>
      <w:r w:rsidRPr="00F16A5E">
        <w:rPr>
          <w:i/>
          <w:iCs/>
          <w:noProof/>
          <w:color w:val="808080" w:themeColor="background1" w:themeShade="80"/>
        </w:rPr>
        <mc:AlternateContent>
          <mc:Choice Requires="wps">
            <w:drawing>
              <wp:anchor distT="0" distB="0" distL="114300" distR="114300" simplePos="0" relativeHeight="251658254" behindDoc="0" locked="0" layoutInCell="1" allowOverlap="1" wp14:anchorId="5342CCE1" wp14:editId="1B6094DD">
                <wp:simplePos x="0" y="0"/>
                <wp:positionH relativeFrom="column">
                  <wp:posOffset>2999996</wp:posOffset>
                </wp:positionH>
                <wp:positionV relativeFrom="paragraph">
                  <wp:posOffset>7620</wp:posOffset>
                </wp:positionV>
                <wp:extent cx="372745" cy="335915"/>
                <wp:effectExtent l="0" t="0" r="0" b="6985"/>
                <wp:wrapNone/>
                <wp:docPr id="2030158080" name="Text Box 2030158080"/>
                <wp:cNvGraphicFramePr/>
                <a:graphic xmlns:a="http://schemas.openxmlformats.org/drawingml/2006/main">
                  <a:graphicData uri="http://schemas.microsoft.com/office/word/2010/wordprocessingShape">
                    <wps:wsp>
                      <wps:cNvSpPr txBox="1"/>
                      <wps:spPr>
                        <a:xfrm>
                          <a:off x="0" y="0"/>
                          <a:ext cx="372745" cy="335915"/>
                        </a:xfrm>
                        <a:prstGeom prst="rect">
                          <a:avLst/>
                        </a:prstGeom>
                        <a:noFill/>
                        <a:ln w="6350">
                          <a:noFill/>
                        </a:ln>
                      </wps:spPr>
                      <wps:txbx>
                        <w:txbxContent>
                          <w:p w14:paraId="642C29A3" w14:textId="77777777" w:rsidR="00A264AF" w:rsidRDefault="00A264AF" w:rsidP="008F1E1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42CCE1" id="Text Box 2030158080" o:spid="_x0000_s1058" type="#_x0000_t202" style="position:absolute;margin-left:236.2pt;margin-top:.6pt;width:29.35pt;height:26.4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" filled="f" stroked="f" strokeweight=".5pt">
                <v:textbox>
                  <w:txbxContent>
                    <w:p w14:paraId="642C29A3" w14:textId="77777777" w:rsidR="00A264AF" w:rsidRDefault="00A264AF" w:rsidP="008F1E10">
                      <w:r>
                        <w:t>(c)</w:t>
                      </w:r>
                    </w:p>
                  </w:txbxContent>
                </v:textbox>
              </v:shape>
            </w:pict>
          </mc:Fallback>
        </mc:AlternateContent>
      </w:r>
      <w:r w:rsidRPr="00F16A5E">
        <w:rPr>
          <w:i/>
          <w:iCs/>
          <w:noProof/>
          <w:color w:val="808080" w:themeColor="background1" w:themeShade="80"/>
        </w:rPr>
        <mc:AlternateContent>
          <mc:Choice Requires="wps">
            <w:drawing>
              <wp:anchor distT="0" distB="0" distL="114300" distR="114300" simplePos="0" relativeHeight="251658253" behindDoc="0" locked="0" layoutInCell="1" allowOverlap="1" wp14:anchorId="4B36FAB1" wp14:editId="633B98D5">
                <wp:simplePos x="0" y="0"/>
                <wp:positionH relativeFrom="margin">
                  <wp:align>left</wp:align>
                </wp:positionH>
                <wp:positionV relativeFrom="paragraph">
                  <wp:posOffset>3810</wp:posOffset>
                </wp:positionV>
                <wp:extent cx="373075" cy="336500"/>
                <wp:effectExtent l="0" t="0" r="0" b="6985"/>
                <wp:wrapNone/>
                <wp:docPr id="2030158081" name="Text Box 2030158081"/>
                <wp:cNvGraphicFramePr/>
                <a:graphic xmlns:a="http://schemas.openxmlformats.org/drawingml/2006/main">
                  <a:graphicData uri="http://schemas.microsoft.com/office/word/2010/wordprocessingShape">
                    <wps:wsp>
                      <wps:cNvSpPr txBox="1"/>
                      <wps:spPr>
                        <a:xfrm>
                          <a:off x="0" y="0"/>
                          <a:ext cx="373075" cy="336500"/>
                        </a:xfrm>
                        <a:prstGeom prst="rect">
                          <a:avLst/>
                        </a:prstGeom>
                        <a:noFill/>
                        <a:ln w="6350">
                          <a:noFill/>
                        </a:ln>
                      </wps:spPr>
                      <wps:txbx>
                        <w:txbxContent>
                          <w:p w14:paraId="0D463E91" w14:textId="77777777" w:rsidR="00A264AF" w:rsidRDefault="00A264AF" w:rsidP="008F1E1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36FAB1" id="Text Box 2030158081" o:spid="_x0000_s1059" type="#_x0000_t202" style="position:absolute;margin-left:0;margin-top:.3pt;width:29.4pt;height:26.5pt;z-index:251658253;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" filled="f" stroked="f" strokeweight=".5pt">
                <v:textbox>
                  <w:txbxContent>
                    <w:p w14:paraId="0D463E91" w14:textId="77777777" w:rsidR="00A264AF" w:rsidRDefault="00A264AF" w:rsidP="008F1E10">
                      <w:r>
                        <w:t>(b)</w:t>
                      </w:r>
                    </w:p>
                  </w:txbxContent>
                </v:textbox>
                <w10:wrap anchorx="margin"/>
              </v:shape>
            </w:pict>
          </mc:Fallback>
        </mc:AlternateContent>
      </w:r>
    </w:p>
    <w:p w14:paraId="0F3191C0" w14:textId="56DB083F" w:rsidR="008F1E10" w:rsidRPr="00F16A5E" w:rsidRDefault="00B23410" w:rsidP="008F1E10">
      <w:pPr>
        <w:pStyle w:val="BodyText"/>
        <w:rPr>
          <w:i/>
          <w:iCs/>
          <w:color w:val="808080" w:themeColor="background1" w:themeShade="80"/>
        </w:rPr>
      </w:pPr>
      <w:r>
        <w:rPr>
          <w:noProof/>
        </w:rPr>
        <mc:AlternateContent>
          <mc:Choice Requires="wpg">
            <w:drawing>
              <wp:anchor distT="0" distB="0" distL="114300" distR="114300" simplePos="0" relativeHeight="251658258" behindDoc="0" locked="0" layoutInCell="1" allowOverlap="1" wp14:anchorId="7CFA4E20" wp14:editId="75E5D3C6">
                <wp:simplePos x="0" y="0"/>
                <wp:positionH relativeFrom="column">
                  <wp:posOffset>3068651</wp:posOffset>
                </wp:positionH>
                <wp:positionV relativeFrom="paragraph">
                  <wp:posOffset>819785</wp:posOffset>
                </wp:positionV>
                <wp:extent cx="2099945" cy="2225675"/>
                <wp:effectExtent l="0" t="19050" r="14605" b="22225"/>
                <wp:wrapNone/>
                <wp:docPr id="2030158106" name="Group 2030158106"/>
                <wp:cNvGraphicFramePr/>
                <a:graphic xmlns:a="http://schemas.openxmlformats.org/drawingml/2006/main">
                  <a:graphicData uri="http://schemas.microsoft.com/office/word/2010/wordprocessingGroup">
                    <wpg:wgp>
                      <wpg:cNvGrpSpPr/>
                      <wpg:grpSpPr>
                        <a:xfrm>
                          <a:off x="0" y="0"/>
                          <a:ext cx="2099945" cy="2225675"/>
                          <a:chOff x="0" y="0"/>
                          <a:chExt cx="2100334" cy="2226006"/>
                        </a:xfrm>
                      </wpg:grpSpPr>
                      <wps:wsp>
                        <wps:cNvPr id="2030158107" name="Oval 2030158107"/>
                        <wps:cNvSpPr/>
                        <wps:spPr>
                          <a:xfrm>
                            <a:off x="0" y="1025003"/>
                            <a:ext cx="1119117" cy="1201003"/>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58108" name="Oval 2030158108"/>
                        <wps:cNvSpPr/>
                        <wps:spPr>
                          <a:xfrm>
                            <a:off x="1003111" y="308496"/>
                            <a:ext cx="266131" cy="266131"/>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58109" name="Oval 2030158109"/>
                        <wps:cNvSpPr/>
                        <wps:spPr>
                          <a:xfrm rot="20812492">
                            <a:off x="1745492" y="0"/>
                            <a:ext cx="354842" cy="266131"/>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E516CD" id="Group 2030158106" o:spid="_x0000_s1026" style="position:absolute;margin-left:241.65pt;margin-top:64.55pt;width:165.35pt;height:175.25pt;z-index:251658258" coordsize="21003,2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">
                <v:oval id="Oval 2030158107" o:spid="_x0000_s1027" style="position:absolute;top:10250;width:11191;height:12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aCMsA&#10;AADjAAAADwAAAGRycy9kb3ducmV2LnhtbESP3UrDQBSE7wXfYTmCd3Y3KWlL2m2xSkDBG6sPcMye&#10;/NDs2Zhdk+jTu4LQy2FmvmF2h9l2YqTBt441JAsFgrh0puVaw/tbcbcB4QOywc4xafgmD4f99dUO&#10;c+MmfqXxFGoRIexz1NCE0OdS+rIhi37heuLoVW6wGKIcamkGnCLcdjJVaiUtthwXGuzpoaHyfPqy&#10;Gn7S9fK5GB+rj1VR0cv0mR2PWab17c18vwURaA6X8H/7yWhI1VIl2SZRa/j7FP+A3P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UVoIywAAAOMAAAAPAAAAAAAAAAAAAAAAAJgC&#10;AABkcnMvZG93bnJldi54bWxQSwUGAAAAAAQABAD1AAAAkAMAAAAA&#10;" filled="f" strokecolor="red" strokeweight="1pt"/>
                <v:oval id="Oval 2030158108" o:spid="_x0000_s1028" style="position:absolute;left:10031;top:3084;width:2661;height:2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7OesgA&#10;AADjAAAADwAAAGRycy9kb3ducmV2LnhtbERP3UrDMBS+F3yHcITduaQd3UZdNpyjoODNNh/g2Jz+&#10;YHNSm9hWn95cCF5+fP+7w2w7MdLgW8cakqUCQVw603Kt4e1a3G9B+IBssHNMGr7Jw2F/e7PD3LiJ&#10;zzReQi1iCPscNTQh9LmUvmzIol+6njhylRsshgiHWpoBpxhuO5kqtZYWW44NDfb01FD5cfmyGn7S&#10;zeqlGE/V+7qo6HX6zI7HLNN6cTc/PoAINId/8Z/72WhI1Uol2TZRcXT8FP+A3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zs56yAAAAOMAAAAPAAAAAAAAAAAAAAAAAJgCAABk&#10;cnMvZG93bnJldi54bWxQSwUGAAAAAAQABAD1AAAAjQMAAAAA&#10;" filled="f" strokecolor="red" strokeweight="1pt"/>
                <v:oval id="Oval 2030158109" o:spid="_x0000_s1029" style="position:absolute;left:17454;width:3549;height:2661;rotation:-86016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u4cwA&#10;AADjAAAADwAAAGRycy9kb3ducmV2LnhtbESPT0vDQBTE7wW/w/IEb+1uUixt7LaoNMWDIP0D7fGR&#10;fSax2bchuzbRT+8KgsdhZn7DLNeDbcSVOl871pBMFAjiwpmaSw3HQz6eg/AB2WDjmDR8kYf16ma0&#10;xMy4nnd03YdSRAj7DDVUIbSZlL6oyKKfuJY4eu+usxii7EppOuwj3DYyVWomLdYcFyps6bmi4rL/&#10;tBpeN/WML2+n9Ds/u+1W9smHfMq1vrsdHh9ABBrCf/iv/WI0pGqqkvt5ohbw+yn+Abn6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vTu4cwAAADjAAAADwAAAAAAAAAAAAAAAACY&#10;AgAAZHJzL2Rvd25yZXYueG1sUEsFBgAAAAAEAAQA9QAAAJEDAAAAAA==&#10;" filled="f" strokecolor="red" strokeweight="1pt"/>
              </v:group>
            </w:pict>
          </mc:Fallback>
        </mc:AlternateContent>
      </w:r>
      <w:r>
        <w:rPr>
          <w:noProof/>
        </w:rPr>
        <mc:AlternateContent>
          <mc:Choice Requires="wpg">
            <w:drawing>
              <wp:anchor distT="0" distB="0" distL="114300" distR="114300" simplePos="0" relativeHeight="251658256" behindDoc="0" locked="0" layoutInCell="1" allowOverlap="1" wp14:anchorId="301F7394" wp14:editId="2BD83546">
                <wp:simplePos x="0" y="0"/>
                <wp:positionH relativeFrom="margin">
                  <wp:posOffset>76531</wp:posOffset>
                </wp:positionH>
                <wp:positionV relativeFrom="paragraph">
                  <wp:posOffset>882015</wp:posOffset>
                </wp:positionV>
                <wp:extent cx="2018030" cy="2109470"/>
                <wp:effectExtent l="0" t="19050" r="20320" b="24130"/>
                <wp:wrapNone/>
                <wp:docPr id="2030158105" name="Group 2030158105"/>
                <wp:cNvGraphicFramePr/>
                <a:graphic xmlns:a="http://schemas.openxmlformats.org/drawingml/2006/main">
                  <a:graphicData uri="http://schemas.microsoft.com/office/word/2010/wordprocessingGroup">
                    <wpg:wgp>
                      <wpg:cNvGrpSpPr/>
                      <wpg:grpSpPr>
                        <a:xfrm>
                          <a:off x="0" y="0"/>
                          <a:ext cx="2018030" cy="2109470"/>
                          <a:chOff x="0" y="0"/>
                          <a:chExt cx="2018448" cy="2110001"/>
                        </a:xfrm>
                      </wpg:grpSpPr>
                      <wps:wsp>
                        <wps:cNvPr id="2030158102" name="Oval 2030158102"/>
                        <wps:cNvSpPr/>
                        <wps:spPr>
                          <a:xfrm>
                            <a:off x="0" y="908998"/>
                            <a:ext cx="1119117" cy="1201003"/>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58103" name="Oval 2030158103"/>
                        <wps:cNvSpPr/>
                        <wps:spPr>
                          <a:xfrm>
                            <a:off x="941696" y="274377"/>
                            <a:ext cx="266131" cy="266131"/>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58104" name="Oval 2030158104"/>
                        <wps:cNvSpPr/>
                        <wps:spPr>
                          <a:xfrm rot="20812492">
                            <a:off x="1663606" y="0"/>
                            <a:ext cx="354842" cy="266131"/>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5E281E" id="Group 2030158105" o:spid="_x0000_s1026" style="position:absolute;margin-left:6.05pt;margin-top:69.45pt;width:158.9pt;height:166.1pt;z-index:251658256;mso-position-horizontal-relative:margin" coordsize="20184,2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">
                <v:oval id="Oval 2030158102" o:spid="_x0000_s1027" style="position:absolute;top:9089;width:11191;height:120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5kMsA&#10;AADjAAAADwAAAGRycy9kb3ducmV2LnhtbESP3UrDQBSE7wXfYTmCd3Y3KWlL7LZYS0DBm1Yf4Jg9&#10;+cHs2ZjdJtGndwXBy2FmvmG2+9l2YqTBt441JAsFgrh0puVaw9trcbcB4QOywc4xafgiD/vd9dUW&#10;c+MmPtF4DrWIEPY5amhC6HMpfdmQRb9wPXH0KjdYDFEOtTQDThFuO5kqtZIWW44LDfb02FD5cb5Y&#10;Dd/pevlcjMfqfVVU9DJ9ZodDlml9ezM/3IMINIf/8F/7yWhI1VIl2SZRKfx+in9A7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JvmQywAAAOMAAAAPAAAAAAAAAAAAAAAAAJgC&#10;AABkcnMvZG93bnJldi54bWxQSwUGAAAAAAQABAD1AAAAkAMAAAAA&#10;" filled="f" strokecolor="red" strokeweight="1pt"/>
                <v:oval id="Oval 2030158103" o:spid="_x0000_s1028" style="position:absolute;left:9416;top:2743;width:2662;height:2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cC8sA&#10;AADjAAAADwAAAGRycy9kb3ducmV2LnhtbESP3UrEMBSE7wXfIRzBOzdpS9elu9nFVQoK3rj6AGeb&#10;0x9sTmoT2+rTG0HwcpiZb5jdYbG9mGj0nWMNyUqBIK6c6bjR8PZa3mxA+IBssHdMGr7Iw2F/ebHD&#10;wriZX2g6hUZECPsCNbQhDIWUvmrJol+5gTh6tRsthijHRpoR5wi3vUyVWkuLHceFFge6b6l6P31a&#10;Dd/pbfZUTg/1eV3W9Dx/5Mdjnmt9fbXcbUEEWsJ/+K/9aDSkKlNJvklUBr+f4h+Q+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alwLywAAAOMAAAAPAAAAAAAAAAAAAAAAAJgC&#10;AABkcnMvZG93bnJldi54bWxQSwUGAAAAAAQABAD1AAAAkAMAAAAA&#10;" filled="f" strokecolor="red" strokeweight="1pt"/>
                <v:oval id="Oval 2030158104" o:spid="_x0000_s1029" style="position:absolute;left:16636;width:3548;height:2661;rotation:-86016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VBf8wA&#10;AADjAAAADwAAAGRycy9kb3ducmV2LnhtbESPT0vDQBTE74LfYXmCN7ubaEtJuy0qpngQpH+gPT6y&#10;zyQ2+zZk1yb203eFgsdhZn7DzJeDbcSJOl871pCMFAjiwpmaSw27bf4wBeEDssHGMWn4JQ/Lxe3N&#10;HDPjel7TaRNKESHsM9RQhdBmUvqiIot+5Fri6H25zmKIsiul6bCPcNvIVKmJtFhzXKiwpdeKiuPm&#10;x2r4eKsnfPzcp+f84FYr2Sff8iXX+v5ueJ6BCDSE//C1/W40pOpRJeNpop7g71P8A3Jx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PVBf8wAAADjAAAADwAAAAAAAAAAAAAAAACY&#10;AgAAZHJzL2Rvd25yZXYueG1sUEsFBgAAAAAEAAQA9QAAAJEDAAAAAA==&#10;" filled="f" strokecolor="red" strokeweight="1pt"/>
                <w10:wrap anchorx="margin"/>
              </v:group>
            </w:pict>
          </mc:Fallback>
        </mc:AlternateContent>
      </w:r>
      <w:r w:rsidR="008F1E10" w:rsidRPr="1F802AF8">
        <w:rPr>
          <w:i/>
          <w:iCs/>
          <w:color w:val="808080" w:themeColor="background1" w:themeShade="80"/>
        </w:rPr>
        <w:t xml:space="preserve">     </w:t>
      </w:r>
      <w:r>
        <w:rPr>
          <w:i/>
          <w:iCs/>
          <w:noProof/>
          <w:color w:val="808080" w:themeColor="background1" w:themeShade="80"/>
        </w:rPr>
        <w:drawing>
          <wp:inline distT="0" distB="0" distL="0" distR="0" wp14:anchorId="43D470BF" wp14:editId="62ECE9F0">
            <wp:extent cx="2621733" cy="3252083"/>
            <wp:effectExtent l="0" t="0" r="7620" b="5715"/>
            <wp:docPr id="1853651904" name="Picture 185365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35972" cy="3269746"/>
                    </a:xfrm>
                    <a:prstGeom prst="rect">
                      <a:avLst/>
                    </a:prstGeom>
                    <a:noFill/>
                    <a:ln>
                      <a:noFill/>
                    </a:ln>
                  </pic:spPr>
                </pic:pic>
              </a:graphicData>
            </a:graphic>
          </wp:inline>
        </w:drawing>
      </w:r>
      <w:r w:rsidR="008F1E10" w:rsidRPr="1F802AF8">
        <w:rPr>
          <w:i/>
          <w:iCs/>
          <w:color w:val="808080" w:themeColor="background1" w:themeShade="80"/>
        </w:rPr>
        <w:t xml:space="preserve">         </w:t>
      </w:r>
      <w:r>
        <w:rPr>
          <w:i/>
          <w:iCs/>
          <w:noProof/>
          <w:color w:val="808080" w:themeColor="background1" w:themeShade="80"/>
        </w:rPr>
        <w:drawing>
          <wp:inline distT="0" distB="0" distL="0" distR="0" wp14:anchorId="00A4AE2C" wp14:editId="356B4738">
            <wp:extent cx="2584902" cy="3283689"/>
            <wp:effectExtent l="0" t="0" r="6350" b="0"/>
            <wp:docPr id="1853651906" name="Picture 185365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5571" cy="3297242"/>
                    </a:xfrm>
                    <a:prstGeom prst="rect">
                      <a:avLst/>
                    </a:prstGeom>
                    <a:noFill/>
                    <a:ln>
                      <a:noFill/>
                    </a:ln>
                  </pic:spPr>
                </pic:pic>
              </a:graphicData>
            </a:graphic>
          </wp:inline>
        </w:drawing>
      </w:r>
    </w:p>
    <w:p w14:paraId="59855617" w14:textId="77777777" w:rsidR="008F1E10" w:rsidRPr="00F16A5E" w:rsidRDefault="008F1E10" w:rsidP="008F1E10">
      <w:pPr>
        <w:pStyle w:val="BodyText"/>
        <w:rPr>
          <w:i/>
          <w:iCs/>
          <w:color w:val="808080" w:themeColor="background1" w:themeShade="80"/>
        </w:rPr>
      </w:pPr>
    </w:p>
    <w:p w14:paraId="11C56596" w14:textId="4889B282" w:rsidR="00F36D4F" w:rsidRDefault="00EE2322" w:rsidP="00F36D4F">
      <w:pPr>
        <w:pStyle w:val="Caption"/>
        <w:rPr>
          <w:b w:val="0"/>
          <w:bCs w:val="0"/>
        </w:rPr>
      </w:pPr>
      <w:bookmarkStart w:id="75" w:name="_Ref49781775"/>
      <w:bookmarkStart w:id="76" w:name="_Toc52968238"/>
      <w:r>
        <w:t xml:space="preserve">Figure </w:t>
      </w:r>
      <w:r>
        <w:fldChar w:fldCharType="begin"/>
      </w:r>
      <w:r>
        <w:instrText>SEQ Figure \* ARABIC</w:instrText>
      </w:r>
      <w:r>
        <w:fldChar w:fldCharType="separate"/>
      </w:r>
      <w:r w:rsidR="00235F13">
        <w:rPr>
          <w:noProof/>
        </w:rPr>
        <w:t>8</w:t>
      </w:r>
      <w:r>
        <w:fldChar w:fldCharType="end"/>
      </w:r>
      <w:bookmarkEnd w:id="75"/>
      <w:r>
        <w:t xml:space="preserve">. </w:t>
      </w:r>
      <w:r w:rsidRPr="00EE2322">
        <w:rPr>
          <w:b w:val="0"/>
          <w:bCs w:val="0"/>
        </w:rPr>
        <w:t>(a) Number of fires over the period 1988 to 2013. Circled areas show the locations of Avoided-D and Avoided-C project activity</w:t>
      </w:r>
      <w:r w:rsidR="00B23410">
        <w:rPr>
          <w:b w:val="0"/>
          <w:bCs w:val="0"/>
        </w:rPr>
        <w:t xml:space="preserve"> (in blue)</w:t>
      </w:r>
      <w:r w:rsidRPr="00EE2322">
        <w:rPr>
          <w:b w:val="0"/>
          <w:bCs w:val="0"/>
        </w:rPr>
        <w:t>. (b) Combined fire burn areas for low-fire years 2004 and 2005. (c) Combined fire burn areas for high-fire years 2011 and 2012</w:t>
      </w:r>
      <w:r>
        <w:rPr>
          <w:b w:val="0"/>
          <w:bCs w:val="0"/>
        </w:rPr>
        <w:t>.</w:t>
      </w:r>
      <w:bookmarkEnd w:id="76"/>
    </w:p>
    <w:p w14:paraId="6B4492CF" w14:textId="77777777" w:rsidR="008F1E10" w:rsidRPr="00F16A5E" w:rsidRDefault="008F1E10" w:rsidP="008F1E10">
      <w:pPr>
        <w:rPr>
          <w:rFonts w:ascii="Calibri" w:eastAsia="Calibri" w:hAnsi="Calibri"/>
          <w:i/>
          <w:iCs/>
          <w:color w:val="808080" w:themeColor="background1" w:themeShade="80"/>
          <w:szCs w:val="22"/>
        </w:rPr>
      </w:pPr>
      <w:r w:rsidRPr="00F16A5E">
        <w:rPr>
          <w:i/>
          <w:iCs/>
          <w:color w:val="808080" w:themeColor="background1" w:themeShade="80"/>
        </w:rPr>
        <w:br w:type="page"/>
      </w:r>
    </w:p>
    <w:p w14:paraId="40C102F7" w14:textId="77777777" w:rsidR="008F1E10" w:rsidRPr="003974BC" w:rsidRDefault="008F1E10" w:rsidP="008F1E10">
      <w:pPr>
        <w:pStyle w:val="BodyText"/>
        <w:rPr>
          <w:i/>
          <w:iCs/>
          <w:color w:val="auto"/>
        </w:rPr>
      </w:pPr>
      <w:r w:rsidRPr="003974BC">
        <w:rPr>
          <w:i/>
          <w:iCs/>
          <w:color w:val="auto"/>
        </w:rPr>
        <w:lastRenderedPageBreak/>
        <w:t>Drought</w:t>
      </w:r>
    </w:p>
    <w:p w14:paraId="298046F9" w14:textId="3FA33D1D" w:rsidR="008F1E10" w:rsidRPr="003974BC" w:rsidRDefault="008F1E10" w:rsidP="008F1E10">
      <w:pPr>
        <w:pStyle w:val="BodyText"/>
        <w:rPr>
          <w:color w:val="auto"/>
        </w:rPr>
      </w:pPr>
      <w:r w:rsidRPr="003974BC">
        <w:rPr>
          <w:color w:val="auto"/>
        </w:rPr>
        <w:t xml:space="preserve">The potential for extreme drought conditions to cause tree mortality and thus impact on the risks to abatement </w:t>
      </w:r>
      <w:r w:rsidR="006B3316">
        <w:t>maintenance</w:t>
      </w:r>
      <w:r w:rsidRPr="003974BC">
        <w:rPr>
          <w:color w:val="auto"/>
        </w:rPr>
        <w:t xml:space="preserve"> in the context of HIR and NFMR were discussed in Section </w:t>
      </w:r>
      <w:r w:rsidRPr="003974BC">
        <w:rPr>
          <w:color w:val="auto"/>
        </w:rPr>
        <w:fldChar w:fldCharType="begin"/>
      </w:r>
      <w:r w:rsidRPr="003974BC">
        <w:rPr>
          <w:color w:val="auto"/>
        </w:rPr>
        <w:instrText xml:space="preserve"> REF _Ref47640019 \r \h </w:instrText>
      </w:r>
      <w:r w:rsidRPr="003974BC">
        <w:rPr>
          <w:color w:val="auto"/>
        </w:rPr>
      </w:r>
      <w:r w:rsidRPr="003974BC">
        <w:rPr>
          <w:color w:val="auto"/>
        </w:rPr>
        <w:fldChar w:fldCharType="separate"/>
      </w:r>
      <w:r w:rsidR="00235F13">
        <w:rPr>
          <w:color w:val="auto"/>
        </w:rPr>
        <w:t>3.3.1</w:t>
      </w:r>
      <w:r w:rsidRPr="003974BC">
        <w:rPr>
          <w:color w:val="auto"/>
        </w:rPr>
        <w:fldChar w:fldCharType="end"/>
      </w:r>
      <w:r w:rsidRPr="003974BC">
        <w:rPr>
          <w:color w:val="auto"/>
        </w:rPr>
        <w:t xml:space="preserve"> </w:t>
      </w:r>
      <w:r w:rsidR="00430DD5">
        <w:rPr>
          <w:color w:val="auto"/>
        </w:rPr>
        <w:t>–</w:t>
      </w:r>
      <w:r w:rsidRPr="003974BC">
        <w:rPr>
          <w:color w:val="auto"/>
        </w:rPr>
        <w:t xml:space="preserve"> the conclusions from which are directly applicable to Avoided-D also. For Avoided-D the risk</w:t>
      </w:r>
      <w:r w:rsidR="006B3316">
        <w:rPr>
          <w:color w:val="auto"/>
        </w:rPr>
        <w:t xml:space="preserve">s to </w:t>
      </w:r>
      <w:r w:rsidR="006B3316">
        <w:t>maintenance</w:t>
      </w:r>
      <w:r w:rsidRPr="003974BC">
        <w:rPr>
          <w:color w:val="auto"/>
        </w:rPr>
        <w:t xml:space="preserve"> due to drought </w:t>
      </w:r>
      <w:r w:rsidR="006B3316">
        <w:rPr>
          <w:color w:val="auto"/>
        </w:rPr>
        <w:t>are</w:t>
      </w:r>
      <w:r w:rsidRPr="003974BC">
        <w:rPr>
          <w:color w:val="auto"/>
        </w:rPr>
        <w:t xml:space="preserve"> therefore deemed to be Low/Moderate, based on the historical record of drought-induced dieback, with recorded mortality rates up to 30% or more, and the indication that the likelihood of such events will either stay the same or increase up to 2050. The split rating Low/Medium recognises the uncertainty associated with the fate of dead standing trees arising from mortality-inducing drought, post-drought recovery, and the implications for ecosystem-level carbon storage.</w:t>
      </w:r>
    </w:p>
    <w:p w14:paraId="392F9573" w14:textId="24433BB3" w:rsidR="008F1E10" w:rsidRPr="003974BC" w:rsidRDefault="008F1E10" w:rsidP="008F1E10">
      <w:pPr>
        <w:pStyle w:val="BodyText"/>
        <w:rPr>
          <w:color w:val="auto"/>
        </w:rPr>
      </w:pPr>
      <w:r w:rsidRPr="003974BC">
        <w:rPr>
          <w:color w:val="auto"/>
        </w:rPr>
        <w:t>For Avoided-C, the risk factors and projected changes for the CS and ECN sub-clusters a</w:t>
      </w:r>
      <w:r w:rsidR="003E3F52">
        <w:rPr>
          <w:color w:val="auto"/>
        </w:rPr>
        <w:t>re</w:t>
      </w:r>
      <w:r w:rsidRPr="003974BC">
        <w:rPr>
          <w:color w:val="auto"/>
        </w:rPr>
        <w:t xml:space="preserve"> similar to those impacting Avoided-D. The increase in the frequency of extreme drought by 2050 </w:t>
      </w:r>
      <w:r w:rsidR="003E3F52">
        <w:rPr>
          <w:color w:val="auto"/>
        </w:rPr>
        <w:t xml:space="preserve">is </w:t>
      </w:r>
      <w:r w:rsidRPr="003974BC">
        <w:rPr>
          <w:color w:val="auto"/>
        </w:rPr>
        <w:t>pr</w:t>
      </w:r>
      <w:r w:rsidR="003E3F52">
        <w:rPr>
          <w:color w:val="auto"/>
        </w:rPr>
        <w:t>ojected</w:t>
      </w:r>
      <w:r w:rsidRPr="003974BC">
        <w:rPr>
          <w:color w:val="auto"/>
        </w:rPr>
        <w:t xml:space="preserve"> to be -1.0(0.3)1.9 and -0.9(0.4)1.6 events every 20 years for CS and ECN, respectively (corresponding to a change in median frequency from approximately 1 in 16 years to 1 in 12 years). These compare to -0.8(0.3)1.4 (a change in median frequency from 1 in 18 years to 1 in 15 years) for the Rangelands North and South zones. With respect to extreme drought duration, the historical record shows on average 24 and 26 months for the CS and ECN sub-clusters respectively, with an expected change of -7.2(0.9)8.8 months for CS, and -3.2(2.9)9.0 months for ECN. Based on this analysis it is concluded the exposure to extreme drought for Avoided-C is similar to Avoided-D, with an overall risk rating of Low/Medium. </w:t>
      </w:r>
    </w:p>
    <w:p w14:paraId="4EEFB63B" w14:textId="77777777" w:rsidR="008F77B3" w:rsidRDefault="008F77B3" w:rsidP="008F77B3">
      <w:pPr>
        <w:pStyle w:val="BodyText"/>
        <w:spacing w:before="0" w:after="0" w:line="240" w:lineRule="auto"/>
        <w:rPr>
          <w:i/>
          <w:iCs/>
        </w:rPr>
      </w:pPr>
      <w:r>
        <w:rPr>
          <w:i/>
          <w:iCs/>
        </w:rPr>
        <w:t>Heat stress</w:t>
      </w:r>
    </w:p>
    <w:p w14:paraId="56C5F0C8" w14:textId="3FFDF1EB" w:rsidR="008F77B3" w:rsidRDefault="008F77B3" w:rsidP="008F77B3">
      <w:pPr>
        <w:pStyle w:val="BodyText"/>
        <w:rPr>
          <w:color w:val="808080" w:themeColor="background1" w:themeShade="80"/>
        </w:rPr>
      </w:pPr>
      <w:r>
        <w:t xml:space="preserve">In addition to increasing mortality, </w:t>
      </w:r>
      <w:r w:rsidR="00340328">
        <w:t xml:space="preserve">and as noted in Section 3.3.1, </w:t>
      </w:r>
      <w:r>
        <w:t>heat stress may also decrease long-term carbon storage due to the diversion of resources away from growth to heat shock proteins (Bita and Gerats 2013; Teskey et al. 2015), particularly when the frequency of heat stress is relatively high compared to the time required for tissue recovery (Curtis et al. 2014).</w:t>
      </w:r>
    </w:p>
    <w:p w14:paraId="567FDB4A" w14:textId="77777777" w:rsidR="00340328" w:rsidRDefault="00340328" w:rsidP="006D5D2C">
      <w:pPr>
        <w:pStyle w:val="BodyText"/>
        <w:spacing w:before="0" w:after="0"/>
        <w:rPr>
          <w:i/>
          <w:iCs/>
          <w:color w:val="auto"/>
        </w:rPr>
      </w:pPr>
    </w:p>
    <w:p w14:paraId="1DE384B4" w14:textId="5B07D4E9" w:rsidR="008F1E10" w:rsidRPr="00B2218A" w:rsidRDefault="008F1E10" w:rsidP="006D5D2C">
      <w:pPr>
        <w:pStyle w:val="BodyText"/>
        <w:spacing w:before="0" w:after="0"/>
        <w:rPr>
          <w:i/>
          <w:iCs/>
          <w:color w:val="auto"/>
        </w:rPr>
      </w:pPr>
      <w:r w:rsidRPr="00B2218A">
        <w:rPr>
          <w:i/>
          <w:iCs/>
          <w:color w:val="auto"/>
        </w:rPr>
        <w:t>Flooding</w:t>
      </w:r>
    </w:p>
    <w:p w14:paraId="3C66AD74" w14:textId="77777777" w:rsidR="008F1E10" w:rsidRPr="00B2218A" w:rsidRDefault="008F1E10" w:rsidP="006D5D2C">
      <w:pPr>
        <w:pStyle w:val="BodyText"/>
        <w:spacing w:before="0" w:after="0"/>
        <w:rPr>
          <w:i/>
          <w:iCs/>
          <w:color w:val="auto"/>
        </w:rPr>
      </w:pPr>
      <w:r w:rsidRPr="00B2218A">
        <w:rPr>
          <w:i/>
          <w:iCs/>
          <w:color w:val="auto"/>
        </w:rPr>
        <w:t>Storm Damage</w:t>
      </w:r>
    </w:p>
    <w:p w14:paraId="4A192098" w14:textId="79ACFE0E" w:rsidR="008F1E10" w:rsidRPr="00B2218A" w:rsidRDefault="008F1E10" w:rsidP="008F1E10">
      <w:pPr>
        <w:pStyle w:val="BodyText"/>
        <w:rPr>
          <w:color w:val="auto"/>
        </w:rPr>
      </w:pPr>
      <w:r w:rsidRPr="00B2218A">
        <w:rPr>
          <w:color w:val="auto"/>
        </w:rPr>
        <w:t xml:space="preserve">Based on the uncertainty in rainfall projections the confidence in any changes in future storm activity are </w:t>
      </w:r>
      <w:r w:rsidRPr="00B2218A">
        <w:rPr>
          <w:i/>
          <w:iCs/>
          <w:color w:val="auto"/>
        </w:rPr>
        <w:t>low</w:t>
      </w:r>
      <w:r w:rsidRPr="00B2218A">
        <w:rPr>
          <w:color w:val="auto"/>
        </w:rPr>
        <w:t>. However</w:t>
      </w:r>
      <w:r w:rsidR="00647195" w:rsidRPr="00B2218A">
        <w:rPr>
          <w:color w:val="auto"/>
        </w:rPr>
        <w:t>,</w:t>
      </w:r>
      <w:r w:rsidRPr="00B2218A">
        <w:rPr>
          <w:color w:val="auto"/>
        </w:rPr>
        <w:t xml:space="preserve"> for all four sub-clusters across the Avoided-D and Avoided-C activities (Rangelands-South, Rangelands-North, SC, ECN) the projections are, with </w:t>
      </w:r>
      <w:r w:rsidR="000F5F5A">
        <w:rPr>
          <w:i/>
          <w:iCs/>
          <w:color w:val="auto"/>
        </w:rPr>
        <w:t>h</w:t>
      </w:r>
      <w:r w:rsidRPr="00B2218A">
        <w:rPr>
          <w:i/>
          <w:iCs/>
          <w:color w:val="auto"/>
        </w:rPr>
        <w:t>igh confidence</w:t>
      </w:r>
      <w:r w:rsidRPr="00B2218A">
        <w:rPr>
          <w:color w:val="auto"/>
        </w:rPr>
        <w:t>, of a future increase in the intensity of rainfall events. For the SC and ECN sub-clusters the number of days per year that exceed the 99.9</w:t>
      </w:r>
      <w:r w:rsidRPr="00B2218A">
        <w:rPr>
          <w:color w:val="auto"/>
          <w:vertAlign w:val="superscript"/>
        </w:rPr>
        <w:t>th</w:t>
      </w:r>
      <w:r w:rsidRPr="00B2218A">
        <w:rPr>
          <w:color w:val="auto"/>
        </w:rPr>
        <w:t xml:space="preserve"> rainfall percentile are projected to increase by -0.07(0.21)0.58 days for the CS sub-cluster, and -0.14(0.11)0.55 days for the ECN sub-cluster, which are similar to the projections for Rangelands</w:t>
      </w:r>
      <w:r w:rsidR="00854964">
        <w:rPr>
          <w:color w:val="auto"/>
        </w:rPr>
        <w:t xml:space="preserve"> </w:t>
      </w:r>
      <w:r w:rsidRPr="00B2218A">
        <w:rPr>
          <w:color w:val="auto"/>
        </w:rPr>
        <w:t>North and Rangelands</w:t>
      </w:r>
      <w:r w:rsidR="00854964">
        <w:rPr>
          <w:color w:val="auto"/>
        </w:rPr>
        <w:t xml:space="preserve"> </w:t>
      </w:r>
      <w:r w:rsidRPr="00B2218A">
        <w:rPr>
          <w:color w:val="auto"/>
        </w:rPr>
        <w:t xml:space="preserve">South reported in Section </w:t>
      </w:r>
      <w:r w:rsidRPr="00B2218A">
        <w:rPr>
          <w:color w:val="auto"/>
        </w:rPr>
        <w:fldChar w:fldCharType="begin"/>
      </w:r>
      <w:r w:rsidRPr="00B2218A">
        <w:rPr>
          <w:color w:val="auto"/>
        </w:rPr>
        <w:instrText xml:space="preserve"> REF _Ref47640019 \r \h </w:instrText>
      </w:r>
      <w:r w:rsidRPr="00B2218A">
        <w:rPr>
          <w:color w:val="auto"/>
        </w:rPr>
      </w:r>
      <w:r w:rsidRPr="00B2218A">
        <w:rPr>
          <w:color w:val="auto"/>
        </w:rPr>
        <w:fldChar w:fldCharType="separate"/>
      </w:r>
      <w:r w:rsidR="00235F13">
        <w:rPr>
          <w:color w:val="auto"/>
        </w:rPr>
        <w:t>3.3.1</w:t>
      </w:r>
      <w:r w:rsidRPr="00B2218A">
        <w:rPr>
          <w:color w:val="auto"/>
        </w:rPr>
        <w:fldChar w:fldCharType="end"/>
      </w:r>
      <w:r w:rsidRPr="00B2218A">
        <w:rPr>
          <w:color w:val="auto"/>
        </w:rPr>
        <w:t xml:space="preserve">. Predicted changes in windspeed across the sub-clusters are small, at less than </w:t>
      </w:r>
      <w:r w:rsidRPr="00B2218A">
        <w:rPr>
          <w:rFonts w:cs="Calibri"/>
          <w:color w:val="auto"/>
        </w:rPr>
        <w:t>±</w:t>
      </w:r>
      <w:r w:rsidRPr="00B2218A">
        <w:rPr>
          <w:color w:val="auto"/>
        </w:rPr>
        <w:t>2%.</w:t>
      </w:r>
    </w:p>
    <w:p w14:paraId="41043ECF" w14:textId="6FB4AADA" w:rsidR="008F1E10" w:rsidRPr="00B2218A" w:rsidRDefault="008F1E10" w:rsidP="008F1E10">
      <w:pPr>
        <w:pStyle w:val="BodyText"/>
        <w:rPr>
          <w:color w:val="auto"/>
        </w:rPr>
      </w:pPr>
      <w:r w:rsidRPr="00B2218A">
        <w:rPr>
          <w:color w:val="auto"/>
        </w:rPr>
        <w:t xml:space="preserve">Following the discussion of the likelihoods and consequences of storm damage and flooding in woodlands in Section </w:t>
      </w:r>
      <w:r w:rsidRPr="00B2218A">
        <w:rPr>
          <w:color w:val="auto"/>
        </w:rPr>
        <w:fldChar w:fldCharType="begin"/>
      </w:r>
      <w:r w:rsidRPr="00B2218A">
        <w:rPr>
          <w:color w:val="auto"/>
        </w:rPr>
        <w:instrText xml:space="preserve"> REF _Ref47640019 \r \h </w:instrText>
      </w:r>
      <w:r w:rsidRPr="00B2218A">
        <w:rPr>
          <w:color w:val="auto"/>
        </w:rPr>
      </w:r>
      <w:r w:rsidRPr="00B2218A">
        <w:rPr>
          <w:color w:val="auto"/>
        </w:rPr>
        <w:fldChar w:fldCharType="separate"/>
      </w:r>
      <w:r w:rsidR="00235F13">
        <w:rPr>
          <w:color w:val="auto"/>
        </w:rPr>
        <w:t>3.3.1</w:t>
      </w:r>
      <w:r w:rsidRPr="00B2218A">
        <w:rPr>
          <w:color w:val="auto"/>
        </w:rPr>
        <w:fldChar w:fldCharType="end"/>
      </w:r>
      <w:r w:rsidRPr="00B2218A">
        <w:rPr>
          <w:color w:val="auto"/>
        </w:rPr>
        <w:t xml:space="preserve">, the overall risk rating for Avoided-D and Avoided-C activities are deemed similar to those for HIR and NFMR. That is, because of the localised nature of storm damage, there are unlikely to be portfolio-wide implications on risks to abatement </w:t>
      </w:r>
      <w:r w:rsidR="006B3316">
        <w:t>maintenance</w:t>
      </w:r>
      <w:r w:rsidRPr="00B2218A">
        <w:rPr>
          <w:color w:val="auto"/>
        </w:rPr>
        <w:t xml:space="preserve">. Through the high confidence in the prediction of the increased intensity of rainfall events the likelihood of floods occurring and possibly increasing into the future is ‘Likely’, however the </w:t>
      </w:r>
      <w:r w:rsidRPr="00B2218A">
        <w:rPr>
          <w:color w:val="auto"/>
        </w:rPr>
        <w:lastRenderedPageBreak/>
        <w:t xml:space="preserve">consequences are rated as Insignificant, leading to an overall risk rating for both flood and storm disturbance as ‘Low’. The consequence for storm-related damage is rated as minor, as for an individual project the potential for some storm-related mortality is possible, though the overall risk rating also remains Low. </w:t>
      </w:r>
    </w:p>
    <w:p w14:paraId="5AEA7200" w14:textId="77777777" w:rsidR="008F1E10" w:rsidRPr="00F16A5E" w:rsidRDefault="008F1E10" w:rsidP="008F1E10">
      <w:pPr>
        <w:pStyle w:val="BodyText"/>
        <w:rPr>
          <w:i/>
          <w:iCs/>
          <w:color w:val="808080" w:themeColor="background1" w:themeShade="80"/>
        </w:rPr>
      </w:pPr>
    </w:p>
    <w:p w14:paraId="6F244BEE" w14:textId="77777777" w:rsidR="008F1E10" w:rsidRPr="00B2218A" w:rsidRDefault="008F1E10" w:rsidP="008F1E10">
      <w:pPr>
        <w:pStyle w:val="BodyText"/>
        <w:rPr>
          <w:i/>
          <w:iCs/>
          <w:color w:val="auto"/>
        </w:rPr>
      </w:pPr>
      <w:r w:rsidRPr="00B2218A">
        <w:rPr>
          <w:i/>
          <w:iCs/>
          <w:color w:val="auto"/>
        </w:rPr>
        <w:t>Other carbon pools</w:t>
      </w:r>
    </w:p>
    <w:p w14:paraId="5E81D2CF" w14:textId="0BE92DF7" w:rsidR="008F1E10" w:rsidRPr="00B2218A" w:rsidRDefault="008F1E10" w:rsidP="008F1E10">
      <w:pPr>
        <w:pStyle w:val="BodyText"/>
        <w:rPr>
          <w:color w:val="auto"/>
        </w:rPr>
      </w:pPr>
      <w:r w:rsidRPr="00A75AC4">
        <w:rPr>
          <w:color w:val="auto"/>
        </w:rPr>
        <w:t>So</w:t>
      </w:r>
      <w:r w:rsidR="00FB2C46" w:rsidRPr="00A75AC4">
        <w:rPr>
          <w:color w:val="auto"/>
        </w:rPr>
        <w:t>i</w:t>
      </w:r>
      <w:r w:rsidRPr="00A75AC4">
        <w:rPr>
          <w:color w:val="auto"/>
        </w:rPr>
        <w:t>l</w:t>
      </w:r>
      <w:r w:rsidRPr="00B2218A">
        <w:rPr>
          <w:color w:val="auto"/>
        </w:rPr>
        <w:t xml:space="preserve"> organic carbon is excluding from the accounting rules for the Avoided-D and Avoided-C methodologies. Given reduced mechanical disturbance to the soil profile due to the cessation of clearing will reduce SOC losses and likely restore lost carbon over time, the exclusion of soil carbon likely represents a conservative assumption. Risks to soil carbon in the arid zone largely arise from management decisions, particularly grazing pressure, which lies outside of the scope of this review. Climate-related risks will be mostly associated with changes to average conditions such as temperature, and long-term trends in soil moisture, which will both affect soil microbial function and organic matter decomposition. The consequences for soil carbon across arid Australia, which is characterised by infertile soils and low carbon stocks, remains </w:t>
      </w:r>
      <w:r w:rsidR="00B42735">
        <w:rPr>
          <w:color w:val="auto"/>
        </w:rPr>
        <w:t xml:space="preserve">largely </w:t>
      </w:r>
      <w:r w:rsidRPr="00B2218A">
        <w:rPr>
          <w:color w:val="auto"/>
        </w:rPr>
        <w:t>unknown.</w:t>
      </w:r>
    </w:p>
    <w:p w14:paraId="35813806" w14:textId="77777777" w:rsidR="008F1E10" w:rsidRPr="0069658F" w:rsidRDefault="008F1E10" w:rsidP="008F1E10">
      <w:pPr>
        <w:pStyle w:val="Heading4"/>
        <w:keepNext w:val="0"/>
        <w:keepLines w:val="0"/>
        <w:widowControl w:val="0"/>
        <w:rPr>
          <w:color w:val="008CAC" w:themeColor="accent2" w:themeTint="BF"/>
        </w:rPr>
      </w:pPr>
      <w:r w:rsidRPr="0069658F">
        <w:rPr>
          <w:color w:val="008CAC" w:themeColor="accent2" w:themeTint="BF"/>
        </w:rPr>
        <w:t>Summary</w:t>
      </w:r>
    </w:p>
    <w:p w14:paraId="394F1C71" w14:textId="190A30A9" w:rsidR="008F1E10" w:rsidRPr="00D232E2" w:rsidRDefault="008F1E10" w:rsidP="008F1E10">
      <w:pPr>
        <w:pStyle w:val="BodyText"/>
        <w:rPr>
          <w:color w:val="auto"/>
        </w:rPr>
      </w:pPr>
      <w:r w:rsidRPr="00D232E2">
        <w:rPr>
          <w:color w:val="auto"/>
        </w:rPr>
        <w:t xml:space="preserve">Because </w:t>
      </w:r>
      <w:r>
        <w:rPr>
          <w:color w:val="auto"/>
        </w:rPr>
        <w:t xml:space="preserve">both </w:t>
      </w:r>
      <w:r w:rsidRPr="00D232E2">
        <w:rPr>
          <w:color w:val="auto"/>
        </w:rPr>
        <w:t xml:space="preserve">the Avoided-D and Avoided-C activities involve the protection of existing forests, the question of risks </w:t>
      </w:r>
      <w:r w:rsidR="009A3FF7">
        <w:rPr>
          <w:color w:val="auto"/>
        </w:rPr>
        <w:t>accumulation</w:t>
      </w:r>
      <w:r w:rsidRPr="00D232E2">
        <w:rPr>
          <w:color w:val="auto"/>
        </w:rPr>
        <w:t xml:space="preserve"> are </w:t>
      </w:r>
      <w:r w:rsidR="00B42735">
        <w:rPr>
          <w:color w:val="auto"/>
        </w:rPr>
        <w:t>less</w:t>
      </w:r>
      <w:r>
        <w:rPr>
          <w:color w:val="auto"/>
        </w:rPr>
        <w:t xml:space="preserve"> relevant</w:t>
      </w:r>
      <w:r w:rsidRPr="00D232E2">
        <w:rPr>
          <w:color w:val="auto"/>
        </w:rPr>
        <w:t xml:space="preserve">. The main risks are associated with </w:t>
      </w:r>
      <w:r w:rsidR="006B3316">
        <w:rPr>
          <w:color w:val="auto"/>
        </w:rPr>
        <w:t xml:space="preserve">the </w:t>
      </w:r>
      <w:r w:rsidR="006B3316">
        <w:t xml:space="preserve">maintenance of </w:t>
      </w:r>
      <w:r w:rsidRPr="00D232E2">
        <w:rPr>
          <w:color w:val="auto"/>
        </w:rPr>
        <w:t xml:space="preserve">abatement. As </w:t>
      </w:r>
      <w:r>
        <w:rPr>
          <w:color w:val="auto"/>
        </w:rPr>
        <w:t>per</w:t>
      </w:r>
      <w:r w:rsidRPr="00D232E2">
        <w:rPr>
          <w:color w:val="auto"/>
        </w:rPr>
        <w:t xml:space="preserve"> the HIR and NFMR analyses the main risk factor identified was from mortality associated with extreme drought, although as noted the ultimate consequences for carbon abatement are uncertain as they are a function of the combined rates of subsequent debris decay and other losses (such as from termites), and rates of post-drought recovery. The overall risk rating was judged to be Low/Medium (with </w:t>
      </w:r>
      <w:r w:rsidR="000F5F5A">
        <w:rPr>
          <w:i/>
          <w:iCs/>
          <w:color w:val="auto"/>
        </w:rPr>
        <w:t>m</w:t>
      </w:r>
      <w:r w:rsidRPr="00D232E2">
        <w:rPr>
          <w:i/>
          <w:iCs/>
          <w:color w:val="auto"/>
        </w:rPr>
        <w:t xml:space="preserve">edium </w:t>
      </w:r>
      <w:r w:rsidRPr="00D232E2">
        <w:rPr>
          <w:color w:val="auto"/>
        </w:rPr>
        <w:t>confidence). Because of the potentially broad spatial scale of drought events, and given the concentration of current projects geographically, there are implications at both the whole portfolio level, as well as the individual project level.</w:t>
      </w:r>
    </w:p>
    <w:p w14:paraId="2B02E1DC" w14:textId="02ED9487" w:rsidR="008F1E10" w:rsidRDefault="008F1E10" w:rsidP="008F1E10">
      <w:pPr>
        <w:pStyle w:val="BodyText"/>
        <w:rPr>
          <w:color w:val="auto"/>
        </w:rPr>
      </w:pPr>
      <w:r>
        <w:rPr>
          <w:color w:val="auto"/>
        </w:rPr>
        <w:t>Avoided-D</w:t>
      </w:r>
      <w:r w:rsidRPr="00D232E2">
        <w:rPr>
          <w:color w:val="auto"/>
        </w:rPr>
        <w:t xml:space="preserve"> projects have been established in areas of low historical fire, driven by naturally low contiguity of ground fuels. The overall conclusion is that risks from changed fire regimes for </w:t>
      </w:r>
      <w:r>
        <w:rPr>
          <w:color w:val="auto"/>
        </w:rPr>
        <w:t>Avoided-D is</w:t>
      </w:r>
      <w:r w:rsidRPr="00D232E2">
        <w:rPr>
          <w:color w:val="auto"/>
        </w:rPr>
        <w:t xml:space="preserve"> low, and localised at the project-scale. </w:t>
      </w:r>
      <w:r>
        <w:rPr>
          <w:color w:val="auto"/>
        </w:rPr>
        <w:t>For Avoided-C, the sub-regions most suited to this activity (Central Slopes and East Coast North) have relatively higher productivity, with greater potential for contiguity in ground fuels loads, and greater historical fire activity. However</w:t>
      </w:r>
      <w:r w:rsidR="00953128">
        <w:rPr>
          <w:color w:val="auto"/>
        </w:rPr>
        <w:t>,</w:t>
      </w:r>
      <w:r>
        <w:rPr>
          <w:color w:val="auto"/>
        </w:rPr>
        <w:t xml:space="preserve"> given the ability of the major woodland types to recover strongly post-fire, the overall risk rating was deemed low. The major caveat to this is potential future impact of </w:t>
      </w:r>
      <w:r w:rsidRPr="00D232E2">
        <w:rPr>
          <w:color w:val="auto"/>
        </w:rPr>
        <w:t xml:space="preserve">the invasive </w:t>
      </w:r>
      <w:r w:rsidR="00D71D18">
        <w:rPr>
          <w:color w:val="auto"/>
        </w:rPr>
        <w:t>buffel</w:t>
      </w:r>
      <w:r w:rsidRPr="00D232E2">
        <w:rPr>
          <w:color w:val="auto"/>
        </w:rPr>
        <w:t xml:space="preserve"> </w:t>
      </w:r>
      <w:r w:rsidR="00D71D18">
        <w:rPr>
          <w:color w:val="auto"/>
        </w:rPr>
        <w:t>grass</w:t>
      </w:r>
      <w:r w:rsidRPr="00D232E2">
        <w:rPr>
          <w:color w:val="auto"/>
        </w:rPr>
        <w:t xml:space="preserve"> </w:t>
      </w:r>
      <w:r>
        <w:rPr>
          <w:color w:val="auto"/>
        </w:rPr>
        <w:t xml:space="preserve">on fire regimes, particularly in the Central Slopes and East Coast North sub-clusters where it is more commonly found. Because the long-term impacts of </w:t>
      </w:r>
      <w:r w:rsidR="00D71D18">
        <w:rPr>
          <w:color w:val="auto"/>
        </w:rPr>
        <w:t>buffel</w:t>
      </w:r>
      <w:r>
        <w:rPr>
          <w:color w:val="auto"/>
        </w:rPr>
        <w:t xml:space="preserve"> grass on tree carbon sequestration are not well understood, m</w:t>
      </w:r>
      <w:r w:rsidRPr="00D232E2">
        <w:rPr>
          <w:color w:val="auto"/>
        </w:rPr>
        <w:t xml:space="preserve">anagement of exotic weeds like </w:t>
      </w:r>
      <w:r w:rsidR="00D71D18">
        <w:rPr>
          <w:color w:val="auto"/>
        </w:rPr>
        <w:t>buffel</w:t>
      </w:r>
      <w:r w:rsidRPr="00D232E2">
        <w:rPr>
          <w:color w:val="auto"/>
        </w:rPr>
        <w:t xml:space="preserve"> </w:t>
      </w:r>
      <w:r w:rsidR="00D71D18">
        <w:rPr>
          <w:color w:val="auto"/>
        </w:rPr>
        <w:t>grass</w:t>
      </w:r>
      <w:r w:rsidRPr="00D232E2">
        <w:rPr>
          <w:color w:val="auto"/>
        </w:rPr>
        <w:t xml:space="preserve"> will be required in order to safeguard sequestration in areas where this invasive is establishing, or is established</w:t>
      </w:r>
      <w:r>
        <w:rPr>
          <w:color w:val="auto"/>
        </w:rPr>
        <w:t>, particularly given projections for a southward shift in its distribution under climate change</w:t>
      </w:r>
      <w:r w:rsidRPr="00D232E2">
        <w:rPr>
          <w:color w:val="auto"/>
        </w:rPr>
        <w:t>.</w:t>
      </w:r>
    </w:p>
    <w:p w14:paraId="289F815A" w14:textId="4EAF76C9" w:rsidR="008F1E10" w:rsidRPr="00D232E2" w:rsidRDefault="008F1E10" w:rsidP="008F1E10">
      <w:pPr>
        <w:pStyle w:val="BodyText"/>
        <w:rPr>
          <w:color w:val="auto"/>
        </w:rPr>
      </w:pPr>
      <w:r>
        <w:rPr>
          <w:color w:val="auto"/>
        </w:rPr>
        <w:t>The potential for wide-spread tree mortality from increased levels of pests and diseases is theoretically possibility, but the likelihoods of such an outcome are unknown. Risks associated with storm damage and flooding were deemed to be low.</w:t>
      </w:r>
    </w:p>
    <w:p w14:paraId="23435DFD" w14:textId="77777777" w:rsidR="00874FF4" w:rsidRDefault="00874FF4">
      <w:pPr>
        <w:rPr>
          <w:rFonts w:ascii="Calibri" w:eastAsia="Calibri" w:hAnsi="Calibri"/>
          <w:b/>
          <w:bCs/>
          <w:color w:val="007E9A" w:themeColor="accent1" w:themeShade="BF"/>
          <w:sz w:val="20"/>
          <w:szCs w:val="18"/>
        </w:rPr>
      </w:pPr>
      <w:bookmarkStart w:id="77" w:name="_Ref47805740"/>
      <w:bookmarkStart w:id="78" w:name="_Ref47805730"/>
      <w:r>
        <w:br w:type="page"/>
      </w:r>
    </w:p>
    <w:p w14:paraId="12252431" w14:textId="62CF564F" w:rsidR="008F1E10" w:rsidRPr="00351B86" w:rsidRDefault="008F1E10" w:rsidP="008F1E10">
      <w:pPr>
        <w:pStyle w:val="Caption"/>
        <w:rPr>
          <w:b w:val="0"/>
          <w:szCs w:val="20"/>
        </w:rPr>
      </w:pPr>
      <w:bookmarkStart w:id="79" w:name="_Ref49777031"/>
      <w:bookmarkStart w:id="80" w:name="_Toc52971067"/>
      <w:r>
        <w:lastRenderedPageBreak/>
        <w:t xml:space="preserve">Table </w:t>
      </w:r>
      <w:r>
        <w:fldChar w:fldCharType="begin"/>
      </w:r>
      <w:r>
        <w:instrText>SEQ Table \* ARABIC</w:instrText>
      </w:r>
      <w:r>
        <w:fldChar w:fldCharType="separate"/>
      </w:r>
      <w:r w:rsidR="00235F13">
        <w:rPr>
          <w:noProof/>
        </w:rPr>
        <w:t>12</w:t>
      </w:r>
      <w:r>
        <w:fldChar w:fldCharType="end"/>
      </w:r>
      <w:bookmarkEnd w:id="77"/>
      <w:bookmarkEnd w:id="79"/>
      <w:r>
        <w:t xml:space="preserve">. </w:t>
      </w:r>
      <w:r w:rsidRPr="00FC0E0D">
        <w:rPr>
          <w:b w:val="0"/>
          <w:bCs w:val="0"/>
        </w:rPr>
        <w:t xml:space="preserve">Risk assessment for </w:t>
      </w:r>
      <w:r>
        <w:rPr>
          <w:b w:val="0"/>
          <w:bCs w:val="0"/>
        </w:rPr>
        <w:t>the Protect Existing Forest activities</w:t>
      </w:r>
      <w:r w:rsidRPr="00351B86">
        <w:rPr>
          <w:b w:val="0"/>
          <w:szCs w:val="20"/>
        </w:rPr>
        <w:t>.</w:t>
      </w:r>
      <w:bookmarkEnd w:id="78"/>
      <w:bookmarkEnd w:id="80"/>
      <w:r>
        <w:rPr>
          <w:b w:val="0"/>
          <w:szCs w:val="20"/>
        </w:rPr>
        <w:t xml:space="preserve"> </w:t>
      </w:r>
    </w:p>
    <w:tbl>
      <w:tblPr>
        <w:tblStyle w:val="TableCSIRO"/>
        <w:tblW w:w="9645" w:type="dxa"/>
        <w:tblInd w:w="-15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7"/>
        <w:gridCol w:w="3963"/>
        <w:gridCol w:w="1139"/>
        <w:gridCol w:w="184"/>
        <w:gridCol w:w="1091"/>
        <w:gridCol w:w="1134"/>
        <w:gridCol w:w="1122"/>
        <w:gridCol w:w="329"/>
        <w:gridCol w:w="329"/>
        <w:gridCol w:w="347"/>
      </w:tblGrid>
      <w:tr w:rsidR="00F70BBF" w:rsidRPr="004F363E" w14:paraId="5EE933BE" w14:textId="77777777" w:rsidTr="004354E2">
        <w:trPr>
          <w:cnfStyle w:val="100000000000" w:firstRow="1" w:lastRow="0" w:firstColumn="0" w:lastColumn="0" w:oddVBand="0" w:evenVBand="0" w:oddHBand="0" w:evenHBand="0" w:firstRowFirstColumn="0" w:firstRowLastColumn="0" w:lastRowFirstColumn="0" w:lastRowLastColumn="0"/>
          <w:cantSplit/>
          <w:trHeight w:val="1224"/>
        </w:trPr>
        <w:tc>
          <w:tcPr>
            <w:cnfStyle w:val="001000000000" w:firstRow="0" w:lastRow="0" w:firstColumn="1" w:lastColumn="0" w:oddVBand="0" w:evenVBand="0" w:oddHBand="0" w:evenHBand="0" w:firstRowFirstColumn="0" w:firstRowLastColumn="0" w:lastRowFirstColumn="0" w:lastRowLastColumn="0"/>
            <w:tcW w:w="3970" w:type="dxa"/>
            <w:gridSpan w:val="2"/>
            <w:shd w:val="clear" w:color="auto" w:fill="FFFFFF" w:themeFill="background1"/>
            <w:tcMar>
              <w:top w:w="28" w:type="dxa"/>
              <w:left w:w="28" w:type="dxa"/>
              <w:bottom w:w="28" w:type="dxa"/>
              <w:right w:w="28" w:type="dxa"/>
            </w:tcMar>
            <w:vAlign w:val="center"/>
          </w:tcPr>
          <w:p w14:paraId="590C100D" w14:textId="77777777" w:rsidR="00F70BBF" w:rsidRPr="00867ED7" w:rsidRDefault="00F70BBF" w:rsidP="004354E2">
            <w:pPr>
              <w:jc w:val="center"/>
              <w:rPr>
                <w:rFonts w:asciiTheme="minorHAnsi" w:hAnsiTheme="minorHAnsi" w:cstheme="minorHAnsi"/>
                <w:color w:val="000000" w:themeColor="text1"/>
                <w:sz w:val="18"/>
                <w:szCs w:val="18"/>
              </w:rPr>
            </w:pPr>
          </w:p>
        </w:tc>
        <w:tc>
          <w:tcPr>
            <w:tcW w:w="1139" w:type="dxa"/>
            <w:shd w:val="clear" w:color="auto" w:fill="FFFFFF" w:themeFill="background1"/>
          </w:tcPr>
          <w:p w14:paraId="3ED09718" w14:textId="77777777" w:rsidR="00F70BBF" w:rsidRDefault="00F70BBF"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84" w:type="dxa"/>
            <w:shd w:val="clear" w:color="auto" w:fill="FFFFFF" w:themeFill="background1"/>
            <w:tcMar>
              <w:top w:w="28" w:type="dxa"/>
              <w:left w:w="28" w:type="dxa"/>
              <w:bottom w:w="28" w:type="dxa"/>
              <w:right w:w="28" w:type="dxa"/>
            </w:tcMar>
            <w:vAlign w:val="center"/>
          </w:tcPr>
          <w:p w14:paraId="63413B6C" w14:textId="77777777" w:rsidR="00F70BBF" w:rsidRDefault="00F70BBF"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shd w:val="clear" w:color="auto" w:fill="FFFFFF" w:themeFill="background1"/>
            <w:vAlign w:val="center"/>
          </w:tcPr>
          <w:p w14:paraId="589197EB" w14:textId="77777777" w:rsidR="00F70BBF" w:rsidRDefault="00F70BBF"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34" w:type="dxa"/>
            <w:shd w:val="clear" w:color="auto" w:fill="FFFFFF" w:themeFill="background1"/>
            <w:tcMar>
              <w:top w:w="28" w:type="dxa"/>
              <w:left w:w="28" w:type="dxa"/>
              <w:bottom w:w="28" w:type="dxa"/>
              <w:right w:w="28" w:type="dxa"/>
            </w:tcMar>
            <w:vAlign w:val="center"/>
          </w:tcPr>
          <w:p w14:paraId="647DEB9C" w14:textId="77777777" w:rsidR="00F70BBF" w:rsidRDefault="00F70BBF"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22" w:type="dxa"/>
            <w:shd w:val="clear" w:color="auto" w:fill="FFFFFF" w:themeFill="background1"/>
            <w:vAlign w:val="center"/>
          </w:tcPr>
          <w:p w14:paraId="4DC4A653" w14:textId="77777777" w:rsidR="00F70BBF" w:rsidRDefault="00F70BBF"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9" w:type="dxa"/>
            <w:vMerge w:val="restart"/>
            <w:shd w:val="clear" w:color="auto" w:fill="FFFFFF" w:themeFill="background1"/>
            <w:textDirection w:val="btLr"/>
          </w:tcPr>
          <w:p w14:paraId="0C2D9227" w14:textId="77777777" w:rsidR="00F70BBF" w:rsidRDefault="00F70BBF"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Portfolio-level risks?</w:t>
            </w:r>
          </w:p>
        </w:tc>
        <w:tc>
          <w:tcPr>
            <w:tcW w:w="329" w:type="dxa"/>
            <w:vMerge w:val="restart"/>
            <w:shd w:val="clear" w:color="auto" w:fill="FFFFFF" w:themeFill="background1"/>
            <w:textDirection w:val="btLr"/>
          </w:tcPr>
          <w:p w14:paraId="4B4C8708" w14:textId="77777777" w:rsidR="00F70BBF" w:rsidRDefault="00F70BBF"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accumulation</w:t>
            </w:r>
          </w:p>
        </w:tc>
        <w:tc>
          <w:tcPr>
            <w:tcW w:w="347" w:type="dxa"/>
            <w:vMerge w:val="restart"/>
            <w:shd w:val="clear" w:color="auto" w:fill="FFFFFF" w:themeFill="background1"/>
            <w:textDirection w:val="btLr"/>
          </w:tcPr>
          <w:p w14:paraId="51E525D5" w14:textId="77777777" w:rsidR="00F70BBF" w:rsidRDefault="00F70BBF"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maintenance</w:t>
            </w:r>
          </w:p>
        </w:tc>
      </w:tr>
      <w:tr w:rsidR="00F70BBF" w:rsidRPr="002A6E7B" w14:paraId="54634D9B" w14:textId="77777777" w:rsidTr="004354E2">
        <w:trPr>
          <w:gridBefore w:val="1"/>
          <w:cnfStyle w:val="000000100000" w:firstRow="0" w:lastRow="0" w:firstColumn="0" w:lastColumn="0" w:oddVBand="0" w:evenVBand="0" w:oddHBand="1" w:evenHBand="0" w:firstRowFirstColumn="0" w:firstRowLastColumn="0" w:lastRowFirstColumn="0" w:lastRowLastColumn="0"/>
          <w:wBefore w:w="7" w:type="dxa"/>
          <w:trHeight w:val="72"/>
        </w:trPr>
        <w:tc>
          <w:tcPr>
            <w:cnfStyle w:val="001000000000" w:firstRow="0" w:lastRow="0" w:firstColumn="1" w:lastColumn="0" w:oddVBand="0" w:evenVBand="0" w:oddHBand="0" w:evenHBand="0" w:firstRowFirstColumn="0" w:firstRowLastColumn="0" w:lastRowFirstColumn="0" w:lastRowLastColumn="0"/>
            <w:tcW w:w="3963" w:type="dxa"/>
            <w:tcBorders>
              <w:top w:val="nil"/>
              <w:bottom w:val="nil"/>
            </w:tcBorders>
            <w:shd w:val="clear" w:color="auto" w:fill="FFFFFF" w:themeFill="background1"/>
            <w:tcMar>
              <w:top w:w="28" w:type="dxa"/>
              <w:left w:w="28" w:type="dxa"/>
              <w:bottom w:w="28" w:type="dxa"/>
              <w:right w:w="28" w:type="dxa"/>
            </w:tcMar>
            <w:vAlign w:val="bottom"/>
          </w:tcPr>
          <w:p w14:paraId="3372F849" w14:textId="224AFF61" w:rsidR="00F70BBF" w:rsidRPr="002A6E7B" w:rsidRDefault="000C1C3C" w:rsidP="004354E2">
            <w:pPr>
              <w:rPr>
                <w:rFonts w:asciiTheme="minorHAnsi" w:hAnsiTheme="minorHAnsi" w:cstheme="minorHAnsi"/>
                <w:color w:val="000000" w:themeColor="text1"/>
                <w:sz w:val="18"/>
                <w:szCs w:val="18"/>
              </w:rPr>
            </w:pPr>
            <w:r w:rsidRPr="000C1C3C">
              <w:rPr>
                <w:rFonts w:asciiTheme="minorHAnsi" w:hAnsiTheme="minorHAnsi" w:cstheme="minorHAnsi"/>
                <w:color w:val="000000" w:themeColor="text1"/>
                <w:sz w:val="18"/>
                <w:szCs w:val="18"/>
              </w:rPr>
              <w:t>Direct impacts via primary climate change variables</w:t>
            </w:r>
          </w:p>
        </w:tc>
        <w:tc>
          <w:tcPr>
            <w:tcW w:w="1139" w:type="dxa"/>
            <w:tcBorders>
              <w:top w:val="nil"/>
              <w:bottom w:val="nil"/>
            </w:tcBorders>
            <w:shd w:val="clear" w:color="auto" w:fill="FFFFFF" w:themeFill="background1"/>
            <w:vAlign w:val="bottom"/>
          </w:tcPr>
          <w:p w14:paraId="5CABD073"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Science c</w:t>
            </w:r>
            <w:r w:rsidRPr="002A6E7B">
              <w:rPr>
                <w:rFonts w:asciiTheme="minorHAnsi" w:hAnsiTheme="minorHAnsi" w:cstheme="minorHAnsi"/>
                <w:b/>
                <w:bCs/>
                <w:color w:val="000000" w:themeColor="text1"/>
                <w:sz w:val="18"/>
                <w:szCs w:val="18"/>
              </w:rPr>
              <w:t>onfidence</w:t>
            </w:r>
            <w:r>
              <w:rPr>
                <w:rFonts w:asciiTheme="minorHAnsi" w:hAnsiTheme="minorHAnsi" w:cstheme="minorHAnsi"/>
                <w:b/>
                <w:bCs/>
                <w:color w:val="000000" w:themeColor="text1"/>
                <w:sz w:val="18"/>
                <w:szCs w:val="18"/>
              </w:rPr>
              <w:t xml:space="preserve"> in projection</w:t>
            </w:r>
          </w:p>
        </w:tc>
        <w:tc>
          <w:tcPr>
            <w:tcW w:w="184" w:type="dxa"/>
            <w:tcBorders>
              <w:top w:val="nil"/>
              <w:bottom w:val="nil"/>
            </w:tcBorders>
            <w:shd w:val="clear" w:color="auto" w:fill="FFFFFF" w:themeFill="background1"/>
            <w:tcMar>
              <w:top w:w="28" w:type="dxa"/>
              <w:left w:w="28" w:type="dxa"/>
              <w:bottom w:w="28" w:type="dxa"/>
              <w:right w:w="28" w:type="dxa"/>
            </w:tcMar>
            <w:vAlign w:val="bottom"/>
          </w:tcPr>
          <w:p w14:paraId="4668B401"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91" w:type="dxa"/>
            <w:tcBorders>
              <w:top w:val="nil"/>
              <w:bottom w:val="nil"/>
            </w:tcBorders>
            <w:shd w:val="clear" w:color="auto" w:fill="FFFFFF" w:themeFill="background1"/>
            <w:vAlign w:val="bottom"/>
          </w:tcPr>
          <w:p w14:paraId="39CE573E"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likelihood</w:t>
            </w:r>
          </w:p>
        </w:tc>
        <w:tc>
          <w:tcPr>
            <w:tcW w:w="1134" w:type="dxa"/>
            <w:tcBorders>
              <w:top w:val="nil"/>
              <w:bottom w:val="nil"/>
            </w:tcBorders>
            <w:shd w:val="clear" w:color="auto" w:fill="FFFFFF" w:themeFill="background1"/>
            <w:tcMar>
              <w:top w:w="28" w:type="dxa"/>
              <w:left w:w="28" w:type="dxa"/>
              <w:bottom w:w="28" w:type="dxa"/>
              <w:right w:w="28" w:type="dxa"/>
            </w:tcMar>
            <w:vAlign w:val="bottom"/>
          </w:tcPr>
          <w:p w14:paraId="3BF5A6F0"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Consequence</w:t>
            </w:r>
          </w:p>
        </w:tc>
        <w:tc>
          <w:tcPr>
            <w:tcW w:w="1122" w:type="dxa"/>
            <w:tcBorders>
              <w:top w:val="nil"/>
              <w:bottom w:val="nil"/>
            </w:tcBorders>
            <w:shd w:val="clear" w:color="auto" w:fill="FFFFFF" w:themeFill="background1"/>
            <w:vAlign w:val="bottom"/>
          </w:tcPr>
          <w:p w14:paraId="5A120E9E"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Risk rating</w:t>
            </w:r>
          </w:p>
        </w:tc>
        <w:tc>
          <w:tcPr>
            <w:tcW w:w="329" w:type="dxa"/>
            <w:vMerge/>
            <w:tcBorders>
              <w:bottom w:val="nil"/>
            </w:tcBorders>
            <w:shd w:val="clear" w:color="auto" w:fill="FFFFFF" w:themeFill="background1"/>
            <w:vAlign w:val="bottom"/>
          </w:tcPr>
          <w:p w14:paraId="01C79D8B"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9" w:type="dxa"/>
            <w:vMerge/>
            <w:tcBorders>
              <w:bottom w:val="nil"/>
            </w:tcBorders>
            <w:shd w:val="clear" w:color="auto" w:fill="FFFFFF" w:themeFill="background1"/>
            <w:vAlign w:val="bottom"/>
          </w:tcPr>
          <w:p w14:paraId="61F37E50"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vMerge/>
            <w:tcBorders>
              <w:bottom w:val="nil"/>
            </w:tcBorders>
            <w:shd w:val="clear" w:color="auto" w:fill="FFFFFF" w:themeFill="background1"/>
            <w:vAlign w:val="bottom"/>
          </w:tcPr>
          <w:p w14:paraId="5541B255"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0AEE22FF" w14:textId="77777777" w:rsidTr="004354E2">
        <w:trPr>
          <w:gridBefore w:val="1"/>
          <w:wBefore w:w="7" w:type="dxa"/>
          <w:trHeight w:val="391"/>
        </w:trPr>
        <w:tc>
          <w:tcPr>
            <w:cnfStyle w:val="001000000000" w:firstRow="0" w:lastRow="0" w:firstColumn="1" w:lastColumn="0" w:oddVBand="0" w:evenVBand="0" w:oddHBand="0" w:evenHBand="0" w:firstRowFirstColumn="0" w:firstRowLastColumn="0" w:lastRowFirstColumn="0" w:lastRowLastColumn="0"/>
            <w:tcW w:w="3963"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0A50E47" w14:textId="5F6E13F0" w:rsidR="00F70BBF" w:rsidRPr="004F363E" w:rsidRDefault="005725C7" w:rsidP="004354E2">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Heat-stress limiting plant growth and increasing mortality rates</w:t>
            </w:r>
          </w:p>
        </w:tc>
        <w:tc>
          <w:tcPr>
            <w:tcW w:w="1139"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7215A89"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4"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59B2212" w14:textId="77777777" w:rsidR="00F70BBF" w:rsidRPr="004F363E"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B76EBDA"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C42BF78" w14:textId="77777777" w:rsidR="00F70BBF" w:rsidRPr="004F363E"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2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67B83E0D" w14:textId="77777777" w:rsidR="00F70BBF" w:rsidRPr="004F363E"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9"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231624C"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9"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B94D4D3"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7B58CF9"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5D072028" w14:textId="77777777" w:rsidTr="004354E2">
        <w:trPr>
          <w:gridBefore w:val="1"/>
          <w:cnfStyle w:val="000000100000" w:firstRow="0" w:lastRow="0" w:firstColumn="0" w:lastColumn="0" w:oddVBand="0" w:evenVBand="0" w:oddHBand="1" w:evenHBand="0" w:firstRowFirstColumn="0" w:firstRowLastColumn="0" w:lastRowFirstColumn="0" w:lastRowLastColumn="0"/>
          <w:wBefore w:w="7" w:type="dxa"/>
          <w:trHeight w:val="417"/>
        </w:trPr>
        <w:tc>
          <w:tcPr>
            <w:cnfStyle w:val="001000000000" w:firstRow="0" w:lastRow="0" w:firstColumn="1" w:lastColumn="0" w:oddVBand="0" w:evenVBand="0" w:oddHBand="0" w:evenHBand="0" w:firstRowFirstColumn="0" w:firstRowLastColumn="0" w:lastRowFirstColumn="0" w:lastRowLastColumn="0"/>
            <w:tcW w:w="39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CC151E6" w14:textId="3E8A42C6" w:rsidR="00F70BBF" w:rsidRPr="004F363E" w:rsidRDefault="000C1C3C" w:rsidP="004354E2">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13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F6FC669" w14:textId="77777777" w:rsidR="00F70BBF"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4"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E1B8CAE" w14:textId="77777777" w:rsidR="00F70BBF" w:rsidRPr="004F363E"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1F09D37" w14:textId="77777777" w:rsidR="00F70BBF"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6CC350E" w14:textId="77777777" w:rsidR="00F70BBF" w:rsidRPr="004F363E"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2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331C070B" w14:textId="77777777" w:rsidR="00F70BBF" w:rsidRPr="004F363E"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5470A3C" w14:textId="77777777" w:rsidR="00F70BBF"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1608673" w14:textId="77777777" w:rsidR="00F70BBF"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F12BDC6" w14:textId="77777777" w:rsidR="00F70BBF"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2309C671" w14:textId="77777777" w:rsidTr="004354E2">
        <w:trPr>
          <w:gridBefore w:val="1"/>
          <w:wBefore w:w="7" w:type="dxa"/>
          <w:trHeight w:val="417"/>
        </w:trPr>
        <w:tc>
          <w:tcPr>
            <w:cnfStyle w:val="001000000000" w:firstRow="0" w:lastRow="0" w:firstColumn="1" w:lastColumn="0" w:oddVBand="0" w:evenVBand="0" w:oddHBand="0" w:evenHBand="0" w:firstRowFirstColumn="0" w:firstRowLastColumn="0" w:lastRowFirstColumn="0" w:lastRowLastColumn="0"/>
            <w:tcW w:w="39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5698674" w14:textId="77777777" w:rsidR="00F70BBF" w:rsidRPr="000556A4" w:rsidRDefault="00F70BBF" w:rsidP="004354E2">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13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C580DDE"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4"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918F610" w14:textId="77777777" w:rsidR="00F70BBF" w:rsidRPr="004F363E"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DA47365"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8EBAA48"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2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13F055AA"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6131581"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52CB8ED"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FBF2561" w14:textId="77777777" w:rsidR="00F70BBF" w:rsidRDefault="00F70BB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28B241DC" w14:textId="77777777" w:rsidTr="004354E2">
        <w:trPr>
          <w:gridBefore w:val="1"/>
          <w:cnfStyle w:val="000000100000" w:firstRow="0" w:lastRow="0" w:firstColumn="0" w:lastColumn="0" w:oddVBand="0" w:evenVBand="0" w:oddHBand="1" w:evenHBand="0" w:firstRowFirstColumn="0" w:firstRowLastColumn="0" w:lastRowFirstColumn="0" w:lastRowLastColumn="0"/>
          <w:wBefore w:w="7" w:type="dxa"/>
          <w:trHeight w:val="417"/>
        </w:trPr>
        <w:tc>
          <w:tcPr>
            <w:cnfStyle w:val="001000000000" w:firstRow="0" w:lastRow="0" w:firstColumn="1" w:lastColumn="0" w:oddVBand="0" w:evenVBand="0" w:oddHBand="0" w:evenHBand="0" w:firstRowFirstColumn="0" w:firstRowLastColumn="0" w:lastRowFirstColumn="0" w:lastRowLastColumn="0"/>
            <w:tcW w:w="39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DB7F4DC" w14:textId="2441503D" w:rsidR="000B7E43" w:rsidRPr="004A1C8C" w:rsidRDefault="000B7E43" w:rsidP="000B7E43">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13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53975D6" w14:textId="78AFF6C5" w:rsidR="000B7E43" w:rsidRDefault="000B7E43" w:rsidP="000B7E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84"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86A6B63" w14:textId="77777777" w:rsidR="000B7E43" w:rsidRPr="004F363E" w:rsidRDefault="000B7E43" w:rsidP="000B7E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5A663DF" w14:textId="119ACFC4" w:rsidR="000B7E43" w:rsidRDefault="000B7E43" w:rsidP="000B7E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B52309D" w14:textId="7B2150C4" w:rsidR="000B7E43" w:rsidRDefault="000B7E43" w:rsidP="000B7E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Insignificant</w:t>
            </w:r>
          </w:p>
        </w:tc>
        <w:tc>
          <w:tcPr>
            <w:tcW w:w="112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3B1FBF44" w14:textId="482462BE" w:rsidR="000B7E43" w:rsidRDefault="000B7E43" w:rsidP="000B7E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BF97170" w14:textId="77777777" w:rsidR="000B7E43" w:rsidRDefault="000B7E43" w:rsidP="000B7E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B81B872" w14:textId="77777777" w:rsidR="000B7E43" w:rsidRDefault="000B7E43" w:rsidP="000B7E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A8DB052" w14:textId="36ECF076" w:rsidR="000B7E43" w:rsidRDefault="000B7E43" w:rsidP="000B7E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6BE47BF7" w14:textId="77777777" w:rsidTr="004354E2">
        <w:trPr>
          <w:gridBefore w:val="1"/>
          <w:wBefore w:w="7" w:type="dxa"/>
          <w:trHeight w:val="417"/>
        </w:trPr>
        <w:tc>
          <w:tcPr>
            <w:cnfStyle w:val="001000000000" w:firstRow="0" w:lastRow="0" w:firstColumn="1" w:lastColumn="0" w:oddVBand="0" w:evenVBand="0" w:oddHBand="0" w:evenHBand="0" w:firstRowFirstColumn="0" w:firstRowLastColumn="0" w:lastRowFirstColumn="0" w:lastRowLastColumn="0"/>
            <w:tcW w:w="39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B3BEFBD" w14:textId="77777777" w:rsidR="0034623C" w:rsidRDefault="0034623C" w:rsidP="0034623C">
            <w:pPr>
              <w:ind w:left="393"/>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 xml:space="preserve">Mechanical damage from wind and storms </w:t>
            </w:r>
          </w:p>
          <w:p w14:paraId="60F5C122" w14:textId="77777777" w:rsidR="0034623C" w:rsidRPr="000556A4" w:rsidRDefault="0034623C" w:rsidP="0034623C">
            <w:pPr>
              <w:ind w:left="401"/>
              <w:rPr>
                <w:rFonts w:asciiTheme="minorHAnsi" w:hAnsiTheme="minorHAnsi" w:cstheme="minorHAnsi"/>
                <w:b w:val="0"/>
                <w:bCs w:val="0"/>
                <w:color w:val="000000" w:themeColor="text1"/>
                <w:sz w:val="18"/>
                <w:szCs w:val="18"/>
              </w:rPr>
            </w:pPr>
          </w:p>
        </w:tc>
        <w:tc>
          <w:tcPr>
            <w:tcW w:w="113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EFF2452" w14:textId="6568DECB" w:rsidR="0034623C" w:rsidRDefault="0034623C" w:rsidP="0034623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84"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D213801" w14:textId="77777777" w:rsidR="0034623C" w:rsidRPr="004F363E" w:rsidRDefault="0034623C" w:rsidP="0034623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E6E4C83" w14:textId="0337EBA0" w:rsidR="0034623C" w:rsidRDefault="0034623C" w:rsidP="0034623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About as likely as not</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87A28BD" w14:textId="13571B11" w:rsidR="0034623C" w:rsidRDefault="0034623C" w:rsidP="0034623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2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2179AAE9" w14:textId="0FB608AA" w:rsidR="0034623C" w:rsidRDefault="0034623C" w:rsidP="0034623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39E74BA" w14:textId="77777777" w:rsidR="0034623C" w:rsidRDefault="0034623C" w:rsidP="0034623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0F0D360" w14:textId="77777777" w:rsidR="0034623C" w:rsidRDefault="0034623C" w:rsidP="0034623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1E9A826" w14:textId="55770FB0" w:rsidR="0034623C" w:rsidRDefault="0034623C" w:rsidP="0034623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2A6E7B" w14:paraId="6958FBEB" w14:textId="77777777" w:rsidTr="004354E2">
        <w:trPr>
          <w:gridBefore w:val="1"/>
          <w:cnfStyle w:val="000000100000" w:firstRow="0" w:lastRow="0" w:firstColumn="0" w:lastColumn="0" w:oddVBand="0" w:evenVBand="0" w:oddHBand="1" w:evenHBand="0" w:firstRowFirstColumn="0" w:firstRowLastColumn="0" w:lastRowFirstColumn="0" w:lastRowLastColumn="0"/>
          <w:wBefore w:w="7" w:type="dxa"/>
          <w:trHeight w:val="29"/>
        </w:trPr>
        <w:tc>
          <w:tcPr>
            <w:cnfStyle w:val="001000000000" w:firstRow="0" w:lastRow="0" w:firstColumn="1" w:lastColumn="0" w:oddVBand="0" w:evenVBand="0" w:oddHBand="0" w:evenHBand="0" w:firstRowFirstColumn="0" w:firstRowLastColumn="0" w:lastRowFirstColumn="0" w:lastRowLastColumn="0"/>
            <w:tcW w:w="3963"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90EAC79" w14:textId="27FB0496" w:rsidR="00F70BBF" w:rsidRPr="002A6E7B" w:rsidRDefault="0034623C" w:rsidP="004354E2">
            <w:pPr>
              <w:ind w:left="117"/>
              <w:rPr>
                <w:rFonts w:asciiTheme="minorHAnsi" w:hAnsiTheme="minorHAnsi" w:cstheme="minorHAnsi"/>
                <w:color w:val="000000" w:themeColor="text1"/>
                <w:sz w:val="18"/>
                <w:szCs w:val="18"/>
              </w:rPr>
            </w:pPr>
            <w:r w:rsidRPr="0034623C">
              <w:rPr>
                <w:rFonts w:asciiTheme="minorHAnsi" w:hAnsiTheme="minorHAnsi" w:cstheme="minorHAnsi"/>
                <w:color w:val="000000" w:themeColor="text1"/>
                <w:sz w:val="18"/>
                <w:szCs w:val="18"/>
              </w:rPr>
              <w:t>Direct impacts via secondary climate change variables</w:t>
            </w:r>
          </w:p>
        </w:tc>
        <w:tc>
          <w:tcPr>
            <w:tcW w:w="1139"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2FB8C7A"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84" w:type="dxa"/>
            <w:tcBorders>
              <w:top w:val="nil"/>
              <w:bottom w:val="nil"/>
            </w:tcBorders>
            <w:shd w:val="clear" w:color="auto" w:fill="FFFFFF" w:themeFill="background1"/>
            <w:tcMar>
              <w:top w:w="28" w:type="dxa"/>
              <w:left w:w="28" w:type="dxa"/>
              <w:bottom w:w="28" w:type="dxa"/>
              <w:right w:w="28" w:type="dxa"/>
            </w:tcMar>
            <w:vAlign w:val="center"/>
          </w:tcPr>
          <w:p w14:paraId="1748FB17"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91"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65D561DE"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6186A8C"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22"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31BC6217"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9"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30BCF0B"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9"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712A5CD"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416F63EB" w14:textId="77777777" w:rsidR="00F70BBF" w:rsidRPr="002A6E7B" w:rsidRDefault="00F70BB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721DE5FA" w14:textId="77777777" w:rsidTr="00F07A2F">
        <w:trPr>
          <w:gridBefore w:val="1"/>
          <w:wBefore w:w="7" w:type="dxa"/>
          <w:trHeight w:val="275"/>
        </w:trPr>
        <w:tc>
          <w:tcPr>
            <w:cnfStyle w:val="001000000000" w:firstRow="0" w:lastRow="0" w:firstColumn="1" w:lastColumn="0" w:oddVBand="0" w:evenVBand="0" w:oddHBand="0" w:evenHBand="0" w:firstRowFirstColumn="0" w:firstRowLastColumn="0" w:lastRowFirstColumn="0" w:lastRowLastColumn="0"/>
            <w:tcW w:w="39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5C56680" w14:textId="78A97D73" w:rsidR="00246D4F" w:rsidRPr="00E73F23" w:rsidRDefault="00246D4F" w:rsidP="00246D4F">
            <w:pPr>
              <w:ind w:left="401"/>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 xml:space="preserve">Drought-induced </w:t>
            </w:r>
            <w:r>
              <w:rPr>
                <w:rFonts w:asciiTheme="minorHAnsi" w:hAnsiTheme="minorHAnsi" w:cstheme="minorHAnsi"/>
                <w:b w:val="0"/>
                <w:bCs w:val="0"/>
                <w:color w:val="000000" w:themeColor="text1"/>
                <w:sz w:val="18"/>
                <w:szCs w:val="18"/>
              </w:rPr>
              <w:t xml:space="preserve">plant </w:t>
            </w:r>
            <w:r w:rsidRPr="000556A4">
              <w:rPr>
                <w:rFonts w:asciiTheme="minorHAnsi" w:hAnsiTheme="minorHAnsi" w:cstheme="minorHAnsi"/>
                <w:b w:val="0"/>
                <w:bCs w:val="0"/>
                <w:color w:val="000000" w:themeColor="text1"/>
                <w:sz w:val="18"/>
                <w:szCs w:val="18"/>
              </w:rPr>
              <w:t>mortality, with possibility of recruitment failure.</w:t>
            </w:r>
          </w:p>
        </w:tc>
        <w:tc>
          <w:tcPr>
            <w:tcW w:w="113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0FA0734" w14:textId="14AAB328" w:rsidR="00246D4F"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84"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2F33367" w14:textId="77777777" w:rsidR="00246D4F" w:rsidRPr="004F363E"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707C444" w14:textId="04D02F22" w:rsidR="00246D4F"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0015A58" w14:textId="227C9F34" w:rsidR="00246D4F" w:rsidRPr="004F363E"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2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3556A3F9" w14:textId="77777777" w:rsidR="00246D4F"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p w14:paraId="3EF39C30" w14:textId="57DD55E8" w:rsidR="00246D4F" w:rsidRPr="004F363E"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2BBBC73" w14:textId="613585F0" w:rsidR="00246D4F"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2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739478B" w14:textId="77777777" w:rsidR="00246D4F"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B7A6914" w14:textId="4DD7E343" w:rsidR="00246D4F" w:rsidRDefault="00246D4F" w:rsidP="00246D4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78804D5A" w14:textId="77777777" w:rsidTr="00F07A2F">
        <w:trPr>
          <w:gridBefore w:val="1"/>
          <w:cnfStyle w:val="000000100000" w:firstRow="0" w:lastRow="0" w:firstColumn="0" w:lastColumn="0" w:oddVBand="0" w:evenVBand="0" w:oddHBand="1" w:evenHBand="0" w:firstRowFirstColumn="0" w:firstRowLastColumn="0" w:lastRowFirstColumn="0" w:lastRowLastColumn="0"/>
          <w:wBefore w:w="7" w:type="dxa"/>
          <w:trHeight w:val="29"/>
        </w:trPr>
        <w:tc>
          <w:tcPr>
            <w:cnfStyle w:val="001000000000" w:firstRow="0" w:lastRow="0" w:firstColumn="1" w:lastColumn="0" w:oddVBand="0" w:evenVBand="0" w:oddHBand="0" w:evenHBand="0" w:firstRowFirstColumn="0" w:firstRowLastColumn="0" w:lastRowFirstColumn="0" w:lastRowLastColumn="0"/>
            <w:tcW w:w="3963"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00C8D21" w14:textId="3B5B5CDF" w:rsidR="00246D4F" w:rsidRPr="00E73F23" w:rsidRDefault="00246D4F" w:rsidP="00246D4F">
            <w:pPr>
              <w:ind w:left="401"/>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1139"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7C8ECE47" w14:textId="09FDB568" w:rsidR="00246D4F" w:rsidRDefault="00246D4F" w:rsidP="00246D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84"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D8C68D7" w14:textId="77777777" w:rsidR="00246D4F" w:rsidRPr="004F363E" w:rsidRDefault="00246D4F" w:rsidP="00246D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E9EC8B6" w14:textId="597A5279" w:rsidR="00246D4F" w:rsidRDefault="00246D4F" w:rsidP="00246D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C86C856" w14:textId="503C8700" w:rsidR="00246D4F" w:rsidRPr="004F363E" w:rsidRDefault="00246D4F" w:rsidP="00246D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2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29C03308" w14:textId="3F05605D" w:rsidR="00246D4F" w:rsidRPr="004F363E" w:rsidRDefault="00246D4F" w:rsidP="00246D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9"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D727EB1" w14:textId="77777777" w:rsidR="00246D4F" w:rsidRDefault="00246D4F" w:rsidP="00246D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9"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C731C66" w14:textId="77777777" w:rsidR="00246D4F" w:rsidRDefault="00246D4F" w:rsidP="00246D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7155590" w14:textId="019767C0" w:rsidR="00246D4F" w:rsidRDefault="00246D4F" w:rsidP="00246D4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2A6E7B" w14:paraId="28258845" w14:textId="77777777" w:rsidTr="004354E2">
        <w:trPr>
          <w:gridBefore w:val="1"/>
          <w:wBefore w:w="7" w:type="dxa"/>
          <w:trHeight w:val="29"/>
        </w:trPr>
        <w:tc>
          <w:tcPr>
            <w:cnfStyle w:val="001000000000" w:firstRow="0" w:lastRow="0" w:firstColumn="1" w:lastColumn="0" w:oddVBand="0" w:evenVBand="0" w:oddHBand="0" w:evenHBand="0" w:firstRowFirstColumn="0" w:firstRowLastColumn="0" w:lastRowFirstColumn="0" w:lastRowLastColumn="0"/>
            <w:tcW w:w="3963"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1ADC88A2" w14:textId="7997C26A" w:rsidR="00197E91" w:rsidRPr="002A6E7B" w:rsidRDefault="00197E91" w:rsidP="004354E2">
            <w:pPr>
              <w:ind w:left="117"/>
              <w:rPr>
                <w:rFonts w:asciiTheme="minorHAnsi" w:hAnsiTheme="minorHAnsi" w:cstheme="minorHAnsi"/>
                <w:color w:val="000000" w:themeColor="text1"/>
                <w:sz w:val="18"/>
                <w:szCs w:val="18"/>
              </w:rPr>
            </w:pPr>
            <w:r w:rsidRPr="00197E91">
              <w:rPr>
                <w:rFonts w:asciiTheme="minorHAnsi" w:hAnsiTheme="minorHAnsi" w:cstheme="minorHAnsi"/>
                <w:color w:val="000000" w:themeColor="text1"/>
                <w:sz w:val="18"/>
                <w:szCs w:val="18"/>
              </w:rPr>
              <w:t>Indirect impacts via climate change impacts on weeds, pests and diseases</w:t>
            </w:r>
          </w:p>
        </w:tc>
        <w:tc>
          <w:tcPr>
            <w:tcW w:w="1139"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19727D61" w14:textId="77777777" w:rsidR="00197E91" w:rsidRPr="002A6E7B" w:rsidRDefault="00197E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84" w:type="dxa"/>
            <w:tcBorders>
              <w:top w:val="nil"/>
              <w:left w:val="nil"/>
              <w:bottom w:val="nil"/>
              <w:right w:val="nil"/>
            </w:tcBorders>
            <w:shd w:val="clear" w:color="auto" w:fill="FFFFFF" w:themeFill="background1"/>
            <w:tcMar>
              <w:top w:w="28" w:type="dxa"/>
              <w:left w:w="28" w:type="dxa"/>
              <w:bottom w:w="28" w:type="dxa"/>
              <w:right w:w="28" w:type="dxa"/>
            </w:tcMar>
            <w:vAlign w:val="center"/>
          </w:tcPr>
          <w:p w14:paraId="5840B380" w14:textId="77777777" w:rsidR="00197E91" w:rsidRPr="002A6E7B" w:rsidRDefault="00197E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091"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4533175B" w14:textId="77777777" w:rsidR="00197E91" w:rsidRPr="002A6E7B" w:rsidRDefault="00197E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5413E070" w14:textId="77777777" w:rsidR="00197E91" w:rsidRPr="002A6E7B" w:rsidRDefault="00197E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22"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1996157C" w14:textId="77777777" w:rsidR="00197E91" w:rsidRPr="002A6E7B" w:rsidRDefault="00197E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29"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2DC305FF" w14:textId="77777777" w:rsidR="00197E91" w:rsidRPr="002A6E7B" w:rsidRDefault="00197E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29"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2DC9DA36" w14:textId="77777777" w:rsidR="00197E91" w:rsidRPr="002A6E7B" w:rsidRDefault="00197E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33C5038A" w14:textId="77777777" w:rsidR="00197E91" w:rsidRPr="002A6E7B" w:rsidRDefault="00197E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DF1C70" w:rsidRPr="004F363E" w14:paraId="6142E40F" w14:textId="77777777" w:rsidTr="003055CD">
        <w:trPr>
          <w:gridBefore w:val="1"/>
          <w:cnfStyle w:val="000000100000" w:firstRow="0" w:lastRow="0" w:firstColumn="0" w:lastColumn="0" w:oddVBand="0" w:evenVBand="0" w:oddHBand="1" w:evenHBand="0" w:firstRowFirstColumn="0" w:firstRowLastColumn="0" w:lastRowFirstColumn="0" w:lastRowLastColumn="0"/>
          <w:wBefore w:w="7" w:type="dxa"/>
          <w:trHeight w:val="29"/>
        </w:trPr>
        <w:tc>
          <w:tcPr>
            <w:cnfStyle w:val="001000000000" w:firstRow="0" w:lastRow="0" w:firstColumn="1" w:lastColumn="0" w:oddVBand="0" w:evenVBand="0" w:oddHBand="0" w:evenHBand="0" w:firstRowFirstColumn="0" w:firstRowLastColumn="0" w:lastRowFirstColumn="0" w:lastRowLastColumn="0"/>
            <w:tcW w:w="3963"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Mar>
              <w:top w:w="28" w:type="dxa"/>
              <w:left w:w="28" w:type="dxa"/>
              <w:bottom w:w="28" w:type="dxa"/>
              <w:right w:w="28" w:type="dxa"/>
            </w:tcMar>
            <w:vAlign w:val="center"/>
          </w:tcPr>
          <w:p w14:paraId="74CD7C46" w14:textId="159D09E0" w:rsidR="00DF1C70" w:rsidRPr="00E73F23" w:rsidRDefault="00DF1C70" w:rsidP="00DF1C70">
            <w:pPr>
              <w:ind w:left="401"/>
              <w:rPr>
                <w:rFonts w:asciiTheme="minorHAnsi" w:hAnsiTheme="minorHAnsi" w:cstheme="minorHAnsi"/>
                <w:color w:val="000000" w:themeColor="text1"/>
                <w:sz w:val="18"/>
                <w:szCs w:val="18"/>
              </w:rPr>
            </w:pPr>
            <w:r w:rsidRPr="000556A4">
              <w:rPr>
                <w:rFonts w:asciiTheme="minorHAnsi" w:hAnsiTheme="minorHAnsi" w:cstheme="minorHAnsi"/>
                <w:b w:val="0"/>
                <w:bCs w:val="0"/>
                <w:sz w:val="18"/>
                <w:szCs w:val="18"/>
              </w:rPr>
              <w:t>Extended range of pests/diseases; Increased over-wintering resulting in faster build-up in the growing season</w:t>
            </w:r>
          </w:p>
        </w:tc>
        <w:tc>
          <w:tcPr>
            <w:tcW w:w="1139"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0A257674" w14:textId="7BB41772" w:rsidR="00DF1C70" w:rsidRDefault="00DF1C70" w:rsidP="00DF1C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84" w:type="dxa"/>
            <w:tcBorders>
              <w:top w:val="nil"/>
              <w:left w:val="single" w:sz="4" w:space="0" w:color="D9D9D9" w:themeColor="background1" w:themeShade="D9"/>
              <w:bottom w:val="nil"/>
              <w:right w:val="single" w:sz="4" w:space="0" w:color="D9D9D9" w:themeColor="background1" w:themeShade="D9"/>
            </w:tcBorders>
            <w:shd w:val="clear" w:color="auto" w:fill="auto"/>
            <w:tcMar>
              <w:top w:w="28" w:type="dxa"/>
              <w:left w:w="28" w:type="dxa"/>
              <w:bottom w:w="28" w:type="dxa"/>
              <w:right w:w="28" w:type="dxa"/>
            </w:tcMar>
            <w:vAlign w:val="center"/>
          </w:tcPr>
          <w:p w14:paraId="5A3DFEB4" w14:textId="77777777" w:rsidR="00DF1C70" w:rsidRPr="004F363E" w:rsidRDefault="00DF1C70" w:rsidP="00DF1C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91"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176132EF" w14:textId="2926FF71" w:rsidR="00DF1C70" w:rsidRDefault="00DF1C70" w:rsidP="00DF1C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Mar>
              <w:top w:w="28" w:type="dxa"/>
              <w:left w:w="28" w:type="dxa"/>
              <w:bottom w:w="28" w:type="dxa"/>
              <w:right w:w="28" w:type="dxa"/>
            </w:tcMar>
            <w:vAlign w:val="center"/>
          </w:tcPr>
          <w:p w14:paraId="06EBB1C0" w14:textId="39DFCF07" w:rsidR="00DF1C70" w:rsidRPr="004F363E" w:rsidRDefault="00DF1C70" w:rsidP="00DF1C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2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1B0ECBB3" w14:textId="1E0C2870" w:rsidR="00DF1C70" w:rsidRPr="004F363E" w:rsidRDefault="00DF1C70" w:rsidP="00DF1C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29"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21A9474E" w14:textId="77777777" w:rsidR="00DF1C70" w:rsidRDefault="00DF1C70" w:rsidP="00DF1C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9"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7621346E" w14:textId="77777777" w:rsidR="00DF1C70" w:rsidRDefault="00DF1C70" w:rsidP="00DF1C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72E54988" w14:textId="411BD036" w:rsidR="00DF1C70" w:rsidRDefault="00DF1C70" w:rsidP="00DF1C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bl>
    <w:p w14:paraId="0E87BAE9" w14:textId="154827F8" w:rsidR="00F70BBF" w:rsidRDefault="00F70BBF">
      <w:pPr>
        <w:rPr>
          <w:rFonts w:ascii="Calibri" w:eastAsia="Calibri" w:hAnsi="Calibri"/>
          <w:color w:val="000000"/>
          <w:szCs w:val="22"/>
        </w:rPr>
      </w:pPr>
      <w:r>
        <w:br w:type="page"/>
      </w:r>
    </w:p>
    <w:p w14:paraId="7EBE236D" w14:textId="4EF74EDF" w:rsidR="00B4444A" w:rsidRDefault="00B4444A" w:rsidP="00B4444A">
      <w:pPr>
        <w:pStyle w:val="Heading3"/>
      </w:pPr>
      <w:r>
        <w:lastRenderedPageBreak/>
        <w:t>Planting of new forests</w:t>
      </w:r>
    </w:p>
    <w:p w14:paraId="5F6213B1" w14:textId="77777777" w:rsidR="00B4444A" w:rsidRDefault="00B4444A" w:rsidP="00B4444A">
      <w:pPr>
        <w:pStyle w:val="Heading4"/>
      </w:pPr>
      <w:r>
        <w:t>Embedded Methodologies</w:t>
      </w:r>
    </w:p>
    <w:p w14:paraId="5B52B3EC" w14:textId="0E710A46" w:rsidR="008954A8" w:rsidRPr="00C8685F" w:rsidRDefault="000651DF" w:rsidP="00B737A6">
      <w:pPr>
        <w:pStyle w:val="BodyText"/>
        <w:spacing w:before="0" w:after="0" w:line="240" w:lineRule="auto"/>
      </w:pPr>
      <w:hyperlink r:id="rId65" w:history="1">
        <w:r w:rsidR="00B4444A" w:rsidRPr="00B4444A">
          <w:rPr>
            <w:rStyle w:val="Hyperlink"/>
            <w:rFonts w:asciiTheme="minorHAnsi" w:hAnsiTheme="minorHAnsi"/>
            <w:smallCaps/>
            <w:sz w:val="20"/>
            <w:szCs w:val="20"/>
          </w:rPr>
          <w:t>Reforestation by Environmental or Mallee Plantings – FullCAM</w:t>
        </w:r>
        <w:r w:rsidR="00B4444A" w:rsidRPr="009409A2">
          <w:rPr>
            <w:rStyle w:val="Hyperlink"/>
            <w:rFonts w:asciiTheme="minorHAnsi" w:hAnsiTheme="minorHAnsi"/>
            <w:smallCaps/>
            <w:sz w:val="20"/>
            <w:szCs w:val="20"/>
          </w:rPr>
          <w:t xml:space="preserve"> (201</w:t>
        </w:r>
        <w:r w:rsidR="00B4444A">
          <w:rPr>
            <w:rStyle w:val="Hyperlink"/>
            <w:rFonts w:asciiTheme="minorHAnsi" w:hAnsiTheme="minorHAnsi"/>
            <w:smallCaps/>
            <w:sz w:val="20"/>
            <w:szCs w:val="20"/>
          </w:rPr>
          <w:t>4</w:t>
        </w:r>
        <w:r w:rsidR="00B4444A" w:rsidRPr="009409A2">
          <w:rPr>
            <w:rStyle w:val="Hyperlink"/>
            <w:rFonts w:asciiTheme="minorHAnsi" w:hAnsiTheme="minorHAnsi"/>
            <w:smallCaps/>
            <w:sz w:val="20"/>
            <w:szCs w:val="20"/>
          </w:rPr>
          <w:t>)</w:t>
        </w:r>
      </w:hyperlink>
      <w:r w:rsidR="00B4444A">
        <w:rPr>
          <w:rFonts w:asciiTheme="minorHAnsi" w:hAnsiTheme="minorHAnsi"/>
          <w:smallCaps/>
          <w:sz w:val="20"/>
          <w:szCs w:val="20"/>
        </w:rPr>
        <w:t xml:space="preserve"> </w:t>
      </w:r>
      <w:r w:rsidR="008954A8">
        <w:t>(Refor-Model)</w:t>
      </w:r>
    </w:p>
    <w:p w14:paraId="57103839" w14:textId="21A3D9CD" w:rsidR="008954A8" w:rsidRDefault="000651DF" w:rsidP="00B737A6">
      <w:pPr>
        <w:pStyle w:val="BodyText"/>
        <w:spacing w:before="0" w:after="0" w:line="240" w:lineRule="auto"/>
      </w:pPr>
      <w:hyperlink r:id="rId66" w:history="1">
        <w:r w:rsidR="00B4444A" w:rsidRPr="00B4444A">
          <w:rPr>
            <w:rStyle w:val="Hyperlink"/>
            <w:rFonts w:asciiTheme="minorHAnsi" w:hAnsiTheme="minorHAnsi"/>
            <w:smallCaps/>
            <w:sz w:val="20"/>
            <w:szCs w:val="20"/>
          </w:rPr>
          <w:t>Reforestation and Afforestation</w:t>
        </w:r>
        <w:r w:rsidR="00B4444A" w:rsidRPr="009409A2">
          <w:rPr>
            <w:rStyle w:val="Hyperlink"/>
            <w:rFonts w:asciiTheme="minorHAnsi" w:hAnsiTheme="minorHAnsi"/>
            <w:smallCaps/>
            <w:sz w:val="20"/>
            <w:szCs w:val="20"/>
          </w:rPr>
          <w:t xml:space="preserve"> (201</w:t>
        </w:r>
        <w:r w:rsidR="00B4444A">
          <w:rPr>
            <w:rStyle w:val="Hyperlink"/>
            <w:rFonts w:asciiTheme="minorHAnsi" w:hAnsiTheme="minorHAnsi"/>
            <w:smallCaps/>
            <w:sz w:val="20"/>
            <w:szCs w:val="20"/>
          </w:rPr>
          <w:t>5</w:t>
        </w:r>
        <w:r w:rsidR="00B4444A" w:rsidRPr="009409A2">
          <w:rPr>
            <w:rStyle w:val="Hyperlink"/>
            <w:rFonts w:asciiTheme="minorHAnsi" w:hAnsiTheme="minorHAnsi"/>
            <w:smallCaps/>
            <w:sz w:val="20"/>
            <w:szCs w:val="20"/>
          </w:rPr>
          <w:t>)</w:t>
        </w:r>
      </w:hyperlink>
      <w:r w:rsidR="00B4444A">
        <w:rPr>
          <w:rFonts w:asciiTheme="minorHAnsi" w:hAnsiTheme="minorHAnsi"/>
          <w:smallCaps/>
          <w:sz w:val="20"/>
          <w:szCs w:val="20"/>
        </w:rPr>
        <w:t xml:space="preserve"> </w:t>
      </w:r>
      <w:r w:rsidR="008954A8">
        <w:t>(Refor-Measure)</w:t>
      </w:r>
    </w:p>
    <w:p w14:paraId="588ECC8A" w14:textId="25E7540F" w:rsidR="00582ABE" w:rsidRPr="009409A2" w:rsidRDefault="000651DF" w:rsidP="008B059D">
      <w:pPr>
        <w:pStyle w:val="BodyText"/>
        <w:spacing w:before="0" w:after="0" w:line="240" w:lineRule="auto"/>
        <w:rPr>
          <w:smallCaps/>
        </w:rPr>
      </w:pPr>
      <w:hyperlink r:id="rId67" w:history="1">
        <w:r w:rsidR="00582ABE">
          <w:rPr>
            <w:rStyle w:val="Hyperlink"/>
            <w:rFonts w:asciiTheme="minorHAnsi" w:hAnsiTheme="minorHAnsi"/>
            <w:smallCaps/>
            <w:sz w:val="20"/>
            <w:szCs w:val="20"/>
          </w:rPr>
          <w:t>Measurement based methods for new farm forestry</w:t>
        </w:r>
        <w:r w:rsidR="00582ABE" w:rsidRPr="009409A2">
          <w:rPr>
            <w:rStyle w:val="Hyperlink"/>
            <w:rFonts w:asciiTheme="minorHAnsi" w:hAnsiTheme="minorHAnsi"/>
            <w:smallCaps/>
            <w:sz w:val="20"/>
            <w:szCs w:val="20"/>
          </w:rPr>
          <w:t xml:space="preserve"> (201</w:t>
        </w:r>
        <w:r w:rsidR="00582ABE">
          <w:rPr>
            <w:rStyle w:val="Hyperlink"/>
            <w:rFonts w:asciiTheme="minorHAnsi" w:hAnsiTheme="minorHAnsi"/>
            <w:smallCaps/>
            <w:sz w:val="20"/>
            <w:szCs w:val="20"/>
          </w:rPr>
          <w:t>4</w:t>
        </w:r>
        <w:r w:rsidR="00582ABE" w:rsidRPr="009409A2">
          <w:rPr>
            <w:rStyle w:val="Hyperlink"/>
            <w:rFonts w:asciiTheme="minorHAnsi" w:hAnsiTheme="minorHAnsi"/>
            <w:smallCaps/>
            <w:sz w:val="20"/>
            <w:szCs w:val="20"/>
          </w:rPr>
          <w:t>)</w:t>
        </w:r>
      </w:hyperlink>
      <w:r w:rsidR="00582ABE">
        <w:rPr>
          <w:rFonts w:asciiTheme="minorHAnsi" w:hAnsiTheme="minorHAnsi"/>
          <w:smallCaps/>
          <w:sz w:val="20"/>
          <w:szCs w:val="20"/>
        </w:rPr>
        <w:t xml:space="preserve"> </w:t>
      </w:r>
      <w:r w:rsidR="00582ABE">
        <w:t>(FarmFor)</w:t>
      </w:r>
    </w:p>
    <w:p w14:paraId="5F205BAD" w14:textId="36907AF9" w:rsidR="00B4444A" w:rsidRDefault="000651DF" w:rsidP="008B059D">
      <w:pPr>
        <w:pStyle w:val="BodyText"/>
        <w:spacing w:before="0" w:after="0" w:line="240" w:lineRule="auto"/>
      </w:pPr>
      <w:hyperlink r:id="rId68" w:history="1">
        <w:r w:rsidR="00B4444A">
          <w:rPr>
            <w:rStyle w:val="Hyperlink"/>
            <w:rFonts w:asciiTheme="minorHAnsi" w:hAnsiTheme="minorHAnsi"/>
            <w:smallCaps/>
            <w:sz w:val="20"/>
            <w:szCs w:val="20"/>
          </w:rPr>
          <w:t>Plantation forestry</w:t>
        </w:r>
        <w:r w:rsidR="00B4444A" w:rsidRPr="009409A2">
          <w:rPr>
            <w:rStyle w:val="Hyperlink"/>
            <w:rFonts w:asciiTheme="minorHAnsi" w:hAnsiTheme="minorHAnsi"/>
            <w:smallCaps/>
            <w:sz w:val="20"/>
            <w:szCs w:val="20"/>
          </w:rPr>
          <w:t xml:space="preserve"> (201</w:t>
        </w:r>
        <w:r w:rsidR="00B4444A">
          <w:rPr>
            <w:rStyle w:val="Hyperlink"/>
            <w:rFonts w:asciiTheme="minorHAnsi" w:hAnsiTheme="minorHAnsi"/>
            <w:smallCaps/>
            <w:sz w:val="20"/>
            <w:szCs w:val="20"/>
          </w:rPr>
          <w:t>7</w:t>
        </w:r>
        <w:r w:rsidR="00B4444A" w:rsidRPr="009409A2">
          <w:rPr>
            <w:rStyle w:val="Hyperlink"/>
            <w:rFonts w:asciiTheme="minorHAnsi" w:hAnsiTheme="minorHAnsi"/>
            <w:smallCaps/>
            <w:sz w:val="20"/>
            <w:szCs w:val="20"/>
          </w:rPr>
          <w:t>)</w:t>
        </w:r>
      </w:hyperlink>
      <w:r w:rsidR="00B4444A">
        <w:rPr>
          <w:rFonts w:asciiTheme="minorHAnsi" w:hAnsiTheme="minorHAnsi"/>
          <w:smallCaps/>
          <w:sz w:val="20"/>
          <w:szCs w:val="20"/>
        </w:rPr>
        <w:t xml:space="preserve"> </w:t>
      </w:r>
      <w:r w:rsidR="008954A8">
        <w:t>(Plantation)</w:t>
      </w:r>
    </w:p>
    <w:p w14:paraId="5A4720C5" w14:textId="356A78B1" w:rsidR="0097163C" w:rsidRDefault="0097163C" w:rsidP="008B059D">
      <w:pPr>
        <w:pStyle w:val="BodyText"/>
        <w:spacing w:before="0" w:after="0" w:line="240" w:lineRule="auto"/>
      </w:pPr>
    </w:p>
    <w:p w14:paraId="713F0EEC" w14:textId="08372CD0" w:rsidR="00110223" w:rsidRDefault="00110223" w:rsidP="00110223">
      <w:pPr>
        <w:pStyle w:val="BodyText"/>
        <w:spacing w:after="0"/>
        <w:jc w:val="both"/>
      </w:pPr>
      <w:r>
        <w:t>These four methodologies together currently comprise only 1.2% of all contracted abatement under the ERF scheme. This relatively low uptake probably being largely attributable to the relatively high up-front costs associated with planting trees (Roxburgh et al. 2020).</w:t>
      </w:r>
    </w:p>
    <w:p w14:paraId="1B2C7A88" w14:textId="682269EC" w:rsidR="00110223" w:rsidRDefault="00110223" w:rsidP="00110223">
      <w:pPr>
        <w:pStyle w:val="BodyText"/>
        <w:spacing w:after="0"/>
        <w:jc w:val="both"/>
      </w:pPr>
      <w:r>
        <w:t>The Refor-Model, Refor-Measure and FarmFor methodologies all require</w:t>
      </w:r>
      <w:r w:rsidRPr="005E6478">
        <w:t xml:space="preserve"> the establishment of </w:t>
      </w:r>
      <w:r>
        <w:t xml:space="preserve">new trees on </w:t>
      </w:r>
      <w:r w:rsidRPr="005E6478">
        <w:t>land that has been clear</w:t>
      </w:r>
      <w:r w:rsidR="00F77CC6">
        <w:t>ed</w:t>
      </w:r>
      <w:r w:rsidRPr="005E6478">
        <w:t xml:space="preserve"> of forest.</w:t>
      </w:r>
      <w:r>
        <w:t xml:space="preserve"> These methodologies differ in what can be established. Refor-Model requires the establishment of permanent </w:t>
      </w:r>
      <w:r w:rsidRPr="005E6478">
        <w:t>environmental or mallee plantings</w:t>
      </w:r>
      <w:r>
        <w:t xml:space="preserve">. Refor-Measure can entail the planting any species, so long as they are not classified as a weed. The FarmFor methodology allows for the planting of either commercially harvestable or permanent (i.e. non-harvested) species, within the context of integration with existing agricultural enterprises. </w:t>
      </w:r>
      <w:r w:rsidR="000971D3">
        <w:t>The Plantation methodology is specifically targeted at commercial plantation growers.</w:t>
      </w:r>
    </w:p>
    <w:p w14:paraId="1465848E" w14:textId="0B796332" w:rsidR="00110223" w:rsidRDefault="00110223" w:rsidP="00110223">
      <w:pPr>
        <w:pStyle w:val="BodyText"/>
        <w:spacing w:after="0"/>
        <w:jc w:val="both"/>
      </w:pPr>
      <w:r>
        <w:t xml:space="preserve">There are also differences between these methodologies in the way in which abatement is calculated. Refor-Model </w:t>
      </w:r>
      <w:r w:rsidR="00FB12AC">
        <w:t xml:space="preserve">and Plantation </w:t>
      </w:r>
      <w:r>
        <w:t xml:space="preserve">uses FullCAM. Refor-Measure uses field-measurements. FarmFor uses a combination of field-based measurements and FullCAM (for calculating expected (100 year) abatement under the proposed management change). Unlike Refor-Model or Refor-Measure, FarmFor has strict limits to project size, based on rainfall. In areas less than 400mm rainfall projects </w:t>
      </w:r>
      <w:r w:rsidRPr="00931A0C">
        <w:t xml:space="preserve">must </w:t>
      </w:r>
      <w:r w:rsidR="00F77CC6">
        <w:t xml:space="preserve">be </w:t>
      </w:r>
      <w:r w:rsidRPr="00931A0C">
        <w:t>no bigger than 300 hectares or 30 per cent of farm area, whichever is smaller</w:t>
      </w:r>
      <w:r>
        <w:t xml:space="preserve">. In areas greater than 400 mm rainfall projects </w:t>
      </w:r>
      <w:r w:rsidRPr="00931A0C">
        <w:t xml:space="preserve">must no bigger than </w:t>
      </w:r>
      <w:r>
        <w:t>1</w:t>
      </w:r>
      <w:r w:rsidRPr="00931A0C">
        <w:t>00 hectares or 30 per cent of farm area, whichever is smaller</w:t>
      </w:r>
      <w:r>
        <w:t>.</w:t>
      </w:r>
    </w:p>
    <w:p w14:paraId="159B0A90" w14:textId="37CBA62D" w:rsidR="00110223" w:rsidRDefault="00110223" w:rsidP="00110223">
      <w:pPr>
        <w:pStyle w:val="BodyText"/>
        <w:spacing w:after="0"/>
        <w:jc w:val="both"/>
      </w:pPr>
      <w:r>
        <w:t xml:space="preserve">The Refor-Model, Refor-Measure and Farm-For methodologies all only account for carbon sequestration in biomass and debris. In contrast, the Plantation methodology accounts for these as well as carbon sequestration in harvested wood products. There are also two different types of Plantation method projects: (i) establishment of new commercial plantation forestry estates on currently cleared agricultural land, and (ii) conversion of short rotation management regimes to long rotation. The spatial extent of </w:t>
      </w:r>
      <w:r w:rsidR="00D820AA">
        <w:t xml:space="preserve">Plantation </w:t>
      </w:r>
      <w:r>
        <w:t xml:space="preserve">activities </w:t>
      </w:r>
      <w:r w:rsidR="00D820AA">
        <w:t xml:space="preserve">is </w:t>
      </w:r>
      <w:r>
        <w:t xml:space="preserve">limited to current National Plantation Inventory (NPI) regions. </w:t>
      </w:r>
      <w:r>
        <w:rPr>
          <w:rFonts w:eastAsiaTheme="minorEastAsia"/>
          <w:szCs w:val="24"/>
        </w:rPr>
        <w:t>F</w:t>
      </w:r>
      <w:r w:rsidRPr="008E13B9">
        <w:rPr>
          <w:rFonts w:eastAsiaTheme="minorEastAsia"/>
          <w:szCs w:val="24"/>
        </w:rPr>
        <w:t>or projects in locations above 600 mm rainfall</w:t>
      </w:r>
      <w:r>
        <w:rPr>
          <w:rFonts w:eastAsiaTheme="minorEastAsia"/>
          <w:szCs w:val="24"/>
        </w:rPr>
        <w:t xml:space="preserve"> there are eligibility requirements related to tree water use</w:t>
      </w:r>
      <w:r w:rsidRPr="008E13B9">
        <w:rPr>
          <w:rFonts w:eastAsiaTheme="minorEastAsia"/>
          <w:szCs w:val="24"/>
        </w:rPr>
        <w:t xml:space="preserve">, </w:t>
      </w:r>
      <w:r>
        <w:rPr>
          <w:rFonts w:eastAsiaTheme="minorEastAsia"/>
          <w:szCs w:val="24"/>
        </w:rPr>
        <w:t>with the purchase of water rights one option to meet those eligibility criteria</w:t>
      </w:r>
      <w:r w:rsidRPr="008E13B9">
        <w:rPr>
          <w:rFonts w:eastAsiaTheme="minorEastAsia"/>
          <w:szCs w:val="24"/>
        </w:rPr>
        <w:t xml:space="preserve">. Whether a </w:t>
      </w:r>
      <w:r>
        <w:rPr>
          <w:rFonts w:eastAsiaTheme="minorEastAsia"/>
          <w:szCs w:val="24"/>
        </w:rPr>
        <w:t>project</w:t>
      </w:r>
      <w:r w:rsidRPr="008E13B9">
        <w:rPr>
          <w:rFonts w:eastAsiaTheme="minorEastAsia"/>
          <w:szCs w:val="24"/>
        </w:rPr>
        <w:t xml:space="preserve"> is required to purchase water is determined by state regulations</w:t>
      </w:r>
      <w:r>
        <w:rPr>
          <w:rFonts w:eastAsiaTheme="minorEastAsia"/>
          <w:szCs w:val="24"/>
        </w:rPr>
        <w:t>.</w:t>
      </w:r>
    </w:p>
    <w:p w14:paraId="77F0FB05" w14:textId="77134BD5" w:rsidR="00110223" w:rsidRDefault="00110223" w:rsidP="00110223">
      <w:pPr>
        <w:pStyle w:val="BodyText"/>
        <w:spacing w:after="0"/>
        <w:jc w:val="both"/>
      </w:pPr>
      <w:r>
        <w:t xml:space="preserve">For all of </w:t>
      </w:r>
      <w:r w:rsidR="00F77CC6">
        <w:t xml:space="preserve">the </w:t>
      </w:r>
      <w:r>
        <w:t>three methodologies entailing new tree plantings, for any project that is affected by fire (either planned fire or wildfire) there are rules that specify how the modelling must be modified to account for any fire emissions incurred, and any re-stratification of the project extent that might be required in case of significant fire-induced tree mortality</w:t>
      </w:r>
      <w:r w:rsidR="00C73C03">
        <w:t>.</w:t>
      </w:r>
    </w:p>
    <w:p w14:paraId="72DADE4F" w14:textId="0B588137" w:rsidR="00110223" w:rsidRDefault="00110223" w:rsidP="00110223">
      <w:pPr>
        <w:pStyle w:val="Heading4"/>
      </w:pPr>
      <w:r>
        <w:t>Spatial domain</w:t>
      </w:r>
    </w:p>
    <w:p w14:paraId="518F6154" w14:textId="4785FD59" w:rsidR="00110223" w:rsidRDefault="00110223" w:rsidP="00110223">
      <w:pPr>
        <w:pStyle w:val="BodyText"/>
      </w:pPr>
      <w:r>
        <w:t>In contrast to HIR and N</w:t>
      </w:r>
      <w:r w:rsidR="0057584E">
        <w:t>FMR</w:t>
      </w:r>
      <w:r>
        <w:t xml:space="preserve"> methodologies, there are currently very few existing projects to gauge where methodologies entailing new plantin</w:t>
      </w:r>
      <w:r w:rsidR="009E19D6">
        <w:t>gs</w:t>
      </w:r>
      <w:r>
        <w:t xml:space="preserve"> will predominately be established. However, </w:t>
      </w:r>
      <w:r>
        <w:lastRenderedPageBreak/>
        <w:t>recent work by Roxburgh et al. (2020) showed that the most economically viable areas for these types of projects were mostly encompasse</w:t>
      </w:r>
      <w:r w:rsidR="00F77CC6">
        <w:t>d</w:t>
      </w:r>
      <w:r>
        <w:t xml:space="preserve"> within the NRM cluster areas of East Co</w:t>
      </w:r>
      <w:r w:rsidR="003F4A6D">
        <w:t>a</w:t>
      </w:r>
      <w:r>
        <w:t xml:space="preserve">st, Murray Basin, </w:t>
      </w:r>
      <w:r w:rsidR="00D55AC7">
        <w:t xml:space="preserve">Central Slopes, </w:t>
      </w:r>
      <w:r>
        <w:t>Southern Slopes, Southern and South Western Flatlands</w:t>
      </w:r>
      <w:r w:rsidR="008635AD">
        <w:t xml:space="preserve"> (</w:t>
      </w:r>
      <w:r w:rsidR="008635AD">
        <w:fldChar w:fldCharType="begin"/>
      </w:r>
      <w:r w:rsidR="008635AD">
        <w:instrText xml:space="preserve"> REF _Ref48565312 \h </w:instrText>
      </w:r>
      <w:r w:rsidR="008635AD">
        <w:fldChar w:fldCharType="separate"/>
      </w:r>
      <w:r w:rsidR="00235F13">
        <w:t xml:space="preserve">Figure </w:t>
      </w:r>
      <w:r w:rsidR="00235F13">
        <w:rPr>
          <w:noProof/>
        </w:rPr>
        <w:t>9</w:t>
      </w:r>
      <w:r w:rsidR="008635AD">
        <w:fldChar w:fldCharType="end"/>
      </w:r>
      <w:r w:rsidR="008635AD">
        <w:t>)</w:t>
      </w:r>
      <w:r>
        <w:t xml:space="preserve">. </w:t>
      </w:r>
    </w:p>
    <w:p w14:paraId="0495AB43" w14:textId="78E3C368" w:rsidR="00110223" w:rsidRDefault="00110223" w:rsidP="00110223">
      <w:pPr>
        <w:pStyle w:val="BodyText"/>
      </w:pPr>
      <w:r>
        <w:t xml:space="preserve">Compared to most other regions of Australia (e.g. </w:t>
      </w:r>
      <w:r w:rsidR="00854964">
        <w:t>rangeland</w:t>
      </w:r>
      <w:r>
        <w:t xml:space="preserve">s), the NRM cluster areas most likely to </w:t>
      </w:r>
      <w:r w:rsidR="00E80592">
        <w:t xml:space="preserve">support </w:t>
      </w:r>
      <w:r>
        <w:t xml:space="preserve">new plantings have a relatively high potential for production of woody biomass. However, sites with high productivity also present relatively high risks to maintaining this productivity in the face of climate change and providing high biomass and fuel loads for facilitating rapid spread of pest and disease outbreaks and severe fires, respectively. </w:t>
      </w:r>
    </w:p>
    <w:p w14:paraId="7CD7D159" w14:textId="634B2AB2" w:rsidR="00110223" w:rsidRDefault="00110223" w:rsidP="00110223">
      <w:pPr>
        <w:pStyle w:val="BodyText"/>
      </w:pPr>
      <w:r>
        <w:t xml:space="preserve">Another key feature of the NRM cluster areas most likely to </w:t>
      </w:r>
      <w:r w:rsidR="00FB40B0">
        <w:t xml:space="preserve">support </w:t>
      </w:r>
      <w:r>
        <w:t>new plantings are that they are within regions where land use tends to be relatively intensive. Therefore, in addition to the establishment costs, opportunity cost</w:t>
      </w:r>
      <w:r w:rsidR="0014246F">
        <w:t>s</w:t>
      </w:r>
      <w:r>
        <w:t xml:space="preserve"> (e.g. foregone agricultural production) for implementing new plantings is another key factor limiting the extent of uptake of these projects. Climate change risks to the viability of various agricultural enterprises will change the dynamics of this opportunity cost. </w:t>
      </w:r>
    </w:p>
    <w:p w14:paraId="7E874362" w14:textId="2D9C8E0D" w:rsidR="00110223" w:rsidRDefault="00110223" w:rsidP="00110223">
      <w:pPr>
        <w:pStyle w:val="BodyText"/>
      </w:pPr>
      <w:r>
        <w:t>Specific changes in the climatic conditions impacting the vulnerability of new plantings is discussed in detail in the next section. However</w:t>
      </w:r>
      <w:r w:rsidR="00960801">
        <w:t>,</w:t>
      </w:r>
      <w:r>
        <w:t xml:space="preserve"> in general terms, across all NRM clusters in the spatial domain considered (East Coast, Murray Basin, </w:t>
      </w:r>
      <w:r w:rsidR="00D55AC7">
        <w:t xml:space="preserve">Central Slopes, </w:t>
      </w:r>
      <w:r>
        <w:t>Southern Slopes, Southern and South Western Flatlands), future climatic projections up to 2050 suggest average temperatures will continue to increase in all seasons (</w:t>
      </w:r>
      <w:r w:rsidRPr="003C11A8">
        <w:rPr>
          <w:i/>
          <w:iCs/>
        </w:rPr>
        <w:t>very high confidence</w:t>
      </w:r>
      <w:r>
        <w:t>), such that by 2050, under the RCP8.5 and RPC4.5 scenarios, the median project</w:t>
      </w:r>
      <w:r w:rsidR="00F36D4F">
        <w:t>ed</w:t>
      </w:r>
      <w:r>
        <w:t xml:space="preserve"> increase in mean annual temperature is between about 1 to 2 </w:t>
      </w:r>
      <w:r w:rsidRPr="009C77E4">
        <w:rPr>
          <w:vertAlign w:val="superscript"/>
        </w:rPr>
        <w:t>o</w:t>
      </w:r>
      <w:r>
        <w:t xml:space="preserve">C. The highest increases in mean temperature are projected to be in the Central Slopes (particularly in summer and spring), and the lowest in Southern Slopes of Tasmania (East and West). The mean maximum and minimum temperatures are projected to increase at a similar rate to the mean temperature, again with the greatest increases expected for Central Slopes (particularly in summer and spring), and the lowest in Southern Slopes of Tasmania. </w:t>
      </w:r>
    </w:p>
    <w:p w14:paraId="2630F0C7" w14:textId="46301409" w:rsidR="00110223" w:rsidRDefault="00110223" w:rsidP="00110223">
      <w:pPr>
        <w:pStyle w:val="BodyText"/>
      </w:pPr>
      <w:r>
        <w:t>When compared to temperat</w:t>
      </w:r>
      <w:r w:rsidR="00E17290">
        <w:t>ure</w:t>
      </w:r>
      <w:r>
        <w:t>, projected changes in rainfall are less clear in the Central Slopes, East Coast (North and South), Murray Basin and Southern Slopes Vic/NSW (East and West). In these areas n</w:t>
      </w:r>
      <w:r w:rsidRPr="00D94AF8">
        <w:t xml:space="preserve">atural climate variability is projected to remain the major driver of rainfall changes in the next few decades. </w:t>
      </w:r>
      <w:r>
        <w:t>In these regions, m</w:t>
      </w:r>
      <w:r w:rsidRPr="00D94AF8">
        <w:t>odels show a range of results, with little change or decrease being more common</w:t>
      </w:r>
      <w:r>
        <w:t>,</w:t>
      </w:r>
      <w:r w:rsidRPr="00D94AF8">
        <w:t xml:space="preserve"> particularly in winter and spring</w:t>
      </w:r>
      <w:r>
        <w:t xml:space="preserve"> (</w:t>
      </w:r>
      <w:r w:rsidRPr="00A26A18">
        <w:rPr>
          <w:i/>
          <w:iCs/>
        </w:rPr>
        <w:t>medium confidence</w:t>
      </w:r>
      <w:r>
        <w:t>) where the median decrease in rainfall is about between 2 and 10%</w:t>
      </w:r>
      <w:r w:rsidRPr="00552B5D">
        <w:t xml:space="preserve"> </w:t>
      </w:r>
      <w:r>
        <w:t>in the RPC4.5 and RPC8.5 scenarios</w:t>
      </w:r>
      <w:r w:rsidRPr="00D94AF8">
        <w:t>.</w:t>
      </w:r>
      <w:r>
        <w:t xml:space="preserve"> For the Southern and South Western Flatlands (East and West) and the Southern Slopes Tas (East, and particularly West), the projected changes in mean rainfall over the next few decades are for a median decrease within the range of about 2 to 20% in the RPC4.5 and RPC8.5 scenarios. For the Southern and South Western Flatlands, most of the decline in rainfall is in the winter months (median decreases of about 10-15%), whereas in the Southern Slopes Tas, most of the decline in rainfall is in the summer and spring months (median decreases of about 5-10%).</w:t>
      </w:r>
    </w:p>
    <w:p w14:paraId="0B1131FD" w14:textId="46D661C2" w:rsidR="00AF0332" w:rsidRDefault="00AF0332">
      <w:pPr>
        <w:rPr>
          <w:rFonts w:ascii="Calibri" w:eastAsia="Calibri" w:hAnsi="Calibri"/>
          <w:b/>
          <w:bCs/>
          <w:color w:val="007E9A" w:themeColor="accent1" w:themeShade="BF"/>
          <w:sz w:val="20"/>
          <w:szCs w:val="18"/>
        </w:rPr>
      </w:pPr>
    </w:p>
    <w:p w14:paraId="404FD1B6" w14:textId="751C06DA" w:rsidR="00067754" w:rsidRDefault="00A75AC4" w:rsidP="00110223">
      <w:pPr>
        <w:pStyle w:val="BodyText"/>
      </w:pPr>
      <w:r w:rsidRPr="00367DC0">
        <w:rPr>
          <w:noProof/>
        </w:rPr>
        <w:lastRenderedPageBreak/>
        <mc:AlternateContent>
          <mc:Choice Requires="wps">
            <w:drawing>
              <wp:anchor distT="0" distB="0" distL="114300" distR="114300" simplePos="0" relativeHeight="251658275" behindDoc="0" locked="0" layoutInCell="1" allowOverlap="1" wp14:anchorId="6047A2F3" wp14:editId="136D5CB2">
                <wp:simplePos x="0" y="0"/>
                <wp:positionH relativeFrom="margin">
                  <wp:posOffset>-41189</wp:posOffset>
                </wp:positionH>
                <wp:positionV relativeFrom="paragraph">
                  <wp:posOffset>2880755</wp:posOffset>
                </wp:positionV>
                <wp:extent cx="1452880" cy="498144"/>
                <wp:effectExtent l="0" t="0" r="0" b="0"/>
                <wp:wrapNone/>
                <wp:docPr id="1850805827" name="Text Box 1850805827"/>
                <wp:cNvGraphicFramePr/>
                <a:graphic xmlns:a="http://schemas.openxmlformats.org/drawingml/2006/main">
                  <a:graphicData uri="http://schemas.microsoft.com/office/word/2010/wordprocessingShape">
                    <wps:wsp>
                      <wps:cNvSpPr txBox="1"/>
                      <wps:spPr>
                        <a:xfrm>
                          <a:off x="0" y="0"/>
                          <a:ext cx="1452880" cy="498144"/>
                        </a:xfrm>
                        <a:prstGeom prst="rect">
                          <a:avLst/>
                        </a:prstGeom>
                        <a:noFill/>
                        <a:ln w="6350">
                          <a:noFill/>
                        </a:ln>
                      </wps:spPr>
                      <wps:txbx>
                        <w:txbxContent>
                          <w:p w14:paraId="7E046351" w14:textId="20B93F3E"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Southern and SW Flatlands (E)</w:t>
                            </w:r>
                          </w:p>
                          <w:p w14:paraId="096325A5" w14:textId="785A8B36" w:rsidR="00A264AF" w:rsidRPr="00367DC0" w:rsidRDefault="00A264AF" w:rsidP="00367DC0">
                            <w:pPr>
                              <w:rPr>
                                <w:rFonts w:asciiTheme="minorHAnsi" w:hAnsiTheme="minorHAnsi" w:cstheme="minorHAnsi"/>
                                <w:color w:val="262626" w:themeColor="text1" w:themeTint="D9"/>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47A2F3" id="Text Box 1850805827" o:spid="_x0000_s1060" type="#_x0000_t202" style="position:absolute;margin-left:-3.25pt;margin-top:226.85pt;width:114.4pt;height:39.2pt;z-index:25165827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" filled="f" stroked="f" strokeweight=".5pt">
                <v:textbox>
                  <w:txbxContent>
                    <w:p w14:paraId="7E046351" w14:textId="20B93F3E"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Southern and SW Flatlands (E)</w:t>
                      </w:r>
                    </w:p>
                    <w:p w14:paraId="096325A5" w14:textId="785A8B36" w:rsidR="00A264AF" w:rsidRPr="00367DC0" w:rsidRDefault="00A264AF" w:rsidP="00367DC0">
                      <w:pPr>
                        <w:rPr>
                          <w:rFonts w:asciiTheme="minorHAnsi" w:hAnsiTheme="minorHAnsi" w:cstheme="minorHAnsi"/>
                          <w:color w:val="262626" w:themeColor="text1" w:themeTint="D9"/>
                          <w:sz w:val="20"/>
                          <w:szCs w:val="20"/>
                        </w:rPr>
                      </w:pPr>
                    </w:p>
                  </w:txbxContent>
                </v:textbox>
                <w10:wrap anchorx="margin"/>
              </v:shape>
            </w:pict>
          </mc:Fallback>
        </mc:AlternateContent>
      </w:r>
      <w:r w:rsidRPr="00367DC0">
        <w:rPr>
          <w:noProof/>
        </w:rPr>
        <mc:AlternateContent>
          <mc:Choice Requires="wps">
            <w:drawing>
              <wp:anchor distT="0" distB="0" distL="114300" distR="114300" simplePos="0" relativeHeight="251658280" behindDoc="0" locked="0" layoutInCell="1" allowOverlap="1" wp14:anchorId="1663535C" wp14:editId="659CF8E3">
                <wp:simplePos x="0" y="0"/>
                <wp:positionH relativeFrom="column">
                  <wp:posOffset>2035982</wp:posOffset>
                </wp:positionH>
                <wp:positionV relativeFrom="paragraph">
                  <wp:posOffset>3165355</wp:posOffset>
                </wp:positionV>
                <wp:extent cx="1391597" cy="688975"/>
                <wp:effectExtent l="0" t="0" r="0" b="0"/>
                <wp:wrapNone/>
                <wp:docPr id="1850805834" name="Text Box 1850805834"/>
                <wp:cNvGraphicFramePr/>
                <a:graphic xmlns:a="http://schemas.openxmlformats.org/drawingml/2006/main">
                  <a:graphicData uri="http://schemas.microsoft.com/office/word/2010/wordprocessingShape">
                    <wps:wsp>
                      <wps:cNvSpPr txBox="1"/>
                      <wps:spPr>
                        <a:xfrm>
                          <a:off x="0" y="0"/>
                          <a:ext cx="1391597" cy="688975"/>
                        </a:xfrm>
                        <a:prstGeom prst="rect">
                          <a:avLst/>
                        </a:prstGeom>
                        <a:noFill/>
                        <a:ln w="6350">
                          <a:noFill/>
                        </a:ln>
                      </wps:spPr>
                      <wps:txbx>
                        <w:txbxContent>
                          <w:p w14:paraId="1FD88A91" w14:textId="77777777" w:rsidR="00A264AF"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r>
                              <w:rPr>
                                <w:rFonts w:asciiTheme="minorHAnsi" w:hAnsiTheme="minorHAnsi" w:cstheme="minorHAnsi"/>
                                <w:color w:val="262626" w:themeColor="text1" w:themeTint="D9"/>
                                <w:sz w:val="20"/>
                                <w:szCs w:val="20"/>
                              </w:rPr>
                              <w:t>ern Slopes</w:t>
                            </w:r>
                          </w:p>
                          <w:p w14:paraId="3FD10F00" w14:textId="5254F219" w:rsidR="00A264AF" w:rsidRPr="00367DC0" w:rsidRDefault="00A264AF" w:rsidP="00367DC0">
                            <w:pPr>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(Vic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3535C" id="Text Box 1850805834" o:spid="_x0000_s1061" type="#_x0000_t202" style="position:absolute;margin-left:160.3pt;margin-top:249.25pt;width:109.55pt;height:54.2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" filled="f" stroked="f" strokeweight=".5pt">
                <v:textbox>
                  <w:txbxContent>
                    <w:p w14:paraId="1FD88A91" w14:textId="77777777" w:rsidR="00A264AF"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r>
                        <w:rPr>
                          <w:rFonts w:asciiTheme="minorHAnsi" w:hAnsiTheme="minorHAnsi" w:cstheme="minorHAnsi"/>
                          <w:color w:val="262626" w:themeColor="text1" w:themeTint="D9"/>
                          <w:sz w:val="20"/>
                          <w:szCs w:val="20"/>
                        </w:rPr>
                        <w:t>ern Slopes</w:t>
                      </w:r>
                    </w:p>
                    <w:p w14:paraId="3FD10F00" w14:textId="5254F219" w:rsidR="00A264AF" w:rsidRPr="00367DC0" w:rsidRDefault="00A264AF" w:rsidP="00367DC0">
                      <w:pPr>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(Vic West)</w:t>
                      </w:r>
                    </w:p>
                  </w:txbxContent>
                </v:textbox>
              </v:shape>
            </w:pict>
          </mc:Fallback>
        </mc:AlternateContent>
      </w:r>
      <w:r w:rsidR="00367DC0" w:rsidRPr="00367DC0">
        <w:rPr>
          <w:noProof/>
        </w:rPr>
        <mc:AlternateContent>
          <mc:Choice Requires="wps">
            <w:drawing>
              <wp:anchor distT="0" distB="0" distL="114300" distR="114300" simplePos="0" relativeHeight="251658278" behindDoc="0" locked="0" layoutInCell="1" allowOverlap="1" wp14:anchorId="285E2E86" wp14:editId="7804EC76">
                <wp:simplePos x="0" y="0"/>
                <wp:positionH relativeFrom="column">
                  <wp:posOffset>876044</wp:posOffset>
                </wp:positionH>
                <wp:positionV relativeFrom="paragraph">
                  <wp:posOffset>2684656</wp:posOffset>
                </wp:positionV>
                <wp:extent cx="1452880" cy="634621"/>
                <wp:effectExtent l="0" t="0" r="0" b="0"/>
                <wp:wrapNone/>
                <wp:docPr id="1850805831" name="Text Box 1850805831"/>
                <wp:cNvGraphicFramePr/>
                <a:graphic xmlns:a="http://schemas.openxmlformats.org/drawingml/2006/main">
                  <a:graphicData uri="http://schemas.microsoft.com/office/word/2010/wordprocessingShape">
                    <wps:wsp>
                      <wps:cNvSpPr txBox="1"/>
                      <wps:spPr>
                        <a:xfrm>
                          <a:off x="0" y="0"/>
                          <a:ext cx="1452880" cy="634621"/>
                        </a:xfrm>
                        <a:prstGeom prst="rect">
                          <a:avLst/>
                        </a:prstGeom>
                        <a:noFill/>
                        <a:ln w="6350">
                          <a:noFill/>
                        </a:ln>
                      </wps:spPr>
                      <wps:txbx>
                        <w:txbxContent>
                          <w:p w14:paraId="40A70182" w14:textId="19D072EB" w:rsidR="00A264AF" w:rsidRPr="00367DC0" w:rsidRDefault="00A264AF" w:rsidP="00367DC0">
                            <w:pPr>
                              <w:jc w:val="right"/>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Southern and SW Flatlands (W)</w:t>
                            </w:r>
                          </w:p>
                          <w:p w14:paraId="61F1AC5F" w14:textId="77777777" w:rsidR="00A264AF" w:rsidRPr="00367DC0" w:rsidRDefault="00A264AF" w:rsidP="00367DC0">
                            <w:pPr>
                              <w:jc w:val="right"/>
                              <w:rPr>
                                <w:rFonts w:asciiTheme="minorHAnsi" w:hAnsiTheme="minorHAnsi" w:cstheme="minorHAnsi"/>
                                <w:color w:val="262626" w:themeColor="text1" w:themeTint="D9"/>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5E2E86" id="Text Box 1850805831" o:spid="_x0000_s1062" type="#_x0000_t202" style="position:absolute;margin-left:69pt;margin-top:211.4pt;width:114.4pt;height:49.95pt;z-index:2516582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" filled="f" stroked="f" strokeweight=".5pt">
                <v:textbox>
                  <w:txbxContent>
                    <w:p w14:paraId="40A70182" w14:textId="19D072EB" w:rsidR="00A264AF" w:rsidRPr="00367DC0" w:rsidRDefault="00A264AF" w:rsidP="00367DC0">
                      <w:pPr>
                        <w:jc w:val="right"/>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Southern and SW Flatlands (W)</w:t>
                      </w:r>
                    </w:p>
                    <w:p w14:paraId="61F1AC5F" w14:textId="77777777" w:rsidR="00A264AF" w:rsidRPr="00367DC0" w:rsidRDefault="00A264AF" w:rsidP="00367DC0">
                      <w:pPr>
                        <w:jc w:val="right"/>
                        <w:rPr>
                          <w:rFonts w:asciiTheme="minorHAnsi" w:hAnsiTheme="minorHAnsi" w:cstheme="minorHAnsi"/>
                          <w:color w:val="262626" w:themeColor="text1" w:themeTint="D9"/>
                          <w:sz w:val="20"/>
                          <w:szCs w:val="20"/>
                        </w:rPr>
                      </w:pPr>
                    </w:p>
                  </w:txbxContent>
                </v:textbox>
              </v:shape>
            </w:pict>
          </mc:Fallback>
        </mc:AlternateContent>
      </w:r>
      <w:r w:rsidR="00367DC0" w:rsidRPr="00367DC0">
        <w:rPr>
          <w:noProof/>
        </w:rPr>
        <mc:AlternateContent>
          <mc:Choice Requires="wps">
            <w:drawing>
              <wp:anchor distT="0" distB="0" distL="114300" distR="114300" simplePos="0" relativeHeight="251658281" behindDoc="0" locked="0" layoutInCell="1" allowOverlap="1" wp14:anchorId="712F2DAE" wp14:editId="71F2F3AE">
                <wp:simplePos x="0" y="0"/>
                <wp:positionH relativeFrom="column">
                  <wp:posOffset>3790324</wp:posOffset>
                </wp:positionH>
                <wp:positionV relativeFrom="paragraph">
                  <wp:posOffset>2875896</wp:posOffset>
                </wp:positionV>
                <wp:extent cx="1391597" cy="402609"/>
                <wp:effectExtent l="0" t="0" r="0" b="0"/>
                <wp:wrapNone/>
                <wp:docPr id="1850805835" name="Text Box 1850805835"/>
                <wp:cNvGraphicFramePr/>
                <a:graphic xmlns:a="http://schemas.openxmlformats.org/drawingml/2006/main">
                  <a:graphicData uri="http://schemas.microsoft.com/office/word/2010/wordprocessingShape">
                    <wps:wsp>
                      <wps:cNvSpPr txBox="1"/>
                      <wps:spPr>
                        <a:xfrm>
                          <a:off x="0" y="0"/>
                          <a:ext cx="1391597" cy="402609"/>
                        </a:xfrm>
                        <a:prstGeom prst="rect">
                          <a:avLst/>
                        </a:prstGeom>
                        <a:noFill/>
                        <a:ln w="6350">
                          <a:noFill/>
                        </a:ln>
                      </wps:spPr>
                      <wps:txbx>
                        <w:txbxContent>
                          <w:p w14:paraId="5CEE2C00" w14:textId="40921BCE"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r>
                              <w:rPr>
                                <w:rFonts w:asciiTheme="minorHAnsi" w:hAnsiTheme="minorHAnsi" w:cstheme="minorHAnsi"/>
                                <w:color w:val="262626" w:themeColor="text1" w:themeTint="D9"/>
                                <w:sz w:val="20"/>
                                <w:szCs w:val="20"/>
                              </w:rPr>
                              <w:t>ern Slopes (Vic/NSW Eest)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F2DAE" id="Text Box 1850805835" o:spid="_x0000_s1063" type="#_x0000_t202" style="position:absolute;margin-left:298.45pt;margin-top:226.45pt;width:109.55pt;height:31.7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" filled="f" stroked="f" strokeweight=".5pt">
                <v:textbox>
                  <w:txbxContent>
                    <w:p w14:paraId="5CEE2C00" w14:textId="40921BCE"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r>
                        <w:rPr>
                          <w:rFonts w:asciiTheme="minorHAnsi" w:hAnsiTheme="minorHAnsi" w:cstheme="minorHAnsi"/>
                          <w:color w:val="262626" w:themeColor="text1" w:themeTint="D9"/>
                          <w:sz w:val="20"/>
                          <w:szCs w:val="20"/>
                        </w:rPr>
                        <w:t>ern Slopes (Vic/NSW Eest)</w:t>
                      </w:r>
                    </w:p>
                  </w:txbxContent>
                </v:textbox>
              </v:shape>
            </w:pict>
          </mc:Fallback>
        </mc:AlternateContent>
      </w:r>
      <w:r w:rsidR="00367DC0" w:rsidRPr="00367DC0">
        <w:rPr>
          <w:noProof/>
        </w:rPr>
        <mc:AlternateContent>
          <mc:Choice Requires="wps">
            <w:drawing>
              <wp:anchor distT="0" distB="0" distL="114300" distR="114300" simplePos="0" relativeHeight="251658283" behindDoc="0" locked="0" layoutInCell="1" allowOverlap="1" wp14:anchorId="6D130C89" wp14:editId="6976AA26">
                <wp:simplePos x="0" y="0"/>
                <wp:positionH relativeFrom="margin">
                  <wp:posOffset>2019499</wp:posOffset>
                </wp:positionH>
                <wp:positionV relativeFrom="paragraph">
                  <wp:posOffset>3528060</wp:posOffset>
                </wp:positionV>
                <wp:extent cx="1391597" cy="382137"/>
                <wp:effectExtent l="0" t="0" r="0" b="0"/>
                <wp:wrapNone/>
                <wp:docPr id="1850805837" name="Text Box 1850805837"/>
                <wp:cNvGraphicFramePr/>
                <a:graphic xmlns:a="http://schemas.openxmlformats.org/drawingml/2006/main">
                  <a:graphicData uri="http://schemas.microsoft.com/office/word/2010/wordprocessingShape">
                    <wps:wsp>
                      <wps:cNvSpPr txBox="1"/>
                      <wps:spPr>
                        <a:xfrm>
                          <a:off x="0" y="0"/>
                          <a:ext cx="1391597" cy="382137"/>
                        </a:xfrm>
                        <a:prstGeom prst="rect">
                          <a:avLst/>
                        </a:prstGeom>
                        <a:noFill/>
                        <a:ln w="6350">
                          <a:noFill/>
                        </a:ln>
                      </wps:spPr>
                      <wps:txbx>
                        <w:txbxContent>
                          <w:p w14:paraId="076087C4" w14:textId="77777777" w:rsidR="00A264AF" w:rsidRDefault="00A264AF" w:rsidP="00367DC0">
                            <w:pPr>
                              <w:jc w:val="right"/>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r>
                              <w:rPr>
                                <w:rFonts w:asciiTheme="minorHAnsi" w:hAnsiTheme="minorHAnsi" w:cstheme="minorHAnsi"/>
                                <w:color w:val="262626" w:themeColor="text1" w:themeTint="D9"/>
                                <w:sz w:val="20"/>
                                <w:szCs w:val="20"/>
                              </w:rPr>
                              <w:t>ern Slopes</w:t>
                            </w:r>
                          </w:p>
                          <w:p w14:paraId="66ACF230" w14:textId="5AA50292" w:rsidR="00A264AF" w:rsidRPr="00367DC0" w:rsidRDefault="00A264AF" w:rsidP="00367DC0">
                            <w:pPr>
                              <w:jc w:val="right"/>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(Tas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30C89" id="Text Box 1850805837" o:spid="_x0000_s1064" type="#_x0000_t202" style="position:absolute;margin-left:159pt;margin-top:277.8pt;width:109.55pt;height:30.1pt;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" filled="f" stroked="f" strokeweight=".5pt">
                <v:textbox>
                  <w:txbxContent>
                    <w:p w14:paraId="076087C4" w14:textId="77777777" w:rsidR="00A264AF" w:rsidRDefault="00A264AF" w:rsidP="00367DC0">
                      <w:pPr>
                        <w:jc w:val="right"/>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r>
                        <w:rPr>
                          <w:rFonts w:asciiTheme="minorHAnsi" w:hAnsiTheme="minorHAnsi" w:cstheme="minorHAnsi"/>
                          <w:color w:val="262626" w:themeColor="text1" w:themeTint="D9"/>
                          <w:sz w:val="20"/>
                          <w:szCs w:val="20"/>
                        </w:rPr>
                        <w:t>ern Slopes</w:t>
                      </w:r>
                    </w:p>
                    <w:p w14:paraId="66ACF230" w14:textId="5AA50292" w:rsidR="00A264AF" w:rsidRPr="00367DC0" w:rsidRDefault="00A264AF" w:rsidP="00367DC0">
                      <w:pPr>
                        <w:jc w:val="right"/>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(Tas West)</w:t>
                      </w:r>
                    </w:p>
                  </w:txbxContent>
                </v:textbox>
                <w10:wrap anchorx="margin"/>
              </v:shape>
            </w:pict>
          </mc:Fallback>
        </mc:AlternateContent>
      </w:r>
      <w:r w:rsidR="00367DC0" w:rsidRPr="00367DC0">
        <w:rPr>
          <w:noProof/>
        </w:rPr>
        <mc:AlternateContent>
          <mc:Choice Requires="wps">
            <w:drawing>
              <wp:anchor distT="0" distB="0" distL="114300" distR="114300" simplePos="0" relativeHeight="251658282" behindDoc="0" locked="0" layoutInCell="1" allowOverlap="1" wp14:anchorId="0D6B5308" wp14:editId="6327F8DB">
                <wp:simplePos x="0" y="0"/>
                <wp:positionH relativeFrom="margin">
                  <wp:posOffset>3637128</wp:posOffset>
                </wp:positionH>
                <wp:positionV relativeFrom="paragraph">
                  <wp:posOffset>3408898</wp:posOffset>
                </wp:positionV>
                <wp:extent cx="1391597" cy="382137"/>
                <wp:effectExtent l="0" t="0" r="0" b="0"/>
                <wp:wrapNone/>
                <wp:docPr id="1850805836" name="Text Box 1850805836"/>
                <wp:cNvGraphicFramePr/>
                <a:graphic xmlns:a="http://schemas.openxmlformats.org/drawingml/2006/main">
                  <a:graphicData uri="http://schemas.microsoft.com/office/word/2010/wordprocessingShape">
                    <wps:wsp>
                      <wps:cNvSpPr txBox="1"/>
                      <wps:spPr>
                        <a:xfrm>
                          <a:off x="0" y="0"/>
                          <a:ext cx="1391597" cy="382137"/>
                        </a:xfrm>
                        <a:prstGeom prst="rect">
                          <a:avLst/>
                        </a:prstGeom>
                        <a:noFill/>
                        <a:ln w="6350">
                          <a:noFill/>
                        </a:ln>
                      </wps:spPr>
                      <wps:txbx>
                        <w:txbxContent>
                          <w:p w14:paraId="037F49CB" w14:textId="77777777" w:rsidR="00A264AF"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r>
                              <w:rPr>
                                <w:rFonts w:asciiTheme="minorHAnsi" w:hAnsiTheme="minorHAnsi" w:cstheme="minorHAnsi"/>
                                <w:color w:val="262626" w:themeColor="text1" w:themeTint="D9"/>
                                <w:sz w:val="20"/>
                                <w:szCs w:val="20"/>
                              </w:rPr>
                              <w:t>ern Slopes</w:t>
                            </w:r>
                          </w:p>
                          <w:p w14:paraId="4A18D89D" w14:textId="06DDBBEE" w:rsidR="00A264AF" w:rsidRPr="00367DC0" w:rsidRDefault="00A264AF" w:rsidP="00367DC0">
                            <w:pPr>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(Tas 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B5308" id="Text Box 1850805836" o:spid="_x0000_s1065" type="#_x0000_t202" style="position:absolute;margin-left:286.4pt;margin-top:268.4pt;width:109.55pt;height:30.1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" filled="f" stroked="f" strokeweight=".5pt">
                <v:textbox>
                  <w:txbxContent>
                    <w:p w14:paraId="037F49CB" w14:textId="77777777" w:rsidR="00A264AF"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r>
                        <w:rPr>
                          <w:rFonts w:asciiTheme="minorHAnsi" w:hAnsiTheme="minorHAnsi" w:cstheme="minorHAnsi"/>
                          <w:color w:val="262626" w:themeColor="text1" w:themeTint="D9"/>
                          <w:sz w:val="20"/>
                          <w:szCs w:val="20"/>
                        </w:rPr>
                        <w:t>ern Slopes</w:t>
                      </w:r>
                    </w:p>
                    <w:p w14:paraId="4A18D89D" w14:textId="06DDBBEE" w:rsidR="00A264AF" w:rsidRPr="00367DC0" w:rsidRDefault="00A264AF" w:rsidP="00367DC0">
                      <w:pPr>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(Tas East)</w:t>
                      </w:r>
                    </w:p>
                  </w:txbxContent>
                </v:textbox>
                <w10:wrap anchorx="margin"/>
              </v:shape>
            </w:pict>
          </mc:Fallback>
        </mc:AlternateContent>
      </w:r>
      <w:r w:rsidR="00367DC0" w:rsidRPr="00367DC0">
        <w:rPr>
          <w:noProof/>
        </w:rPr>
        <mc:AlternateContent>
          <mc:Choice Requires="wps">
            <w:drawing>
              <wp:anchor distT="0" distB="0" distL="114300" distR="114300" simplePos="0" relativeHeight="251658279" behindDoc="0" locked="0" layoutInCell="1" allowOverlap="1" wp14:anchorId="1A4572BA" wp14:editId="46CDE68F">
                <wp:simplePos x="0" y="0"/>
                <wp:positionH relativeFrom="column">
                  <wp:posOffset>4121311</wp:posOffset>
                </wp:positionH>
                <wp:positionV relativeFrom="paragraph">
                  <wp:posOffset>2134680</wp:posOffset>
                </wp:positionV>
                <wp:extent cx="661670" cy="688975"/>
                <wp:effectExtent l="0" t="0" r="0" b="0"/>
                <wp:wrapNone/>
                <wp:docPr id="1850805833" name="Text Box 1850805833"/>
                <wp:cNvGraphicFramePr/>
                <a:graphic xmlns:a="http://schemas.openxmlformats.org/drawingml/2006/main">
                  <a:graphicData uri="http://schemas.microsoft.com/office/word/2010/wordprocessingShape">
                    <wps:wsp>
                      <wps:cNvSpPr txBox="1"/>
                      <wps:spPr>
                        <a:xfrm>
                          <a:off x="0" y="0"/>
                          <a:ext cx="661670" cy="688975"/>
                        </a:xfrm>
                        <a:prstGeom prst="rect">
                          <a:avLst/>
                        </a:prstGeom>
                        <a:noFill/>
                        <a:ln w="6350">
                          <a:noFill/>
                        </a:ln>
                      </wps:spPr>
                      <wps:txbx>
                        <w:txbxContent>
                          <w:p w14:paraId="65C7B7D7"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East</w:t>
                            </w:r>
                          </w:p>
                          <w:p w14:paraId="39E4ACB7"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Coast</w:t>
                            </w:r>
                          </w:p>
                          <w:p w14:paraId="14C2BAC1" w14:textId="669F6013"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572BA" id="Text Box 1850805833" o:spid="_x0000_s1066" type="#_x0000_t202" style="position:absolute;margin-left:324.5pt;margin-top:168.1pt;width:52.1pt;height:54.2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" filled="f" stroked="f" strokeweight=".5pt">
                <v:textbox>
                  <w:txbxContent>
                    <w:p w14:paraId="65C7B7D7"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East</w:t>
                      </w:r>
                    </w:p>
                    <w:p w14:paraId="39E4ACB7"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Coast</w:t>
                      </w:r>
                    </w:p>
                    <w:p w14:paraId="14C2BAC1" w14:textId="669F6013"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(South)</w:t>
                      </w:r>
                    </w:p>
                  </w:txbxContent>
                </v:textbox>
              </v:shape>
            </w:pict>
          </mc:Fallback>
        </mc:AlternateContent>
      </w:r>
      <w:r w:rsidR="00367DC0" w:rsidRPr="00367DC0">
        <w:rPr>
          <w:noProof/>
        </w:rPr>
        <mc:AlternateContent>
          <mc:Choice Requires="wps">
            <w:drawing>
              <wp:anchor distT="0" distB="0" distL="114300" distR="114300" simplePos="0" relativeHeight="251658277" behindDoc="0" locked="0" layoutInCell="1" allowOverlap="1" wp14:anchorId="424A6D1E" wp14:editId="07D9BA17">
                <wp:simplePos x="0" y="0"/>
                <wp:positionH relativeFrom="column">
                  <wp:posOffset>3917769</wp:posOffset>
                </wp:positionH>
                <wp:positionV relativeFrom="paragraph">
                  <wp:posOffset>1165187</wp:posOffset>
                </wp:positionV>
                <wp:extent cx="661670" cy="688975"/>
                <wp:effectExtent l="0" t="0" r="0" b="0"/>
                <wp:wrapNone/>
                <wp:docPr id="1850805829" name="Text Box 1850805829"/>
                <wp:cNvGraphicFramePr/>
                <a:graphic xmlns:a="http://schemas.openxmlformats.org/drawingml/2006/main">
                  <a:graphicData uri="http://schemas.microsoft.com/office/word/2010/wordprocessingShape">
                    <wps:wsp>
                      <wps:cNvSpPr txBox="1"/>
                      <wps:spPr>
                        <a:xfrm>
                          <a:off x="0" y="0"/>
                          <a:ext cx="661670" cy="688975"/>
                        </a:xfrm>
                        <a:prstGeom prst="rect">
                          <a:avLst/>
                        </a:prstGeom>
                        <a:noFill/>
                        <a:ln w="6350">
                          <a:noFill/>
                        </a:ln>
                      </wps:spPr>
                      <wps:txbx>
                        <w:txbxContent>
                          <w:p w14:paraId="7011F20A"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East</w:t>
                            </w:r>
                          </w:p>
                          <w:p w14:paraId="7B7F4E7C"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Coast</w:t>
                            </w:r>
                          </w:p>
                          <w:p w14:paraId="5DF2D7C4"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(North)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A6D1E" id="Text Box 1850805829" o:spid="_x0000_s1067" type="#_x0000_t202" style="position:absolute;margin-left:308.5pt;margin-top:91.75pt;width:52.1pt;height:54.2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" filled="f" stroked="f" strokeweight=".5pt">
                <v:textbox>
                  <w:txbxContent>
                    <w:p w14:paraId="7011F20A"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East</w:t>
                      </w:r>
                    </w:p>
                    <w:p w14:paraId="7B7F4E7C"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Coast</w:t>
                      </w:r>
                    </w:p>
                    <w:p w14:paraId="5DF2D7C4"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(North)</w:t>
                      </w:r>
                    </w:p>
                  </w:txbxContent>
                </v:textbox>
              </v:shape>
            </w:pict>
          </mc:Fallback>
        </mc:AlternateContent>
      </w:r>
      <w:r w:rsidR="00367DC0" w:rsidRPr="00367DC0">
        <w:rPr>
          <w:noProof/>
        </w:rPr>
        <mc:AlternateContent>
          <mc:Choice Requires="wps">
            <w:drawing>
              <wp:anchor distT="0" distB="0" distL="114300" distR="114300" simplePos="0" relativeHeight="251658276" behindDoc="0" locked="0" layoutInCell="1" allowOverlap="1" wp14:anchorId="249F59CE" wp14:editId="2A6D5F9F">
                <wp:simplePos x="0" y="0"/>
                <wp:positionH relativeFrom="margin">
                  <wp:align>center</wp:align>
                </wp:positionH>
                <wp:positionV relativeFrom="paragraph">
                  <wp:posOffset>1956586</wp:posOffset>
                </wp:positionV>
                <wp:extent cx="1029970" cy="511175"/>
                <wp:effectExtent l="0" t="0" r="0" b="3175"/>
                <wp:wrapNone/>
                <wp:docPr id="1850805828" name="Text Box 1850805828"/>
                <wp:cNvGraphicFramePr/>
                <a:graphic xmlns:a="http://schemas.openxmlformats.org/drawingml/2006/main">
                  <a:graphicData uri="http://schemas.microsoft.com/office/word/2010/wordprocessingShape">
                    <wps:wsp>
                      <wps:cNvSpPr txBox="1"/>
                      <wps:spPr>
                        <a:xfrm>
                          <a:off x="0" y="0"/>
                          <a:ext cx="1029970" cy="511175"/>
                        </a:xfrm>
                        <a:prstGeom prst="rect">
                          <a:avLst/>
                        </a:prstGeom>
                        <a:noFill/>
                        <a:ln w="6350">
                          <a:noFill/>
                        </a:ln>
                      </wps:spPr>
                      <wps:txbx>
                        <w:txbxContent>
                          <w:p w14:paraId="34E0DFF4" w14:textId="77777777" w:rsidR="00A264AF" w:rsidRPr="00367DC0" w:rsidRDefault="00A264AF" w:rsidP="00367DC0">
                            <w:pPr>
                              <w:jc w:val="right"/>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Central</w:t>
                            </w:r>
                          </w:p>
                          <w:p w14:paraId="31FC6A55" w14:textId="77777777" w:rsidR="00A264AF" w:rsidRPr="00367DC0" w:rsidRDefault="00A264AF" w:rsidP="00367DC0">
                            <w:pPr>
                              <w:jc w:val="right"/>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Slopes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F59CE" id="Text Box 1850805828" o:spid="_x0000_s1068" type="#_x0000_t202" style="position:absolute;margin-left:0;margin-top:154.05pt;width:81.1pt;height:40.25pt;z-index:2516582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" filled="f" stroked="f" strokeweight=".5pt">
                <v:textbox>
                  <w:txbxContent>
                    <w:p w14:paraId="34E0DFF4" w14:textId="77777777" w:rsidR="00A264AF" w:rsidRPr="00367DC0" w:rsidRDefault="00A264AF" w:rsidP="00367DC0">
                      <w:pPr>
                        <w:jc w:val="right"/>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Central</w:t>
                      </w:r>
                    </w:p>
                    <w:p w14:paraId="31FC6A55" w14:textId="77777777" w:rsidR="00A264AF" w:rsidRPr="00367DC0" w:rsidRDefault="00A264AF" w:rsidP="00367DC0">
                      <w:pPr>
                        <w:jc w:val="right"/>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Slopes</w:t>
                      </w:r>
                    </w:p>
                  </w:txbxContent>
                </v:textbox>
                <w10:wrap anchorx="margin"/>
              </v:shape>
            </w:pict>
          </mc:Fallback>
        </mc:AlternateContent>
      </w:r>
      <w:r w:rsidR="00367DC0" w:rsidRPr="00367DC0">
        <w:rPr>
          <w:noProof/>
        </w:rPr>
        <mc:AlternateContent>
          <mc:Choice Requires="wps">
            <w:drawing>
              <wp:anchor distT="0" distB="0" distL="114300" distR="114300" simplePos="0" relativeHeight="251658274" behindDoc="0" locked="0" layoutInCell="1" allowOverlap="1" wp14:anchorId="6E3AC905" wp14:editId="3C45E910">
                <wp:simplePos x="0" y="0"/>
                <wp:positionH relativeFrom="column">
                  <wp:posOffset>2976245</wp:posOffset>
                </wp:positionH>
                <wp:positionV relativeFrom="paragraph">
                  <wp:posOffset>2576830</wp:posOffset>
                </wp:positionV>
                <wp:extent cx="1029970" cy="511175"/>
                <wp:effectExtent l="0" t="0" r="0" b="3175"/>
                <wp:wrapNone/>
                <wp:docPr id="1850805826" name="Text Box 1850805826"/>
                <wp:cNvGraphicFramePr/>
                <a:graphic xmlns:a="http://schemas.openxmlformats.org/drawingml/2006/main">
                  <a:graphicData uri="http://schemas.microsoft.com/office/word/2010/wordprocessingShape">
                    <wps:wsp>
                      <wps:cNvSpPr txBox="1"/>
                      <wps:spPr>
                        <a:xfrm>
                          <a:off x="0" y="0"/>
                          <a:ext cx="1029970" cy="511175"/>
                        </a:xfrm>
                        <a:prstGeom prst="rect">
                          <a:avLst/>
                        </a:prstGeom>
                        <a:noFill/>
                        <a:ln w="6350">
                          <a:noFill/>
                        </a:ln>
                      </wps:spPr>
                      <wps:txbx>
                        <w:txbxContent>
                          <w:p w14:paraId="6EAEE2B8"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Murray</w:t>
                            </w:r>
                          </w:p>
                          <w:p w14:paraId="4352555D" w14:textId="3E4B6D5A"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Basin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AC905" id="Text Box 1850805826" o:spid="_x0000_s1069" type="#_x0000_t202" style="position:absolute;margin-left:234.35pt;margin-top:202.9pt;width:81.1pt;height:40.2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" filled="f" stroked="f" strokeweight=".5pt">
                <v:textbox>
                  <w:txbxContent>
                    <w:p w14:paraId="6EAEE2B8" w14:textId="77777777"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Murray</w:t>
                      </w:r>
                    </w:p>
                    <w:p w14:paraId="4352555D" w14:textId="3E4B6D5A" w:rsidR="00A264AF" w:rsidRPr="00367DC0" w:rsidRDefault="00A264AF" w:rsidP="00367DC0">
                      <w:pPr>
                        <w:rPr>
                          <w:rFonts w:asciiTheme="minorHAnsi" w:hAnsiTheme="minorHAnsi" w:cstheme="minorHAnsi"/>
                          <w:color w:val="262626" w:themeColor="text1" w:themeTint="D9"/>
                          <w:sz w:val="20"/>
                          <w:szCs w:val="20"/>
                        </w:rPr>
                      </w:pPr>
                      <w:r w:rsidRPr="00367DC0">
                        <w:rPr>
                          <w:rFonts w:asciiTheme="minorHAnsi" w:hAnsiTheme="minorHAnsi" w:cstheme="minorHAnsi"/>
                          <w:color w:val="262626" w:themeColor="text1" w:themeTint="D9"/>
                          <w:sz w:val="20"/>
                          <w:szCs w:val="20"/>
                        </w:rPr>
                        <w:t>Basin</w:t>
                      </w:r>
                    </w:p>
                  </w:txbxContent>
                </v:textbox>
              </v:shape>
            </w:pict>
          </mc:Fallback>
        </mc:AlternateContent>
      </w:r>
      <w:r w:rsidR="00067754">
        <w:rPr>
          <w:noProof/>
        </w:rPr>
        <w:drawing>
          <wp:inline distT="0" distB="0" distL="0" distR="0" wp14:anchorId="6AD39DBC" wp14:editId="520D9364">
            <wp:extent cx="4299045" cy="383024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05009" cy="3835559"/>
                    </a:xfrm>
                    <a:prstGeom prst="rect">
                      <a:avLst/>
                    </a:prstGeom>
                  </pic:spPr>
                </pic:pic>
              </a:graphicData>
            </a:graphic>
          </wp:inline>
        </w:drawing>
      </w:r>
    </w:p>
    <w:p w14:paraId="3815C597" w14:textId="5E8A5ECF" w:rsidR="0073034F" w:rsidRDefault="0073034F" w:rsidP="00A75AC4">
      <w:pPr>
        <w:pStyle w:val="Caption"/>
        <w:keepNext w:val="0"/>
        <w:widowControl w:val="0"/>
      </w:pPr>
      <w:bookmarkStart w:id="81" w:name="_Ref48565312"/>
      <w:bookmarkStart w:id="82" w:name="_Toc52968239"/>
      <w:r>
        <w:t xml:space="preserve">Figure </w:t>
      </w:r>
      <w:r>
        <w:fldChar w:fldCharType="begin"/>
      </w:r>
      <w:r>
        <w:instrText>SEQ Figure \* ARABIC</w:instrText>
      </w:r>
      <w:r>
        <w:fldChar w:fldCharType="separate"/>
      </w:r>
      <w:r w:rsidR="00235F13">
        <w:rPr>
          <w:noProof/>
        </w:rPr>
        <w:t>9</w:t>
      </w:r>
      <w:r>
        <w:fldChar w:fldCharType="end"/>
      </w:r>
      <w:bookmarkEnd w:id="81"/>
      <w:r>
        <w:t xml:space="preserve">. </w:t>
      </w:r>
      <w:r>
        <w:rPr>
          <w:b w:val="0"/>
          <w:bCs w:val="0"/>
        </w:rPr>
        <w:t>Sub-clusters containing existing ERF projects undertaking new planting activities.</w:t>
      </w:r>
      <w:bookmarkEnd w:id="82"/>
    </w:p>
    <w:p w14:paraId="5417F57A" w14:textId="77777777" w:rsidR="00A75AC4" w:rsidRDefault="00A75AC4" w:rsidP="00110223">
      <w:pPr>
        <w:pStyle w:val="Heading4"/>
      </w:pPr>
    </w:p>
    <w:p w14:paraId="79303EA1" w14:textId="51A8CEF2" w:rsidR="00110223" w:rsidRDefault="00110223" w:rsidP="00110223">
      <w:pPr>
        <w:pStyle w:val="Heading4"/>
      </w:pPr>
      <w:r>
        <w:t>Risk assessment against identified climate impact factors</w:t>
      </w:r>
    </w:p>
    <w:p w14:paraId="4ADF9BE7" w14:textId="7A4DF1C9" w:rsidR="00110223" w:rsidRDefault="00110223" w:rsidP="00110223">
      <w:pPr>
        <w:pStyle w:val="BodyText"/>
        <w:spacing w:after="0"/>
        <w:rPr>
          <w:i/>
          <w:iCs/>
        </w:rPr>
      </w:pPr>
      <w:r>
        <w:rPr>
          <w:i/>
          <w:iCs/>
        </w:rPr>
        <w:t>Factors affecting initial tree establishment and growth</w:t>
      </w:r>
    </w:p>
    <w:p w14:paraId="53C94B7D" w14:textId="77777777" w:rsidR="00110223" w:rsidRDefault="00110223" w:rsidP="000F5F5A">
      <w:pPr>
        <w:pStyle w:val="BodyText"/>
        <w:numPr>
          <w:ilvl w:val="0"/>
          <w:numId w:val="31"/>
        </w:numPr>
        <w:ind w:left="284" w:hanging="284"/>
      </w:pPr>
      <w:r>
        <w:t>Surface soil conditions</w:t>
      </w:r>
    </w:p>
    <w:p w14:paraId="6C61EC99" w14:textId="07DFB01A" w:rsidR="00110223" w:rsidRDefault="00110223" w:rsidP="00E024CA">
      <w:pPr>
        <w:pStyle w:val="BodyText"/>
        <w:ind w:left="284"/>
      </w:pPr>
      <w:r>
        <w:t xml:space="preserve">Low availability of water in the surface soil associated with drought conditions can impact initial tree establishment and growth (e.g. Close and Davidson 2003), and this is discussed in the </w:t>
      </w:r>
      <w:r w:rsidR="000F5F5A">
        <w:t>s</w:t>
      </w:r>
      <w:r>
        <w:t>ection</w:t>
      </w:r>
      <w:r w:rsidR="000F5F5A">
        <w:t xml:space="preserve"> below</w:t>
      </w:r>
      <w:r>
        <w:t xml:space="preserve">. However, </w:t>
      </w:r>
      <w:r w:rsidRPr="00B422D3">
        <w:t xml:space="preserve">the importance of soil moisture storage prior to planting </w:t>
      </w:r>
      <w:r>
        <w:t xml:space="preserve">has been shown to be particularly important </w:t>
      </w:r>
      <w:r w:rsidRPr="00B422D3">
        <w:t>in minimising the risk of failure</w:t>
      </w:r>
      <w:r>
        <w:t xml:space="preserve"> tree plantings</w:t>
      </w:r>
      <w:r w:rsidRPr="00B422D3">
        <w:t xml:space="preserve"> </w:t>
      </w:r>
      <w:r>
        <w:t xml:space="preserve">as it removes the </w:t>
      </w:r>
      <w:r w:rsidRPr="00B422D3">
        <w:t xml:space="preserve">reliance on rainfall </w:t>
      </w:r>
      <w:r>
        <w:t xml:space="preserve">to provide water to the young trees </w:t>
      </w:r>
      <w:r w:rsidRPr="00B422D3">
        <w:t>in a variable</w:t>
      </w:r>
      <w:r>
        <w:t xml:space="preserve"> </w:t>
      </w:r>
      <w:r w:rsidRPr="00B422D3">
        <w:t>climate</w:t>
      </w:r>
      <w:r>
        <w:t xml:space="preserve"> (Huth et al. 2008)</w:t>
      </w:r>
      <w:r w:rsidRPr="00B422D3">
        <w:t xml:space="preserve">. </w:t>
      </w:r>
      <w:r>
        <w:t>Indeed, t</w:t>
      </w:r>
      <w:r w:rsidRPr="00B422D3">
        <w:t>he value of planting moisture for cropping within the eastern grain growing regions of Australia is well understood (Freebairn et al. 1991; Whish et al. 2007)</w:t>
      </w:r>
      <w:r>
        <w:t xml:space="preserve"> and there </w:t>
      </w:r>
      <w:r w:rsidRPr="00B422D3">
        <w:t xml:space="preserve">is no reason </w:t>
      </w:r>
      <w:r>
        <w:t xml:space="preserve">why this would not also apply to tree plantings. </w:t>
      </w:r>
    </w:p>
    <w:p w14:paraId="03BEA2E5" w14:textId="77777777" w:rsidR="00110223" w:rsidRDefault="00110223" w:rsidP="00E024CA">
      <w:pPr>
        <w:pStyle w:val="BodyText"/>
        <w:ind w:left="284"/>
      </w:pPr>
      <w:r>
        <w:t xml:space="preserve">Waterlogging results in </w:t>
      </w:r>
      <w:r w:rsidRPr="007004EF">
        <w:t>insufficient oxygen in the pore space for plant roots to be able to adequately respire</w:t>
      </w:r>
      <w:r>
        <w:t xml:space="preserve">. It has been found to be an important factor influencing the survival and early growth of new tree plantings in southern Australia (e.g. Bell 1999; </w:t>
      </w:r>
      <w:r w:rsidRPr="004F5D5A">
        <w:rPr>
          <w:sz w:val="23"/>
          <w:szCs w:val="23"/>
        </w:rPr>
        <w:t xml:space="preserve">Stephen </w:t>
      </w:r>
      <w:r>
        <w:rPr>
          <w:sz w:val="23"/>
          <w:szCs w:val="23"/>
        </w:rPr>
        <w:t>1</w:t>
      </w:r>
      <w:r w:rsidRPr="004F5D5A">
        <w:rPr>
          <w:sz w:val="23"/>
          <w:szCs w:val="23"/>
        </w:rPr>
        <w:t>994</w:t>
      </w:r>
      <w:r>
        <w:rPr>
          <w:sz w:val="23"/>
          <w:szCs w:val="23"/>
        </w:rPr>
        <w:t xml:space="preserve">; </w:t>
      </w:r>
      <w:r>
        <w:t xml:space="preserve">England et al. 2013). </w:t>
      </w:r>
      <w:r w:rsidRPr="00CE49FA">
        <w:t xml:space="preserve">Waterlogging occurs when the soil profile or the root zone of a plant becomes saturated. In rain-fed situations, this happens when more rain falls than the soil can </w:t>
      </w:r>
      <w:r>
        <w:t xml:space="preserve">be </w:t>
      </w:r>
      <w:r w:rsidRPr="00CE49FA">
        <w:t>absorb</w:t>
      </w:r>
      <w:r>
        <w:t>ed,</w:t>
      </w:r>
      <w:r w:rsidRPr="00CE49FA">
        <w:t xml:space="preserve"> or </w:t>
      </w:r>
      <w:r w:rsidR="00DB4A34">
        <w:t xml:space="preserve">that </w:t>
      </w:r>
      <w:r w:rsidRPr="00CE49FA">
        <w:t>the atmosphere can evaporate.</w:t>
      </w:r>
      <w:r>
        <w:t xml:space="preserve"> </w:t>
      </w:r>
    </w:p>
    <w:p w14:paraId="437BE1AA" w14:textId="7E18835B" w:rsidR="00110223" w:rsidRDefault="00110223" w:rsidP="00E024CA">
      <w:pPr>
        <w:pStyle w:val="BodyText"/>
        <w:ind w:left="284"/>
      </w:pPr>
      <w:r>
        <w:t xml:space="preserve">Saline surface soils also impact growth and survival of tree seedlings in Australia (e.g. Sun and Dickinson 1993; Ritson et al. 2015). Dryland salinity has resulted where land clearing post European settlement meant that a larger proportion of rainfall remains unused by plants and </w:t>
      </w:r>
      <w:r>
        <w:lastRenderedPageBreak/>
        <w:t>enters the groundwater, and so the groundwater tables have risen, dissolving and mobilizing accumulated salts as they do (e.g. Morris and Thomson 1983). Therefore, like waterlogging, the cause of saline surface soils relates to excess water and can thereby be mitigated by periods of low rainfall and high evapotranspiration. Although all Australian states have salinity-affected lands, the Southern and SouthWest Flatlands (West) of Western Australia are the most affected of the Australian agricultural landscapes (Bell 1999).</w:t>
      </w:r>
    </w:p>
    <w:p w14:paraId="028D12A0" w14:textId="5FF66340" w:rsidR="00110223" w:rsidRDefault="00110223" w:rsidP="00E024CA">
      <w:pPr>
        <w:pStyle w:val="BodyText"/>
        <w:ind w:left="284"/>
      </w:pPr>
      <w:r>
        <w:t>In response to climate change in the NRM clusters where most new trees are being established, there is an increased risk that the extent of surface soils with low planting moisture will increase. Conversely there is a decreased risk of waterlogging and, thus, saline surface soils. The change in these risk</w:t>
      </w:r>
      <w:r w:rsidR="0025602F">
        <w:t>s</w:t>
      </w:r>
      <w:r>
        <w:t xml:space="preserve"> are associated with a general drying trend associated with changes to rainfall, evapotranspiration and relative humidity. </w:t>
      </w:r>
    </w:p>
    <w:p w14:paraId="79102BC2" w14:textId="5F2E9327" w:rsidR="00110223" w:rsidRDefault="00110223" w:rsidP="00E024CA">
      <w:pPr>
        <w:pStyle w:val="BodyText"/>
        <w:ind w:left="284"/>
      </w:pPr>
      <w:r>
        <w:t xml:space="preserve">As described above, mean annual rainfall is expected to decrease in many of these NRM clusters. Consistent with this, a projected increase in potential evapotranspiration was also clear and consistent across the entire spatial domain for new planting projects, although the extent of increase for a given cluster NRM region was not related to the extent of increase in the temperate in that region. The median projected increases in potential evapotranspiration were generally between </w:t>
      </w:r>
      <w:r w:rsidR="00DB4A34">
        <w:t>a</w:t>
      </w:r>
      <w:r>
        <w:t>bout 4 and 8%. Although highly uncertain, most of these increases are expected in the winter months, particularly in the Southern Slopes (all</w:t>
      </w:r>
      <w:r w:rsidR="007342C9">
        <w:t xml:space="preserve"> sub-clusters</w:t>
      </w:r>
      <w:r>
        <w:t>) and Murray Basin, w</w:t>
      </w:r>
      <w:r w:rsidR="0052304C">
        <w:t>h</w:t>
      </w:r>
      <w:r>
        <w:t>ere median increases reached between about 7 to 10% for those months. Consistent with the rise in potential evapotranspiration, there was a general (albeit small) decline in relative humidity projected across all clusters.</w:t>
      </w:r>
    </w:p>
    <w:p w14:paraId="4B0DA324" w14:textId="77777777" w:rsidR="00110223" w:rsidRDefault="00110223" w:rsidP="000F5F5A">
      <w:pPr>
        <w:pStyle w:val="BodyText"/>
        <w:numPr>
          <w:ilvl w:val="0"/>
          <w:numId w:val="31"/>
        </w:numPr>
        <w:ind w:left="284" w:hanging="284"/>
      </w:pPr>
      <w:r>
        <w:t>Weeds</w:t>
      </w:r>
    </w:p>
    <w:p w14:paraId="653879D0" w14:textId="05B94864" w:rsidR="00110223" w:rsidRDefault="00110223" w:rsidP="00E024CA">
      <w:pPr>
        <w:pStyle w:val="BodyText"/>
        <w:ind w:left="284"/>
      </w:pPr>
      <w:r>
        <w:t>Until tree seedlings are well established, they are at risk from weeds that compete for water, nutrients and light (Graham et al. 2009;</w:t>
      </w:r>
      <w:r w:rsidRPr="00F76DEA">
        <w:t xml:space="preserve"> </w:t>
      </w:r>
      <w:r>
        <w:t xml:space="preserve">Singh et al. 2010). Weeds are generally invasive species, and traits that promote invasiveness also predispose them to rapid response to climate change (Kriticos et al. 2003; Kriticos et al. 2010). For example, many weed species can thrive with water and nutrient limitations, making them strong competitors for resources in less vigorous plantations. As climate changes, the geographic range of many weed species are expected to change, with range expansions to higher latitudes and elevations as rising temperatures relax cold range boundaries (e.g. </w:t>
      </w:r>
      <w:r w:rsidR="00AB08CC">
        <w:t>L</w:t>
      </w:r>
      <w:r>
        <w:t>antana, McFayen 2008). Indeed, many of Australia’s worse weeds benefit from extreme events, and there is a huge pool of invasive plants available to colonise bare spaces left by drought, fire and storm damage, and wind and flooding waters help spread weeds (e.g. Low 2008).</w:t>
      </w:r>
    </w:p>
    <w:p w14:paraId="42A60351" w14:textId="2591B7E6" w:rsidR="00110223" w:rsidRDefault="00110223" w:rsidP="00E024CA">
      <w:pPr>
        <w:pStyle w:val="BodyText"/>
        <w:ind w:left="284"/>
      </w:pPr>
      <w:r>
        <w:t xml:space="preserve">There may also be increased dispersal and pollination of weeds due to climate change impacts on animals (e.g. </w:t>
      </w:r>
      <w:r w:rsidRPr="007868DF">
        <w:t>Gallagher</w:t>
      </w:r>
      <w:r>
        <w:t xml:space="preserve"> et al. 2006). As invasive animals move into new areas in response to climate change, they may also contribute to increased spread </w:t>
      </w:r>
      <w:r w:rsidR="00DB4A34">
        <w:t xml:space="preserve">of </w:t>
      </w:r>
      <w:r>
        <w:t>weeds and/or create disturbance advantage for weeds. Higher temperatures may increase insects’ breeding cycles and provide more weed pollination.</w:t>
      </w:r>
    </w:p>
    <w:p w14:paraId="75DA23B2" w14:textId="77777777" w:rsidR="00110223" w:rsidRPr="003975CE" w:rsidRDefault="00110223" w:rsidP="00E024CA">
      <w:pPr>
        <w:pStyle w:val="BodyText"/>
        <w:ind w:left="284"/>
      </w:pPr>
      <w:r>
        <w:t>Given weed control is one of the key influences on the cost of establishment of new tree plantings in Australia (Summers et al. 2015), any changes in the vigour of weeds may impact on the economic viability of establishing new carbon plantings. Moreover, weed management is doubly important in such projects because the removal and suppression of weeds are potential sources of emissions (Singh et al. 2010).</w:t>
      </w:r>
    </w:p>
    <w:p w14:paraId="4C986BBC" w14:textId="77777777" w:rsidR="00110223" w:rsidRDefault="00110223" w:rsidP="000F5F5A">
      <w:pPr>
        <w:pStyle w:val="BodyText"/>
        <w:numPr>
          <w:ilvl w:val="0"/>
          <w:numId w:val="31"/>
        </w:numPr>
        <w:ind w:left="284" w:hanging="284"/>
      </w:pPr>
      <w:r>
        <w:lastRenderedPageBreak/>
        <w:t>Frost</w:t>
      </w:r>
    </w:p>
    <w:p w14:paraId="0E69DFBF" w14:textId="5CCB1616" w:rsidR="00110223" w:rsidRDefault="00110223" w:rsidP="00E024CA">
      <w:pPr>
        <w:pStyle w:val="BodyText"/>
        <w:ind w:left="284"/>
      </w:pPr>
      <w:r>
        <w:t>Although frost damage can impact mature tree</w:t>
      </w:r>
      <w:r w:rsidR="00617812">
        <w:t>s</w:t>
      </w:r>
      <w:r>
        <w:t xml:space="preserve">, new growth on young tree plantings are particularly susceptible to frost damage, especially for frost-sensitive species such as </w:t>
      </w:r>
      <w:r w:rsidR="000F5F5A">
        <w:t>s</w:t>
      </w:r>
      <w:r>
        <w:t xml:space="preserve">potted </w:t>
      </w:r>
      <w:r w:rsidR="000F5F5A">
        <w:t>g</w:t>
      </w:r>
      <w:r>
        <w:t>um (Reid 2020). Trees affected by frost</w:t>
      </w:r>
      <w:r w:rsidRPr="006B05F3">
        <w:t xml:space="preserve"> may be killed outright or become predisposed to </w:t>
      </w:r>
      <w:r>
        <w:t>lower growth rates due to leaf death (</w:t>
      </w:r>
      <w:r w:rsidRPr="00811452">
        <w:t>when water inside cells freezes, expands and bursts plant cells</w:t>
      </w:r>
      <w:r>
        <w:t xml:space="preserve">) and/or increased susceptibility of frost-affected leaves to </w:t>
      </w:r>
      <w:r w:rsidRPr="006B05F3">
        <w:t>insect or fungal attack (Inouye, 2000).</w:t>
      </w:r>
    </w:p>
    <w:p w14:paraId="75738439" w14:textId="33E66CAC" w:rsidR="00110223" w:rsidRDefault="00110223" w:rsidP="00E024CA">
      <w:pPr>
        <w:pStyle w:val="BodyText"/>
        <w:ind w:left="284"/>
      </w:pPr>
      <w:r>
        <w:t>The risks of frost damage may decrease with climate change. This is because the number of frost days (below 0</w:t>
      </w:r>
      <w:r w:rsidRPr="00615D69">
        <w:rPr>
          <w:vertAlign w:val="superscript"/>
        </w:rPr>
        <w:t>o</w:t>
      </w:r>
      <w:r>
        <w:t>C) are expected to decrease across the NRM clusters where new planting projects are most likely to be established, with this decrease being most pronounced in the Central Slopes</w:t>
      </w:r>
      <w:r w:rsidRPr="006436F1">
        <w:t xml:space="preserve"> </w:t>
      </w:r>
      <w:r>
        <w:t>and Murray Basin (median decline of about 6 to 8%). However</w:t>
      </w:r>
      <w:r w:rsidR="00226347">
        <w:t>,</w:t>
      </w:r>
      <w:r>
        <w:t xml:space="preserve"> a caveat to this assumption of decrease frost damage is that there is also an increasing trend of dryness, and there is evidence that the extent frost damage increases with d</w:t>
      </w:r>
      <w:r w:rsidRPr="00352374">
        <w:t xml:space="preserve">ryness </w:t>
      </w:r>
      <w:r>
        <w:t>(e.g. Zohar et al. 1981). Moreover, there is also evidence of reduced frost hardening with warmer temperatures (Woldendorp et al. 2008), and that increasing atmospheric CO</w:t>
      </w:r>
      <w:r w:rsidRPr="00074873">
        <w:rPr>
          <w:vertAlign w:val="subscript"/>
        </w:rPr>
        <w:t>2</w:t>
      </w:r>
      <w:r>
        <w:t xml:space="preserve"> may increase frost sensitivity in eucalypts (Barker et al. 2005), with impacts being severe for eucalypt seedling (Lutze et al. 1998).</w:t>
      </w:r>
    </w:p>
    <w:p w14:paraId="209CE2B5" w14:textId="7EC0C6A8" w:rsidR="00110223" w:rsidRDefault="00110223" w:rsidP="000F5F5A">
      <w:pPr>
        <w:pStyle w:val="BodyText"/>
        <w:numPr>
          <w:ilvl w:val="0"/>
          <w:numId w:val="31"/>
        </w:numPr>
        <w:ind w:left="284" w:hanging="284"/>
      </w:pPr>
      <w:r>
        <w:t>Browsing damage</w:t>
      </w:r>
    </w:p>
    <w:p w14:paraId="3DB1F938" w14:textId="34ACB5EE" w:rsidR="00110223" w:rsidRDefault="00110223" w:rsidP="00E024CA">
      <w:pPr>
        <w:pStyle w:val="BodyText"/>
        <w:ind w:left="284"/>
      </w:pPr>
      <w:r w:rsidRPr="00E83677">
        <w:t xml:space="preserve">Browsing damage can be a problem from the time seedlings go into the ground </w:t>
      </w:r>
      <w:r w:rsidR="00A90576">
        <w:t>or</w:t>
      </w:r>
      <w:r w:rsidR="00285A98">
        <w:t xml:space="preserve"> germinate, </w:t>
      </w:r>
      <w:r w:rsidRPr="00E83677">
        <w:t>until they have reached about 1 to 2</w:t>
      </w:r>
      <w:r>
        <w:t xml:space="preserve"> </w:t>
      </w:r>
      <w:r w:rsidRPr="00E83677">
        <w:t>m in height</w:t>
      </w:r>
      <w:r>
        <w:t xml:space="preserve"> (Close and Davison 2003; PFT 2017)</w:t>
      </w:r>
      <w:r w:rsidRPr="00E83677">
        <w:t>.</w:t>
      </w:r>
      <w:r>
        <w:t xml:space="preserve"> Rabbits, hares, deer, kangaroos and wallabies are common browsers of young trees (Reid 2020). Climate change will have an impact on survival of young trees via influencing the population of these browsers. </w:t>
      </w:r>
      <w:r w:rsidRPr="00441F17">
        <w:t>Rabbits</w:t>
      </w:r>
      <w:r>
        <w:t>, for example,</w:t>
      </w:r>
      <w:r w:rsidRPr="00441F17">
        <w:t xml:space="preserve"> are predicted to retreat </w:t>
      </w:r>
      <w:r>
        <w:t>to regions with cooler climates (Low 2008)</w:t>
      </w:r>
      <w:r w:rsidR="00BF2234">
        <w:t xml:space="preserve">. </w:t>
      </w:r>
      <w:r>
        <w:t>Given browsers favour certain trees, they may also impact the species composition of new plantings (Close and Davison 2003).</w:t>
      </w:r>
    </w:p>
    <w:p w14:paraId="34B38DB5" w14:textId="77777777" w:rsidR="00110223" w:rsidRDefault="00110223" w:rsidP="000F5F5A">
      <w:pPr>
        <w:pStyle w:val="BodyText"/>
        <w:numPr>
          <w:ilvl w:val="0"/>
          <w:numId w:val="31"/>
        </w:numPr>
        <w:ind w:left="284" w:hanging="284"/>
      </w:pPr>
      <w:r>
        <w:t>Pests and diseases</w:t>
      </w:r>
    </w:p>
    <w:p w14:paraId="67501645" w14:textId="1D8424CE" w:rsidR="00110223" w:rsidRDefault="00110223" w:rsidP="00E024CA">
      <w:pPr>
        <w:pStyle w:val="BodyText"/>
        <w:ind w:left="284"/>
      </w:pPr>
      <w:r>
        <w:t xml:space="preserve">A number of pests and diseases can reduce establishment and survival of newly planted sites, including leaf chewers, sap suckers and leaf </w:t>
      </w:r>
      <w:r w:rsidR="00ED30BD">
        <w:t>pathogens (</w:t>
      </w:r>
      <w:r>
        <w:t>e</w:t>
      </w:r>
      <w:r w:rsidR="00EC390C">
        <w:t>.</w:t>
      </w:r>
      <w:r>
        <w:t>g</w:t>
      </w:r>
      <w:r w:rsidR="00EC390C">
        <w:t>.</w:t>
      </w:r>
      <w:r>
        <w:t xml:space="preserve"> </w:t>
      </w:r>
      <w:r w:rsidR="005D3F3A" w:rsidRPr="005D3F3A">
        <w:t>Carnegie</w:t>
      </w:r>
      <w:r w:rsidR="005D3F3A">
        <w:t xml:space="preserve"> </w:t>
      </w:r>
      <w:r w:rsidR="005D3F3A" w:rsidRPr="005D3F3A">
        <w:t>and Angel 2005</w:t>
      </w:r>
      <w:r w:rsidR="005D3F3A">
        <w:t xml:space="preserve">; </w:t>
      </w:r>
      <w:r w:rsidR="00764178">
        <w:t xml:space="preserve">Pegg et al. 2009; </w:t>
      </w:r>
      <w:r w:rsidR="005603FC">
        <w:t xml:space="preserve">Loch and Matsuki 2009; </w:t>
      </w:r>
      <w:r w:rsidR="00EC390C">
        <w:t xml:space="preserve">Matsuki </w:t>
      </w:r>
      <w:r w:rsidR="00294837">
        <w:t>and Tovar</w:t>
      </w:r>
      <w:r w:rsidR="006B40D3">
        <w:t xml:space="preserve"> 2012; </w:t>
      </w:r>
      <w:r w:rsidR="00D40822" w:rsidRPr="00D40822">
        <w:t>Walker</w:t>
      </w:r>
      <w:r w:rsidR="00D40822">
        <w:t xml:space="preserve"> </w:t>
      </w:r>
      <w:r w:rsidR="00D40822" w:rsidRPr="00D40822">
        <w:t>and Allen 2013</w:t>
      </w:r>
      <w:r>
        <w:t>)</w:t>
      </w:r>
      <w:r w:rsidR="00BF2234">
        <w:t xml:space="preserve">. </w:t>
      </w:r>
      <w:r>
        <w:t>While some target young plants, many can affect both establishment success and later age growth. The implications of climate change for pests and diseases is discussed in detail below.</w:t>
      </w:r>
    </w:p>
    <w:p w14:paraId="0C96238D" w14:textId="77777777" w:rsidR="00110223" w:rsidRDefault="00110223" w:rsidP="00FF23B8">
      <w:pPr>
        <w:pStyle w:val="BodyText"/>
        <w:spacing w:before="0"/>
        <w:rPr>
          <w:i/>
          <w:iCs/>
        </w:rPr>
      </w:pPr>
      <w:r>
        <w:rPr>
          <w:i/>
          <w:iCs/>
        </w:rPr>
        <w:t>Factors affecting longer-term vegetation growth rates</w:t>
      </w:r>
    </w:p>
    <w:p w14:paraId="76DE8BEC" w14:textId="77777777" w:rsidR="00110223" w:rsidRDefault="00110223">
      <w:pPr>
        <w:pStyle w:val="BodyText"/>
      </w:pPr>
      <w:r>
        <w:t xml:space="preserve">Below we describe three key factors that may impact the longer-term rates of carbon storage in live woody biomass of new tree plantings. However, the impacts on carbon storage in wood products and debris is not always directly related to increases in carbon stored in live woody biomass. These nuances are also discussed below. </w:t>
      </w:r>
    </w:p>
    <w:p w14:paraId="52AAC34F" w14:textId="77777777" w:rsidR="00110223" w:rsidRDefault="00110223" w:rsidP="000F5F5A">
      <w:pPr>
        <w:pStyle w:val="BodyText"/>
        <w:numPr>
          <w:ilvl w:val="0"/>
          <w:numId w:val="31"/>
        </w:numPr>
        <w:ind w:left="284" w:hanging="284"/>
      </w:pPr>
      <w:r>
        <w:t>Persistent increase in mean annual temperature</w:t>
      </w:r>
    </w:p>
    <w:p w14:paraId="7C13A129" w14:textId="4A99420F" w:rsidR="00110223" w:rsidRDefault="00110223" w:rsidP="00E024CA">
      <w:pPr>
        <w:pStyle w:val="BodyText"/>
        <w:ind w:left="284"/>
      </w:pPr>
      <w:r>
        <w:t xml:space="preserve">As described above, mean annual temperature is expected to increase in all NRM clusters where new plantings are expected to predominate. How changes in temperature impacts trees will depend on the change with respect to the optimum range for plant performance (e.g. Cunningham and Read 2006). If mean annual temperature increase </w:t>
      </w:r>
      <w:r w:rsidRPr="00215CBC">
        <w:rPr>
          <w:i/>
          <w:iCs/>
        </w:rPr>
        <w:t>beyond</w:t>
      </w:r>
      <w:r>
        <w:t xml:space="preserve"> a tree species climate envelope (which may extend beyond the current natural distribution), this will restrict </w:t>
      </w:r>
      <w:r>
        <w:lastRenderedPageBreak/>
        <w:t>the long-term growth (Booth and Jovanovic 2002, 2005). Conversely, if temperature increase</w:t>
      </w:r>
      <w:r w:rsidR="00DB4A34">
        <w:t>s</w:t>
      </w:r>
      <w:r>
        <w:t xml:space="preserve"> (particularly in winter) still remain </w:t>
      </w:r>
      <w:r w:rsidRPr="00215CBC">
        <w:rPr>
          <w:i/>
          <w:iCs/>
        </w:rPr>
        <w:t>within</w:t>
      </w:r>
      <w:r>
        <w:t xml:space="preserve"> this range, growth may be promoted through increases in the length of the growing season (Ayres and Lombardero 2000; Booth et al. 20</w:t>
      </w:r>
      <w:r w:rsidR="00C80C0F">
        <w:t>15</w:t>
      </w:r>
      <w:r>
        <w:t xml:space="preserve">) and higher rates of photosynthesis (Hyvonen et al. 2007), and may advance the timing of the spring growth flush. Indirect changes in soil nutrient cycling processes may also be a contributor to these effects (Battaglia et al. 2009; Kirschbaum 2004). </w:t>
      </w:r>
    </w:p>
    <w:p w14:paraId="181A9E94" w14:textId="3C1360CA" w:rsidR="00110223" w:rsidRDefault="00110223" w:rsidP="00E024CA">
      <w:pPr>
        <w:pStyle w:val="BodyText"/>
        <w:ind w:left="284"/>
      </w:pPr>
      <w:r w:rsidRPr="009B47E8">
        <w:t>However,</w:t>
      </w:r>
      <w:r>
        <w:t xml:space="preserve"> increasing dryness may also interact with the</w:t>
      </w:r>
      <w:r w:rsidRPr="009B47E8">
        <w:t xml:space="preserve"> </w:t>
      </w:r>
      <w:r>
        <w:t>optimum range for plant</w:t>
      </w:r>
      <w:r w:rsidR="00CA74E6">
        <w:t xml:space="preserve"> growth</w:t>
      </w:r>
      <w:r w:rsidRPr="009B47E8">
        <w:t xml:space="preserve">. For example, the critical temperature for respiration (Tmax) of </w:t>
      </w:r>
      <w:r w:rsidRPr="006D5D2C">
        <w:rPr>
          <w:i/>
        </w:rPr>
        <w:t>Eucalyptus globulus</w:t>
      </w:r>
      <w:r w:rsidRPr="009B47E8">
        <w:t xml:space="preserve"> increased from 53.5 °C for well-watered plants to 59 °C when plants were water stressed (Gauthier et al. 2014), but the respiration rate at Tmax of water stressed plants was more than double that of well-watered plants. </w:t>
      </w:r>
      <w:r>
        <w:t>Moreover, f</w:t>
      </w:r>
      <w:r w:rsidRPr="009B47E8">
        <w:t>or a range of species, Tmax is on average 10</w:t>
      </w:r>
      <w:r w:rsidR="00DE4C59">
        <w:sym w:font="Symbol" w:char="F0B0"/>
      </w:r>
      <w:r w:rsidRPr="009B47E8">
        <w:t>C greater than the high temperature threshold of Photosystem II, meaning that photosynthesis stops earlier than respiration.</w:t>
      </w:r>
      <w:r>
        <w:t xml:space="preserve"> </w:t>
      </w:r>
      <w:r w:rsidRPr="009B47E8">
        <w:t>Given that respiration releases 6 – 8 times more CO</w:t>
      </w:r>
      <w:r w:rsidRPr="00CA74E6">
        <w:rPr>
          <w:vertAlign w:val="subscript"/>
        </w:rPr>
        <w:t>2</w:t>
      </w:r>
      <w:r w:rsidRPr="009B47E8">
        <w:t xml:space="preserve"> into the atmosphere than does the burning of fossil fuels, with half coming from leaves, even small fractional changes in leaf respiration can have a large impact on ecosystem C cycling (Atkin et al. 2007; Canadell et al. 2007). </w:t>
      </w:r>
    </w:p>
    <w:p w14:paraId="504250D5" w14:textId="21F55F16" w:rsidR="00110223" w:rsidRDefault="00110223" w:rsidP="00E024CA">
      <w:pPr>
        <w:pStyle w:val="BodyText"/>
        <w:ind w:left="284"/>
      </w:pPr>
      <w:r>
        <w:t xml:space="preserve">Where temperature increases associated with climate change alter rates of growth, changes in carbon stored in wood products is not directly proportion to changes in carbon stored in biomass (Pinkard and Bruce 2011). This is because the basic density of wood commonly decreases as growth rate increases (Downes et al. 1997; Drew et al. 2009). Similarly, where temperature increases enhance rates of growth, this does not directly result in increased carbon stored in litter and coarse woody debris. This is because the rates of litter and CWD standing will depend not only on the rates of litter production (and hence, biomass), but also the rates of decomposition. The rates of litter decomposition may also increase within rising temperatures- at least where there is adequate moisture (Shalin and Qiang 2002; Liski et al. 2003). </w:t>
      </w:r>
    </w:p>
    <w:p w14:paraId="756329C3" w14:textId="77777777" w:rsidR="00110223" w:rsidRDefault="00110223" w:rsidP="000F5F5A">
      <w:pPr>
        <w:pStyle w:val="BodyText"/>
        <w:numPr>
          <w:ilvl w:val="0"/>
          <w:numId w:val="31"/>
        </w:numPr>
        <w:ind w:left="284" w:hanging="284"/>
      </w:pPr>
      <w:r>
        <w:t>Persistent increase in water stress</w:t>
      </w:r>
    </w:p>
    <w:p w14:paraId="344EE581" w14:textId="035541D8" w:rsidR="00110223" w:rsidRDefault="00110223" w:rsidP="00E024CA">
      <w:pPr>
        <w:pStyle w:val="BodyText"/>
        <w:ind w:left="284"/>
      </w:pPr>
      <w:r>
        <w:t>The two most established plantation and farm forestry species (</w:t>
      </w:r>
      <w:r w:rsidR="000F5F5A">
        <w:t>b</w:t>
      </w:r>
      <w:r>
        <w:t xml:space="preserve">lue gum and </w:t>
      </w:r>
      <w:r w:rsidR="000F5F5A">
        <w:t>r</w:t>
      </w:r>
      <w:r>
        <w:t>adiata pine) respond to water stress by reducing photosynthesis and stomatal conductance (Thompson and Wheeler 1992; Pinkard et al. 2011; White et al. 2009) and allocation of biomass (</w:t>
      </w:r>
      <w:bookmarkStart w:id="83" w:name="_Hlk49861749"/>
      <w:r>
        <w:t>Raison et al. 1992</w:t>
      </w:r>
      <w:bookmarkEnd w:id="83"/>
      <w:r>
        <w:t>; Pinkard et al. 2011), with these changes resulting in slower rates of growth than occur when water is non-limiting (</w:t>
      </w:r>
      <w:bookmarkStart w:id="84" w:name="_Hlk49861769"/>
      <w:r>
        <w:t>Benson et al. 1992</w:t>
      </w:r>
      <w:bookmarkEnd w:id="84"/>
      <w:r>
        <w:t>). Such s</w:t>
      </w:r>
      <w:r w:rsidR="00BE4C30">
        <w:t>p</w:t>
      </w:r>
      <w:r>
        <w:t>ecies are well adapted to short periods of water stress but are vulnerable to persistent water stress (White et al. 2009; ABARES 2011). Persistent water stress not only affects growth rates, but also the length of the growing season, with well-watered trees maintaining growth throughout winter</w:t>
      </w:r>
      <w:r w:rsidR="0077708A">
        <w:t>,</w:t>
      </w:r>
      <w:r>
        <w:t xml:space="preserve"> unlike drought-affected trees where growth was curtailed (Benson et al. 1992). </w:t>
      </w:r>
    </w:p>
    <w:p w14:paraId="51C75104" w14:textId="6494F704" w:rsidR="00110223" w:rsidRDefault="00110223" w:rsidP="00E024CA">
      <w:pPr>
        <w:pStyle w:val="BodyText"/>
        <w:ind w:left="284"/>
      </w:pPr>
      <w:r>
        <w:t>Decreasing rainfall and increasing potential evapotranspiration will increase water stress, and this will supress the productivity of many tree plantings (Battaglia et al. 2009).</w:t>
      </w:r>
      <w:r w:rsidRPr="009D2B26">
        <w:t xml:space="preserve"> </w:t>
      </w:r>
      <w:r>
        <w:t xml:space="preserve">As described above, there is projected to be a decline in dry season rainfall in the NRM clusters where new plantings predominantly occur. A projected increase in potential evapotranspiration was also clear. The median projected increases in potential evapotranspiration were generally between </w:t>
      </w:r>
      <w:r w:rsidR="0077708A">
        <w:t>a</w:t>
      </w:r>
      <w:r>
        <w:t xml:space="preserve">bout 4 and 8%. Although highly uncertain, most of these increases are expected in the winter months, particularly in the Southern Slopes (all) and Murray Basin, were median increases </w:t>
      </w:r>
      <w:r>
        <w:lastRenderedPageBreak/>
        <w:t>reached between about 7 to 10% for those months. Consistent with the rise in potential evapotranspiration, there was a general (albeit small) decline in relative humidity projected across all clusters.</w:t>
      </w:r>
    </w:p>
    <w:p w14:paraId="3A6982A2" w14:textId="0325CA4B" w:rsidR="00110223" w:rsidRDefault="00110223" w:rsidP="00E024CA">
      <w:pPr>
        <w:pStyle w:val="BodyText"/>
        <w:ind w:left="284"/>
      </w:pPr>
      <w:r>
        <w:t xml:space="preserve">Modelling climate change impacts on percentage changes in forest growth rate in different regions of Australia, ABARES (2011) showed that even within a given region, the predicted impacts varied between species. For example, in the areas simulated within the SouthWest Flatlands West and East Coast South and Murray Basin all key species planted (hardwoods and softwoods) were predicted to decrease growth rates, whereas in the </w:t>
      </w:r>
      <w:r w:rsidRPr="002C0B5C">
        <w:t xml:space="preserve">Southern Slopes Tasmania </w:t>
      </w:r>
      <w:r>
        <w:t xml:space="preserve">(East and </w:t>
      </w:r>
      <w:r w:rsidRPr="002C0B5C">
        <w:t>West</w:t>
      </w:r>
      <w:r>
        <w:t>) East Coast North, the impacts are less severe for most commonly established species (with the exception of radiata pine and flooded gum).</w:t>
      </w:r>
    </w:p>
    <w:p w14:paraId="7CC5525F" w14:textId="4F8605E0" w:rsidR="00110223" w:rsidRDefault="00110223" w:rsidP="00E024CA">
      <w:pPr>
        <w:pStyle w:val="BodyText"/>
        <w:ind w:left="284"/>
      </w:pPr>
      <w:r>
        <w:t>The extent of mortality associated with persistent water stress will be highly influenced by the stocking rate (stems per hectare) at which trees are established (e.g. Singh et al. 2010; Summers et al. 2015). Project proponents planting trees such as mallee eucalypts in the Southern and SouthWest Flatlands West have found that</w:t>
      </w:r>
      <w:r w:rsidR="008A16EB">
        <w:t>,</w:t>
      </w:r>
      <w:r>
        <w:t xml:space="preserve"> regardless of the stocking densities used at establishment, trees self-thinned </w:t>
      </w:r>
      <w:r w:rsidR="00A001B1">
        <w:t xml:space="preserve">over time </w:t>
      </w:r>
      <w:r>
        <w:t xml:space="preserve">to be stocked at about 200-300 sph (Fitzgerald, pers. </w:t>
      </w:r>
      <w:r w:rsidR="00430DD5">
        <w:t>C</w:t>
      </w:r>
      <w:r>
        <w:t xml:space="preserve">om. 2020). Similarly, others have found there is relatively little loss in growth rates when stocking rates are decreased (e.g. from 1200 to 600 stems/ha for </w:t>
      </w:r>
      <w:r w:rsidR="000F5F5A">
        <w:t>b</w:t>
      </w:r>
      <w:r>
        <w:t xml:space="preserve">lue gum) in areas subject to persistent water stress (White et al. 2009). Given costs of mechanical and manual tree plantings are heavily influenced by the stocking rate used (Summers et al. 2015), to ensure projects are as cost effective as possible in the face of continuing dryness, new plantings should only be established at stocking rates that minimise mortality from inter-tree competition for resources, and thus, optimise the carbon sequestration potential based on the sites future carrying capacity. A caveat to this is that in some regions severely impacted by weeds, low stocking rates at establishment may require longer periods of weed control. </w:t>
      </w:r>
    </w:p>
    <w:p w14:paraId="38F5F854" w14:textId="280CB9EF" w:rsidR="00110223" w:rsidRDefault="00110223" w:rsidP="00E024CA">
      <w:pPr>
        <w:pStyle w:val="BodyText"/>
        <w:ind w:left="284"/>
      </w:pPr>
      <w:r>
        <w:t xml:space="preserve">Thinning tree plantings can also increase growth rates in the face of climate change by reducing water stress of remaining trees. Thinning residues left on the ground will decay, however, producing emissions as well as </w:t>
      </w:r>
      <w:r w:rsidR="00E07D9E">
        <w:t xml:space="preserve">increasing </w:t>
      </w:r>
      <w:r>
        <w:t>soil carbon storage (Singh et al. 2010).</w:t>
      </w:r>
    </w:p>
    <w:p w14:paraId="4F44850F" w14:textId="77777777" w:rsidR="00110223" w:rsidRDefault="00110223" w:rsidP="00E024CA">
      <w:pPr>
        <w:pStyle w:val="BodyText"/>
        <w:ind w:left="284"/>
      </w:pPr>
      <w:r>
        <w:t xml:space="preserve">In addition to stocking rates, the extent of mortality associated with persistent water stress will also be influenced by planting configuration. Compared to block planting, linear belts have a larger perimeter to area ratio, resulting in less competition for resources such as water (Paul et al., 2016), and hence several studies have shown linear plantings increase above ground biomass (i.e. carbon sequestration) compared with block planting (Henskens et al., 2001; </w:t>
      </w:r>
      <w:bookmarkStart w:id="85" w:name="_Hlk49861828"/>
      <w:r>
        <w:t>Paul et al., 2015, 2016</w:t>
      </w:r>
      <w:bookmarkEnd w:id="85"/>
      <w:r>
        <w:t>).</w:t>
      </w:r>
    </w:p>
    <w:p w14:paraId="3A199822" w14:textId="77777777" w:rsidR="00110223" w:rsidRDefault="00110223" w:rsidP="000F5F5A">
      <w:pPr>
        <w:pStyle w:val="BodyText"/>
        <w:numPr>
          <w:ilvl w:val="0"/>
          <w:numId w:val="31"/>
        </w:numPr>
        <w:ind w:left="284" w:hanging="284"/>
      </w:pPr>
      <w:r>
        <w:t>Heat stress</w:t>
      </w:r>
    </w:p>
    <w:p w14:paraId="075F39C2" w14:textId="65FF5DEA" w:rsidR="00110223" w:rsidRPr="00835C7B" w:rsidRDefault="00110223" w:rsidP="00E024CA">
      <w:pPr>
        <w:pStyle w:val="BodyText"/>
        <w:ind w:left="284"/>
      </w:pPr>
      <w:r>
        <w:t>Tissue damage and tree mortality can occur following exposure to temperatures above upper thermal limits, and high temperature has been implicated as a contributing factor in a number of global forest mortality events (</w:t>
      </w:r>
      <w:r w:rsidR="006D3260" w:rsidRPr="006D3260">
        <w:t xml:space="preserve">Matusick </w:t>
      </w:r>
      <w:r w:rsidR="006D3260">
        <w:t xml:space="preserve">et al. 2013; </w:t>
      </w:r>
      <w:r>
        <w:t>Mitchell et al. 2014; Allen et al. 2015)</w:t>
      </w:r>
      <w:r w:rsidR="00BF2234">
        <w:t xml:space="preserve">. </w:t>
      </w:r>
      <w:r w:rsidRPr="001F2779">
        <w:t xml:space="preserve">Extreme heat may limit </w:t>
      </w:r>
      <w:r>
        <w:t>tree</w:t>
      </w:r>
      <w:r w:rsidRPr="001F2779">
        <w:t xml:space="preserve"> growth in summer, as observed in European forests by </w:t>
      </w:r>
      <w:bookmarkStart w:id="86" w:name="_Hlk49861876"/>
      <w:r w:rsidRPr="001F2779">
        <w:t>Angert et al. (2005) and Ciais et al. (2005</w:t>
      </w:r>
      <w:bookmarkEnd w:id="86"/>
      <w:r w:rsidRPr="001F2779">
        <w:t xml:space="preserve">). </w:t>
      </w:r>
      <w:r w:rsidR="00C33E4D">
        <w:t>As noted in Sections 3.3.1 and 3.3.2, i</w:t>
      </w:r>
      <w:r w:rsidR="00DD7144">
        <w:t xml:space="preserve">n addition to increasing mortality, heat stress may also </w:t>
      </w:r>
      <w:r w:rsidR="00956A55">
        <w:t xml:space="preserve">decrease long-term carbon storage due to the diversion of resources away from growth </w:t>
      </w:r>
      <w:r w:rsidR="00EE7809">
        <w:t>to heat shock proteins (Bita and Gerats 2013; Teskey et al. 2015)</w:t>
      </w:r>
      <w:r w:rsidR="00792C9E">
        <w:t xml:space="preserve">, </w:t>
      </w:r>
      <w:r w:rsidR="005126E0">
        <w:t xml:space="preserve">particularly when </w:t>
      </w:r>
      <w:r w:rsidR="00F33CFC">
        <w:t>the frequenc</w:t>
      </w:r>
      <w:r w:rsidR="002D773C">
        <w:t>y</w:t>
      </w:r>
      <w:r w:rsidR="00F33CFC">
        <w:t xml:space="preserve"> of heat stress </w:t>
      </w:r>
      <w:r w:rsidR="005F56AB">
        <w:t>is</w:t>
      </w:r>
      <w:r w:rsidR="004228A0">
        <w:t xml:space="preserve"> relatively high compared to the time required for tissue recovery (Curtis et al. 2014)</w:t>
      </w:r>
      <w:r w:rsidR="00BF2234">
        <w:t xml:space="preserve">. </w:t>
      </w:r>
      <w:r w:rsidR="00956A55">
        <w:t xml:space="preserve"> </w:t>
      </w:r>
    </w:p>
    <w:p w14:paraId="4C045954" w14:textId="38BECB5D" w:rsidR="00110223" w:rsidRDefault="00110223" w:rsidP="00E024CA">
      <w:pPr>
        <w:pStyle w:val="BodyText"/>
        <w:ind w:left="284"/>
      </w:pPr>
      <w:r w:rsidRPr="001163A7">
        <w:lastRenderedPageBreak/>
        <w:t>Plants have the capacity to acclimate to varying temperature</w:t>
      </w:r>
      <w:r w:rsidR="00835C7B">
        <w:t>s</w:t>
      </w:r>
      <w:r w:rsidRPr="001163A7">
        <w:t xml:space="preserve">, as illustrated by seasonal variation in thermal limits (Battaglia et al. 1996; </w:t>
      </w:r>
      <w:bookmarkStart w:id="87" w:name="_Hlk49861905"/>
      <w:r w:rsidRPr="001163A7">
        <w:t>O</w:t>
      </w:r>
      <w:r w:rsidR="00430DD5">
        <w:t>’</w:t>
      </w:r>
      <w:r w:rsidRPr="001163A7">
        <w:t>Sullivan et al. 2013</w:t>
      </w:r>
      <w:bookmarkEnd w:id="87"/>
      <w:r w:rsidRPr="001163A7">
        <w:t xml:space="preserve">). This ‘hardening’ to seasonal temperature changes may be enhanced by short periods of exposure to non-optimal temperatures that elicit a range of enduring physiological responses that benefit plants when more extreme conditions occur (Hoffmann et al. 2013; Walter et al. 2013). </w:t>
      </w:r>
      <w:r>
        <w:t>Irrespective of changes in mean annual temperatures, the increases in the frequency and severity of high temperature weather events to which plants have no time to acclimate have a strong influence on species survival and growth, particularly if combined with soil water limitations (</w:t>
      </w:r>
      <w:bookmarkStart w:id="88" w:name="_Hlk49861963"/>
      <w:r>
        <w:t>Allen et al. 2009; Ögren 1994</w:t>
      </w:r>
      <w:bookmarkEnd w:id="88"/>
      <w:r>
        <w:t xml:space="preserve">). High temperatures combined with drought have been implicated in mortality of both </w:t>
      </w:r>
      <w:r w:rsidR="000F5F5A">
        <w:t>b</w:t>
      </w:r>
      <w:r>
        <w:t xml:space="preserve">lue gum and </w:t>
      </w:r>
      <w:r w:rsidR="000F5F5A">
        <w:t>r</w:t>
      </w:r>
      <w:r>
        <w:t>adiata pine plantations (</w:t>
      </w:r>
      <w:bookmarkStart w:id="89" w:name="_Hlk49861976"/>
      <w:r>
        <w:t>Butcher 1976; Ogren and Evans 1992</w:t>
      </w:r>
      <w:bookmarkEnd w:id="89"/>
      <w:r>
        <w:t xml:space="preserve">). Species such as </w:t>
      </w:r>
      <w:r w:rsidR="000F5F5A">
        <w:t>b</w:t>
      </w:r>
      <w:r>
        <w:t xml:space="preserve">lue gum can be damaged or killed by short term exposure to temperatures between 40 – 50 °C, and by longer-term exposure to temperatures as low as 35 – 40 °C, and with little photosynthesis occurring at leaf temperatures more than 30 °C, where leaf temperature can be as much as 10 </w:t>
      </w:r>
      <w:r>
        <w:rPr>
          <w:rFonts w:cs="Calibri"/>
          <w:rtl/>
          <w:lang w:bidi="he-IL"/>
        </w:rPr>
        <w:t>֯</w:t>
      </w:r>
      <w:r>
        <w:t>C higher than air temperature (Macfarlane 1998)</w:t>
      </w:r>
      <w:r w:rsidR="00BF2234">
        <w:t xml:space="preserve">. </w:t>
      </w:r>
    </w:p>
    <w:p w14:paraId="5DE3D5B0" w14:textId="41C519EC" w:rsidR="00110223" w:rsidRDefault="00110223" w:rsidP="00E024CA">
      <w:pPr>
        <w:pStyle w:val="BodyText"/>
        <w:ind w:left="284"/>
      </w:pPr>
      <w:r>
        <w:t xml:space="preserve">In terms of heatwaves (number of days about 35 </w:t>
      </w:r>
      <w:r w:rsidRPr="00615D69">
        <w:rPr>
          <w:vertAlign w:val="superscript"/>
        </w:rPr>
        <w:t>o</w:t>
      </w:r>
      <w:r>
        <w:t>C), all cluster areas had an increase, although this was about 10% for Southern Slopes (all</w:t>
      </w:r>
      <w:r w:rsidR="002B54A7">
        <w:t xml:space="preserve"> sub-clusters</w:t>
      </w:r>
      <w:r>
        <w:t>). The clusters with the largest increases in these heatwaves was clearly the Central Slopes, Murray Basin, East Coast (North) and Southern and South Western Flatlands (West) where the median increases were about 10 to 25%.</w:t>
      </w:r>
    </w:p>
    <w:p w14:paraId="0889A98B" w14:textId="77777777" w:rsidR="00110223" w:rsidRDefault="00110223" w:rsidP="00FF23B8">
      <w:pPr>
        <w:pStyle w:val="BodyText"/>
      </w:pPr>
    </w:p>
    <w:p w14:paraId="2439DC7D" w14:textId="77777777" w:rsidR="00110223" w:rsidRDefault="00110223">
      <w:pPr>
        <w:pStyle w:val="BodyText"/>
      </w:pPr>
      <w:r>
        <w:rPr>
          <w:i/>
          <w:iCs/>
        </w:rPr>
        <w:t>Pests and diseases</w:t>
      </w:r>
    </w:p>
    <w:p w14:paraId="5ACC7A94" w14:textId="0B7C2F39" w:rsidR="00110223" w:rsidRDefault="00110223">
      <w:pPr>
        <w:pStyle w:val="BodyText"/>
      </w:pPr>
      <w:r>
        <w:t>Pest and disease can also have significant effects on productivity of tree plantings (</w:t>
      </w:r>
      <w:bookmarkStart w:id="90" w:name="_Hlk49862069"/>
      <w:r>
        <w:t>Carnegie and Ades 2002; Pinkard et al. 2006b; Rapley et al. 2009; Wardlaw 2001</w:t>
      </w:r>
      <w:bookmarkEnd w:id="90"/>
      <w:r>
        <w:t>). Pest risk is a function of the vigour of the trees, the capacity of the trees to defend themselves against attack, and the abundance of the pest (Pinkard and Bruce 2011). These three aspects are discussed in turn below.</w:t>
      </w:r>
    </w:p>
    <w:p w14:paraId="7187716E" w14:textId="77777777" w:rsidR="00110223" w:rsidRDefault="00110223" w:rsidP="00D01848">
      <w:pPr>
        <w:pStyle w:val="BodyText"/>
        <w:numPr>
          <w:ilvl w:val="0"/>
          <w:numId w:val="31"/>
        </w:numPr>
        <w:ind w:left="284" w:hanging="284"/>
      </w:pPr>
      <w:r>
        <w:t>Vigour of the trees and stand</w:t>
      </w:r>
    </w:p>
    <w:p w14:paraId="741777DA" w14:textId="0278B11B" w:rsidR="00110223" w:rsidRDefault="00110223" w:rsidP="00E024CA">
      <w:pPr>
        <w:pStyle w:val="BodyText"/>
        <w:ind w:left="284"/>
      </w:pPr>
      <w:r>
        <w:t xml:space="preserve">The sorts of impacts of climate change on plantation productivity described above suggest that in many locations host vigour may decline in response to climate change-induced physiological stress. For example, in a modelling exercise </w:t>
      </w:r>
      <w:bookmarkStart w:id="91" w:name="_Hlk49862109"/>
      <w:r>
        <w:t xml:space="preserve">Pinkard et al. (2008) </w:t>
      </w:r>
      <w:bookmarkEnd w:id="91"/>
      <w:r>
        <w:t xml:space="preserve">predicted that the impact of a given level of pest damage would increase under future climates for both </w:t>
      </w:r>
      <w:r w:rsidR="000F5F5A">
        <w:t>b</w:t>
      </w:r>
      <w:r>
        <w:t xml:space="preserve">lue gum and </w:t>
      </w:r>
      <w:r w:rsidR="000F5F5A">
        <w:t>r</w:t>
      </w:r>
      <w:r>
        <w:t>adiata pine, particularly at lower fertility sites or where water was limiting growth of the host.</w:t>
      </w:r>
    </w:p>
    <w:p w14:paraId="435DDFCE" w14:textId="2E485885" w:rsidR="00110223" w:rsidRDefault="00110223" w:rsidP="00E024CA">
      <w:pPr>
        <w:pStyle w:val="BodyText"/>
        <w:ind w:left="284"/>
      </w:pPr>
      <w:r>
        <w:t>For reforestation projects that establish a mix of species, there will be much diversity in species when compared to plantings of a single tree species. This increased diversity of species with</w:t>
      </w:r>
      <w:r w:rsidR="00F74EF3">
        <w:t>in</w:t>
      </w:r>
      <w:r>
        <w:t xml:space="preserve"> a stand provides </w:t>
      </w:r>
      <w:r w:rsidRPr="001446C5">
        <w:t xml:space="preserve">resistance to pests and </w:t>
      </w:r>
      <w:r>
        <w:t>diseases (</w:t>
      </w:r>
      <w:bookmarkStart w:id="92" w:name="_Hlk49862139"/>
      <w:r w:rsidRPr="001446C5">
        <w:t>Old &amp; Stone 2005</w:t>
      </w:r>
      <w:bookmarkEnd w:id="92"/>
      <w:r>
        <w:t>; Singh et al. 2010</w:t>
      </w:r>
      <w:r w:rsidRPr="001446C5">
        <w:t>).</w:t>
      </w:r>
      <w:r>
        <w:t xml:space="preserve"> </w:t>
      </w:r>
    </w:p>
    <w:p w14:paraId="035FB430" w14:textId="77777777" w:rsidR="00110223" w:rsidRDefault="00110223" w:rsidP="00D01848">
      <w:pPr>
        <w:pStyle w:val="BodyText"/>
        <w:numPr>
          <w:ilvl w:val="0"/>
          <w:numId w:val="31"/>
        </w:numPr>
        <w:ind w:left="284" w:hanging="284"/>
      </w:pPr>
      <w:r>
        <w:t>Defence mechanisms</w:t>
      </w:r>
    </w:p>
    <w:p w14:paraId="09903A75" w14:textId="77777777" w:rsidR="00110223" w:rsidRDefault="00110223" w:rsidP="00E024CA">
      <w:pPr>
        <w:pStyle w:val="BodyText"/>
        <w:ind w:left="284"/>
      </w:pPr>
      <w:r>
        <w:t>Plants rely on physical barriers and chemical defence mechanisms to reduce their vulnerability to insects and disease. Specific leaf area, the ratio of leaf area:dry mass, can enhance defence responses to leaf diseases (Smith et al. 2006), and can reduce damage from leaf chewing insects (</w:t>
      </w:r>
      <w:bookmarkStart w:id="93" w:name="_Hlk49862158"/>
      <w:r>
        <w:t>Steinbauer 2001</w:t>
      </w:r>
      <w:bookmarkEnd w:id="93"/>
      <w:r>
        <w:t>). This leaf attribute has been found to decrease in response to elevated CO</w:t>
      </w:r>
      <w:r w:rsidRPr="00456A17">
        <w:rPr>
          <w:vertAlign w:val="subscript"/>
        </w:rPr>
        <w:t>2</w:t>
      </w:r>
      <w:r>
        <w:t xml:space="preserve"> (</w:t>
      </w:r>
      <w:bookmarkStart w:id="94" w:name="_Hlk49862179"/>
      <w:r>
        <w:t>Ayres et al. 2004</w:t>
      </w:r>
      <w:bookmarkEnd w:id="94"/>
      <w:r>
        <w:t>) and water stress (</w:t>
      </w:r>
      <w:bookmarkStart w:id="95" w:name="_Hlk49862191"/>
      <w:r>
        <w:t>Geiger and Thomas 2002</w:t>
      </w:r>
      <w:bookmarkEnd w:id="95"/>
      <w:r>
        <w:t>), which may reduce pest damage to trees.</w:t>
      </w:r>
    </w:p>
    <w:p w14:paraId="3372B9B4" w14:textId="67417F22" w:rsidR="00110223" w:rsidRDefault="00110223" w:rsidP="00E024CA">
      <w:pPr>
        <w:pStyle w:val="BodyText"/>
        <w:ind w:left="284"/>
      </w:pPr>
      <w:r>
        <w:lastRenderedPageBreak/>
        <w:t>There are also interactions between the various risks associated with climate change. For example, fire-damaged or dead trees often become more susceptible to wood-decay fungi and attacks by pests and diseases (see earlier sections), which releases additional greenhouse gases, including methane (Singh et al. 2010).</w:t>
      </w:r>
    </w:p>
    <w:p w14:paraId="534B0109" w14:textId="2C3AE361" w:rsidR="00110223" w:rsidRDefault="00110223" w:rsidP="00E024CA">
      <w:pPr>
        <w:pStyle w:val="BodyText"/>
        <w:ind w:left="284"/>
      </w:pPr>
      <w:r>
        <w:t>Reductions in foliar nitrogen concentrations have been observed experimentally at higher atmospheric CO</w:t>
      </w:r>
      <w:r w:rsidRPr="002635D8">
        <w:rPr>
          <w:vertAlign w:val="subscript"/>
        </w:rPr>
        <w:t>2</w:t>
      </w:r>
      <w:r>
        <w:t xml:space="preserve"> concentrations </w:t>
      </w:r>
      <w:bookmarkStart w:id="96" w:name="_Hlk49862211"/>
      <w:r>
        <w:t>(Ayres and Lombardero 2000; Hunter 200</w:t>
      </w:r>
      <w:r w:rsidR="0032599F">
        <w:t>0</w:t>
      </w:r>
      <w:bookmarkEnd w:id="96"/>
      <w:r>
        <w:t>), and are likely to decrease the survival and fecundity of the insects (</w:t>
      </w:r>
      <w:bookmarkStart w:id="97" w:name="_Hlk49862242"/>
      <w:r>
        <w:t>Lawler et al. 1997</w:t>
      </w:r>
      <w:bookmarkEnd w:id="97"/>
      <w:r>
        <w:t>), and also result in an increase in carbon-rich defence chemicals that may reduce insect damage (</w:t>
      </w:r>
      <w:bookmarkStart w:id="98" w:name="_Hlk49862251"/>
      <w:r>
        <w:t>Ayres et al. 2004</w:t>
      </w:r>
      <w:bookmarkEnd w:id="98"/>
      <w:r>
        <w:t>). However, the positive impacts of increasing temperature on pest may be negated by the negative impacts of persistent water stress. Persistent water stress: (i) decreases the concentrations of defence compounds (</w:t>
      </w:r>
      <w:bookmarkStart w:id="99" w:name="_Hlk49862260"/>
      <w:r>
        <w:t>Ayres and Lombardero 2000; Kainulainen et al. 1998</w:t>
      </w:r>
      <w:bookmarkEnd w:id="99"/>
      <w:r>
        <w:t>); (ii) increases concentrations of compounds</w:t>
      </w:r>
      <w:r w:rsidRPr="00D91A83">
        <w:t xml:space="preserve"> </w:t>
      </w:r>
      <w:r>
        <w:t>such as glucose that favour fungal development (</w:t>
      </w:r>
      <w:bookmarkStart w:id="100" w:name="_Hlk49862278"/>
      <w:r>
        <w:t>Desprez-Loustau et al. 2006</w:t>
      </w:r>
      <w:bookmarkEnd w:id="100"/>
      <w:r>
        <w:t>), and; (iii) changes concentrations of chemical compounds in the stem (Desprez-Loustau et al. 2006; Kainulainen et al. 1998), and facilitates bark and cambial cracks (</w:t>
      </w:r>
      <w:bookmarkStart w:id="101" w:name="_Hlk49862300"/>
      <w:r>
        <w:t>Pook and Forrester 1984</w:t>
      </w:r>
      <w:bookmarkEnd w:id="101"/>
      <w:r>
        <w:t xml:space="preserve">) that increases the susceptibility of plantations to damage from stem borers and bark beetles (Old and Stone 2005). </w:t>
      </w:r>
    </w:p>
    <w:p w14:paraId="7F739D84" w14:textId="5D485D9A" w:rsidR="00110223" w:rsidRDefault="00110223" w:rsidP="00D01848">
      <w:pPr>
        <w:pStyle w:val="BodyText"/>
        <w:numPr>
          <w:ilvl w:val="0"/>
          <w:numId w:val="31"/>
        </w:numPr>
        <w:ind w:left="284" w:hanging="284"/>
      </w:pPr>
      <w:r>
        <w:t xml:space="preserve">Abundance of the pest </w:t>
      </w:r>
    </w:p>
    <w:p w14:paraId="116EDCB3" w14:textId="4E2B17DF" w:rsidR="00110223" w:rsidRDefault="00110223" w:rsidP="00E024CA">
      <w:pPr>
        <w:pStyle w:val="BodyText"/>
        <w:ind w:left="284"/>
      </w:pPr>
      <w:r>
        <w:t>As mean temperatures rise (and particularly where this increases the length of the plantation growing season), many insect species are expected to respond by increasing their number of generations per year and the duration of feeding over the growing season (</w:t>
      </w:r>
      <w:bookmarkStart w:id="102" w:name="_Hlk49862320"/>
      <w:r>
        <w:t>Ohmart and Edwards 1991</w:t>
      </w:r>
      <w:bookmarkEnd w:id="102"/>
      <w:r>
        <w:t>; Ayres and Lombardero 2000). For example, i</w:t>
      </w:r>
      <w:r w:rsidRPr="000F6B5F">
        <w:t>ncreased summer temperatures are likely to accelerate the development rate and reproductive potential of insect pests, while warmer winters will increase over-winter survival (Old &amp; Stone 2005).</w:t>
      </w:r>
      <w:r w:rsidRPr="00C44D9D">
        <w:t xml:space="preserve"> </w:t>
      </w:r>
      <w:r>
        <w:t>However, while increasing winter temperatures may facilitate range expansions of many pests (e.g. to higher altitudes and latitudes), increasing heatwaves in other regions may also limit the species’ ranges (</w:t>
      </w:r>
      <w:bookmarkStart w:id="103" w:name="_Hlk49862360"/>
      <w:r>
        <w:t>Burdon et al. 2006</w:t>
      </w:r>
      <w:bookmarkEnd w:id="103"/>
      <w:r>
        <w:t xml:space="preserve">). The projected warmer and drier climatic conditions in southern Australia are expected to increase the distribution and activity of pine aphid, </w:t>
      </w:r>
      <w:r w:rsidRPr="00126F9A">
        <w:rPr>
          <w:i/>
          <w:iCs/>
        </w:rPr>
        <w:t>Essigella californica</w:t>
      </w:r>
      <w:r>
        <w:t xml:space="preserve"> (Essig); leaf skeletoniser, </w:t>
      </w:r>
      <w:r w:rsidRPr="00126F9A">
        <w:rPr>
          <w:i/>
          <w:iCs/>
        </w:rPr>
        <w:t>Uraba lugens</w:t>
      </w:r>
      <w:r>
        <w:t xml:space="preserve"> Walker; and eucalypt weevil (</w:t>
      </w:r>
      <w:r w:rsidRPr="00126F9A">
        <w:rPr>
          <w:i/>
          <w:iCs/>
        </w:rPr>
        <w:t>Gonipterus scutellatus</w:t>
      </w:r>
      <w:r>
        <w:t xml:space="preserve"> (Gyllenhal) (Pinkard et al., 2008). Warmer climatic conditions are expected to favour reproduction and survival of autumn gum moth, </w:t>
      </w:r>
      <w:r w:rsidRPr="00B63DDE">
        <w:rPr>
          <w:i/>
          <w:iCs/>
        </w:rPr>
        <w:t xml:space="preserve">Mnesampela </w:t>
      </w:r>
      <w:r w:rsidR="00430DD5">
        <w:rPr>
          <w:i/>
          <w:iCs/>
        </w:rPr>
        <w:t>innamo</w:t>
      </w:r>
      <w:r>
        <w:t xml:space="preserve"> (Guenáa) but drier conditions would decrease the undesirable activities of this pest (Pinkard et al., 2008).</w:t>
      </w:r>
    </w:p>
    <w:p w14:paraId="6515695C" w14:textId="170BE93F" w:rsidR="00110223" w:rsidRDefault="00110223" w:rsidP="00E024CA">
      <w:pPr>
        <w:pStyle w:val="BodyText"/>
        <w:ind w:left="284"/>
      </w:pPr>
      <w:r>
        <w:t>The reductions in foliar nitrogen concentrations anticipated with higher atmospheric CO2 concentrations (Ayres and Lombardero 2000; Hunter 2</w:t>
      </w:r>
      <w:r w:rsidR="0067523A">
        <w:t>0</w:t>
      </w:r>
      <w:r>
        <w:t>00) may have differing impacts on pests and disease. It may decrease the survival and fecundity of the insects (Lawler et al. 1997), However, t</w:t>
      </w:r>
      <w:r w:rsidRPr="00B547B2">
        <w:t xml:space="preserve">he resultant change in C:N ratio may result in increased foliage consumption by some </w:t>
      </w:r>
      <w:r>
        <w:t xml:space="preserve">pest </w:t>
      </w:r>
      <w:r w:rsidRPr="00B547B2">
        <w:t xml:space="preserve">species tolerant of low N availability, while others will be inhibited (Old &amp; Stone 2005). </w:t>
      </w:r>
    </w:p>
    <w:p w14:paraId="0177E051" w14:textId="663FAF22" w:rsidR="00110223" w:rsidRDefault="00110223" w:rsidP="00E024CA">
      <w:pPr>
        <w:pStyle w:val="BodyText"/>
        <w:ind w:left="284"/>
      </w:pPr>
      <w:r>
        <w:t xml:space="preserve">In terms of diseases, changes in temperature, rainfall, soil moisture and relative humidity, as well as variability in these factors, all influence spore release and infection processes (e.g. Chakraborty et al. </w:t>
      </w:r>
      <w:r w:rsidR="00D35D5B">
        <w:t>1998</w:t>
      </w:r>
      <w:r>
        <w:t>). For example, i</w:t>
      </w:r>
      <w:r w:rsidRPr="007B346E">
        <w:t xml:space="preserve">n southern Australia, increased frequency of extreme wet and dry periods may increase incidence of the root rot pathogen </w:t>
      </w:r>
      <w:r w:rsidRPr="00A24FBA">
        <w:rPr>
          <w:i/>
        </w:rPr>
        <w:t xml:space="preserve">Phytophthora </w:t>
      </w:r>
      <w:r w:rsidR="00BB4D47">
        <w:rPr>
          <w:i/>
        </w:rPr>
        <w:t>c</w:t>
      </w:r>
      <w:r w:rsidR="00430DD5">
        <w:rPr>
          <w:i/>
        </w:rPr>
        <w:t>innamomic</w:t>
      </w:r>
      <w:r>
        <w:t>.</w:t>
      </w:r>
      <w:r w:rsidRPr="00EC701B">
        <w:t xml:space="preserve"> </w:t>
      </w:r>
      <w:r>
        <w:t>Persistent water stress increases concentrations of compounds</w:t>
      </w:r>
      <w:r w:rsidRPr="00D91A83">
        <w:t xml:space="preserve"> </w:t>
      </w:r>
      <w:r>
        <w:t xml:space="preserve">such as glucose that favour fungal development (Desprez-Loustau et al. 2006). Also, for any diseases where cool </w:t>
      </w:r>
      <w:r>
        <w:lastRenderedPageBreak/>
        <w:t>winter temperatures restrict development, increases in survival during those periods because of increasing mean annual temperatures may result in more rapid disease development at the start of the host growing season (Ayres et al. 2004).</w:t>
      </w:r>
    </w:p>
    <w:p w14:paraId="6EE53A7F" w14:textId="49D9F600" w:rsidR="00110223" w:rsidRDefault="00110223" w:rsidP="00E024CA">
      <w:pPr>
        <w:pStyle w:val="BodyText"/>
        <w:ind w:left="284"/>
      </w:pPr>
      <w:r>
        <w:t xml:space="preserve">Diseased trees will not only sequester less carbon because of a reduction in biomass production, but they are likely to release greenhouse gases (e.g. methane) due to any increase in activity of decay causing microorganisms such as </w:t>
      </w:r>
      <w:r w:rsidRPr="00D1498B">
        <w:rPr>
          <w:i/>
          <w:iCs/>
        </w:rPr>
        <w:t>Armillaria</w:t>
      </w:r>
      <w:r>
        <w:t xml:space="preserve"> spp., </w:t>
      </w:r>
      <w:r w:rsidRPr="00D1498B">
        <w:rPr>
          <w:i/>
          <w:iCs/>
        </w:rPr>
        <w:t>Ganoderma</w:t>
      </w:r>
      <w:r>
        <w:t xml:space="preserve"> spp., </w:t>
      </w:r>
      <w:r w:rsidRPr="00D1498B">
        <w:rPr>
          <w:i/>
          <w:iCs/>
        </w:rPr>
        <w:t>Phelinus</w:t>
      </w:r>
      <w:r>
        <w:t xml:space="preserve"> spp. </w:t>
      </w:r>
      <w:r w:rsidR="00430DD5">
        <w:t>A</w:t>
      </w:r>
      <w:r>
        <w:t xml:space="preserve">nd </w:t>
      </w:r>
      <w:r w:rsidRPr="00D1498B">
        <w:rPr>
          <w:i/>
          <w:iCs/>
        </w:rPr>
        <w:t>Phytophthora</w:t>
      </w:r>
      <w:r>
        <w:t xml:space="preserve"> spp., and stem-rots and butt-rots (</w:t>
      </w:r>
      <w:bookmarkStart w:id="104" w:name="_Hlk49862402"/>
      <w:r>
        <w:t>Tainter &amp; Baker, 1996</w:t>
      </w:r>
      <w:bookmarkEnd w:id="104"/>
      <w:r>
        <w:t>; Singh et al. 2010).</w:t>
      </w:r>
    </w:p>
    <w:p w14:paraId="6B020762" w14:textId="79BE3EF5" w:rsidR="00110223" w:rsidRDefault="00110223" w:rsidP="00ED30BD">
      <w:pPr>
        <w:pStyle w:val="BodyText"/>
      </w:pPr>
      <w:r>
        <w:rPr>
          <w:i/>
          <w:iCs/>
        </w:rPr>
        <w:t>Fire</w:t>
      </w:r>
    </w:p>
    <w:p w14:paraId="47E21989" w14:textId="124966EC" w:rsidR="00110223" w:rsidRDefault="00110223" w:rsidP="00ED30BD">
      <w:pPr>
        <w:pStyle w:val="BodyText"/>
      </w:pPr>
      <w:r>
        <w:t xml:space="preserve">High-intensity wildfires consume large amounts of biomass, leading to large losses of carbon to the atmosphere (e.g. </w:t>
      </w:r>
      <w:bookmarkStart w:id="105" w:name="_Hlk49862429"/>
      <w:r>
        <w:t>Bradshaw et al. 201</w:t>
      </w:r>
      <w:r w:rsidR="00C80C0F">
        <w:t>3</w:t>
      </w:r>
      <w:bookmarkEnd w:id="105"/>
      <w:r>
        <w:t>). Although this carbon may be re-sequestered via post-fire regrowth, burning biomass produces large quantities of potent greenhouse gases such as methane and nitrous oxides (with global warming potentials about 21–25 and 298 times that of CO</w:t>
      </w:r>
      <w:r w:rsidRPr="00A96D2B">
        <w:rPr>
          <w:vertAlign w:val="subscript"/>
        </w:rPr>
        <w:t>2</w:t>
      </w:r>
      <w:r>
        <w:t xml:space="preserve"> over 100 years, respectively). Hence, wildfires pose a significant risk to abatement in new tree plantings, particularly larger plantings that are not dispersed across the landscape (Jenkins et al. 2019). Reducing fire risk will be affected by climate change via its effect on not just weather, but also fuel load. These three factors are discussed in turn below</w:t>
      </w:r>
      <w:r w:rsidR="00BF2234">
        <w:t xml:space="preserve">. </w:t>
      </w:r>
    </w:p>
    <w:p w14:paraId="47FA7C01" w14:textId="77777777" w:rsidR="00110223" w:rsidRDefault="00110223" w:rsidP="00D01848">
      <w:pPr>
        <w:pStyle w:val="BodyText"/>
        <w:numPr>
          <w:ilvl w:val="0"/>
          <w:numId w:val="31"/>
        </w:numPr>
        <w:ind w:left="284" w:hanging="284"/>
      </w:pPr>
      <w:r>
        <w:t>Fire weather</w:t>
      </w:r>
    </w:p>
    <w:p w14:paraId="6F740708" w14:textId="78F2F07E" w:rsidR="00110223" w:rsidRDefault="00110223" w:rsidP="00E024CA">
      <w:pPr>
        <w:pStyle w:val="BodyText"/>
        <w:ind w:left="284"/>
      </w:pPr>
      <w:r>
        <w:t>Reduced rainfall, warmer temperatures and increased incidence of high temperature events are projected to increase forest fire weather risk over much of Australia (</w:t>
      </w:r>
      <w:bookmarkStart w:id="106" w:name="_Hlk49862478"/>
      <w:r>
        <w:t>Booth 2009; Hennessy et al. 2005; Nicholls and Lucas 2007; Pitman et al. 200</w:t>
      </w:r>
      <w:bookmarkEnd w:id="106"/>
      <w:r>
        <w:t>7). Indeed the increase in average fire danger index, or days/year FFDI &gt; High, were generally consistent with increases in projected temperatures, with increases in all cluster areas, but the largest increases being projected in the Central Slopes where the projected increases in temperatures were the greatest. Similarly, the smallest increases were projected for the Southern Slopes Tas</w:t>
      </w:r>
      <w:r w:rsidR="00ED30BD">
        <w:t>mania</w:t>
      </w:r>
      <w:r>
        <w:t xml:space="preserve"> (East and West) where the projected increases in temperatures were the smallest. </w:t>
      </w:r>
    </w:p>
    <w:p w14:paraId="6AC5FB52" w14:textId="75111340" w:rsidR="00110223" w:rsidRDefault="00110223" w:rsidP="00E024CA">
      <w:pPr>
        <w:pStyle w:val="BodyText"/>
        <w:ind w:left="284"/>
      </w:pPr>
      <w:r>
        <w:t xml:space="preserve">Higher temperatures, reduced rainfall and increased vapour pressure deficit are also likely to result in drier fuel (Hennessy et al. 2005; </w:t>
      </w:r>
      <w:bookmarkStart w:id="107" w:name="_Hlk49862506"/>
      <w:r>
        <w:t>Matthews et al. 20</w:t>
      </w:r>
      <w:r w:rsidR="003755B9">
        <w:t>11</w:t>
      </w:r>
      <w:bookmarkEnd w:id="107"/>
      <w:r>
        <w:t>). Matthews et al. (20</w:t>
      </w:r>
      <w:r w:rsidR="003755B9">
        <w:t>11</w:t>
      </w:r>
      <w:r>
        <w:t>)</w:t>
      </w:r>
      <w:r w:rsidR="00E024CA">
        <w:t xml:space="preserve"> </w:t>
      </w:r>
      <w:r>
        <w:t xml:space="preserve"> suggested that this, combined with an increase in the number of days of high fire danger, may increase the length and severity of the fire season and reduce the window for managers of new plantings to use prescribed burning to mitigate the risks from wildfires.</w:t>
      </w:r>
      <w:r w:rsidRPr="003368C6">
        <w:t xml:space="preserve"> </w:t>
      </w:r>
      <w:r>
        <w:t xml:space="preserve">Moreover, projected increases in frequency of </w:t>
      </w:r>
      <w:r w:rsidR="00A64A6A">
        <w:t xml:space="preserve">lower rainfall, and hence, increased frequency of </w:t>
      </w:r>
      <w:r w:rsidR="00325F57">
        <w:t xml:space="preserve">dry lightning </w:t>
      </w:r>
      <w:r>
        <w:t>in some regions may result in increased natural ignition (</w:t>
      </w:r>
      <w:bookmarkStart w:id="108" w:name="_Hlk49862527"/>
      <w:r>
        <w:t>Steffen 2009</w:t>
      </w:r>
      <w:bookmarkEnd w:id="108"/>
      <w:r w:rsidR="00A64A6A">
        <w:t>; Dowdy 2020</w:t>
      </w:r>
      <w:r>
        <w:t xml:space="preserve">). </w:t>
      </w:r>
    </w:p>
    <w:p w14:paraId="74678E94" w14:textId="77777777" w:rsidR="00110223" w:rsidRDefault="00110223" w:rsidP="00D01848">
      <w:pPr>
        <w:pStyle w:val="BodyText"/>
        <w:numPr>
          <w:ilvl w:val="0"/>
          <w:numId w:val="31"/>
        </w:numPr>
        <w:ind w:left="284" w:hanging="284"/>
      </w:pPr>
      <w:r>
        <w:t>Fuel load</w:t>
      </w:r>
    </w:p>
    <w:p w14:paraId="43D5B8CE" w14:textId="70578BA0" w:rsidR="00110223" w:rsidRDefault="00110223" w:rsidP="00E024CA">
      <w:pPr>
        <w:pStyle w:val="BodyText"/>
        <w:ind w:left="284"/>
      </w:pPr>
      <w:r>
        <w:t>As described above, climate change may influence the productivity of new plantings. This will in turn impact fuel load given rates of litterfall and production of litter and CWD are directly related to the productive of the (</w:t>
      </w:r>
      <w:bookmarkStart w:id="109" w:name="_Hlk49862539"/>
      <w:r>
        <w:t>Paul and Polglase 2004</w:t>
      </w:r>
      <w:bookmarkEnd w:id="109"/>
      <w:r>
        <w:t xml:space="preserve">). </w:t>
      </w:r>
    </w:p>
    <w:p w14:paraId="791F862F" w14:textId="3E081880" w:rsidR="00110223" w:rsidRDefault="00110223" w:rsidP="00E024CA">
      <w:pPr>
        <w:pStyle w:val="BodyText"/>
        <w:ind w:left="284"/>
      </w:pPr>
      <w:r>
        <w:t>In addition to influencing the rates of inputs of carbon into the fuel pools, climate change may also influence the rate of loss of carbon from fuel. The increases in leaf C:N ratio that have been observed in a number of species in response to elevated atmospheric CO</w:t>
      </w:r>
      <w:r w:rsidRPr="00FB29ED">
        <w:rPr>
          <w:vertAlign w:val="subscript"/>
        </w:rPr>
        <w:t>2</w:t>
      </w:r>
      <w:r>
        <w:t xml:space="preserve"> concentrations (Ayres and Lombardero 2000; Lawler et al. 1997) may influence litter decomposition rates. </w:t>
      </w:r>
      <w:r>
        <w:lastRenderedPageBreak/>
        <w:t xml:space="preserve">While decomposition of both leaf litter and woody debris is faster at warmer temperatures provided there is adequate moisture (Hyvonen et al. 2008; </w:t>
      </w:r>
      <w:bookmarkStart w:id="110" w:name="_Hlk49862561"/>
      <w:r>
        <w:t>Mackensen et al. 2003</w:t>
      </w:r>
      <w:bookmarkEnd w:id="110"/>
      <w:r>
        <w:t xml:space="preserve">), increased C:N ratios have been shown to decrease litter decomposition rates (Hyvonen et al. 2008). This may further exacerbate fuel build-up. </w:t>
      </w:r>
    </w:p>
    <w:p w14:paraId="496BA0A0" w14:textId="58DA26B5" w:rsidR="00110223" w:rsidRDefault="00110223" w:rsidP="00E024CA">
      <w:pPr>
        <w:pStyle w:val="BodyText"/>
        <w:ind w:left="284"/>
      </w:pPr>
      <w:r>
        <w:t>Plantations with high risk of fire damage will be those that are older given they have a greater build-up of debris (</w:t>
      </w:r>
      <w:bookmarkStart w:id="111" w:name="_Hlk49862582"/>
      <w:r>
        <w:t>Pinkard et al. 2010</w:t>
      </w:r>
      <w:bookmarkEnd w:id="111"/>
      <w:r>
        <w:t>), with a woody weed understorey (</w:t>
      </w:r>
      <w:bookmarkStart w:id="112" w:name="_Hlk49862604"/>
      <w:r>
        <w:t>Geddes 2006</w:t>
      </w:r>
      <w:bookmarkEnd w:id="112"/>
      <w:r>
        <w:t xml:space="preserve">). Although even young plantations are also vulnerable where thinning debris is present. </w:t>
      </w:r>
    </w:p>
    <w:p w14:paraId="5F15FAAB" w14:textId="2947DB28" w:rsidR="00110223" w:rsidRDefault="00110223" w:rsidP="00E024CA">
      <w:pPr>
        <w:pStyle w:val="BodyText"/>
        <w:ind w:left="284"/>
      </w:pPr>
      <w:r>
        <w:t>For plantations and farm forestry plantings of relatively high value (e.g. due to wood production), residues produced post-pruning, thinning or harvesting may be burnt by land managers to reduce the risk of high-intensity wildfires (</w:t>
      </w:r>
      <w:bookmarkStart w:id="113" w:name="_Hlk49862618"/>
      <w:r>
        <w:t>Forestry Plantations Queensland 2009</w:t>
      </w:r>
      <w:bookmarkEnd w:id="113"/>
      <w:r>
        <w:t xml:space="preserve">; Singh et al. 2010). While planned fires (prescribed burning or hazard reduction burning) emit carbon they can be used to reduce the risk of more intense fires (e.g. </w:t>
      </w:r>
      <w:bookmarkStart w:id="114" w:name="_Hlk49862636"/>
      <w:r>
        <w:t>Attiwill &amp; Adams, 2008</w:t>
      </w:r>
      <w:bookmarkEnd w:id="114"/>
      <w:r>
        <w:t xml:space="preserve">). However, questions remain as to whether planned fires results in </w:t>
      </w:r>
      <w:r w:rsidR="00DB2458">
        <w:t>an</w:t>
      </w:r>
      <w:r>
        <w:t xml:space="preserve"> overall decrease in emissions</w:t>
      </w:r>
      <w:r w:rsidR="0044194A">
        <w:t xml:space="preserve"> </w:t>
      </w:r>
      <w:r w:rsidR="00EC4D6E">
        <w:t>(</w:t>
      </w:r>
      <w:r w:rsidR="001368C8">
        <w:t xml:space="preserve">Bradstock et al. 2012; </w:t>
      </w:r>
      <w:r w:rsidR="00EC4D6E">
        <w:t>Volkova et al. 2014)</w:t>
      </w:r>
    </w:p>
    <w:p w14:paraId="1F778DD7" w14:textId="6B37D847" w:rsidR="00110223" w:rsidRDefault="00110223" w:rsidP="00ED30BD">
      <w:pPr>
        <w:pStyle w:val="BodyText"/>
      </w:pPr>
      <w:r>
        <w:rPr>
          <w:i/>
          <w:iCs/>
        </w:rPr>
        <w:t>Drought</w:t>
      </w:r>
    </w:p>
    <w:p w14:paraId="48893870" w14:textId="6B2D018A" w:rsidR="00110223" w:rsidRPr="008846A9" w:rsidRDefault="00110223" w:rsidP="00ED30BD">
      <w:pPr>
        <w:pStyle w:val="BodyText"/>
      </w:pPr>
      <w:r>
        <w:t xml:space="preserve">Although some species (e.g. </w:t>
      </w:r>
      <w:r w:rsidR="00D01848">
        <w:t>s</w:t>
      </w:r>
      <w:r>
        <w:t xml:space="preserve">ugar gum; </w:t>
      </w:r>
      <w:r w:rsidRPr="005E6749">
        <w:rPr>
          <w:i/>
        </w:rPr>
        <w:t>Eucalyptus cladocalyx</w:t>
      </w:r>
      <w:r>
        <w:t xml:space="preserve">) have relatively high drought tolerance, many (e.g. </w:t>
      </w:r>
      <w:r w:rsidR="000F5F5A">
        <w:t>b</w:t>
      </w:r>
      <w:r>
        <w:t>lue gums) are suspectable to drought, with severe water stress resulting in premature leaf senescence and xylem embolism that can then result in tree mortality (Dutkowski 1995; White et al. 2009).</w:t>
      </w:r>
    </w:p>
    <w:p w14:paraId="5346F787" w14:textId="60DE8947" w:rsidR="00110223" w:rsidRPr="00024FBD" w:rsidRDefault="00110223" w:rsidP="00ED30BD">
      <w:pPr>
        <w:pStyle w:val="BodyText"/>
      </w:pPr>
      <w:r>
        <w:t>Droughts (%</w:t>
      </w:r>
      <w:r w:rsidR="00AD5CB9">
        <w:t xml:space="preserve"> </w:t>
      </w:r>
      <w:r>
        <w:t>change in time in drought, or change in droughts/20yrs, or extreme drought duration) were projected to increase across all clusters when considering median changes to 2050, with the most pronounced increases projected for the South Western Flatlands (East, and particularly West). Apart from these clusters, most other clusters had some chance of droughts decreasing (albeit relatively small compared to the change of increase)- particularly in the Central Slopes and East Coast (North and South).</w:t>
      </w:r>
    </w:p>
    <w:p w14:paraId="6492E3E3" w14:textId="77777777" w:rsidR="00110223" w:rsidRDefault="00110223" w:rsidP="00110223">
      <w:pPr>
        <w:pStyle w:val="BodyText"/>
      </w:pPr>
      <w:r>
        <w:t>Impacts of drought on productivity of tree plantings can be exacerbated by warmer temperatures and heat stress. A number of mortality events in forests have been linked to drought stress combined with a period of hot weather (</w:t>
      </w:r>
      <w:bookmarkStart w:id="115" w:name="_Hlk49862689"/>
      <w:r>
        <w:t>Groom et al. 2004</w:t>
      </w:r>
      <w:bookmarkEnd w:id="115"/>
      <w:r>
        <w:t>; Mitchell et al. 2014). The projected increases in drought conditions and heatwaves suggest that there will be an increased risk of mortality in Australia’s plantations under future climatic conditions.</w:t>
      </w:r>
    </w:p>
    <w:p w14:paraId="723D603E" w14:textId="77777777" w:rsidR="00110223" w:rsidRDefault="00110223" w:rsidP="00110223">
      <w:pPr>
        <w:pStyle w:val="BodyText"/>
      </w:pPr>
      <w:r>
        <w:rPr>
          <w:i/>
          <w:iCs/>
        </w:rPr>
        <w:t>Flooding</w:t>
      </w:r>
      <w:r w:rsidRPr="002472D2">
        <w:t xml:space="preserve"> </w:t>
      </w:r>
    </w:p>
    <w:p w14:paraId="37A21021" w14:textId="77777777" w:rsidR="00110223" w:rsidRDefault="00110223" w:rsidP="00110223">
      <w:pPr>
        <w:pStyle w:val="BodyText"/>
      </w:pPr>
      <w:r>
        <w:t>Flood damage can influence the long-term viability of new plantings in riparian zones. This may include damage to fences around the plantings, and/or burial of seedlings by sediment (</w:t>
      </w:r>
      <w:bookmarkStart w:id="116" w:name="_Hlk49862717"/>
      <w:r>
        <w:t>Wedd and Erskine 2003</w:t>
      </w:r>
      <w:bookmarkEnd w:id="116"/>
      <w:r>
        <w:t>). It may also facilitate increased soil erosion.</w:t>
      </w:r>
    </w:p>
    <w:p w14:paraId="5F518127" w14:textId="664CD338" w:rsidR="00110223" w:rsidRDefault="00110223" w:rsidP="00110223">
      <w:pPr>
        <w:pStyle w:val="BodyText"/>
      </w:pPr>
      <w:r>
        <w:t>In terms of flooding potential (number of days per year &gt; 99.9</w:t>
      </w:r>
      <w:r w:rsidRPr="00B60CF9">
        <w:rPr>
          <w:vertAlign w:val="superscript"/>
        </w:rPr>
        <w:t>th</w:t>
      </w:r>
      <w:r>
        <w:t xml:space="preserve"> </w:t>
      </w:r>
      <w:r w:rsidR="007B4B69">
        <w:t>percentile</w:t>
      </w:r>
      <w:r>
        <w:t xml:space="preserve"> rainfall), there was a generally projected increase across all clusters. The largest increases (median 0.4-0.5 days) was fond in the Southern Slopes Tas (West), and the smallest increases (median &lt;0.1 days) was found in the Southern and South Western Flatlands (West). </w:t>
      </w:r>
    </w:p>
    <w:p w14:paraId="54D493BA" w14:textId="77777777" w:rsidR="00110223" w:rsidRDefault="00110223" w:rsidP="00110223">
      <w:pPr>
        <w:pStyle w:val="BodyText"/>
        <w:rPr>
          <w:i/>
          <w:iCs/>
        </w:rPr>
      </w:pPr>
      <w:r>
        <w:rPr>
          <w:i/>
          <w:iCs/>
        </w:rPr>
        <w:t>Storm Damage</w:t>
      </w:r>
    </w:p>
    <w:p w14:paraId="7A34293F" w14:textId="77777777" w:rsidR="00110223" w:rsidRDefault="00110223" w:rsidP="00110223">
      <w:pPr>
        <w:pStyle w:val="BodyText"/>
      </w:pPr>
      <w:r>
        <w:t xml:space="preserve">Strong wind events can result in extensive damage to tree plantings, including stem breakage and uprooting (Wood et al. 2008). Plantations are particularly vulnerable to wind damage following </w:t>
      </w:r>
      <w:r>
        <w:lastRenderedPageBreak/>
        <w:t xml:space="preserve">thinning (Wood et al. 2008). As well as direct damage, there can be indirect effects such as damage to surrounding trees and pest incursions associated with that damage. </w:t>
      </w:r>
    </w:p>
    <w:p w14:paraId="3E1F5E8E" w14:textId="115A054E" w:rsidR="00110223" w:rsidRDefault="00110223" w:rsidP="00110223">
      <w:pPr>
        <w:pStyle w:val="BodyText"/>
      </w:pPr>
      <w:r>
        <w:t xml:space="preserve">In the NRM cluster areas where new plantings are expected, projected changes in mean annual windspeed </w:t>
      </w:r>
      <w:r w:rsidR="007F2B40">
        <w:t>are</w:t>
      </w:r>
      <w:r>
        <w:t xml:space="preserve"> relatively small (median change &lt; about </w:t>
      </w:r>
      <w:r>
        <w:rPr>
          <w:rFonts w:cs="Calibri"/>
        </w:rPr>
        <w:t>±2%). The only clear projections in windspeed were found in S</w:t>
      </w:r>
      <w:r>
        <w:t xml:space="preserve">outhern Slopes Tas (East and West) where windspeed was projected to increase (median increase of about 2 to 4%). </w:t>
      </w:r>
    </w:p>
    <w:p w14:paraId="547B536A" w14:textId="0E130BF1" w:rsidR="00110223" w:rsidRDefault="00110223" w:rsidP="00110223">
      <w:pPr>
        <w:pStyle w:val="BodyText"/>
      </w:pPr>
      <w:r>
        <w:t>Although windspeed may not substantially increase by 2050, nevertheless, elevated CO</w:t>
      </w:r>
      <w:r w:rsidRPr="00363E5D">
        <w:rPr>
          <w:vertAlign w:val="subscript"/>
        </w:rPr>
        <w:t>2</w:t>
      </w:r>
      <w:r>
        <w:t xml:space="preserve"> studies suggest that forests of the future may have larger crowns, greater leaf mass and reduced coarse root biomass than now (</w:t>
      </w:r>
      <w:bookmarkStart w:id="117" w:name="_Hlk49862756"/>
      <w:r>
        <w:t>Ainsworth and Long 2005; Long et al. 2004</w:t>
      </w:r>
      <w:bookmarkEnd w:id="117"/>
      <w:r>
        <w:t>), as well as lower-density wood (</w:t>
      </w:r>
      <w:bookmarkStart w:id="118" w:name="_Hlk49862769"/>
      <w:r>
        <w:t>Yazaki et al. 2005</w:t>
      </w:r>
      <w:bookmarkEnd w:id="118"/>
      <w:r>
        <w:t xml:space="preserve">). These changes may increase vulnerability of new tree plantings to wind damage. </w:t>
      </w:r>
    </w:p>
    <w:p w14:paraId="05B048F7" w14:textId="3C5717E8" w:rsidR="00110223" w:rsidRPr="00E3677C" w:rsidRDefault="00110223" w:rsidP="00110223">
      <w:pPr>
        <w:pStyle w:val="BodyText"/>
        <w:rPr>
          <w:i/>
          <w:iCs/>
        </w:rPr>
      </w:pPr>
      <w:r w:rsidRPr="00E3677C">
        <w:rPr>
          <w:i/>
          <w:iCs/>
        </w:rPr>
        <w:t>Other carbon pools</w:t>
      </w:r>
    </w:p>
    <w:p w14:paraId="56EBE92C" w14:textId="77777777" w:rsidR="00110223" w:rsidRDefault="00110223" w:rsidP="00110223">
      <w:pPr>
        <w:pStyle w:val="BodyText"/>
      </w:pPr>
      <w:r>
        <w:t>The soil organic carbon (SOC) pools are not accounted for in any of the ERF methodologies for new forests. Nevertheless, SOC is an important component of the global carbon cycle since it represents twice the amount of carbon found in the atmosphere and about 75 % of the total terrestrial organic carbon pool (</w:t>
      </w:r>
      <w:bookmarkStart w:id="119" w:name="_Hlk49862792"/>
      <w:r>
        <w:t>Prentice 2001</w:t>
      </w:r>
      <w:bookmarkEnd w:id="119"/>
      <w:r>
        <w:t>).</w:t>
      </w:r>
      <w:r w:rsidRPr="00420F47">
        <w:t xml:space="preserve"> </w:t>
      </w:r>
      <w:r>
        <w:t>We know that SOC stocks increase following the establishment of new trees on ex-agricultural land, with average rates of sequestration between 0.02-1.8 Mg C ha</w:t>
      </w:r>
      <w:r w:rsidRPr="00DE7DAF">
        <w:rPr>
          <w:vertAlign w:val="superscript"/>
        </w:rPr>
        <w:t>-1</w:t>
      </w:r>
      <w:r>
        <w:t xml:space="preserve"> yr</w:t>
      </w:r>
      <w:r w:rsidRPr="00DE7DAF">
        <w:rPr>
          <w:vertAlign w:val="superscript"/>
        </w:rPr>
        <w:t>-1</w:t>
      </w:r>
      <w:r>
        <w:t>, depending on the region (</w:t>
      </w:r>
      <w:bookmarkStart w:id="120" w:name="_Hlk49862807"/>
      <w:r>
        <w:t>Paul et al. 2018</w:t>
      </w:r>
      <w:bookmarkEnd w:id="120"/>
      <w:r>
        <w:t>), and tended to be highest in regions of relatively high rainfall, particularly on ex-cropland (</w:t>
      </w:r>
      <w:bookmarkStart w:id="121" w:name="_Hlk49862830"/>
      <w:r>
        <w:t>England et al. 2016</w:t>
      </w:r>
      <w:bookmarkEnd w:id="121"/>
      <w:r>
        <w:t xml:space="preserve">). </w:t>
      </w:r>
    </w:p>
    <w:p w14:paraId="335D14BA" w14:textId="48E36446" w:rsidR="00110223" w:rsidRDefault="00110223" w:rsidP="00110223">
      <w:pPr>
        <w:pStyle w:val="BodyText"/>
      </w:pPr>
      <w:r>
        <w:t>The storage of carbon in soil depend</w:t>
      </w:r>
      <w:r w:rsidR="00461A3E">
        <w:t>s</w:t>
      </w:r>
      <w:r>
        <w:t xml:space="preserve"> on the balance between gains and losses of carbon. Changes in climate are likely to impact the SOC pools via changes in carbon gains associated with changes in tree productivity and fires, and also changes in losses associated with change</w:t>
      </w:r>
      <w:r w:rsidR="00FD6FD0">
        <w:t>d</w:t>
      </w:r>
      <w:r>
        <w:t xml:space="preserve"> rates of decomposition attributable to the balance between increases from increased temperature, and decreases from decreased rainfall and increased potential evapotranspiration (</w:t>
      </w:r>
      <w:bookmarkStart w:id="122" w:name="_Hlk49862840"/>
      <w:r>
        <w:t>Albaladejo et al. 2013</w:t>
      </w:r>
      <w:bookmarkEnd w:id="122"/>
      <w:r>
        <w:t>)</w:t>
      </w:r>
      <w:r w:rsidR="00BF2234">
        <w:t xml:space="preserve">. </w:t>
      </w:r>
      <w:r>
        <w:t xml:space="preserve"> </w:t>
      </w:r>
    </w:p>
    <w:p w14:paraId="14F0F1F3" w14:textId="2FE884B6" w:rsidR="00110223" w:rsidRDefault="00110223" w:rsidP="00110223">
      <w:pPr>
        <w:pStyle w:val="BodyText"/>
      </w:pPr>
      <w:r w:rsidRPr="007B2797">
        <w:t>Viscarra Rossel et al. (2019)</w:t>
      </w:r>
      <w:r>
        <w:t xml:space="preserve"> identified the relatively productive temperate climatic regions in southern Australia as potentially more vulnerable to losses of SOC in response to climate change as these regions tend to be relatively productiv</w:t>
      </w:r>
      <w:r w:rsidR="00063748">
        <w:t>e</w:t>
      </w:r>
      <w:r>
        <w:t>, thereby having more SOC (particularly the faster-turning POC pool) available to lose. The soil in these regions is most strongly influenced by climate (</w:t>
      </w:r>
      <w:r w:rsidRPr="007B2797">
        <w:t>Viscarra Rossel et al. 2019)</w:t>
      </w:r>
      <w:r>
        <w:t>. With hotter temperatures, the addition of fresh inputs into the faster-turning POC might also accelerate its rates of decomposition through biological priming mechanisms (</w:t>
      </w:r>
      <w:r w:rsidRPr="00491544">
        <w:t>Kuzyakov</w:t>
      </w:r>
      <w:r>
        <w:t xml:space="preserve"> et al</w:t>
      </w:r>
      <w:r w:rsidR="00294837">
        <w:t>.</w:t>
      </w:r>
      <w:r>
        <w:t xml:space="preserve"> 2000). This may result in additional losses of mineral-associated C from the more stable C fractions (</w:t>
      </w:r>
      <w:r w:rsidRPr="004742EB">
        <w:t xml:space="preserve">Lajtha </w:t>
      </w:r>
      <w:r>
        <w:t>et al. 2014). The implication is that amplified rates of decomposition will reduce the ability of the soil in these regions to act as a sink for CO</w:t>
      </w:r>
      <w:r w:rsidRPr="00E60B86">
        <w:rPr>
          <w:vertAlign w:val="subscript"/>
        </w:rPr>
        <w:t>2</w:t>
      </w:r>
      <w:r>
        <w:t>, leading to a more substantial net release to the atmosphere and a positive feedback effect (</w:t>
      </w:r>
      <w:r w:rsidRPr="00F24CD6">
        <w:t>Jenkinson</w:t>
      </w:r>
      <w:r>
        <w:t xml:space="preserve"> et al. 1991).</w:t>
      </w:r>
    </w:p>
    <w:p w14:paraId="4D92B03E" w14:textId="77777777" w:rsidR="00D01848" w:rsidRDefault="00110223" w:rsidP="00D01848">
      <w:pPr>
        <w:pStyle w:val="BodyText"/>
      </w:pPr>
      <w:r>
        <w:t>Most of the studies related with the controlling factors of SOC have been restricted to the surface soil horizon and only a few include the total soil profile. However, more than 50 % of the total SOC is stored below 20 cm depth (</w:t>
      </w:r>
      <w:bookmarkStart w:id="123" w:name="_Hlk49862906"/>
      <w:r>
        <w:t>Batjes 1996</w:t>
      </w:r>
      <w:bookmarkEnd w:id="123"/>
      <w:r>
        <w:t xml:space="preserve">). </w:t>
      </w:r>
      <w:bookmarkStart w:id="124" w:name="_Hlk49862929"/>
      <w:r>
        <w:t xml:space="preserve">Jobbágy and Jackson (2000) </w:t>
      </w:r>
      <w:bookmarkEnd w:id="124"/>
      <w:r>
        <w:t>reported that in temperate grasslands, 59 % of SOC is located between 20 and 100 cm depth. Consequently, minor shifts in these subsoil stocks of organic C will have considerable impact on the entire C balance (</w:t>
      </w:r>
      <w:bookmarkStart w:id="125" w:name="_Hlk49862944"/>
      <w:r>
        <w:t>Don et al. 2007</w:t>
      </w:r>
      <w:bookmarkEnd w:id="125"/>
      <w:r>
        <w:t>).</w:t>
      </w:r>
    </w:p>
    <w:p w14:paraId="395E9C62" w14:textId="77777777" w:rsidR="00D01848" w:rsidRDefault="00D01848" w:rsidP="00D01848">
      <w:pPr>
        <w:pStyle w:val="Heading4"/>
      </w:pPr>
      <w:r>
        <w:lastRenderedPageBreak/>
        <w:t>Summary</w:t>
      </w:r>
    </w:p>
    <w:p w14:paraId="7DA23B35" w14:textId="22BBF44F" w:rsidR="00D01848" w:rsidRDefault="00D01848" w:rsidP="00D01848">
      <w:pPr>
        <w:pStyle w:val="BodyText"/>
        <w:rPr>
          <w:szCs w:val="24"/>
        </w:rPr>
      </w:pPr>
      <w:r>
        <w:t xml:space="preserve">The majority of risks outlined in </w:t>
      </w:r>
      <w:r>
        <w:fldChar w:fldCharType="begin"/>
      </w:r>
      <w:r>
        <w:instrText xml:space="preserve"> REF _Ref48689180 \h </w:instrText>
      </w:r>
      <w:r>
        <w:fldChar w:fldCharType="separate"/>
      </w:r>
      <w:r w:rsidR="00235F13">
        <w:t xml:space="preserve">Table </w:t>
      </w:r>
      <w:r w:rsidR="00235F13">
        <w:rPr>
          <w:noProof/>
        </w:rPr>
        <w:t>13</w:t>
      </w:r>
      <w:r>
        <w:fldChar w:fldCharType="end"/>
      </w:r>
      <w:r>
        <w:t xml:space="preserve"> are risks to accumulation. The main risks for maintaining abatement include the threats resulting from disturbance events such as heat-stress, pest/disease, fires and drought. In terms of risks to the portfolio, the main concerns relate to persistent increases in temperature, persistent increases in water stress, and disturbances from heat-stress and droughts. However, the only risks we have medium to high confidence in are those associated with persistent increases in temperature, heat-stress and fires. </w:t>
      </w:r>
    </w:p>
    <w:p w14:paraId="53C657C3" w14:textId="77777777" w:rsidR="00D01848" w:rsidRDefault="00D01848" w:rsidP="00D01848">
      <w:pPr>
        <w:pStyle w:val="BodyText"/>
      </w:pPr>
      <w:r>
        <w:t xml:space="preserve">Overall risk ratings were judged to be low for most risks influencing establishment of new trees, with only a decline in the storage of soil moisture at planting judged to be of medium risk. The overall risk ratings were generally judged to be higher with respect to impacts on long-term growth. The highest-ranking risks were from the persistent increases in water stress. </w:t>
      </w:r>
    </w:p>
    <w:p w14:paraId="11A353D8" w14:textId="52C17B96" w:rsidR="001D1D46" w:rsidRDefault="001D1D46">
      <w:pPr>
        <w:rPr>
          <w:rFonts w:ascii="Calibri" w:eastAsia="Calibri" w:hAnsi="Calibri"/>
          <w:color w:val="000000"/>
          <w:szCs w:val="22"/>
        </w:rPr>
      </w:pPr>
      <w:r>
        <w:br w:type="page"/>
      </w:r>
    </w:p>
    <w:p w14:paraId="6863C00B" w14:textId="0518814A" w:rsidR="00110223" w:rsidRPr="00351B86" w:rsidRDefault="00110223" w:rsidP="00110223">
      <w:pPr>
        <w:pStyle w:val="Caption"/>
        <w:rPr>
          <w:b w:val="0"/>
          <w:szCs w:val="20"/>
        </w:rPr>
      </w:pPr>
      <w:bookmarkStart w:id="126" w:name="_Ref48689180"/>
      <w:bookmarkStart w:id="127" w:name="_Toc52971068"/>
      <w:r>
        <w:lastRenderedPageBreak/>
        <w:t xml:space="preserve">Table </w:t>
      </w:r>
      <w:r>
        <w:fldChar w:fldCharType="begin"/>
      </w:r>
      <w:r>
        <w:instrText>SEQ Table \* ARABIC</w:instrText>
      </w:r>
      <w:r>
        <w:fldChar w:fldCharType="separate"/>
      </w:r>
      <w:r w:rsidR="00235F13">
        <w:rPr>
          <w:noProof/>
        </w:rPr>
        <w:t>13</w:t>
      </w:r>
      <w:r>
        <w:fldChar w:fldCharType="end"/>
      </w:r>
      <w:bookmarkEnd w:id="126"/>
      <w:r>
        <w:t xml:space="preserve">. </w:t>
      </w:r>
      <w:r w:rsidRPr="00FC0E0D">
        <w:rPr>
          <w:b w:val="0"/>
          <w:bCs w:val="0"/>
        </w:rPr>
        <w:t xml:space="preserve">Risk assessment for </w:t>
      </w:r>
      <w:r>
        <w:rPr>
          <w:b w:val="0"/>
          <w:bCs w:val="0"/>
        </w:rPr>
        <w:t>the Planting of New Forest activities</w:t>
      </w:r>
      <w:r w:rsidRPr="00351B86">
        <w:rPr>
          <w:b w:val="0"/>
          <w:szCs w:val="20"/>
        </w:rPr>
        <w:t>.</w:t>
      </w:r>
      <w:bookmarkEnd w:id="127"/>
    </w:p>
    <w:tbl>
      <w:tblPr>
        <w:tblStyle w:val="TableCSIRO"/>
        <w:tblW w:w="9781" w:type="dxa"/>
        <w:tblInd w:w="-14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3732"/>
        <w:gridCol w:w="1225"/>
        <w:gridCol w:w="196"/>
        <w:gridCol w:w="1080"/>
        <w:gridCol w:w="1275"/>
        <w:gridCol w:w="1064"/>
        <w:gridCol w:w="387"/>
        <w:gridCol w:w="418"/>
        <w:gridCol w:w="404"/>
      </w:tblGrid>
      <w:tr w:rsidR="00CA3C38" w:rsidRPr="004F363E" w14:paraId="3D0BF1D2" w14:textId="77777777" w:rsidTr="004354E2">
        <w:trPr>
          <w:cnfStyle w:val="100000000000" w:firstRow="1" w:lastRow="0" w:firstColumn="0" w:lastColumn="0" w:oddVBand="0" w:evenVBand="0" w:oddHBand="0" w:evenHBand="0" w:firstRowFirstColumn="0" w:firstRowLastColumn="0" w:lastRowFirstColumn="0" w:lastRowLastColumn="0"/>
          <w:cantSplit/>
          <w:trHeight w:val="1392"/>
        </w:trPr>
        <w:tc>
          <w:tcPr>
            <w:cnfStyle w:val="001000000000" w:firstRow="0" w:lastRow="0" w:firstColumn="1" w:lastColumn="0" w:oddVBand="0" w:evenVBand="0" w:oddHBand="0" w:evenHBand="0" w:firstRowFirstColumn="0" w:firstRowLastColumn="0" w:lastRowFirstColumn="0" w:lastRowLastColumn="0"/>
            <w:tcW w:w="3732" w:type="dxa"/>
            <w:shd w:val="clear" w:color="auto" w:fill="FFFFFF" w:themeFill="background1"/>
            <w:tcMar>
              <w:top w:w="28" w:type="dxa"/>
              <w:left w:w="28" w:type="dxa"/>
              <w:bottom w:w="28" w:type="dxa"/>
              <w:right w:w="28" w:type="dxa"/>
            </w:tcMar>
            <w:vAlign w:val="center"/>
          </w:tcPr>
          <w:p w14:paraId="38FF5E04" w14:textId="77777777" w:rsidR="00CA3C38" w:rsidRPr="00867ED7" w:rsidRDefault="00CA3C38" w:rsidP="004354E2">
            <w:pPr>
              <w:jc w:val="center"/>
              <w:rPr>
                <w:rFonts w:asciiTheme="minorHAnsi" w:hAnsiTheme="minorHAnsi" w:cstheme="minorHAnsi"/>
                <w:color w:val="000000" w:themeColor="text1"/>
                <w:sz w:val="18"/>
                <w:szCs w:val="18"/>
              </w:rPr>
            </w:pPr>
          </w:p>
        </w:tc>
        <w:tc>
          <w:tcPr>
            <w:tcW w:w="1225" w:type="dxa"/>
            <w:shd w:val="clear" w:color="auto" w:fill="FFFFFF" w:themeFill="background1"/>
          </w:tcPr>
          <w:p w14:paraId="37C68DC1" w14:textId="77777777" w:rsidR="00CA3C38" w:rsidRDefault="00CA3C3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96" w:type="dxa"/>
            <w:shd w:val="clear" w:color="auto" w:fill="FFFFFF" w:themeFill="background1"/>
          </w:tcPr>
          <w:p w14:paraId="5738F7D5" w14:textId="77777777" w:rsidR="00CA3C38" w:rsidRDefault="00CA3C3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shd w:val="clear" w:color="auto" w:fill="FFFFFF" w:themeFill="background1"/>
            <w:tcMar>
              <w:top w:w="28" w:type="dxa"/>
              <w:left w:w="28" w:type="dxa"/>
              <w:bottom w:w="28" w:type="dxa"/>
              <w:right w:w="28" w:type="dxa"/>
            </w:tcMar>
            <w:vAlign w:val="center"/>
          </w:tcPr>
          <w:p w14:paraId="3F889499" w14:textId="77777777" w:rsidR="00CA3C38" w:rsidRDefault="00CA3C3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275" w:type="dxa"/>
            <w:shd w:val="clear" w:color="auto" w:fill="FFFFFF" w:themeFill="background1"/>
            <w:tcMar>
              <w:top w:w="28" w:type="dxa"/>
              <w:left w:w="28" w:type="dxa"/>
              <w:bottom w:w="28" w:type="dxa"/>
              <w:right w:w="28" w:type="dxa"/>
            </w:tcMar>
            <w:vAlign w:val="center"/>
          </w:tcPr>
          <w:p w14:paraId="75B992D6" w14:textId="77777777" w:rsidR="00CA3C38" w:rsidRDefault="00CA3C3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64" w:type="dxa"/>
            <w:shd w:val="clear" w:color="auto" w:fill="FFFFFF" w:themeFill="background1"/>
            <w:vAlign w:val="center"/>
          </w:tcPr>
          <w:p w14:paraId="6B43131A" w14:textId="77777777" w:rsidR="00CA3C38" w:rsidRDefault="00CA3C3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87" w:type="dxa"/>
            <w:vMerge w:val="restart"/>
            <w:shd w:val="clear" w:color="auto" w:fill="FFFFFF" w:themeFill="background1"/>
            <w:textDirection w:val="btLr"/>
          </w:tcPr>
          <w:p w14:paraId="0740B3ED" w14:textId="77777777" w:rsidR="00CA3C38" w:rsidRDefault="00CA3C38"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Portfolio-level risks?</w:t>
            </w:r>
          </w:p>
        </w:tc>
        <w:tc>
          <w:tcPr>
            <w:tcW w:w="418" w:type="dxa"/>
            <w:vMerge w:val="restart"/>
            <w:shd w:val="clear" w:color="auto" w:fill="FFFFFF" w:themeFill="background1"/>
            <w:textDirection w:val="btLr"/>
          </w:tcPr>
          <w:p w14:paraId="584338BA" w14:textId="77777777" w:rsidR="00CA3C38" w:rsidRDefault="00CA3C38" w:rsidP="004354E2">
            <w:pPr>
              <w:ind w:left="113" w:right="113"/>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accumulation</w:t>
            </w:r>
          </w:p>
        </w:tc>
        <w:tc>
          <w:tcPr>
            <w:tcW w:w="404" w:type="dxa"/>
            <w:vMerge w:val="restart"/>
            <w:shd w:val="clear" w:color="auto" w:fill="FFFFFF" w:themeFill="background1"/>
            <w:textDirection w:val="btLr"/>
          </w:tcPr>
          <w:p w14:paraId="25E4292A" w14:textId="77777777" w:rsidR="00CA3C38" w:rsidRDefault="00CA3C38" w:rsidP="004354E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   Risk to maintenance</w:t>
            </w:r>
          </w:p>
        </w:tc>
      </w:tr>
      <w:tr w:rsidR="008D11AD" w:rsidRPr="002A6E7B" w14:paraId="1504841A" w14:textId="77777777" w:rsidTr="004354E2">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3732" w:type="dxa"/>
            <w:tcBorders>
              <w:bottom w:val="single" w:sz="4" w:space="0" w:color="BFBFBF" w:themeColor="background1" w:themeShade="BF"/>
            </w:tcBorders>
            <w:shd w:val="clear" w:color="auto" w:fill="FFFFFF" w:themeFill="background1"/>
            <w:vAlign w:val="bottom"/>
          </w:tcPr>
          <w:p w14:paraId="0E48DCA9" w14:textId="77777777" w:rsidR="00CA3C38" w:rsidRPr="002A6E7B" w:rsidRDefault="00CA3C38" w:rsidP="004354E2">
            <w:pPr>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Climate impacts (risk to establishment failure)</w:t>
            </w:r>
          </w:p>
        </w:tc>
        <w:tc>
          <w:tcPr>
            <w:tcW w:w="1225" w:type="dxa"/>
            <w:tcBorders>
              <w:bottom w:val="single" w:sz="4" w:space="0" w:color="BFBFBF" w:themeColor="background1" w:themeShade="BF"/>
            </w:tcBorders>
            <w:shd w:val="clear" w:color="auto" w:fill="FFFFFF" w:themeFill="background1"/>
            <w:vAlign w:val="bottom"/>
          </w:tcPr>
          <w:p w14:paraId="1C45EAEE" w14:textId="77777777" w:rsidR="00CA3C38" w:rsidRPr="002A6E7B"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Science c</w:t>
            </w:r>
            <w:r w:rsidRPr="002A6E7B">
              <w:rPr>
                <w:rFonts w:asciiTheme="minorHAnsi" w:hAnsiTheme="minorHAnsi" w:cstheme="minorHAnsi"/>
                <w:b/>
                <w:bCs/>
                <w:color w:val="000000" w:themeColor="text1"/>
                <w:sz w:val="18"/>
                <w:szCs w:val="18"/>
              </w:rPr>
              <w:t>onfidence</w:t>
            </w:r>
            <w:r>
              <w:rPr>
                <w:rFonts w:asciiTheme="minorHAnsi" w:hAnsiTheme="minorHAnsi" w:cstheme="minorHAnsi"/>
                <w:b/>
                <w:bCs/>
                <w:color w:val="000000" w:themeColor="text1"/>
                <w:sz w:val="18"/>
                <w:szCs w:val="18"/>
              </w:rPr>
              <w:t xml:space="preserve"> in projection</w:t>
            </w:r>
          </w:p>
        </w:tc>
        <w:tc>
          <w:tcPr>
            <w:tcW w:w="196" w:type="dxa"/>
            <w:tcBorders>
              <w:bottom w:val="nil"/>
            </w:tcBorders>
            <w:shd w:val="clear" w:color="auto" w:fill="FFFFFF" w:themeFill="background1"/>
            <w:vAlign w:val="bottom"/>
          </w:tcPr>
          <w:p w14:paraId="41527464" w14:textId="77777777" w:rsidR="00CA3C38" w:rsidRPr="002A6E7B"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80" w:type="dxa"/>
            <w:tcBorders>
              <w:bottom w:val="single" w:sz="4" w:space="0" w:color="BFBFBF" w:themeColor="background1" w:themeShade="BF"/>
            </w:tcBorders>
            <w:shd w:val="clear" w:color="auto" w:fill="FFFFFF" w:themeFill="background1"/>
            <w:vAlign w:val="center"/>
          </w:tcPr>
          <w:p w14:paraId="1348088E" w14:textId="77777777" w:rsidR="00CA3C38" w:rsidRPr="002A6E7B"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275" w:type="dxa"/>
            <w:tcBorders>
              <w:bottom w:val="single" w:sz="4" w:space="0" w:color="BFBFBF" w:themeColor="background1" w:themeShade="BF"/>
            </w:tcBorders>
            <w:shd w:val="clear" w:color="auto" w:fill="FFFFFF" w:themeFill="background1"/>
            <w:vAlign w:val="center"/>
          </w:tcPr>
          <w:p w14:paraId="4D7CFC76" w14:textId="77777777" w:rsidR="00CA3C38" w:rsidRPr="002A6E7B"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64" w:type="dxa"/>
            <w:tcBorders>
              <w:bottom w:val="single" w:sz="4" w:space="0" w:color="BFBFBF" w:themeColor="background1" w:themeShade="BF"/>
            </w:tcBorders>
            <w:shd w:val="clear" w:color="auto" w:fill="FFFFFF" w:themeFill="background1"/>
            <w:vAlign w:val="center"/>
          </w:tcPr>
          <w:p w14:paraId="4EEE22A4" w14:textId="77777777" w:rsidR="00CA3C38" w:rsidRPr="002A6E7B"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87" w:type="dxa"/>
            <w:vMerge/>
            <w:tcBorders>
              <w:bottom w:val="single" w:sz="4" w:space="0" w:color="BFBFBF" w:themeColor="background1" w:themeShade="BF"/>
            </w:tcBorders>
            <w:shd w:val="clear" w:color="auto" w:fill="FFFFFF" w:themeFill="background1"/>
            <w:textDirection w:val="btLr"/>
          </w:tcPr>
          <w:p w14:paraId="20B3DD60" w14:textId="77777777" w:rsidR="00CA3C38" w:rsidRPr="002A6E7B"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18" w:type="dxa"/>
            <w:vMerge/>
            <w:tcBorders>
              <w:bottom w:val="single" w:sz="4" w:space="0" w:color="BFBFBF" w:themeColor="background1" w:themeShade="BF"/>
            </w:tcBorders>
            <w:shd w:val="clear" w:color="auto" w:fill="FFFFFF" w:themeFill="background1"/>
            <w:textDirection w:val="btLr"/>
          </w:tcPr>
          <w:p w14:paraId="2F405FA7" w14:textId="77777777" w:rsidR="00CA3C38" w:rsidRPr="002A6E7B"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04" w:type="dxa"/>
            <w:vMerge/>
            <w:tcBorders>
              <w:bottom w:val="single" w:sz="4" w:space="0" w:color="BFBFBF" w:themeColor="background1" w:themeShade="BF"/>
            </w:tcBorders>
            <w:shd w:val="clear" w:color="auto" w:fill="FFFFFF" w:themeFill="background1"/>
            <w:textDirection w:val="btLr"/>
          </w:tcPr>
          <w:p w14:paraId="53A250D9" w14:textId="77777777" w:rsidR="00CA3C38" w:rsidRPr="002A6E7B"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14:paraId="25FF6324" w14:textId="77777777" w:rsidTr="004354E2">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694CA92B" w14:textId="620B549B" w:rsidR="00F4567D" w:rsidRPr="004F363E" w:rsidRDefault="00F4567D" w:rsidP="00F4567D">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Heat-stress limiting plant growth and increasing mortality rates</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3D02BAA7" w14:textId="58F739FB" w:rsidR="00F4567D" w:rsidRDefault="00F4567D" w:rsidP="00F456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2CBF5EF4" w14:textId="77777777" w:rsidR="00F4567D" w:rsidRDefault="00F4567D" w:rsidP="00F456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44AA78A7" w14:textId="613208DB" w:rsidR="00F4567D" w:rsidRPr="004F363E" w:rsidRDefault="00F4567D" w:rsidP="00F456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5AE3797B" w14:textId="7F3368F3" w:rsidR="00F4567D" w:rsidRPr="004F363E" w:rsidRDefault="00F4567D" w:rsidP="00F456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vAlign w:val="center"/>
          </w:tcPr>
          <w:p w14:paraId="63B84337" w14:textId="3BF9559B" w:rsidR="00F4567D" w:rsidRPr="004F363E" w:rsidRDefault="00F4567D" w:rsidP="00F456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2EF78586" w14:textId="67560209" w:rsidR="00F4567D" w:rsidRDefault="00F4567D" w:rsidP="00F456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68CA38C6" w14:textId="2AF83AE8" w:rsidR="00F4567D" w:rsidRDefault="00F4567D" w:rsidP="00F456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30F0EEA1" w14:textId="4EF47030" w:rsidR="00F4567D" w:rsidRDefault="00F4567D" w:rsidP="00F456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41DC96F2" w14:textId="77777777" w:rsidTr="00F3629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518B2EF3" w14:textId="3982C42A" w:rsidR="00F4567D" w:rsidRPr="000556A4" w:rsidRDefault="00F4567D" w:rsidP="00F4567D">
            <w:pPr>
              <w:ind w:left="401"/>
              <w:rPr>
                <w:rFonts w:asciiTheme="minorHAnsi" w:hAnsiTheme="minorHAnsi" w:cstheme="minorHAnsi"/>
                <w:b w:val="0"/>
                <w:bCs w:val="0"/>
                <w:sz w:val="18"/>
                <w:szCs w:val="18"/>
              </w:rPr>
            </w:pPr>
            <w:r w:rsidRPr="00CA3C38">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6394F612" w14:textId="3689C9C4" w:rsidR="00F4567D" w:rsidRDefault="00F4567D" w:rsidP="00F456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64B0E98D" w14:textId="77777777" w:rsidR="00F4567D" w:rsidRDefault="00F4567D" w:rsidP="00F456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71FCBE54" w14:textId="3C83CACE" w:rsidR="00F4567D" w:rsidRDefault="00F4567D" w:rsidP="00F456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081EA33E" w14:textId="79F4B30C" w:rsidR="00F4567D" w:rsidRDefault="00F4567D" w:rsidP="00F456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Major</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A2D00"/>
            <w:vAlign w:val="center"/>
          </w:tcPr>
          <w:p w14:paraId="1A69256B" w14:textId="162C42FE" w:rsidR="00F4567D" w:rsidRDefault="00F4567D" w:rsidP="00F456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7C385F">
              <w:rPr>
                <w:rFonts w:asciiTheme="minorHAnsi" w:hAnsiTheme="minorHAnsi" w:cstheme="minorHAnsi"/>
                <w:color w:val="FFFFFF" w:themeColor="background1"/>
                <w:sz w:val="18"/>
                <w:szCs w:val="18"/>
              </w:rPr>
              <w:t>High</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4ECD2D92" w14:textId="3B12D128" w:rsidR="00F4567D" w:rsidRDefault="00F4567D" w:rsidP="00F456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305A209E" w14:textId="711F6A4E" w:rsidR="00F4567D" w:rsidRDefault="00F4567D" w:rsidP="00F456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0CA21A6E" w14:textId="77777777" w:rsidR="00F4567D" w:rsidRDefault="00F4567D" w:rsidP="00F456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14:paraId="1A1D8F65" w14:textId="77777777" w:rsidTr="00CF5256">
        <w:trPr>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4697A977" w14:textId="7A82F3BD" w:rsidR="00CF5256" w:rsidRPr="004F363E" w:rsidRDefault="00CF5256" w:rsidP="00CF5256">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434D151E" w14:textId="44DF98B1" w:rsidR="00CF5256" w:rsidRDefault="00CF5256" w:rsidP="00CF525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7F300666" w14:textId="77777777" w:rsidR="00CF5256" w:rsidRDefault="00CF5256" w:rsidP="00CF525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70726379" w14:textId="5C83AFFC" w:rsidR="00CF5256" w:rsidRPr="004F363E" w:rsidRDefault="00CF5256" w:rsidP="00CF525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6F5F12DD" w14:textId="6FD0D031" w:rsidR="00CF5256" w:rsidRPr="004F363E" w:rsidRDefault="00CF5256" w:rsidP="00CF525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Major</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A2D00"/>
            <w:vAlign w:val="center"/>
          </w:tcPr>
          <w:p w14:paraId="2D639682" w14:textId="168F1388" w:rsidR="00CF5256" w:rsidRPr="004F363E" w:rsidRDefault="00CF5256" w:rsidP="00CF525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7C385F">
              <w:rPr>
                <w:rFonts w:asciiTheme="minorHAnsi" w:hAnsiTheme="minorHAnsi" w:cstheme="minorHAnsi"/>
                <w:color w:val="FFFFFF" w:themeColor="background1"/>
                <w:sz w:val="18"/>
                <w:szCs w:val="18"/>
              </w:rPr>
              <w:t>High</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6091B432" w14:textId="09ECFBD0" w:rsidR="00CF5256" w:rsidRDefault="00CF5256" w:rsidP="00CF525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50BABA21" w14:textId="0033C16F" w:rsidR="00CF5256" w:rsidRDefault="00CF5256" w:rsidP="00CF525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26836745" w14:textId="77777777" w:rsidR="00CF5256" w:rsidRDefault="00CF5256" w:rsidP="00CF525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14:paraId="60CC713F" w14:textId="77777777" w:rsidTr="003301E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4003496E" w14:textId="30443C05" w:rsidR="003301EF" w:rsidRPr="004A1C8C" w:rsidRDefault="003301EF" w:rsidP="003301EF">
            <w:pPr>
              <w:ind w:left="401"/>
              <w:rPr>
                <w:rFonts w:asciiTheme="minorHAnsi" w:hAnsiTheme="minorHAnsi" w:cstheme="minorHAnsi"/>
                <w:b w:val="0"/>
                <w:bCs w:val="0"/>
                <w:color w:val="000000" w:themeColor="text1"/>
                <w:sz w:val="18"/>
                <w:szCs w:val="18"/>
              </w:rPr>
            </w:pPr>
            <w:r w:rsidRPr="00150C86">
              <w:rPr>
                <w:rFonts w:asciiTheme="minorHAnsi" w:hAnsiTheme="minorHAnsi" w:cstheme="minorHAnsi"/>
                <w:b w:val="0"/>
                <w:bCs w:val="0"/>
                <w:color w:val="000000" w:themeColor="text1"/>
                <w:sz w:val="18"/>
                <w:szCs w:val="18"/>
              </w:rPr>
              <w:t>Changes in timing/occurrence of suitable conditions for tree and crop establishment</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5924C66B" w14:textId="44BF595E" w:rsidR="003301EF" w:rsidRDefault="003301EF" w:rsidP="003301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72DCDF51" w14:textId="77777777" w:rsidR="003301EF" w:rsidRDefault="003301EF" w:rsidP="003301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1E702E93" w14:textId="7BD444E9" w:rsidR="003301EF" w:rsidRDefault="003301EF" w:rsidP="003301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50B77287" w14:textId="19648FB7" w:rsidR="003301EF" w:rsidRDefault="003301EF" w:rsidP="003301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vAlign w:val="center"/>
          </w:tcPr>
          <w:p w14:paraId="28B17691" w14:textId="41EA16B4" w:rsidR="003301EF" w:rsidRPr="007C385F" w:rsidRDefault="003301EF" w:rsidP="003301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000000" w:themeColor="text1"/>
                <w:sz w:val="18"/>
                <w:szCs w:val="18"/>
              </w:rPr>
              <w:t>Medium</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3B1E6421" w14:textId="77777777" w:rsidR="003301EF" w:rsidRDefault="003301EF" w:rsidP="003301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17F41C75" w14:textId="4C75CC36" w:rsidR="003301EF" w:rsidRDefault="003301EF" w:rsidP="003301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0AF47F83" w14:textId="5E27FEC5" w:rsidR="003301EF" w:rsidRDefault="003301EF" w:rsidP="003301E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22256242" w14:textId="77777777" w:rsidTr="000926D3">
        <w:trPr>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2B1ED2B2" w14:textId="4185D1D7" w:rsidR="000926D3" w:rsidRPr="004A1C8C" w:rsidRDefault="000926D3" w:rsidP="000926D3">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Increased frost damage associated with increased dryness / reduced opportunities for frost hardening</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5885BF32" w14:textId="78DA60E0" w:rsidR="000926D3" w:rsidRDefault="000926D3" w:rsidP="000926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1E04B469" w14:textId="77777777" w:rsidR="000926D3" w:rsidRDefault="000926D3" w:rsidP="000926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3589F26B" w14:textId="6CC37CAA" w:rsidR="000926D3" w:rsidRDefault="000926D3" w:rsidP="000926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About as likely as not</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0825B749" w14:textId="22927960" w:rsidR="000926D3" w:rsidRDefault="000926D3" w:rsidP="000926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29F518C7" w14:textId="684715D7" w:rsidR="000926D3" w:rsidRPr="007C385F" w:rsidRDefault="000926D3" w:rsidP="000926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000000" w:themeColor="text1"/>
                <w:sz w:val="18"/>
                <w:szCs w:val="18"/>
              </w:rPr>
              <w:t>?</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3AC4590B" w14:textId="77777777" w:rsidR="000926D3" w:rsidRDefault="000926D3" w:rsidP="000926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1998D12B" w14:textId="0A1DBB44" w:rsidR="000926D3" w:rsidRDefault="000926D3" w:rsidP="000926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169D0DC1" w14:textId="77777777" w:rsidR="000926D3" w:rsidRDefault="000926D3" w:rsidP="000926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14:paraId="1145FB03" w14:textId="77777777" w:rsidTr="000926D3">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5908914E" w14:textId="1AE12EBF" w:rsidR="000926D3" w:rsidRPr="004A1C8C" w:rsidRDefault="000926D3" w:rsidP="000926D3">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Decreased frost days with implications for increased seed dormancy and reduced germination rates</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38BB44E3" w14:textId="4BCB15F9" w:rsidR="000926D3" w:rsidRDefault="000926D3" w:rsidP="000926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034E935B" w14:textId="77777777" w:rsidR="000926D3" w:rsidRDefault="000926D3" w:rsidP="000926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7877CA32" w14:textId="4916E153" w:rsidR="000926D3" w:rsidRDefault="000926D3" w:rsidP="000926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About as likely as not</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2694CC97" w14:textId="0DCF0E43" w:rsidR="000926D3" w:rsidRDefault="000926D3" w:rsidP="000926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357980F7" w14:textId="5B62E366" w:rsidR="000926D3" w:rsidRPr="007C385F" w:rsidRDefault="000926D3" w:rsidP="000926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000000" w:themeColor="text1"/>
                <w:sz w:val="18"/>
                <w:szCs w:val="18"/>
              </w:rPr>
              <w:t>?</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115561D8" w14:textId="77777777" w:rsidR="000926D3" w:rsidRDefault="000926D3" w:rsidP="000926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13975458" w14:textId="7BBAAFB2" w:rsidR="000926D3" w:rsidRDefault="000926D3" w:rsidP="000926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2F8B6247" w14:textId="77777777" w:rsidR="000926D3" w:rsidRDefault="000926D3" w:rsidP="000926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14:paraId="18787CEC" w14:textId="77777777" w:rsidTr="00841F35">
        <w:trPr>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0C03CE38" w14:textId="6746A27D" w:rsidR="00841F35" w:rsidRPr="004A1C8C" w:rsidRDefault="00841F35" w:rsidP="00841F35">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090AE488" w14:textId="1BD47805" w:rsidR="00841F35" w:rsidRDefault="00841F35" w:rsidP="00841F3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01EDF300" w14:textId="77777777" w:rsidR="00841F35" w:rsidRDefault="00841F35" w:rsidP="00841F3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20900651" w14:textId="410D0CCA" w:rsidR="00841F35" w:rsidRDefault="00841F35" w:rsidP="00841F3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About as likely as not</w:t>
            </w:r>
            <w:r w:rsidDel="00EB1CF4">
              <w:rPr>
                <w:rFonts w:asciiTheme="minorHAnsi" w:hAnsiTheme="minorHAnsi" w:cstheme="minorHAnsi"/>
                <w:color w:val="000000" w:themeColor="text1"/>
                <w:sz w:val="18"/>
                <w:szCs w:val="18"/>
              </w:rPr>
              <w:t xml:space="preserve"> </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504F178F" w14:textId="2CB08B55" w:rsidR="00841F35" w:rsidRDefault="00841F35" w:rsidP="00841F3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Insignificant</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tcPr>
          <w:p w14:paraId="0547BA65" w14:textId="0BDE0F94" w:rsidR="00841F35" w:rsidRPr="007C385F" w:rsidRDefault="00841F35" w:rsidP="00841F3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000000" w:themeColor="text1"/>
                <w:sz w:val="18"/>
                <w:szCs w:val="18"/>
              </w:rPr>
              <w:t>Low</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2BC66852" w14:textId="77777777" w:rsidR="00841F35" w:rsidRDefault="00841F35" w:rsidP="00841F3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759CCB08" w14:textId="6108501E" w:rsidR="00841F35" w:rsidRDefault="00841F35" w:rsidP="00841F3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1B25E96B" w14:textId="77777777" w:rsidR="00841F35" w:rsidRDefault="00841F35" w:rsidP="00841F3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14:paraId="5A018CB7" w14:textId="77777777" w:rsidTr="0040071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183B18B9" w14:textId="343A0F17" w:rsidR="0040071D" w:rsidRPr="004A1C8C" w:rsidRDefault="0040071D" w:rsidP="0040071D">
            <w:pPr>
              <w:ind w:left="401"/>
              <w:rPr>
                <w:rFonts w:asciiTheme="minorHAnsi" w:hAnsiTheme="minorHAnsi" w:cstheme="minorHAnsi"/>
                <w:b w:val="0"/>
                <w:bCs w:val="0"/>
                <w:color w:val="000000" w:themeColor="text1"/>
                <w:sz w:val="18"/>
                <w:szCs w:val="18"/>
              </w:rPr>
            </w:pPr>
            <w:r w:rsidRPr="00CA3C38">
              <w:rPr>
                <w:rFonts w:asciiTheme="minorHAnsi" w:hAnsiTheme="minorHAnsi" w:cstheme="minorHAnsi"/>
                <w:b w:val="0"/>
                <w:bCs w:val="0"/>
                <w:color w:val="000000" w:themeColor="text1"/>
                <w:sz w:val="18"/>
                <w:szCs w:val="18"/>
              </w:rPr>
              <w:t xml:space="preserve">Mechanical damage from wind and storms </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2E30261C" w14:textId="3261BADA" w:rsidR="0040071D" w:rsidRDefault="0040071D" w:rsidP="004007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B6368E">
              <w:rPr>
                <w:rFonts w:asciiTheme="minorHAnsi" w:hAnsiTheme="minorHAnsi" w:cstheme="minorHAnsi"/>
                <w:color w:val="000000" w:themeColor="text1"/>
                <w:sz w:val="18"/>
                <w:szCs w:val="18"/>
              </w:rPr>
              <w:t>Low</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0832BCCB" w14:textId="77777777" w:rsidR="0040071D" w:rsidRDefault="0040071D" w:rsidP="004007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1D816934" w14:textId="6A49FA56" w:rsidR="0040071D" w:rsidRDefault="0040071D" w:rsidP="004007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B6368E">
              <w:rPr>
                <w:rFonts w:asciiTheme="minorHAnsi" w:hAnsiTheme="minorHAnsi" w:cstheme="minorHAnsi"/>
                <w:color w:val="000000" w:themeColor="text1"/>
                <w:sz w:val="18"/>
                <w:szCs w:val="18"/>
              </w:rPr>
              <w:t>About as likely as not</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08AD9EE0" w14:textId="33159779" w:rsidR="0040071D" w:rsidRDefault="0040071D" w:rsidP="004007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B6368E">
              <w:rPr>
                <w:rFonts w:asciiTheme="minorHAnsi" w:hAnsiTheme="minorHAnsi" w:cstheme="minorHAnsi"/>
                <w:color w:val="000000" w:themeColor="text1"/>
                <w:sz w:val="18"/>
                <w:szCs w:val="18"/>
              </w:rPr>
              <w:t>Minor</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tcPr>
          <w:p w14:paraId="07B4A695" w14:textId="5E60DBD1" w:rsidR="0040071D" w:rsidRPr="007C385F" w:rsidRDefault="0040071D" w:rsidP="004007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sidRPr="00B6368E">
              <w:rPr>
                <w:rFonts w:asciiTheme="minorHAnsi" w:hAnsiTheme="minorHAnsi" w:cstheme="minorHAnsi"/>
                <w:color w:val="000000" w:themeColor="text1"/>
                <w:sz w:val="18"/>
                <w:szCs w:val="18"/>
              </w:rPr>
              <w:t>Low</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3867663D" w14:textId="77777777" w:rsidR="0040071D" w:rsidRDefault="0040071D" w:rsidP="004007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71CA1044" w14:textId="44DDB91E" w:rsidR="0040071D" w:rsidRDefault="0040071D" w:rsidP="004007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B6368E">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6FDF064C" w14:textId="091385B9" w:rsidR="0040071D" w:rsidRDefault="0040071D" w:rsidP="0040071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2A6E7B" w14:paraId="1B25BED1" w14:textId="77777777" w:rsidTr="00F4567D">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trHeight w:val="72"/>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bottom w:val="single" w:sz="4" w:space="0" w:color="BFBFBF" w:themeColor="background1" w:themeShade="BF"/>
            </w:tcBorders>
            <w:shd w:val="clear" w:color="auto" w:fill="FFFFFF" w:themeFill="background1"/>
          </w:tcPr>
          <w:p w14:paraId="7B12DA8C" w14:textId="6C46D511" w:rsidR="00CA3C38" w:rsidRPr="002A6E7B" w:rsidRDefault="00226D82" w:rsidP="004354E2">
            <w:pPr>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Direct impacts via secondary climate change variables</w:t>
            </w:r>
          </w:p>
        </w:tc>
        <w:tc>
          <w:tcPr>
            <w:tcW w:w="1225"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D572A4B" w14:textId="77777777" w:rsidR="00CA3C38" w:rsidRPr="002A6E7B" w:rsidRDefault="00CA3C3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96" w:type="dxa"/>
            <w:tcBorders>
              <w:top w:val="nil"/>
              <w:bottom w:val="nil"/>
            </w:tcBorders>
            <w:shd w:val="clear" w:color="auto" w:fill="FFFFFF" w:themeFill="background1"/>
          </w:tcPr>
          <w:p w14:paraId="33FE356C" w14:textId="77777777" w:rsidR="00CA3C38" w:rsidRPr="002A6E7B" w:rsidRDefault="00CA3C3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08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A543039" w14:textId="77777777" w:rsidR="00CA3C38" w:rsidRPr="002A6E7B" w:rsidRDefault="00CA3C3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275"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ACAD931" w14:textId="77777777" w:rsidR="00CA3C38" w:rsidRPr="002A6E7B" w:rsidRDefault="00CA3C3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064" w:type="dxa"/>
            <w:tcBorders>
              <w:top w:val="single" w:sz="4" w:space="0" w:color="BFBFBF" w:themeColor="background1" w:themeShade="BF"/>
              <w:bottom w:val="single" w:sz="4" w:space="0" w:color="BFBFBF" w:themeColor="background1" w:themeShade="BF"/>
            </w:tcBorders>
            <w:shd w:val="clear" w:color="auto" w:fill="auto"/>
            <w:vAlign w:val="center"/>
          </w:tcPr>
          <w:p w14:paraId="62FB0883" w14:textId="77777777" w:rsidR="00CA3C38" w:rsidRPr="002A6E7B" w:rsidRDefault="00CA3C3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8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3827004" w14:textId="77777777" w:rsidR="00CA3C38" w:rsidRPr="002A6E7B" w:rsidRDefault="00CA3C3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18"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E102EE8" w14:textId="77777777" w:rsidR="00CA3C38" w:rsidRPr="002A6E7B" w:rsidRDefault="00CA3C3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0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DE451DF" w14:textId="77777777" w:rsidR="00CA3C38" w:rsidRPr="002A6E7B" w:rsidRDefault="00CA3C3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14:paraId="2F231178" w14:textId="77777777" w:rsidTr="00A93FB7">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1216137F" w14:textId="01968B86" w:rsidR="00A93FB7" w:rsidRPr="004F363E" w:rsidRDefault="00A93FB7" w:rsidP="00A93FB7">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 xml:space="preserve">Drought-induced </w:t>
            </w:r>
            <w:r>
              <w:rPr>
                <w:rFonts w:asciiTheme="minorHAnsi" w:hAnsiTheme="minorHAnsi" w:cstheme="minorHAnsi"/>
                <w:b w:val="0"/>
                <w:bCs w:val="0"/>
                <w:color w:val="000000" w:themeColor="text1"/>
                <w:sz w:val="18"/>
                <w:szCs w:val="18"/>
              </w:rPr>
              <w:t xml:space="preserve">plant </w:t>
            </w:r>
            <w:r w:rsidRPr="000556A4">
              <w:rPr>
                <w:rFonts w:asciiTheme="minorHAnsi" w:hAnsiTheme="minorHAnsi" w:cstheme="minorHAnsi"/>
                <w:b w:val="0"/>
                <w:bCs w:val="0"/>
                <w:color w:val="000000" w:themeColor="text1"/>
                <w:sz w:val="18"/>
                <w:szCs w:val="18"/>
              </w:rPr>
              <w:t>mortality, with possibility of recruitment failure.</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73F6B21F" w14:textId="6DC54C75" w:rsidR="00A93FB7" w:rsidRDefault="00A93FB7" w:rsidP="00A93FB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5A1C37EF" w14:textId="77777777" w:rsidR="00A93FB7" w:rsidRDefault="00A93FB7" w:rsidP="00A93FB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079AC297" w14:textId="0AB1D2C3" w:rsidR="00A93FB7" w:rsidRPr="004F363E" w:rsidRDefault="00A93FB7" w:rsidP="00A93FB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5727CA82" w14:textId="0DBBB656" w:rsidR="00A93FB7" w:rsidRPr="004F363E" w:rsidRDefault="00A93FB7" w:rsidP="00A93FB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vAlign w:val="center"/>
          </w:tcPr>
          <w:p w14:paraId="2C90CB26" w14:textId="6597BE1C" w:rsidR="00A93FB7" w:rsidRPr="004F363E" w:rsidRDefault="00A93FB7" w:rsidP="00A93FB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49CE3630" w14:textId="096535AE" w:rsidR="00A93FB7" w:rsidRDefault="00A93FB7" w:rsidP="00A93FB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0701B0EC" w14:textId="5EA5CC2F" w:rsidR="00A93FB7" w:rsidRDefault="00A93FB7" w:rsidP="00A93FB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66ED0D46" w14:textId="19970E2E" w:rsidR="00A93FB7" w:rsidRDefault="00A93FB7" w:rsidP="00A93FB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2D553A02" w14:textId="77777777" w:rsidTr="004C678B">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6F61F6AB" w14:textId="5E61B1F1" w:rsidR="00A93FB7" w:rsidRPr="004F363E" w:rsidRDefault="00A93FB7" w:rsidP="00A93FB7">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1C40E24D" w14:textId="0BEA6B3E" w:rsidR="00A93FB7" w:rsidRDefault="00A93FB7" w:rsidP="00A93FB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00367845" w14:textId="77777777" w:rsidR="00A93FB7" w:rsidRDefault="00A93FB7" w:rsidP="00A93FB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44B0AFCE" w14:textId="7743D53D" w:rsidR="00A93FB7" w:rsidRPr="004F363E" w:rsidRDefault="00A93FB7" w:rsidP="00A93FB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49554947" w14:textId="5BFEB531" w:rsidR="00A93FB7" w:rsidRPr="004F363E" w:rsidRDefault="00A93FB7" w:rsidP="00A93FB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vAlign w:val="center"/>
          </w:tcPr>
          <w:p w14:paraId="67E9100B" w14:textId="4222005A" w:rsidR="00A93FB7" w:rsidRPr="004F363E" w:rsidRDefault="00A93FB7" w:rsidP="00A93FB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73195B5F" w14:textId="77777777" w:rsidR="00A93FB7" w:rsidRDefault="00A93FB7" w:rsidP="00A93FB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2ED34280" w14:textId="63D7EF8D" w:rsidR="00A93FB7" w:rsidRDefault="00A93FB7" w:rsidP="00A93FB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79AAED0E" w14:textId="6E0DDEC5" w:rsidR="00A93FB7" w:rsidRDefault="00A93FB7" w:rsidP="00A93FB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69CB4DE6" w14:textId="77777777" w:rsidTr="00CA3C38">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bottom w:val="single" w:sz="4" w:space="0" w:color="BFBFBF" w:themeColor="background1" w:themeShade="BF"/>
            </w:tcBorders>
            <w:shd w:val="clear" w:color="auto" w:fill="FFFFFF" w:themeFill="background1"/>
          </w:tcPr>
          <w:p w14:paraId="0C1CA842" w14:textId="00AF8583" w:rsidR="00CA3C38" w:rsidRPr="004F363E" w:rsidRDefault="004C678B" w:rsidP="004354E2">
            <w:pPr>
              <w:rPr>
                <w:rFonts w:asciiTheme="minorHAnsi" w:hAnsiTheme="minorHAnsi" w:cstheme="minorHAnsi"/>
                <w:b w:val="0"/>
                <w:bCs w:val="0"/>
                <w:color w:val="000000" w:themeColor="text1"/>
                <w:sz w:val="18"/>
                <w:szCs w:val="18"/>
              </w:rPr>
            </w:pPr>
            <w:r w:rsidRPr="004C678B">
              <w:rPr>
                <w:rFonts w:asciiTheme="minorHAnsi" w:hAnsiTheme="minorHAnsi" w:cstheme="minorHAnsi"/>
                <w:color w:val="000000" w:themeColor="text1"/>
                <w:sz w:val="18"/>
                <w:szCs w:val="18"/>
              </w:rPr>
              <w:t>Indirect impacts via climate change impacts on weeds, pests and diseases</w:t>
            </w:r>
          </w:p>
        </w:tc>
        <w:tc>
          <w:tcPr>
            <w:tcW w:w="1225"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26F92F1" w14:textId="77777777" w:rsidR="00CA3C38"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96" w:type="dxa"/>
            <w:tcBorders>
              <w:top w:val="nil"/>
              <w:bottom w:val="nil"/>
            </w:tcBorders>
            <w:shd w:val="clear" w:color="auto" w:fill="FFFFFF" w:themeFill="background1"/>
          </w:tcPr>
          <w:p w14:paraId="4D64EC69" w14:textId="77777777" w:rsidR="00CA3C38"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3CE4F36" w14:textId="77777777" w:rsidR="00CA3C38"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275"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CC1A702" w14:textId="77777777" w:rsidR="00CA3C38"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64" w:type="dxa"/>
            <w:tcBorders>
              <w:top w:val="single" w:sz="4" w:space="0" w:color="BFBFBF" w:themeColor="background1" w:themeShade="BF"/>
              <w:bottom w:val="single" w:sz="4" w:space="0" w:color="BFBFBF" w:themeColor="background1" w:themeShade="BF"/>
            </w:tcBorders>
            <w:shd w:val="clear" w:color="auto" w:fill="auto"/>
            <w:vAlign w:val="center"/>
          </w:tcPr>
          <w:p w14:paraId="7C30A9C6" w14:textId="77777777" w:rsidR="00CA3C38"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8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1EE1E04" w14:textId="77777777" w:rsidR="00CA3C38"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70280DA" w14:textId="77777777" w:rsidR="00CA3C38"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04"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6161FB6" w14:textId="77777777" w:rsidR="00CA3C38" w:rsidRDefault="00CA3C3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14:paraId="2D18BD9A" w14:textId="77777777" w:rsidTr="00F24025">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37786704" w14:textId="18A6DE86" w:rsidR="00F24025" w:rsidRPr="004F363E" w:rsidRDefault="00F24025" w:rsidP="00F24025">
            <w:pPr>
              <w:ind w:left="401"/>
              <w:rPr>
                <w:rFonts w:asciiTheme="minorHAnsi" w:hAnsiTheme="minorHAnsi" w:cstheme="minorHAnsi"/>
                <w:b w:val="0"/>
                <w:bCs w:val="0"/>
                <w:color w:val="000000" w:themeColor="text1"/>
                <w:sz w:val="18"/>
                <w:szCs w:val="18"/>
              </w:rPr>
            </w:pPr>
            <w:r w:rsidRPr="00F82CD6">
              <w:rPr>
                <w:rFonts w:asciiTheme="minorHAnsi" w:hAnsiTheme="minorHAnsi" w:cstheme="minorHAnsi"/>
                <w:b w:val="0"/>
                <w:bCs w:val="0"/>
                <w:color w:val="000000" w:themeColor="text1"/>
                <w:sz w:val="18"/>
                <w:szCs w:val="18"/>
              </w:rPr>
              <w:t>Increase in invasive weeds</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2114E4F7" w14:textId="02EC0254" w:rsidR="00F24025" w:rsidRDefault="00F24025" w:rsidP="00F2402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39A08969" w14:textId="77777777" w:rsidR="00F24025" w:rsidRDefault="00F24025" w:rsidP="00F2402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5EC44507" w14:textId="39A70878" w:rsidR="00F24025" w:rsidRPr="004F363E" w:rsidRDefault="00F24025" w:rsidP="00F2402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2A990D1D" w14:textId="12FC9F87" w:rsidR="00F24025" w:rsidRPr="004F363E" w:rsidRDefault="00F24025" w:rsidP="00F2402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tcPr>
          <w:p w14:paraId="4C98D6C5" w14:textId="680100A1" w:rsidR="00F24025" w:rsidRPr="004F363E" w:rsidRDefault="00F24025" w:rsidP="00F2402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1E74171D" w14:textId="3D07EE0E" w:rsidR="00F24025" w:rsidRDefault="00F24025" w:rsidP="00F2402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66A77B50" w14:textId="5B3F1C36" w:rsidR="00F24025" w:rsidRDefault="00F24025" w:rsidP="00F2402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4232ACB7" w14:textId="77777777" w:rsidR="00F24025" w:rsidRDefault="00F24025" w:rsidP="00F2402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14:paraId="3060AD3D" w14:textId="77777777" w:rsidTr="00185773">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292E7D9C" w14:textId="2DE900E4" w:rsidR="00185773" w:rsidRPr="004F363E" w:rsidRDefault="00185773" w:rsidP="00185773">
            <w:pPr>
              <w:ind w:left="401"/>
              <w:rPr>
                <w:rFonts w:asciiTheme="minorHAnsi" w:hAnsiTheme="minorHAnsi" w:cstheme="minorHAnsi"/>
                <w:b w:val="0"/>
                <w:bCs w:val="0"/>
                <w:color w:val="000000" w:themeColor="text1"/>
                <w:sz w:val="18"/>
                <w:szCs w:val="18"/>
              </w:rPr>
            </w:pPr>
            <w:r w:rsidRPr="00CE0886">
              <w:rPr>
                <w:rFonts w:asciiTheme="minorHAnsi" w:hAnsiTheme="minorHAnsi" w:cstheme="minorHAnsi"/>
                <w:b w:val="0"/>
                <w:bCs w:val="0"/>
                <w:color w:val="000000" w:themeColor="text1"/>
                <w:sz w:val="18"/>
                <w:szCs w:val="18"/>
              </w:rPr>
              <w:t>Increase in browsing by feral animals</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77959A24" w14:textId="04B8BD56" w:rsidR="00185773" w:rsidRDefault="00185773" w:rsidP="001857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41475A6D" w14:textId="77777777" w:rsidR="00185773" w:rsidRDefault="00185773" w:rsidP="001857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6964F178" w14:textId="58A6E609" w:rsidR="00185773" w:rsidRPr="004F363E" w:rsidRDefault="00185773" w:rsidP="001857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60907BAF" w14:textId="79984A56" w:rsidR="00185773" w:rsidRPr="004F363E" w:rsidRDefault="00185773" w:rsidP="001857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tcPr>
          <w:p w14:paraId="21E5C26A" w14:textId="6A206480" w:rsidR="00185773" w:rsidRPr="004F363E" w:rsidRDefault="00185773" w:rsidP="001857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06602E2F" w14:textId="77BC7CA1" w:rsidR="00185773" w:rsidRDefault="00185773" w:rsidP="001857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32D8741A" w14:textId="295A8F23" w:rsidR="00185773" w:rsidRDefault="00185773" w:rsidP="001857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34EAD7AC" w14:textId="77777777" w:rsidR="00185773" w:rsidRDefault="00185773" w:rsidP="0018577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14:paraId="2E4B5CE4" w14:textId="77777777" w:rsidTr="00151B40">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trHeight w:val="230"/>
        </w:trPr>
        <w:tc>
          <w:tcPr>
            <w:cnfStyle w:val="001000000000" w:firstRow="0" w:lastRow="0" w:firstColumn="1" w:lastColumn="0" w:oddVBand="0" w:evenVBand="0" w:oddHBand="0" w:evenHBand="0" w:firstRowFirstColumn="0" w:firstRowLastColumn="0" w:lastRowFirstColumn="0" w:lastRowLastColumn="0"/>
            <w:tcW w:w="37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2C11403A" w14:textId="0DB71CC0" w:rsidR="00151B40" w:rsidRPr="00CA3C38" w:rsidRDefault="00151B40" w:rsidP="00151B40">
            <w:pPr>
              <w:ind w:left="401"/>
              <w:rPr>
                <w:rFonts w:asciiTheme="minorHAnsi" w:hAnsiTheme="minorHAnsi" w:cstheme="minorHAnsi"/>
                <w:color w:val="000000" w:themeColor="text1"/>
                <w:sz w:val="18"/>
                <w:szCs w:val="18"/>
              </w:rPr>
            </w:pPr>
            <w:r w:rsidRPr="004F363E">
              <w:rPr>
                <w:rFonts w:asciiTheme="minorHAnsi" w:hAnsiTheme="minorHAnsi" w:cstheme="minorHAnsi"/>
                <w:b w:val="0"/>
                <w:bCs w:val="0"/>
                <w:color w:val="000000" w:themeColor="text1"/>
                <w:sz w:val="18"/>
                <w:szCs w:val="18"/>
              </w:rPr>
              <w:t>Extended range of pests/diseases</w:t>
            </w:r>
            <w:r>
              <w:rPr>
                <w:rFonts w:asciiTheme="minorHAnsi" w:hAnsiTheme="minorHAnsi" w:cstheme="minorHAnsi"/>
                <w:b w:val="0"/>
                <w:bCs w:val="0"/>
                <w:color w:val="000000" w:themeColor="text1"/>
                <w:sz w:val="18"/>
                <w:szCs w:val="18"/>
              </w:rPr>
              <w:t xml:space="preserve">; Increased over-wintering </w:t>
            </w:r>
            <w:r w:rsidRPr="004F363E">
              <w:rPr>
                <w:rFonts w:asciiTheme="minorHAnsi" w:hAnsiTheme="minorHAnsi" w:cstheme="minorHAnsi"/>
                <w:b w:val="0"/>
                <w:bCs w:val="0"/>
                <w:sz w:val="18"/>
                <w:szCs w:val="18"/>
              </w:rPr>
              <w:t>resulting in faster build-up in the growing season</w:t>
            </w:r>
          </w:p>
        </w:tc>
        <w:tc>
          <w:tcPr>
            <w:tcW w:w="1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D9D9D9" w:themeColor="background1" w:themeShade="D9"/>
            </w:tcBorders>
            <w:shd w:val="clear" w:color="auto" w:fill="FFFFFF" w:themeFill="background1"/>
            <w:vAlign w:val="center"/>
          </w:tcPr>
          <w:p w14:paraId="2CD9B1BC" w14:textId="794CC6A6" w:rsidR="00151B40" w:rsidRDefault="00151B40" w:rsidP="00151B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6"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368449C5" w14:textId="77777777" w:rsidR="00151B40" w:rsidRDefault="00151B40" w:rsidP="00151B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0"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shd w:val="clear" w:color="auto" w:fill="FFFFFF" w:themeFill="background1"/>
            <w:vAlign w:val="center"/>
          </w:tcPr>
          <w:p w14:paraId="0C0EE78E" w14:textId="3C0B4963" w:rsidR="00151B40" w:rsidRDefault="00151B40" w:rsidP="00151B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32D5F606" w14:textId="7EBF4DFB" w:rsidR="00151B40" w:rsidRDefault="00151B40" w:rsidP="00151B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0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vAlign w:val="center"/>
          </w:tcPr>
          <w:p w14:paraId="554C09F0" w14:textId="33B67BAE" w:rsidR="00151B40" w:rsidRPr="007C385F" w:rsidRDefault="00151B40" w:rsidP="00151B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000000" w:themeColor="text1"/>
                <w:sz w:val="18"/>
                <w:szCs w:val="18"/>
              </w:rPr>
              <w:t>Medium</w:t>
            </w:r>
          </w:p>
        </w:tc>
        <w:tc>
          <w:tcPr>
            <w:tcW w:w="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61261A25" w14:textId="77777777" w:rsidR="00151B40" w:rsidRDefault="00151B40" w:rsidP="00151B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0DC5F51B" w14:textId="55D5A325" w:rsidR="00151B40" w:rsidRDefault="00151B40" w:rsidP="00151B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vAlign w:val="center"/>
          </w:tcPr>
          <w:p w14:paraId="7E58C35A" w14:textId="7FE0B202" w:rsidR="00151B40" w:rsidRDefault="00151B40" w:rsidP="00151B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bl>
    <w:p w14:paraId="4992115E" w14:textId="77777777" w:rsidR="00CA3C38" w:rsidRDefault="00CA3C38" w:rsidP="00CA3C38">
      <w:pPr>
        <w:pStyle w:val="BodyText"/>
      </w:pPr>
    </w:p>
    <w:p w14:paraId="0D84E4E5" w14:textId="7410E422" w:rsidR="00CA3C38" w:rsidRDefault="00CA3C38">
      <w:pPr>
        <w:rPr>
          <w:rFonts w:ascii="Calibri" w:eastAsia="Calibri" w:hAnsi="Calibri"/>
          <w:color w:val="000000"/>
          <w:szCs w:val="22"/>
        </w:rPr>
      </w:pPr>
      <w:r>
        <w:br w:type="page"/>
      </w:r>
    </w:p>
    <w:p w14:paraId="1A60A519" w14:textId="52B6FF40" w:rsidR="00F31BE7" w:rsidRDefault="00A87ACE" w:rsidP="00F31BE7">
      <w:pPr>
        <w:pStyle w:val="Heading3"/>
      </w:pPr>
      <w:r>
        <w:lastRenderedPageBreak/>
        <w:t xml:space="preserve">Savanna </w:t>
      </w:r>
      <w:r w:rsidR="00FA2EDA">
        <w:t>fire management</w:t>
      </w:r>
      <w:r w:rsidR="00F31BE7">
        <w:t xml:space="preserve"> </w:t>
      </w:r>
    </w:p>
    <w:p w14:paraId="7F7893B0" w14:textId="77777777" w:rsidR="00F12DA4" w:rsidRDefault="00F12DA4" w:rsidP="00F12DA4">
      <w:pPr>
        <w:pStyle w:val="Heading4"/>
      </w:pPr>
      <w:r>
        <w:t>Embedded Methodologies</w:t>
      </w:r>
    </w:p>
    <w:p w14:paraId="4FC6C830" w14:textId="30495818" w:rsidR="00F12DA4" w:rsidRDefault="000651DF" w:rsidP="00C42016">
      <w:pPr>
        <w:pStyle w:val="BodyText"/>
        <w:spacing w:before="0" w:after="0" w:line="240" w:lineRule="auto"/>
      </w:pPr>
      <w:hyperlink r:id="rId70" w:history="1">
        <w:r w:rsidR="00F12DA4" w:rsidRPr="00F12DA4">
          <w:rPr>
            <w:rStyle w:val="Hyperlink"/>
            <w:rFonts w:asciiTheme="minorHAnsi" w:hAnsiTheme="minorHAnsi"/>
            <w:smallCaps/>
            <w:sz w:val="20"/>
            <w:szCs w:val="20"/>
          </w:rPr>
          <w:t xml:space="preserve">Savanna Fire Management </w:t>
        </w:r>
        <w:r w:rsidR="00B83199">
          <w:rPr>
            <w:rStyle w:val="Hyperlink"/>
            <w:rFonts w:asciiTheme="minorHAnsi" w:hAnsiTheme="minorHAnsi"/>
            <w:smallCaps/>
            <w:sz w:val="20"/>
            <w:szCs w:val="20"/>
          </w:rPr>
          <w:t xml:space="preserve">- </w:t>
        </w:r>
        <w:r w:rsidR="00F12DA4" w:rsidRPr="00F12DA4">
          <w:rPr>
            <w:rStyle w:val="Hyperlink"/>
            <w:rFonts w:asciiTheme="minorHAnsi" w:hAnsiTheme="minorHAnsi"/>
            <w:smallCaps/>
            <w:sz w:val="20"/>
            <w:szCs w:val="20"/>
          </w:rPr>
          <w:t xml:space="preserve"> Emissions Avoidance (201</w:t>
        </w:r>
        <w:r w:rsidR="00B83199">
          <w:rPr>
            <w:rStyle w:val="Hyperlink"/>
            <w:rFonts w:asciiTheme="minorHAnsi" w:hAnsiTheme="minorHAnsi"/>
            <w:smallCaps/>
            <w:sz w:val="20"/>
            <w:szCs w:val="20"/>
          </w:rPr>
          <w:t>5</w:t>
        </w:r>
        <w:r w:rsidR="00F12DA4" w:rsidRPr="00F12DA4">
          <w:rPr>
            <w:rStyle w:val="Hyperlink"/>
            <w:rFonts w:asciiTheme="minorHAnsi" w:hAnsiTheme="minorHAnsi"/>
            <w:smallCaps/>
            <w:sz w:val="20"/>
            <w:szCs w:val="20"/>
          </w:rPr>
          <w:t>)</w:t>
        </w:r>
      </w:hyperlink>
      <w:r w:rsidR="00F12DA4">
        <w:rPr>
          <w:rStyle w:val="Hyperlink"/>
          <w:rFonts w:asciiTheme="minorHAnsi" w:hAnsiTheme="minorHAnsi"/>
          <w:smallCaps/>
          <w:sz w:val="20"/>
          <w:szCs w:val="20"/>
        </w:rPr>
        <w:t xml:space="preserve"> </w:t>
      </w:r>
    </w:p>
    <w:p w14:paraId="4527CB9F" w14:textId="7691CCE2" w:rsidR="00B83199" w:rsidRPr="00C8685F" w:rsidRDefault="000651DF" w:rsidP="00C42016">
      <w:pPr>
        <w:pStyle w:val="BodyText"/>
        <w:spacing w:before="0" w:after="0" w:line="240" w:lineRule="auto"/>
      </w:pPr>
      <w:hyperlink r:id="rId71" w:history="1">
        <w:r w:rsidR="00B83199" w:rsidRPr="00F12DA4">
          <w:rPr>
            <w:rStyle w:val="Hyperlink"/>
            <w:rFonts w:asciiTheme="minorHAnsi" w:hAnsiTheme="minorHAnsi"/>
            <w:smallCaps/>
            <w:sz w:val="20"/>
            <w:szCs w:val="20"/>
          </w:rPr>
          <w:t xml:space="preserve">Savanna Fire Management </w:t>
        </w:r>
        <w:r w:rsidR="00430DD5">
          <w:rPr>
            <w:rStyle w:val="Hyperlink"/>
            <w:rFonts w:asciiTheme="minorHAnsi" w:hAnsiTheme="minorHAnsi"/>
            <w:smallCaps/>
            <w:sz w:val="20"/>
            <w:szCs w:val="20"/>
          </w:rPr>
          <w:t>–</w:t>
        </w:r>
        <w:r w:rsidR="00B83199">
          <w:rPr>
            <w:rStyle w:val="Hyperlink"/>
            <w:rFonts w:asciiTheme="minorHAnsi" w:hAnsiTheme="minorHAnsi"/>
            <w:smallCaps/>
            <w:sz w:val="20"/>
            <w:szCs w:val="20"/>
          </w:rPr>
          <w:t xml:space="preserve"> </w:t>
        </w:r>
        <w:r w:rsidR="00B83199" w:rsidRPr="00F12DA4">
          <w:rPr>
            <w:rStyle w:val="Hyperlink"/>
            <w:rFonts w:asciiTheme="minorHAnsi" w:hAnsiTheme="minorHAnsi"/>
            <w:smallCaps/>
            <w:sz w:val="20"/>
            <w:szCs w:val="20"/>
          </w:rPr>
          <w:t>Sequestration and Emissions Avoidance (2018)</w:t>
        </w:r>
      </w:hyperlink>
      <w:r w:rsidR="00B83199">
        <w:rPr>
          <w:rStyle w:val="Hyperlink"/>
          <w:rFonts w:asciiTheme="minorHAnsi" w:hAnsiTheme="minorHAnsi"/>
          <w:smallCaps/>
          <w:sz w:val="20"/>
          <w:szCs w:val="20"/>
        </w:rPr>
        <w:t xml:space="preserve"> </w:t>
      </w:r>
    </w:p>
    <w:p w14:paraId="2228D9D8" w14:textId="35975283" w:rsidR="004166ED" w:rsidRDefault="004166ED" w:rsidP="004166ED">
      <w:pPr>
        <w:pStyle w:val="BodyText"/>
      </w:pPr>
      <w:r>
        <w:t>Savanna Fire Management projects currently comprise about 6.3% of contracted abatement under the ERF scheme (</w:t>
      </w:r>
      <w:r w:rsidR="0043472A">
        <w:fldChar w:fldCharType="begin"/>
      </w:r>
      <w:r w:rsidR="0043472A">
        <w:instrText xml:space="preserve"> REF _Ref48506136 \h </w:instrText>
      </w:r>
      <w:r w:rsidR="0043472A">
        <w:fldChar w:fldCharType="separate"/>
      </w:r>
      <w:r w:rsidR="00235F13">
        <w:t xml:space="preserve">Table </w:t>
      </w:r>
      <w:r w:rsidR="00235F13">
        <w:rPr>
          <w:noProof/>
        </w:rPr>
        <w:t>8</w:t>
      </w:r>
      <w:r w:rsidR="0043472A">
        <w:fldChar w:fldCharType="end"/>
      </w:r>
      <w:r>
        <w:t>). In these projects, strategic burning is carried out with the intention of reducing large high intensity late dry season fires through increasing the prevalence of cooler early dry season fires. Planned burning occurs primarily in the early dry season and may include igniting fires from aircraft, from vehicles along the sides of roads and tracks, from boats on waterways, or by walking across country. Other fire management activities include burning firebreaks to prevent the spread of unplanned fire or undertaking fire suppression in the late dry season. The specific type and timing of fire management depends upon landscape features within the project area and local weather conditions.</w:t>
      </w:r>
    </w:p>
    <w:p w14:paraId="1439F4F6" w14:textId="72B6E4D0" w:rsidR="004166ED" w:rsidRDefault="004166ED" w:rsidP="004166ED">
      <w:pPr>
        <w:pStyle w:val="BodyText"/>
      </w:pPr>
      <w:r>
        <w:t>Savanna fire management results in two potential sources of abatement. The first results from emissions avoidance, whereby abatement occurs through reductions in the non-CO</w:t>
      </w:r>
      <w:r w:rsidRPr="005C5D1B">
        <w:rPr>
          <w:vertAlign w:val="subscript"/>
        </w:rPr>
        <w:t>2</w:t>
      </w:r>
      <w:r>
        <w:t xml:space="preserve"> greenhouse gases methane and nitrous oxide. A second source of abatement is via an increase in carbon being sequestered in dead organic matter in response to fire management. </w:t>
      </w:r>
    </w:p>
    <w:p w14:paraId="0E772B68" w14:textId="6EE71B5C" w:rsidR="004166ED" w:rsidRDefault="004166ED" w:rsidP="004166ED">
      <w:pPr>
        <w:pStyle w:val="BodyText"/>
      </w:pPr>
      <w:r>
        <w:t xml:space="preserve">Proponents only wishing to participate in emissions avoidance activities can use the Emissions Avoidance (2015) methodology. Because this is an avoidance activity there </w:t>
      </w:r>
      <w:r w:rsidR="007F5E32">
        <w:t>is no sequestration</w:t>
      </w:r>
      <w:r w:rsidR="001E3751">
        <w:t xml:space="preserve">, thus </w:t>
      </w:r>
      <w:r>
        <w:t xml:space="preserve">no associated permanence obligations. The second source of abatement that is recognised is the resulting increase in sequestration in dead organic matter, which is included in the Savanna Fire Management Sequestration and Emissions Avoidance (2018) methodology, which includes both avoidance and sequestration (although excluding sequestration in live biomass and standing dead pools). If electing to include sequestration, there are permanence obligations of at least 25 years. </w:t>
      </w:r>
      <w:bookmarkStart w:id="128" w:name="_Hlk49877508"/>
      <w:bookmarkStart w:id="129" w:name="_Hlk49516924"/>
      <w:r w:rsidR="00031CF4">
        <w:t>Only the sequestration component is considered in the risk assessment</w:t>
      </w:r>
      <w:r w:rsidR="00196872">
        <w:t>s</w:t>
      </w:r>
      <w:r w:rsidR="00031CF4">
        <w:t xml:space="preserve"> below</w:t>
      </w:r>
      <w:bookmarkEnd w:id="128"/>
      <w:r w:rsidR="00031CF4">
        <w:t>.</w:t>
      </w:r>
      <w:bookmarkEnd w:id="129"/>
    </w:p>
    <w:p w14:paraId="0CC8E470" w14:textId="77777777" w:rsidR="004166ED" w:rsidRDefault="004166ED" w:rsidP="004166ED">
      <w:pPr>
        <w:pStyle w:val="BodyText"/>
      </w:pPr>
      <w:r>
        <w:t>Abatement calculations for the Savanna Fire Management Sequestration and Emissions Avoidance (2018) methodology can be conducted using the Savanna Burning Abatement Tool (SavBAT v3.0) which integrates all of the required historical spatial fire data with the required data on the spatial distribution of eligible vegetation, and calculates abatement using the formulae as specified by the method.</w:t>
      </w:r>
    </w:p>
    <w:p w14:paraId="11F0643F" w14:textId="77777777" w:rsidR="004166ED" w:rsidRDefault="004166ED" w:rsidP="004166ED">
      <w:pPr>
        <w:pStyle w:val="Heading4"/>
      </w:pPr>
      <w:r>
        <w:t>Spatial domain</w:t>
      </w:r>
    </w:p>
    <w:p w14:paraId="4E428A45" w14:textId="721C3524" w:rsidR="004166ED" w:rsidRDefault="004166ED" w:rsidP="004166ED">
      <w:pPr>
        <w:pStyle w:val="BodyText"/>
      </w:pPr>
      <w:r>
        <w:t>There is currently 24,765,597 ha of savanna fire management projects across northern Australia. These are mostly distributed in the Monsoonal North (West) and Wet Tropics NRM cluster region, but with some projects also in the Monsoonal North (East)</w:t>
      </w:r>
      <w:r w:rsidRPr="00DA05D6">
        <w:t xml:space="preserve"> </w:t>
      </w:r>
      <w:r>
        <w:t>cluster region.</w:t>
      </w:r>
      <w:r w:rsidR="00E649F4">
        <w:t xml:space="preserve"> Very few of these projects, however</w:t>
      </w:r>
      <w:r w:rsidR="00F0400D">
        <w:t>,</w:t>
      </w:r>
      <w:r w:rsidR="00E649F4">
        <w:t xml:space="preserve"> have elected to include sequestration </w:t>
      </w:r>
      <w:r w:rsidR="00B4316C">
        <w:t>as an abatement option.</w:t>
      </w:r>
    </w:p>
    <w:p w14:paraId="2213A376" w14:textId="32195C7C" w:rsidR="00B4316C" w:rsidRDefault="00180904" w:rsidP="004166ED">
      <w:pPr>
        <w:pStyle w:val="BodyText"/>
      </w:pPr>
      <w:r w:rsidRPr="00180904">
        <w:rPr>
          <w:noProof/>
        </w:rPr>
        <w:lastRenderedPageBreak/>
        <mc:AlternateContent>
          <mc:Choice Requires="wps">
            <w:drawing>
              <wp:anchor distT="0" distB="0" distL="114300" distR="114300" simplePos="0" relativeHeight="251658285" behindDoc="0" locked="0" layoutInCell="1" allowOverlap="1" wp14:anchorId="364D0723" wp14:editId="78186D8C">
                <wp:simplePos x="0" y="0"/>
                <wp:positionH relativeFrom="column">
                  <wp:posOffset>2889060</wp:posOffset>
                </wp:positionH>
                <wp:positionV relativeFrom="paragraph">
                  <wp:posOffset>2043430</wp:posOffset>
                </wp:positionV>
                <wp:extent cx="1452880" cy="259308"/>
                <wp:effectExtent l="0" t="0" r="0" b="7620"/>
                <wp:wrapNone/>
                <wp:docPr id="1850805839" name="Text Box 1850805839"/>
                <wp:cNvGraphicFramePr/>
                <a:graphic xmlns:a="http://schemas.openxmlformats.org/drawingml/2006/main">
                  <a:graphicData uri="http://schemas.microsoft.com/office/word/2010/wordprocessingShape">
                    <wps:wsp>
                      <wps:cNvSpPr txBox="1"/>
                      <wps:spPr>
                        <a:xfrm>
                          <a:off x="0" y="0"/>
                          <a:ext cx="1452880" cy="259308"/>
                        </a:xfrm>
                        <a:prstGeom prst="rect">
                          <a:avLst/>
                        </a:prstGeom>
                        <a:noFill/>
                        <a:ln w="6350">
                          <a:noFill/>
                        </a:ln>
                      </wps:spPr>
                      <wps:txbx>
                        <w:txbxContent>
                          <w:p w14:paraId="7223FE8F" w14:textId="49E8C939" w:rsidR="00A264AF" w:rsidRPr="00367DC0" w:rsidRDefault="00A264AF" w:rsidP="00180904">
                            <w:pPr>
                              <w:jc w:val="right"/>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Monsoonal North (East)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4D0723" id="Text Box 1850805839" o:spid="_x0000_s1070" type="#_x0000_t202" style="position:absolute;margin-left:227.5pt;margin-top:160.9pt;width:114.4pt;height:20.4pt;z-index:2516582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" filled="f" stroked="f" strokeweight=".5pt">
                <v:textbox>
                  <w:txbxContent>
                    <w:p w14:paraId="7223FE8F" w14:textId="49E8C939" w:rsidR="00A264AF" w:rsidRPr="00367DC0" w:rsidRDefault="00A264AF" w:rsidP="00180904">
                      <w:pPr>
                        <w:jc w:val="right"/>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Monsoonal North (East)</w:t>
                      </w:r>
                    </w:p>
                  </w:txbxContent>
                </v:textbox>
              </v:shape>
            </w:pict>
          </mc:Fallback>
        </mc:AlternateContent>
      </w:r>
      <w:r w:rsidRPr="00180904">
        <w:rPr>
          <w:noProof/>
        </w:rPr>
        <mc:AlternateContent>
          <mc:Choice Requires="wps">
            <w:drawing>
              <wp:anchor distT="0" distB="0" distL="114300" distR="114300" simplePos="0" relativeHeight="251658284" behindDoc="0" locked="0" layoutInCell="1" allowOverlap="1" wp14:anchorId="4CCB599E" wp14:editId="7A3BFB54">
                <wp:simplePos x="0" y="0"/>
                <wp:positionH relativeFrom="margin">
                  <wp:posOffset>924323</wp:posOffset>
                </wp:positionH>
                <wp:positionV relativeFrom="paragraph">
                  <wp:posOffset>1668505</wp:posOffset>
                </wp:positionV>
                <wp:extent cx="1501254" cy="266131"/>
                <wp:effectExtent l="0" t="0" r="0" b="635"/>
                <wp:wrapNone/>
                <wp:docPr id="1850805838" name="Text Box 1850805838"/>
                <wp:cNvGraphicFramePr/>
                <a:graphic xmlns:a="http://schemas.openxmlformats.org/drawingml/2006/main">
                  <a:graphicData uri="http://schemas.microsoft.com/office/word/2010/wordprocessingShape">
                    <wps:wsp>
                      <wps:cNvSpPr txBox="1"/>
                      <wps:spPr>
                        <a:xfrm>
                          <a:off x="0" y="0"/>
                          <a:ext cx="1501254" cy="266131"/>
                        </a:xfrm>
                        <a:prstGeom prst="rect">
                          <a:avLst/>
                        </a:prstGeom>
                        <a:noFill/>
                        <a:ln w="6350">
                          <a:noFill/>
                        </a:ln>
                      </wps:spPr>
                      <wps:txbx>
                        <w:txbxContent>
                          <w:p w14:paraId="23933D51" w14:textId="2BD06B2D" w:rsidR="00A264AF" w:rsidRPr="00367DC0" w:rsidRDefault="00A264AF" w:rsidP="00180904">
                            <w:pPr>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Monsoonal North (West)</w:t>
                            </w:r>
                          </w:p>
                          <w:p w14:paraId="62A421B1" w14:textId="77777777" w:rsidR="00A264AF" w:rsidRPr="00367DC0" w:rsidRDefault="00A264AF" w:rsidP="00180904">
                            <w:pPr>
                              <w:rPr>
                                <w:rFonts w:asciiTheme="minorHAnsi" w:hAnsiTheme="minorHAnsi" w:cstheme="minorHAnsi"/>
                                <w:color w:val="262626" w:themeColor="text1" w:themeTint="D9"/>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B599E" id="Text Box 1850805838" o:spid="_x0000_s1071" type="#_x0000_t202" style="position:absolute;margin-left:72.8pt;margin-top:131.4pt;width:118.2pt;height:20.95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" filled="f" stroked="f" strokeweight=".5pt">
                <v:textbox>
                  <w:txbxContent>
                    <w:p w14:paraId="23933D51" w14:textId="2BD06B2D" w:rsidR="00A264AF" w:rsidRPr="00367DC0" w:rsidRDefault="00A264AF" w:rsidP="00180904">
                      <w:pPr>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Monsoonal North (West)</w:t>
                      </w:r>
                    </w:p>
                    <w:p w14:paraId="62A421B1" w14:textId="77777777" w:rsidR="00A264AF" w:rsidRPr="00367DC0" w:rsidRDefault="00A264AF" w:rsidP="00180904">
                      <w:pPr>
                        <w:rPr>
                          <w:rFonts w:asciiTheme="minorHAnsi" w:hAnsiTheme="minorHAnsi" w:cstheme="minorHAnsi"/>
                          <w:color w:val="262626" w:themeColor="text1" w:themeTint="D9"/>
                          <w:sz w:val="20"/>
                          <w:szCs w:val="20"/>
                        </w:rPr>
                      </w:pPr>
                    </w:p>
                  </w:txbxContent>
                </v:textbox>
                <w10:wrap anchorx="margin"/>
              </v:shape>
            </w:pict>
          </mc:Fallback>
        </mc:AlternateContent>
      </w:r>
      <w:r w:rsidRPr="00180904">
        <w:rPr>
          <w:noProof/>
        </w:rPr>
        <mc:AlternateContent>
          <mc:Choice Requires="wps">
            <w:drawing>
              <wp:anchor distT="0" distB="0" distL="114300" distR="114300" simplePos="0" relativeHeight="251658286" behindDoc="0" locked="0" layoutInCell="1" allowOverlap="1" wp14:anchorId="566C587A" wp14:editId="15BF4B2B">
                <wp:simplePos x="0" y="0"/>
                <wp:positionH relativeFrom="column">
                  <wp:posOffset>3995211</wp:posOffset>
                </wp:positionH>
                <wp:positionV relativeFrom="paragraph">
                  <wp:posOffset>331461</wp:posOffset>
                </wp:positionV>
                <wp:extent cx="1391285" cy="245659"/>
                <wp:effectExtent l="0" t="0" r="0" b="2540"/>
                <wp:wrapNone/>
                <wp:docPr id="1850805840" name="Text Box 1850805840"/>
                <wp:cNvGraphicFramePr/>
                <a:graphic xmlns:a="http://schemas.openxmlformats.org/drawingml/2006/main">
                  <a:graphicData uri="http://schemas.microsoft.com/office/word/2010/wordprocessingShape">
                    <wps:wsp>
                      <wps:cNvSpPr txBox="1"/>
                      <wps:spPr>
                        <a:xfrm>
                          <a:off x="0" y="0"/>
                          <a:ext cx="1391285" cy="245659"/>
                        </a:xfrm>
                        <a:prstGeom prst="rect">
                          <a:avLst/>
                        </a:prstGeom>
                        <a:noFill/>
                        <a:ln w="6350">
                          <a:noFill/>
                        </a:ln>
                      </wps:spPr>
                      <wps:txbx>
                        <w:txbxContent>
                          <w:p w14:paraId="6A59FB34" w14:textId="28978690" w:rsidR="00A264AF" w:rsidRPr="00367DC0" w:rsidRDefault="00A264AF" w:rsidP="00180904">
                            <w:pPr>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Wet tropics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C587A" id="Text Box 1850805840" o:spid="_x0000_s1072" type="#_x0000_t202" style="position:absolute;margin-left:314.6pt;margin-top:26.1pt;width:109.55pt;height:19.3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" filled="f" stroked="f" strokeweight=".5pt">
                <v:textbox>
                  <w:txbxContent>
                    <w:p w14:paraId="6A59FB34" w14:textId="28978690" w:rsidR="00A264AF" w:rsidRPr="00367DC0" w:rsidRDefault="00A264AF" w:rsidP="00180904">
                      <w:pPr>
                        <w:rPr>
                          <w:rFonts w:asciiTheme="minorHAnsi" w:hAnsiTheme="minorHAnsi" w:cstheme="minorHAnsi"/>
                          <w:color w:val="262626" w:themeColor="text1" w:themeTint="D9"/>
                          <w:sz w:val="20"/>
                          <w:szCs w:val="20"/>
                        </w:rPr>
                      </w:pPr>
                      <w:r>
                        <w:rPr>
                          <w:rFonts w:asciiTheme="minorHAnsi" w:hAnsiTheme="minorHAnsi" w:cstheme="minorHAnsi"/>
                          <w:color w:val="262626" w:themeColor="text1" w:themeTint="D9"/>
                          <w:sz w:val="20"/>
                          <w:szCs w:val="20"/>
                        </w:rPr>
                        <w:t>Wet tropics</w:t>
                      </w:r>
                    </w:p>
                  </w:txbxContent>
                </v:textbox>
              </v:shape>
            </w:pict>
          </mc:Fallback>
        </mc:AlternateContent>
      </w:r>
      <w:r w:rsidR="00182305">
        <w:rPr>
          <w:noProof/>
        </w:rPr>
        <w:drawing>
          <wp:inline distT="0" distB="0" distL="0" distR="0" wp14:anchorId="14C347DE" wp14:editId="6173FC17">
            <wp:extent cx="5281684" cy="2664154"/>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92764" cy="2669743"/>
                    </a:xfrm>
                    <a:prstGeom prst="rect">
                      <a:avLst/>
                    </a:prstGeom>
                    <a:noFill/>
                    <a:ln>
                      <a:noFill/>
                    </a:ln>
                  </pic:spPr>
                </pic:pic>
              </a:graphicData>
            </a:graphic>
          </wp:inline>
        </w:drawing>
      </w:r>
    </w:p>
    <w:p w14:paraId="4949E3D5" w14:textId="6EF03678" w:rsidR="0073034F" w:rsidRDefault="0073034F" w:rsidP="0073034F">
      <w:pPr>
        <w:pStyle w:val="Caption"/>
      </w:pPr>
      <w:bookmarkStart w:id="130" w:name="_Toc52968240"/>
      <w:r>
        <w:t xml:space="preserve">Figure </w:t>
      </w:r>
      <w:r>
        <w:fldChar w:fldCharType="begin"/>
      </w:r>
      <w:r>
        <w:instrText>SEQ Figure \* ARABIC</w:instrText>
      </w:r>
      <w:r>
        <w:fldChar w:fldCharType="separate"/>
      </w:r>
      <w:r w:rsidR="00235F13">
        <w:rPr>
          <w:noProof/>
        </w:rPr>
        <w:t>10</w:t>
      </w:r>
      <w:r>
        <w:fldChar w:fldCharType="end"/>
      </w:r>
      <w:r>
        <w:t xml:space="preserve">. </w:t>
      </w:r>
      <w:r>
        <w:rPr>
          <w:b w:val="0"/>
          <w:bCs w:val="0"/>
        </w:rPr>
        <w:t xml:space="preserve">Sub-clusters containing existing ERF projects undertaking </w:t>
      </w:r>
      <w:r w:rsidR="00E649F4">
        <w:rPr>
          <w:b w:val="0"/>
          <w:bCs w:val="0"/>
        </w:rPr>
        <w:t>savanna burning projects.</w:t>
      </w:r>
      <w:r w:rsidR="00182305">
        <w:rPr>
          <w:b w:val="0"/>
          <w:bCs w:val="0"/>
        </w:rPr>
        <w:t xml:space="preserve"> Red areas are existing projects</w:t>
      </w:r>
      <w:r w:rsidR="00475C73">
        <w:rPr>
          <w:b w:val="0"/>
          <w:bCs w:val="0"/>
        </w:rPr>
        <w:t xml:space="preserve"> undertaking emissions avoidance activities. Hollow areas are revoked projects.</w:t>
      </w:r>
      <w:bookmarkEnd w:id="130"/>
    </w:p>
    <w:p w14:paraId="0D0834EA" w14:textId="6F0A8ED9" w:rsidR="00475C73" w:rsidRDefault="00475C73" w:rsidP="004166ED">
      <w:pPr>
        <w:pStyle w:val="BodyText"/>
      </w:pPr>
    </w:p>
    <w:p w14:paraId="6D0192C2" w14:textId="45985A43" w:rsidR="004166ED" w:rsidRDefault="004166ED" w:rsidP="004166ED">
      <w:pPr>
        <w:pStyle w:val="BodyText"/>
      </w:pPr>
      <w:r>
        <w:t xml:space="preserve">These regions are </w:t>
      </w:r>
      <w:r w:rsidR="00092EC5">
        <w:t>dominated</w:t>
      </w:r>
      <w:r>
        <w:t xml:space="preserve"> by tropical savannas (mostly woodlands) and constitute the most fire-prone landscapes in Australia. On an average year, more than two-thirds of fires observed across Australia occurred in these regions (</w:t>
      </w:r>
      <w:bookmarkStart w:id="131" w:name="_Hlk49862981"/>
      <w:r>
        <w:t>Russell-Smith et al. 2007</w:t>
      </w:r>
      <w:bookmarkEnd w:id="131"/>
      <w:r>
        <w:t>). As outlined by</w:t>
      </w:r>
      <w:r w:rsidRPr="003B603A">
        <w:t xml:space="preserve"> </w:t>
      </w:r>
      <w:bookmarkStart w:id="132" w:name="_Hlk49862992"/>
      <w:r>
        <w:t>Russell-Smith and Whitehead (2015)</w:t>
      </w:r>
      <w:bookmarkEnd w:id="132"/>
      <w:r>
        <w:t>, in these monsoonal regions of northern Australia, intense bursts of high summer rainfall are separated by an extended annual dry season (southern winter and spring) ‘drought’. This drives an annual cycle of elevated fire risk alternating with periods of little or no fire risk. Therefore, a predominance of fires occurring in the latter part of the dry season, typically under severe fire weather conditions (periodically strong south-easterly winds, high temperatures, low humidit</w:t>
      </w:r>
      <w:r w:rsidR="00631337">
        <w:t>y</w:t>
      </w:r>
      <w:r>
        <w:t>, fully cured fuels). Fire regimes dominated by frequent, large, late dry season fires are commonplace in many regions of northern Australia, especially the higher rainfall regions of Monsoonal North (West) (e.g. Kimberley region and the Top End) and the Wet Tropics (e.g</w:t>
      </w:r>
      <w:r w:rsidR="00BF2234">
        <w:t xml:space="preserve">. </w:t>
      </w:r>
      <w:r>
        <w:t>western Cape York Peninsula).</w:t>
      </w:r>
    </w:p>
    <w:p w14:paraId="70681DE0" w14:textId="77777777" w:rsidR="004166ED" w:rsidRDefault="004166ED" w:rsidP="004166ED">
      <w:pPr>
        <w:pStyle w:val="BodyText"/>
      </w:pPr>
      <w:r>
        <w:t>Land use is predominantly extensive beef cattle pastoralism, although this is economically marginal in frequently burnt, higher rainfall northern regions of the Monsoonal North (West) and Wet Tropics regions (Russell-Smith and Whitehead 2015). Therefore, much of the northern parts of Monsoonal North (West) and the Wet Tropics remain relatively intact and spared from land clearing or modification post European settlement (</w:t>
      </w:r>
      <w:bookmarkStart w:id="133" w:name="_Hlk49863026"/>
      <w:r w:rsidRPr="00C84410">
        <w:t>Lesslie et al. 2010</w:t>
      </w:r>
      <w:bookmarkEnd w:id="133"/>
      <w:r>
        <w:t>). Much of this area is therefore National Parks, reserves, and Indigenous protected areas.</w:t>
      </w:r>
    </w:p>
    <w:p w14:paraId="654F0EE3" w14:textId="6870D1C5" w:rsidR="004166ED" w:rsidRDefault="004166ED" w:rsidP="004166ED">
      <w:pPr>
        <w:pStyle w:val="BodyText"/>
      </w:pPr>
      <w:r>
        <w:t>The carbon storage potential for tropical savannas in Australia is relatively low, with the maximum above-ground biomass typically being &lt;</w:t>
      </w:r>
      <w:r w:rsidR="00132806">
        <w:t>4</w:t>
      </w:r>
      <w:r w:rsidR="00132806" w:rsidRPr="001B5A69">
        <w:t>0</w:t>
      </w:r>
      <w:r w:rsidR="00132806">
        <w:t xml:space="preserve"> </w:t>
      </w:r>
      <w:r>
        <w:t xml:space="preserve">Mg </w:t>
      </w:r>
      <w:r w:rsidR="00132806">
        <w:t xml:space="preserve">C </w:t>
      </w:r>
      <w:r>
        <w:t>ha</w:t>
      </w:r>
      <w:r w:rsidRPr="009667A3">
        <w:rPr>
          <w:vertAlign w:val="superscript"/>
        </w:rPr>
        <w:t>-1</w:t>
      </w:r>
      <w:r>
        <w:t xml:space="preserve"> (Roxburgh et al. 2019), which is less than other tropical biomes (</w:t>
      </w:r>
      <w:bookmarkStart w:id="134" w:name="_Hlk49863047"/>
      <w:r>
        <w:t>Grace et al., 2006; Murphy et al. 2014</w:t>
      </w:r>
      <w:bookmarkEnd w:id="134"/>
      <w:r>
        <w:t>). This is partly because savannas are characterized by frequent fires that cause much of the carbon captured by vegetation to be released back to the atmosphere. Moreover, tropical savanna regions have a relatively short and variable growing season, with evaporation rates greatly exceeding rainfall for most of the year, and the timing of the onset and cessation of the seasonal monsoon is highly unpredictable (Russell-Smith and Whitehead 2015). Also, soils are often of low fertility or low water-holding capacity (</w:t>
      </w:r>
      <w:bookmarkStart w:id="135" w:name="_Hlk49863066"/>
      <w:r>
        <w:t>Woinarski and Dawson 2002</w:t>
      </w:r>
      <w:bookmarkEnd w:id="135"/>
      <w:r>
        <w:t xml:space="preserve">). </w:t>
      </w:r>
    </w:p>
    <w:p w14:paraId="24FB05B0" w14:textId="78C05B12" w:rsidR="004166ED" w:rsidRDefault="004166ED" w:rsidP="004166ED">
      <w:pPr>
        <w:pStyle w:val="BodyText"/>
      </w:pPr>
      <w:r>
        <w:lastRenderedPageBreak/>
        <w:t xml:space="preserve">Specific changes in the climatic conditions impacting the vulnerability of savanna fire management projects </w:t>
      </w:r>
      <w:r w:rsidR="00802283">
        <w:t>are</w:t>
      </w:r>
      <w:r>
        <w:t xml:space="preserve"> discussed in detail in the next section. However in general terms, future climatic projections up to 2050 suggest the Monsoonal North (West and East) and the Wet Tropics will have some of the highest increases in mean annual temperature of all NRM cluster regions across Australia- especially when considering the RCP8.5 scenario. For the RCP4.5 and RCP8.5 scenarios, the median increase of mean annual temperatures are projected to be between 1 and 1.8 </w:t>
      </w:r>
      <w:r w:rsidRPr="00345CBF">
        <w:rPr>
          <w:vertAlign w:val="superscript"/>
        </w:rPr>
        <w:t>o</w:t>
      </w:r>
      <w:r>
        <w:t xml:space="preserve">C by 2050, with this extent of increase consistent for both the wet and dry seasons. </w:t>
      </w:r>
    </w:p>
    <w:p w14:paraId="4D160801" w14:textId="5BAE5504" w:rsidR="004166ED" w:rsidRDefault="004166ED" w:rsidP="004166ED">
      <w:pPr>
        <w:pStyle w:val="BodyText"/>
      </w:pPr>
      <w:r>
        <w:t>There are contrasting changes projected for rainfall in the wet and dry seasons. Projections for the RCP4.5 and RCP8.5 scenarios up to 2050 suggest there will be negligible change in the median rainfall during the wet season (summer and autumn)</w:t>
      </w:r>
      <w:r w:rsidR="00BF2234">
        <w:t xml:space="preserve">. </w:t>
      </w:r>
      <w:r>
        <w:t xml:space="preserve">However in the dry season (winter and spring) the median rainfall is projected to decline by between about 5 and 15%, although this is highly uncertain, with some models predicting significant increases in dry season rainfall, particularly in the Wet Tropics under the RCP8.5 scenario where increases of about 60% are considered possible. </w:t>
      </w:r>
    </w:p>
    <w:p w14:paraId="613DEAC0" w14:textId="77777777" w:rsidR="004166ED" w:rsidRDefault="004166ED" w:rsidP="004166ED">
      <w:pPr>
        <w:pStyle w:val="Heading4"/>
      </w:pPr>
      <w:r>
        <w:t>Risk assessment against identified climate impact factors</w:t>
      </w:r>
    </w:p>
    <w:p w14:paraId="2E41FF1C" w14:textId="77777777" w:rsidR="00E34621" w:rsidRDefault="00E34621" w:rsidP="00E34621">
      <w:pPr>
        <w:pStyle w:val="BodyText"/>
        <w:spacing w:before="0"/>
        <w:rPr>
          <w:i/>
          <w:iCs/>
        </w:rPr>
      </w:pPr>
      <w:r>
        <w:rPr>
          <w:i/>
          <w:iCs/>
        </w:rPr>
        <w:t xml:space="preserve">Factors affecting the seasonality and severity of fires </w:t>
      </w:r>
    </w:p>
    <w:p w14:paraId="34E4B083" w14:textId="61283FB7" w:rsidR="00E34621" w:rsidRDefault="00E34621" w:rsidP="00E34621">
      <w:pPr>
        <w:pStyle w:val="BodyText"/>
      </w:pPr>
      <w:r>
        <w:t xml:space="preserve">There is projected to be an increase in both the average cumulative forest fire danger index and number of days per year where FFDI exceeds </w:t>
      </w:r>
      <w:r w:rsidRPr="00C35F19">
        <w:t>high. Moreover, the decline in rainfall is projected to be most pronounced in the dry season, thereby resulting in increased seasonal drought and thus, presumably increasing curing of grasses and drying of the fuel</w:t>
      </w:r>
      <w:r w:rsidR="00841CC6">
        <w:t xml:space="preserve"> (e.g. Beringer et al. 2015).</w:t>
      </w:r>
      <w:r w:rsidRPr="00C35F19">
        <w:t xml:space="preserve"> These projections all suggest that the frequency of fires of relatively high intensity may increase. </w:t>
      </w:r>
    </w:p>
    <w:p w14:paraId="4454552D" w14:textId="2CF461D2" w:rsidR="00E34621" w:rsidRDefault="00DA2E52" w:rsidP="00E34621">
      <w:pPr>
        <w:pStyle w:val="BodyText"/>
      </w:pPr>
      <w:r>
        <w:t xml:space="preserve">An increased frequency of high intensity fires </w:t>
      </w:r>
      <w:r w:rsidR="00E34621" w:rsidRPr="00C35F19">
        <w:t>may result in increased burn areas in the baseline over time, and thus, a greater potential for abatement from savanna fire management projects. However, with increasing frequencies of</w:t>
      </w:r>
      <w:r w:rsidR="00E34621">
        <w:t xml:space="preserve"> fires of high intensities, the risk that a late dry season fire will occur despite fire management is increased. When this occurs, project proponents are ‘set-back’ as there will be no opportunity to manage fire with an early dry season burn until fuel loads recover again post the late dry season burn. </w:t>
      </w:r>
      <w:r w:rsidR="001A337F">
        <w:t>Hence, c</w:t>
      </w:r>
      <w:r w:rsidR="001A337F" w:rsidRPr="001A337F">
        <w:t xml:space="preserve">limate change may decrease the window available to conduct </w:t>
      </w:r>
      <w:r w:rsidR="001A337F">
        <w:t xml:space="preserve">relatively </w:t>
      </w:r>
      <w:r w:rsidR="001A337F" w:rsidRPr="001A337F">
        <w:t>cool early-season burns, thereby posing a risk to this methodology</w:t>
      </w:r>
      <w:r w:rsidR="001A337F">
        <w:t>.</w:t>
      </w:r>
    </w:p>
    <w:p w14:paraId="2976437C" w14:textId="77777777" w:rsidR="00D01848" w:rsidRDefault="00D01848" w:rsidP="004166ED">
      <w:pPr>
        <w:pStyle w:val="BodyText"/>
        <w:spacing w:before="0"/>
        <w:rPr>
          <w:i/>
          <w:iCs/>
        </w:rPr>
      </w:pPr>
    </w:p>
    <w:p w14:paraId="1F63A02B" w14:textId="311FBBD9" w:rsidR="004166ED" w:rsidRDefault="004166ED" w:rsidP="004166ED">
      <w:pPr>
        <w:pStyle w:val="BodyText"/>
        <w:spacing w:before="0"/>
        <w:rPr>
          <w:i/>
          <w:iCs/>
        </w:rPr>
      </w:pPr>
      <w:r>
        <w:rPr>
          <w:i/>
          <w:iCs/>
        </w:rPr>
        <w:t xml:space="preserve">Factors affecting the maximum biomass potential of woody vegetation </w:t>
      </w:r>
    </w:p>
    <w:p w14:paraId="4C0451FC" w14:textId="0502C6E0" w:rsidR="004166ED" w:rsidRDefault="00862ED5" w:rsidP="004166ED">
      <w:pPr>
        <w:pStyle w:val="BodyText"/>
      </w:pPr>
      <w:r>
        <w:t xml:space="preserve">The impact of fire management on live woody biomass is not accounted for in the savanna fire management methodologies. Nevertheless, any changes in the live biomass will directly impact rates of litterfall. This may require changes to the default assumptions for prediction of rates of fuel accumulation currently applied in SavBAT. </w:t>
      </w:r>
      <w:r w:rsidR="004166ED">
        <w:t>There are two key factors likely to impact that maximum biomass potential of woody vegetation in tropical savannas, and these are discussed in turn below.</w:t>
      </w:r>
    </w:p>
    <w:p w14:paraId="5CCA0B82" w14:textId="77777777" w:rsidR="004166ED" w:rsidRDefault="004166ED" w:rsidP="00D01848">
      <w:pPr>
        <w:pStyle w:val="BodyText"/>
        <w:numPr>
          <w:ilvl w:val="0"/>
          <w:numId w:val="31"/>
        </w:numPr>
        <w:ind w:left="284" w:hanging="284"/>
      </w:pPr>
      <w:r>
        <w:t>Increased woodiness due to elevated atmospheric CO</w:t>
      </w:r>
      <w:r w:rsidRPr="005C7337">
        <w:rPr>
          <w:vertAlign w:val="subscript"/>
        </w:rPr>
        <w:t>2</w:t>
      </w:r>
      <w:r>
        <w:t xml:space="preserve">  </w:t>
      </w:r>
    </w:p>
    <w:p w14:paraId="4E2867B2" w14:textId="0264C6C3" w:rsidR="004166ED" w:rsidRDefault="004166ED" w:rsidP="00A90EB5">
      <w:pPr>
        <w:pStyle w:val="BodyText"/>
        <w:ind w:left="284"/>
      </w:pPr>
      <w:r>
        <w:t xml:space="preserve">As described above for HIR/NfMR projects in the </w:t>
      </w:r>
      <w:r w:rsidR="00854964">
        <w:t>rangeland</w:t>
      </w:r>
      <w:r>
        <w:t xml:space="preserve"> NRM cluster regions, the global phenomena of increased woodiness also seems to be relatively pronounced in Australia within the tropical savanna regions in the Monsoonal North (West and East) and Wet Tropics NRM cluster regions where a weak positive upward trend of woodiness has been </w:t>
      </w:r>
      <w:r w:rsidRPr="004F6843">
        <w:rPr>
          <w:rFonts w:asciiTheme="minorHAnsi" w:hAnsiTheme="minorHAnsi" w:cstheme="minorHAnsi"/>
          <w:szCs w:val="24"/>
        </w:rPr>
        <w:t xml:space="preserve">monitored (e.g. </w:t>
      </w:r>
      <w:bookmarkStart w:id="136" w:name="_Hlk49863652"/>
      <w:r w:rsidRPr="004F6843">
        <w:rPr>
          <w:rFonts w:asciiTheme="minorHAnsi" w:eastAsiaTheme="minorHAnsi" w:hAnsiTheme="minorHAnsi" w:cstheme="minorHAnsi"/>
          <w:szCs w:val="24"/>
        </w:rPr>
        <w:lastRenderedPageBreak/>
        <w:t xml:space="preserve">Burrows et al., 2002; Lehmann et al., 2009; Bond &amp; Midgley, 2012; </w:t>
      </w:r>
      <w:r w:rsidRPr="004F6843">
        <w:rPr>
          <w:rFonts w:asciiTheme="minorHAnsi" w:hAnsiTheme="minorHAnsi" w:cstheme="minorHAnsi"/>
          <w:szCs w:val="24"/>
        </w:rPr>
        <w:t>Murphy et al. 2014</w:t>
      </w:r>
      <w:bookmarkEnd w:id="136"/>
      <w:r w:rsidRPr="004F6843">
        <w:rPr>
          <w:rFonts w:asciiTheme="minorHAnsi" w:hAnsiTheme="minorHAnsi" w:cstheme="minorHAnsi"/>
          <w:szCs w:val="24"/>
        </w:rPr>
        <w:t>).</w:t>
      </w:r>
      <w:r>
        <w:t xml:space="preserve"> All of these regions have in common water limitations supressing growth. Hence, the increased woodiness in these regions has been</w:t>
      </w:r>
      <w:r w:rsidR="004F6843">
        <w:t xml:space="preserve"> at least partly</w:t>
      </w:r>
      <w:r>
        <w:t xml:space="preserve"> attributed to the increase in water use efficiency of photosynthesis with elevated atmospheric CO</w:t>
      </w:r>
      <w:r w:rsidRPr="005C7337">
        <w:rPr>
          <w:vertAlign w:val="subscript"/>
        </w:rPr>
        <w:t>2</w:t>
      </w:r>
      <w:r>
        <w:t xml:space="preserve"> concentrations (e.g. Donohue et al. 2013</w:t>
      </w:r>
      <w:bookmarkStart w:id="137" w:name="_Hlk49863736"/>
      <w:r>
        <w:t>; Scheiter et al. 2014</w:t>
      </w:r>
      <w:bookmarkEnd w:id="137"/>
      <w:r w:rsidR="00554610">
        <w:t xml:space="preserve">). </w:t>
      </w:r>
      <w:r w:rsidR="00A36F6E">
        <w:t xml:space="preserve">Considering range of climate change simulations in Australian savannas, </w:t>
      </w:r>
      <w:r w:rsidR="00554610">
        <w:t>Beringer et al. (2015</w:t>
      </w:r>
      <w:r>
        <w:t>)</w:t>
      </w:r>
      <w:r w:rsidR="00554610">
        <w:t xml:space="preserve"> </w:t>
      </w:r>
      <w:r w:rsidR="00A36F6E">
        <w:t xml:space="preserve">predicted that tree biomass will increase with climate change, with this increase being primarily attributable to </w:t>
      </w:r>
      <w:r w:rsidR="002E7127">
        <w:t>elevated atmospheric CO</w:t>
      </w:r>
      <w:r w:rsidR="002E7127" w:rsidRPr="005C7337">
        <w:rPr>
          <w:vertAlign w:val="subscript"/>
        </w:rPr>
        <w:t>2</w:t>
      </w:r>
      <w:r>
        <w:t xml:space="preserve">. </w:t>
      </w:r>
    </w:p>
    <w:p w14:paraId="7F1EFFF6" w14:textId="47F39306" w:rsidR="004166ED" w:rsidRDefault="004166ED" w:rsidP="00D01848">
      <w:pPr>
        <w:pStyle w:val="BodyText"/>
        <w:numPr>
          <w:ilvl w:val="0"/>
          <w:numId w:val="31"/>
        </w:numPr>
        <w:ind w:left="284" w:hanging="284"/>
      </w:pPr>
      <w:r>
        <w:t>Persistent increase in water stress</w:t>
      </w:r>
    </w:p>
    <w:p w14:paraId="634E7A93" w14:textId="77777777" w:rsidR="004166ED" w:rsidRDefault="004166ED" w:rsidP="00A90EB5">
      <w:pPr>
        <w:pStyle w:val="BodyText"/>
        <w:ind w:left="284"/>
      </w:pPr>
      <w:r>
        <w:t xml:space="preserve">As described above, mean annual rainfall is expected to decrease in the Monsoonal North (West and East) and Wet Tropics regions. A projected increase in potential evapotranspiration was also clear, although this was relatively consistent across both wet and dry seasons. The median projected increases in potential evapotranspiration were generally between bout 3 and 7%. Consistent with the rise in potential evapotranspiration, there was a general (albeit small) decline in relative humidity projected across all clusters. All of these changes in climatic conditions point to a persistent increase in water stress. </w:t>
      </w:r>
    </w:p>
    <w:p w14:paraId="54C13D22" w14:textId="5FAD3828" w:rsidR="004166ED" w:rsidRDefault="004166ED" w:rsidP="00A90EB5">
      <w:pPr>
        <w:pStyle w:val="BodyText"/>
        <w:ind w:left="284"/>
      </w:pPr>
      <w:r>
        <w:t>A persistent increase in water stress is predicted to result in a decrease in carbon storage in Australian savannas (e.g. Scheiter et al. 2014), with clear evidence that basal area (or carbon storage) of Australian savannas (and savannas globally) increases with increasing mean annual rainfall (</w:t>
      </w:r>
      <w:r w:rsidRPr="00336F9A">
        <w:t>Lehmann et al. 2014)</w:t>
      </w:r>
      <w:r>
        <w:t>. Indeed, there are clear differences in savanna fire management projects between the two key rainfall zones in Australian savannas. The default parameters applied in S</w:t>
      </w:r>
      <w:r w:rsidR="001060B4">
        <w:t>av</w:t>
      </w:r>
      <w:r>
        <w:t>B</w:t>
      </w:r>
      <w:r w:rsidR="001060B4">
        <w:t>AT</w:t>
      </w:r>
      <w:r>
        <w:t xml:space="preserve"> differ for projects for the high rainfall zone (HR</w:t>
      </w:r>
      <w:r w:rsidR="00122A75">
        <w:t>Z</w:t>
      </w:r>
      <w:r>
        <w:t>; &gt; 1000 mm yr</w:t>
      </w:r>
      <w:r w:rsidRPr="00734393">
        <w:rPr>
          <w:vertAlign w:val="superscript"/>
        </w:rPr>
        <w:t>-1</w:t>
      </w:r>
      <w:r>
        <w:t>) and low rainfall zone (LRZ; 600-1000 mm yr</w:t>
      </w:r>
      <w:r w:rsidRPr="00A51A91">
        <w:rPr>
          <w:vertAlign w:val="superscript"/>
        </w:rPr>
        <w:t>-1</w:t>
      </w:r>
      <w:r>
        <w:t xml:space="preserve">). Thus, if the area of the HRZ was to decrease in size due to climate change, many projects within this zone may not attained the abatement anticipated, with abatement likely to become more representative of the LRZ. </w:t>
      </w:r>
    </w:p>
    <w:p w14:paraId="14531221" w14:textId="200D54C6" w:rsidR="004166ED" w:rsidRDefault="004166ED" w:rsidP="00A90EB5">
      <w:pPr>
        <w:pStyle w:val="BodyText"/>
        <w:ind w:left="284"/>
      </w:pPr>
      <w:r>
        <w:t>Moreover, even within the HRZ and LRZ, there may be shifts in the ecosystem in response to a persistent increase in water stress. For example, savanna open forest may shift to savanna woodlands when a critical threshold in water stress is exceeded (</w:t>
      </w:r>
      <w:bookmarkStart w:id="138" w:name="_Hlk49863771"/>
      <w:r>
        <w:t>Hirota et al., 2011; Staver et al., 2011</w:t>
      </w:r>
      <w:bookmarkEnd w:id="138"/>
      <w:r>
        <w:t>). Such changes will have implications on the woody:grass ratio, which in turn, has implications for the fuel loads (</w:t>
      </w:r>
      <w:bookmarkStart w:id="139" w:name="_Hlk49863782"/>
      <w:r>
        <w:t>Paul and Roxburgh 2020</w:t>
      </w:r>
      <w:bookmarkEnd w:id="139"/>
      <w:r>
        <w:t xml:space="preserve">). </w:t>
      </w:r>
    </w:p>
    <w:p w14:paraId="0B9280C4" w14:textId="77777777" w:rsidR="00D01848" w:rsidRDefault="00D01848" w:rsidP="00FF23B8">
      <w:pPr>
        <w:pStyle w:val="BodyText"/>
        <w:spacing w:before="0"/>
        <w:rPr>
          <w:i/>
          <w:iCs/>
        </w:rPr>
      </w:pPr>
    </w:p>
    <w:p w14:paraId="51EB281F" w14:textId="1BF7C6CE" w:rsidR="004166ED" w:rsidRDefault="004166ED" w:rsidP="00FF23B8">
      <w:pPr>
        <w:pStyle w:val="BodyText"/>
        <w:spacing w:before="0"/>
        <w:rPr>
          <w:i/>
          <w:iCs/>
        </w:rPr>
      </w:pPr>
      <w:r>
        <w:rPr>
          <w:i/>
          <w:iCs/>
        </w:rPr>
        <w:t xml:space="preserve">Factors affecting post-fire recovery of woody vegetation </w:t>
      </w:r>
    </w:p>
    <w:p w14:paraId="456F0694" w14:textId="64CBCEEC" w:rsidR="004166ED" w:rsidRDefault="004166ED">
      <w:pPr>
        <w:pStyle w:val="BodyText"/>
        <w:rPr>
          <w:szCs w:val="24"/>
        </w:rPr>
      </w:pPr>
      <w:r>
        <w:t>T</w:t>
      </w:r>
      <w:r w:rsidRPr="000E0DE7">
        <w:t>he capacity for vegetative regeneration post</w:t>
      </w:r>
      <w:r>
        <w:t>-</w:t>
      </w:r>
      <w:r w:rsidRPr="000E0DE7">
        <w:t>fire is well developed in virtually all woody species in Australian savannas (</w:t>
      </w:r>
      <w:r>
        <w:t xml:space="preserve">e.g. </w:t>
      </w:r>
      <w:r w:rsidRPr="000E0DE7">
        <w:t>Lacey 1974)</w:t>
      </w:r>
      <w:r>
        <w:t>, and so although a s</w:t>
      </w:r>
      <w:r w:rsidRPr="00092AA7">
        <w:rPr>
          <w:szCs w:val="24"/>
        </w:rPr>
        <w:t>avanna fire event</w:t>
      </w:r>
      <w:r>
        <w:rPr>
          <w:szCs w:val="24"/>
        </w:rPr>
        <w:t xml:space="preserve"> may</w:t>
      </w:r>
      <w:r w:rsidRPr="00092AA7">
        <w:rPr>
          <w:szCs w:val="24"/>
        </w:rPr>
        <w:t xml:space="preserve"> top-kill trees or shrubs, they typically survive (Williams et al. 1998; </w:t>
      </w:r>
      <w:bookmarkStart w:id="140" w:name="_Hlk49863802"/>
      <w:r w:rsidRPr="00092AA7">
        <w:rPr>
          <w:szCs w:val="24"/>
        </w:rPr>
        <w:t>Liedloft and Cook 2007</w:t>
      </w:r>
      <w:bookmarkEnd w:id="140"/>
      <w:r w:rsidRPr="00092AA7">
        <w:rPr>
          <w:szCs w:val="24"/>
        </w:rPr>
        <w:t>).</w:t>
      </w:r>
      <w:r>
        <w:rPr>
          <w:szCs w:val="24"/>
        </w:rPr>
        <w:t xml:space="preserve"> </w:t>
      </w:r>
      <w:r>
        <w:t>This is attributable to a combination of re-sprout from epicormic buds and/or regrowth of saplings (</w:t>
      </w:r>
      <w:bookmarkStart w:id="141" w:name="_Hlk49863826"/>
      <w:r>
        <w:t>Bond et al. 2012</w:t>
      </w:r>
      <w:bookmarkEnd w:id="141"/>
      <w:r>
        <w:t xml:space="preserve">). </w:t>
      </w:r>
      <w:r w:rsidR="00862ED5">
        <w:t xml:space="preserve">Again, although the impact of fire management on live woody biomass is not accounted for in the savanna fire management methodologies, any changes to the rate of post-fire recovery of live biomass will not only impact the long-term average live biomass carbon stocks, but also directly impact rates of litterfall. This may require changes to the default assumptions for prediction of rates of fuel accumulation currently applied in SavBAT. </w:t>
      </w:r>
      <w:r>
        <w:t>Here we discuss risks imposed by climate change to these rates of recovery post-fire, and thus, the sensitivity of savannas to changes in fire regimes</w:t>
      </w:r>
      <w:r w:rsidR="00BF2234">
        <w:t xml:space="preserve">. </w:t>
      </w:r>
    </w:p>
    <w:p w14:paraId="4F5C2306" w14:textId="77777777" w:rsidR="004166ED" w:rsidRDefault="004166ED" w:rsidP="00D01848">
      <w:pPr>
        <w:pStyle w:val="BodyText"/>
        <w:numPr>
          <w:ilvl w:val="0"/>
          <w:numId w:val="31"/>
        </w:numPr>
        <w:ind w:left="284" w:hanging="284"/>
      </w:pPr>
      <w:r>
        <w:lastRenderedPageBreak/>
        <w:t>Heat stress</w:t>
      </w:r>
    </w:p>
    <w:p w14:paraId="1CB86D0E" w14:textId="1A8C7EEC" w:rsidR="004166ED" w:rsidRDefault="004166ED" w:rsidP="00A90EB5">
      <w:pPr>
        <w:pStyle w:val="BodyText"/>
        <w:ind w:left="284"/>
      </w:pPr>
      <w:r>
        <w:t xml:space="preserve">Even though tropical savannas are </w:t>
      </w:r>
      <w:r w:rsidR="00A90EB5">
        <w:t>ac</w:t>
      </w:r>
      <w:r>
        <w:t>climati</w:t>
      </w:r>
      <w:r w:rsidR="00614590">
        <w:t>s</w:t>
      </w:r>
      <w:r>
        <w:t>ed to high temperatures, the Monsoonal North (East and West) regions are projected to be the areas of Australia that will have highest increases in heatwaves (or the number of days per year above 35</w:t>
      </w:r>
      <w:r w:rsidRPr="00DF0BB1">
        <w:rPr>
          <w:vertAlign w:val="superscript"/>
        </w:rPr>
        <w:t>o</w:t>
      </w:r>
      <w:r>
        <w:t xml:space="preserve">C). The number of heatwaves in the Monsoonal North was projected to increase by between about 35 and 65% by 2050; much more than any other region. Indeed, the Wet Tropics region was projected to have an increase in heatwaves of only &lt; 10%. With increased frequency of heatwaves in savannas, we may anticipate increases the mortality of newly germinating seedling (e.g. </w:t>
      </w:r>
      <w:bookmarkStart w:id="142" w:name="_Hlk49863891"/>
      <w:r>
        <w:t>Good et al. 2014</w:t>
      </w:r>
      <w:bookmarkEnd w:id="142"/>
      <w:r>
        <w:t xml:space="preserve">), and so the rates of post-fire recovery may decline. </w:t>
      </w:r>
    </w:p>
    <w:p w14:paraId="6A3C7DB0" w14:textId="77777777" w:rsidR="004166ED" w:rsidRDefault="004166ED" w:rsidP="00D01848">
      <w:pPr>
        <w:pStyle w:val="BodyText"/>
        <w:numPr>
          <w:ilvl w:val="0"/>
          <w:numId w:val="31"/>
        </w:numPr>
        <w:ind w:left="284"/>
      </w:pPr>
      <w:r>
        <w:t>Drought</w:t>
      </w:r>
    </w:p>
    <w:p w14:paraId="2DAEAD58" w14:textId="18F02870" w:rsidR="004166ED" w:rsidRDefault="004166ED" w:rsidP="00A90EB5">
      <w:pPr>
        <w:pStyle w:val="BodyText"/>
        <w:ind w:left="284"/>
      </w:pPr>
      <w:r>
        <w:rPr>
          <w:szCs w:val="24"/>
        </w:rPr>
        <w:t xml:space="preserve">There is much evidence of </w:t>
      </w:r>
      <w:r w:rsidRPr="00092AA7">
        <w:rPr>
          <w:szCs w:val="24"/>
        </w:rPr>
        <w:t xml:space="preserve">tree die-back associated with severe drought periods </w:t>
      </w:r>
      <w:r>
        <w:rPr>
          <w:szCs w:val="24"/>
        </w:rPr>
        <w:t xml:space="preserve">in Australian savannas </w:t>
      </w:r>
      <w:r w:rsidRPr="00092AA7">
        <w:rPr>
          <w:szCs w:val="24"/>
        </w:rPr>
        <w:t>(</w:t>
      </w:r>
      <w:bookmarkStart w:id="143" w:name="_Hlk49863927"/>
      <w:r w:rsidRPr="00092AA7">
        <w:rPr>
          <w:szCs w:val="24"/>
        </w:rPr>
        <w:t>Fensham and Holman, 1999, Fensham and Fairfax, 2007, Fensham et al., 2009</w:t>
      </w:r>
      <w:bookmarkEnd w:id="143"/>
      <w:r w:rsidRPr="00092AA7">
        <w:rPr>
          <w:szCs w:val="24"/>
        </w:rPr>
        <w:t xml:space="preserve">). </w:t>
      </w:r>
      <w:bookmarkStart w:id="144" w:name="_Hlk49863951"/>
      <w:r>
        <w:t xml:space="preserve">Kanniah et al. (2013) </w:t>
      </w:r>
      <w:bookmarkEnd w:id="144"/>
      <w:r>
        <w:t xml:space="preserve">used satellite data to show that carbon uptake and carbon fluxes in Australian savanna systems were correlated to precipitation patterns. </w:t>
      </w:r>
    </w:p>
    <w:p w14:paraId="213CCBBB" w14:textId="0FED9D0A" w:rsidR="004166ED" w:rsidRDefault="004166ED" w:rsidP="00A90EB5">
      <w:pPr>
        <w:pStyle w:val="BodyText"/>
        <w:ind w:left="284"/>
      </w:pPr>
      <w:r>
        <w:t xml:space="preserve">Given there </w:t>
      </w:r>
      <w:r w:rsidR="00507EDF">
        <w:t>are</w:t>
      </w:r>
      <w:r>
        <w:t xml:space="preserve"> projected increases in</w:t>
      </w:r>
      <w:r w:rsidRPr="00024E93">
        <w:t xml:space="preserve"> </w:t>
      </w:r>
      <w:r>
        <w:t>the Monsoonal North (West and East) and Wet Tropics regions in the</w:t>
      </w:r>
      <w:r w:rsidR="00507EDF">
        <w:t xml:space="preserve"> </w:t>
      </w:r>
      <w:r>
        <w:t xml:space="preserve">percentage of time in drought, the change in frequency of extreme droughts, and the duration of these extreme droughts, it may be anticipated that rates of post-fire recovery may decline. </w:t>
      </w:r>
    </w:p>
    <w:p w14:paraId="7227A50A" w14:textId="253A117C" w:rsidR="004166ED" w:rsidRDefault="004166ED" w:rsidP="00FF23B8">
      <w:pPr>
        <w:pStyle w:val="BodyText"/>
        <w:spacing w:before="0"/>
        <w:rPr>
          <w:i/>
          <w:iCs/>
        </w:rPr>
      </w:pPr>
      <w:r>
        <w:rPr>
          <w:i/>
          <w:iCs/>
        </w:rPr>
        <w:t>Factors affecting fuel loads</w:t>
      </w:r>
    </w:p>
    <w:p w14:paraId="75F37374" w14:textId="71577472" w:rsidR="004166ED" w:rsidRDefault="004166ED">
      <w:pPr>
        <w:pStyle w:val="BodyText"/>
      </w:pPr>
      <w:r>
        <w:t xml:space="preserve">There are </w:t>
      </w:r>
      <w:r w:rsidR="00AF6579">
        <w:t xml:space="preserve">five </w:t>
      </w:r>
      <w:r>
        <w:t>key factors directly influencing fuel loads that may be impacted by climate change. These are discussed in turn below.</w:t>
      </w:r>
    </w:p>
    <w:p w14:paraId="2C764A88" w14:textId="2EC79C1D" w:rsidR="004166ED" w:rsidRDefault="00045BCE" w:rsidP="00D01848">
      <w:pPr>
        <w:pStyle w:val="BodyText"/>
        <w:numPr>
          <w:ilvl w:val="0"/>
          <w:numId w:val="31"/>
        </w:numPr>
        <w:ind w:left="284" w:hanging="284"/>
      </w:pPr>
      <w:r>
        <w:t>Inputs from b</w:t>
      </w:r>
      <w:r w:rsidR="004166ED">
        <w:t>iomass</w:t>
      </w:r>
    </w:p>
    <w:p w14:paraId="2BFE4313" w14:textId="2E7E6EEC" w:rsidR="00DE0977" w:rsidRDefault="004166ED" w:rsidP="00A90EB5">
      <w:pPr>
        <w:pStyle w:val="BodyText"/>
        <w:ind w:left="284"/>
      </w:pPr>
      <w:r>
        <w:t>An increase in biomass will generally result in increased turnover and thus, fuel loads (</w:t>
      </w:r>
      <w:bookmarkStart w:id="145" w:name="_Hlk49863982"/>
      <w:r>
        <w:t>Russell-Smith et al. 2009; Yates et al. 2015</w:t>
      </w:r>
      <w:bookmarkEnd w:id="145"/>
      <w:r>
        <w:t xml:space="preserve">). </w:t>
      </w:r>
      <w:r w:rsidR="00DE0977">
        <w:t xml:space="preserve">Considering range of climate change simulations, Beringer et al. (2015) predicted that grass biomass in Australian savannas will increase with climate change, with this increase being primarily attributable to </w:t>
      </w:r>
      <w:r w:rsidR="00BC2ED9">
        <w:t>a persistent increase in temperate</w:t>
      </w:r>
      <w:r w:rsidR="00DE0977">
        <w:t xml:space="preserve">. </w:t>
      </w:r>
    </w:p>
    <w:p w14:paraId="47000BFC" w14:textId="02CEDE67" w:rsidR="00862ED5" w:rsidRDefault="004166ED" w:rsidP="00A90EB5">
      <w:pPr>
        <w:pStyle w:val="BodyText"/>
        <w:ind w:left="284"/>
      </w:pPr>
      <w:r>
        <w:t>Nevertheless, the impact of climate change on biomass is unclear as although it may decline with increasing water stress and slower recovery rates post-fire, this may be negated by increased water use efficiency with elevated CO</w:t>
      </w:r>
      <w:r w:rsidRPr="001C7DC4">
        <w:rPr>
          <w:vertAlign w:val="subscript"/>
        </w:rPr>
        <w:t>2</w:t>
      </w:r>
      <w:r>
        <w:t xml:space="preserve"> (see above two sections). </w:t>
      </w:r>
    </w:p>
    <w:p w14:paraId="5495B7C9" w14:textId="106327F1" w:rsidR="004166ED" w:rsidRDefault="004166ED" w:rsidP="00A90EB5">
      <w:pPr>
        <w:pStyle w:val="BodyText"/>
        <w:ind w:left="284"/>
      </w:pPr>
      <w:r>
        <w:t>Decomposition</w:t>
      </w:r>
    </w:p>
    <w:p w14:paraId="0EB88FBC" w14:textId="77777777" w:rsidR="004166ED" w:rsidRDefault="004166ED" w:rsidP="00A90EB5">
      <w:pPr>
        <w:pStyle w:val="BodyText"/>
        <w:ind w:left="284"/>
      </w:pPr>
      <w:r>
        <w:t>In addition to changes in the rates of input to fuel with climate change, there are also likely to be changes to the rates of loss due to decomposition. Rates of decomposition may also increase within rising temperatures- at least where there is adequate moisture (</w:t>
      </w:r>
      <w:bookmarkStart w:id="146" w:name="_Hlk49864022"/>
      <w:r>
        <w:t>Shalin and Qiang 2002; Liski et al. 2003</w:t>
      </w:r>
      <w:bookmarkEnd w:id="146"/>
      <w:r>
        <w:t>).</w:t>
      </w:r>
    </w:p>
    <w:p w14:paraId="596EE07C" w14:textId="77777777" w:rsidR="004166ED" w:rsidRDefault="004166ED" w:rsidP="00D01848">
      <w:pPr>
        <w:pStyle w:val="BodyText"/>
        <w:numPr>
          <w:ilvl w:val="0"/>
          <w:numId w:val="31"/>
        </w:numPr>
        <w:ind w:left="284" w:hanging="284"/>
      </w:pPr>
      <w:r>
        <w:t>Seasonality of turnover</w:t>
      </w:r>
    </w:p>
    <w:p w14:paraId="0DA6CFF0" w14:textId="3BA8F9F5" w:rsidR="004166ED" w:rsidRDefault="004166ED" w:rsidP="00A90EB5">
      <w:pPr>
        <w:pStyle w:val="BodyText"/>
        <w:ind w:left="284"/>
      </w:pPr>
      <w:r>
        <w:t>In Australian savannas, litterfall and the production of coarse woody debris is highly seasonal, with most inputs to fuel occurring during the seasonal drought (</w:t>
      </w:r>
      <w:bookmarkStart w:id="147" w:name="_Hlk49864052"/>
      <w:r>
        <w:t xml:space="preserve">Williams et al. 1997; Cook 2003; </w:t>
      </w:r>
      <w:r w:rsidRPr="00840ADC">
        <w:t xml:space="preserve">Cuff </w:t>
      </w:r>
      <w:r>
        <w:t>and</w:t>
      </w:r>
      <w:r w:rsidRPr="00840ADC">
        <w:t xml:space="preserve"> Brocklehurst 2015</w:t>
      </w:r>
      <w:bookmarkEnd w:id="147"/>
      <w:r>
        <w:t>). Therefore, as the rainfall declines in the dry season, the seasonality of these inputs to fuel is anticipated to increase</w:t>
      </w:r>
      <w:r w:rsidR="00AE65F0">
        <w:t>.</w:t>
      </w:r>
    </w:p>
    <w:p w14:paraId="5383EA53" w14:textId="77777777" w:rsidR="004166ED" w:rsidRDefault="004166ED" w:rsidP="00D01848">
      <w:pPr>
        <w:pStyle w:val="BodyText"/>
        <w:numPr>
          <w:ilvl w:val="0"/>
          <w:numId w:val="31"/>
        </w:numPr>
        <w:ind w:left="284" w:hanging="284"/>
      </w:pPr>
      <w:r>
        <w:lastRenderedPageBreak/>
        <w:t>Storm events and cyclone intensities</w:t>
      </w:r>
    </w:p>
    <w:p w14:paraId="06C15E94" w14:textId="10BDD66D" w:rsidR="004166ED" w:rsidRDefault="004166ED" w:rsidP="00A90EB5">
      <w:pPr>
        <w:pStyle w:val="BodyText"/>
        <w:ind w:left="284"/>
        <w:rPr>
          <w:szCs w:val="24"/>
        </w:rPr>
      </w:pPr>
      <w:r>
        <w:rPr>
          <w:szCs w:val="24"/>
        </w:rPr>
        <w:t>In the Monsoonal North (East and West) and Wet Tropics, there is an increase projected for the number of days per year where the rainfall will exceed the 99.9</w:t>
      </w:r>
      <w:r w:rsidRPr="00805187">
        <w:rPr>
          <w:szCs w:val="24"/>
          <w:vertAlign w:val="superscript"/>
        </w:rPr>
        <w:t>th</w:t>
      </w:r>
      <w:r>
        <w:rPr>
          <w:szCs w:val="24"/>
        </w:rPr>
        <w:t xml:space="preserve"> percentile. Although there is no evidence that the number of tropical cyclones will increase in Australia (and in fact they may decrease in numbers), there is some evidence to suggest that </w:t>
      </w:r>
      <w:r w:rsidRPr="0086026D">
        <w:rPr>
          <w:szCs w:val="24"/>
        </w:rPr>
        <w:t>maximum tropical cyclone intensities (i.e. wind speeds) are likely to increase</w:t>
      </w:r>
      <w:r>
        <w:rPr>
          <w:szCs w:val="24"/>
        </w:rPr>
        <w:t xml:space="preserve"> (</w:t>
      </w:r>
      <w:bookmarkStart w:id="148" w:name="_Hlk49864095"/>
      <w:r>
        <w:rPr>
          <w:szCs w:val="24"/>
        </w:rPr>
        <w:t>Walsh et al. 2004; App 2012</w:t>
      </w:r>
      <w:bookmarkEnd w:id="148"/>
      <w:r>
        <w:rPr>
          <w:szCs w:val="24"/>
        </w:rPr>
        <w:t>)</w:t>
      </w:r>
      <w:r w:rsidR="00BF2234">
        <w:rPr>
          <w:szCs w:val="24"/>
        </w:rPr>
        <w:t xml:space="preserve">. </w:t>
      </w:r>
      <w:r>
        <w:rPr>
          <w:szCs w:val="24"/>
        </w:rPr>
        <w:t xml:space="preserve">This observation was consistent with the projection of increasing windspeeds during the summer months (when cyclones may occur), particularly in the Wet Tropics. </w:t>
      </w:r>
    </w:p>
    <w:p w14:paraId="435600DF" w14:textId="77777777" w:rsidR="004166ED" w:rsidRPr="00092AA7" w:rsidRDefault="004166ED" w:rsidP="00A90EB5">
      <w:pPr>
        <w:pStyle w:val="BodyText"/>
        <w:ind w:left="284"/>
        <w:rPr>
          <w:szCs w:val="24"/>
        </w:rPr>
      </w:pPr>
      <w:r>
        <w:rPr>
          <w:szCs w:val="24"/>
        </w:rPr>
        <w:t>There is evidence in Australian savannas that</w:t>
      </w:r>
      <w:r w:rsidRPr="00092AA7">
        <w:rPr>
          <w:szCs w:val="24"/>
        </w:rPr>
        <w:t xml:space="preserve"> lightning strike</w:t>
      </w:r>
      <w:r>
        <w:rPr>
          <w:szCs w:val="24"/>
        </w:rPr>
        <w:t xml:space="preserve"> and </w:t>
      </w:r>
      <w:r w:rsidRPr="00092AA7">
        <w:rPr>
          <w:szCs w:val="24"/>
        </w:rPr>
        <w:t>windthrow</w:t>
      </w:r>
      <w:r>
        <w:rPr>
          <w:szCs w:val="24"/>
        </w:rPr>
        <w:t xml:space="preserve"> associated with storms may contribute to mortality, and hence, fuel loads (e.g. </w:t>
      </w:r>
      <w:bookmarkStart w:id="149" w:name="_Hlk49864109"/>
      <w:r w:rsidRPr="00092AA7">
        <w:rPr>
          <w:szCs w:val="24"/>
        </w:rPr>
        <w:t>Lonsdale and Braithwaite, 1991</w:t>
      </w:r>
      <w:bookmarkEnd w:id="149"/>
      <w:r>
        <w:rPr>
          <w:szCs w:val="24"/>
        </w:rPr>
        <w:t>). Hence, an increase in storm events and cyclone intensities may result in increased inputs to fuels.</w:t>
      </w:r>
    </w:p>
    <w:p w14:paraId="556C5230" w14:textId="77777777" w:rsidR="004166ED" w:rsidRPr="00904179" w:rsidRDefault="004166ED" w:rsidP="00D01848">
      <w:pPr>
        <w:pStyle w:val="BodyText"/>
        <w:numPr>
          <w:ilvl w:val="0"/>
          <w:numId w:val="31"/>
        </w:numPr>
        <w:ind w:left="284" w:hanging="284"/>
        <w:rPr>
          <w:rFonts w:asciiTheme="minorHAnsi" w:hAnsiTheme="minorHAnsi" w:cstheme="minorHAnsi"/>
          <w:szCs w:val="24"/>
        </w:rPr>
      </w:pPr>
      <w:r w:rsidRPr="00904179">
        <w:rPr>
          <w:rFonts w:asciiTheme="minorHAnsi" w:hAnsiTheme="minorHAnsi" w:cstheme="minorHAnsi"/>
          <w:szCs w:val="24"/>
        </w:rPr>
        <w:t>Weeds</w:t>
      </w:r>
    </w:p>
    <w:p w14:paraId="3799D9D9" w14:textId="0C959645" w:rsidR="004166ED" w:rsidRDefault="004166ED" w:rsidP="00A90EB5">
      <w:pPr>
        <w:pStyle w:val="BodyText"/>
        <w:ind w:left="284"/>
      </w:pPr>
      <w:r w:rsidRPr="00904179">
        <w:rPr>
          <w:rFonts w:asciiTheme="minorHAnsi" w:hAnsiTheme="minorHAnsi" w:cstheme="minorHAnsi"/>
          <w:szCs w:val="24"/>
        </w:rPr>
        <w:t>The on</w:t>
      </w:r>
      <w:r w:rsidRPr="00617A6C">
        <w:rPr>
          <w:rFonts w:asciiTheme="minorHAnsi" w:hAnsiTheme="minorHAnsi" w:cstheme="minorHAnsi"/>
          <w:szCs w:val="24"/>
        </w:rPr>
        <w:t>going and</w:t>
      </w:r>
      <w:r>
        <w:rPr>
          <w:rFonts w:asciiTheme="minorHAnsi" w:hAnsiTheme="minorHAnsi" w:cstheme="minorHAnsi"/>
          <w:szCs w:val="24"/>
        </w:rPr>
        <w:t xml:space="preserve"> </w:t>
      </w:r>
      <w:r w:rsidRPr="00617A6C">
        <w:rPr>
          <w:rFonts w:asciiTheme="minorHAnsi" w:hAnsiTheme="minorHAnsi" w:cstheme="minorHAnsi"/>
          <w:szCs w:val="24"/>
        </w:rPr>
        <w:t xml:space="preserve">rapid spread of exotic </w:t>
      </w:r>
      <w:r w:rsidR="002B24B2">
        <w:rPr>
          <w:rFonts w:asciiTheme="minorHAnsi" w:hAnsiTheme="minorHAnsi" w:cstheme="minorHAnsi"/>
          <w:szCs w:val="24"/>
        </w:rPr>
        <w:t>gamba</w:t>
      </w:r>
      <w:r w:rsidRPr="00617A6C">
        <w:rPr>
          <w:rFonts w:asciiTheme="minorHAnsi" w:hAnsiTheme="minorHAnsi" w:cstheme="minorHAnsi"/>
          <w:szCs w:val="24"/>
        </w:rPr>
        <w:t xml:space="preserve"> grass (</w:t>
      </w:r>
      <w:r w:rsidRPr="00904179">
        <w:rPr>
          <w:rFonts w:asciiTheme="minorHAnsi" w:hAnsiTheme="minorHAnsi" w:cstheme="minorHAnsi"/>
          <w:i/>
          <w:iCs/>
          <w:szCs w:val="24"/>
        </w:rPr>
        <w:t>Andropogon gayanus</w:t>
      </w:r>
      <w:r w:rsidRPr="00617A6C">
        <w:rPr>
          <w:rFonts w:asciiTheme="minorHAnsi" w:hAnsiTheme="minorHAnsi" w:cstheme="minorHAnsi"/>
          <w:szCs w:val="24"/>
        </w:rPr>
        <w:t>)</w:t>
      </w:r>
      <w:r>
        <w:rPr>
          <w:rFonts w:asciiTheme="minorHAnsi" w:hAnsiTheme="minorHAnsi" w:cstheme="minorHAnsi"/>
          <w:szCs w:val="24"/>
        </w:rPr>
        <w:t xml:space="preserve"> </w:t>
      </w:r>
      <w:r w:rsidRPr="00617A6C">
        <w:rPr>
          <w:rFonts w:asciiTheme="minorHAnsi" w:hAnsiTheme="minorHAnsi" w:cstheme="minorHAnsi"/>
          <w:szCs w:val="24"/>
        </w:rPr>
        <w:t>across northern Australia’s mesic savannas has the potential</w:t>
      </w:r>
      <w:r>
        <w:rPr>
          <w:rFonts w:asciiTheme="minorHAnsi" w:hAnsiTheme="minorHAnsi" w:cstheme="minorHAnsi"/>
          <w:szCs w:val="24"/>
        </w:rPr>
        <w:t xml:space="preserve"> </w:t>
      </w:r>
      <w:r w:rsidRPr="00617A6C">
        <w:rPr>
          <w:rFonts w:asciiTheme="minorHAnsi" w:hAnsiTheme="minorHAnsi" w:cstheme="minorHAnsi"/>
          <w:szCs w:val="24"/>
        </w:rPr>
        <w:t xml:space="preserve">to transform fire regimes in coming decades, </w:t>
      </w:r>
      <w:r w:rsidRPr="00DB6987">
        <w:rPr>
          <w:rFonts w:asciiTheme="minorHAnsi" w:hAnsiTheme="minorHAnsi" w:cstheme="minorHAnsi"/>
          <w:szCs w:val="24"/>
        </w:rPr>
        <w:t>dramatically increasing typical fire intensities (</w:t>
      </w:r>
      <w:bookmarkStart w:id="150" w:name="_Hlk49864123"/>
      <w:r w:rsidRPr="00DB6987">
        <w:rPr>
          <w:rFonts w:asciiTheme="minorHAnsi" w:hAnsiTheme="minorHAnsi" w:cstheme="minorHAnsi"/>
          <w:szCs w:val="24"/>
        </w:rPr>
        <w:t>Setterfield et al., 2010</w:t>
      </w:r>
      <w:bookmarkEnd w:id="150"/>
      <w:r w:rsidRPr="00DB6987">
        <w:rPr>
          <w:rFonts w:asciiTheme="minorHAnsi" w:hAnsiTheme="minorHAnsi" w:cstheme="minorHAnsi"/>
          <w:szCs w:val="24"/>
        </w:rPr>
        <w:t>) and reducing tree biomass. There are also similar threats from the flammable weedy mission grass (</w:t>
      </w:r>
      <w:r w:rsidRPr="00DB6987">
        <w:rPr>
          <w:rFonts w:asciiTheme="minorHAnsi" w:hAnsiTheme="minorHAnsi" w:cstheme="minorHAnsi"/>
          <w:i/>
          <w:iCs/>
          <w:szCs w:val="24"/>
        </w:rPr>
        <w:t>Pennisetum polystachion</w:t>
      </w:r>
      <w:r w:rsidRPr="00DB6987">
        <w:rPr>
          <w:rFonts w:asciiTheme="minorHAnsi" w:hAnsiTheme="minorHAnsi" w:cstheme="minorHAnsi"/>
          <w:szCs w:val="24"/>
        </w:rPr>
        <w:t>) (</w:t>
      </w:r>
      <w:bookmarkStart w:id="151" w:name="_Hlk49864131"/>
      <w:r w:rsidRPr="00DB6987">
        <w:rPr>
          <w:rFonts w:asciiTheme="minorHAnsi" w:hAnsiTheme="minorHAnsi" w:cstheme="minorHAnsi"/>
          <w:szCs w:val="24"/>
        </w:rPr>
        <w:t>Csurhes 2005</w:t>
      </w:r>
      <w:bookmarkEnd w:id="151"/>
      <w:r w:rsidRPr="00DB6987">
        <w:rPr>
          <w:rFonts w:asciiTheme="minorHAnsi" w:hAnsiTheme="minorHAnsi" w:cstheme="minorHAnsi"/>
          <w:szCs w:val="24"/>
        </w:rPr>
        <w:t>).</w:t>
      </w:r>
      <w:r>
        <w:rPr>
          <w:rFonts w:asciiTheme="minorHAnsi" w:hAnsiTheme="minorHAnsi" w:cstheme="minorHAnsi"/>
          <w:szCs w:val="24"/>
        </w:rPr>
        <w:t xml:space="preserve"> These weeds have been shown to increase the frequency and intensity of land dry season fires. The increasing temperatures is expected to cause a southern shift in the distribution of gamba grass (</w:t>
      </w:r>
      <w:bookmarkStart w:id="152" w:name="_Hlk49864139"/>
      <w:r>
        <w:rPr>
          <w:rFonts w:asciiTheme="minorHAnsi" w:hAnsiTheme="minorHAnsi" w:cstheme="minorHAnsi"/>
          <w:szCs w:val="24"/>
        </w:rPr>
        <w:t>Csurhes and Hanna-Jones 2016</w:t>
      </w:r>
      <w:bookmarkEnd w:id="152"/>
      <w:r>
        <w:rPr>
          <w:rFonts w:asciiTheme="minorHAnsi" w:hAnsiTheme="minorHAnsi" w:cstheme="minorHAnsi"/>
          <w:szCs w:val="24"/>
        </w:rPr>
        <w:t>).</w:t>
      </w:r>
    </w:p>
    <w:p w14:paraId="38B2F5C5" w14:textId="77777777" w:rsidR="00861A3C" w:rsidRDefault="00861A3C" w:rsidP="00FF23B8">
      <w:pPr>
        <w:pStyle w:val="BodyText"/>
        <w:spacing w:before="0"/>
        <w:rPr>
          <w:i/>
          <w:iCs/>
        </w:rPr>
      </w:pPr>
    </w:p>
    <w:p w14:paraId="59D2A7F3" w14:textId="77777777" w:rsidR="004166ED" w:rsidRPr="00E3677C" w:rsidRDefault="004166ED">
      <w:pPr>
        <w:pStyle w:val="BodyText"/>
        <w:rPr>
          <w:i/>
          <w:iCs/>
        </w:rPr>
      </w:pPr>
      <w:r w:rsidRPr="00E3677C">
        <w:rPr>
          <w:i/>
          <w:iCs/>
        </w:rPr>
        <w:t>Other carbon pools</w:t>
      </w:r>
    </w:p>
    <w:p w14:paraId="7EF50F3A" w14:textId="617E612D" w:rsidR="00862ED5" w:rsidRDefault="00862ED5">
      <w:pPr>
        <w:pStyle w:val="BodyText"/>
        <w:rPr>
          <w:rFonts w:asciiTheme="minorHAnsi" w:hAnsiTheme="minorHAnsi" w:cstheme="minorHAnsi"/>
          <w:szCs w:val="24"/>
        </w:rPr>
      </w:pPr>
      <w:r w:rsidRPr="468116BD">
        <w:rPr>
          <w:rFonts w:asciiTheme="minorHAnsi" w:hAnsiTheme="minorHAnsi" w:cstheme="minorBidi"/>
        </w:rPr>
        <w:t>As mentioned above, the live biomass pool is currently not considered in the savanna fire management methods, yet climate change is likely to impact fuel accumulation rates via its impact on live biomass. Therefore changes to SavBAT default parameters will be required to ensure the methodology maintains accurate predictions of the impact of fire management on carbon sequestration in these fuels.</w:t>
      </w:r>
    </w:p>
    <w:p w14:paraId="0181FA5C" w14:textId="680E12D3" w:rsidR="004166ED" w:rsidRDefault="004166ED">
      <w:pPr>
        <w:pStyle w:val="BodyText"/>
      </w:pPr>
      <w:r w:rsidRPr="00877923">
        <w:rPr>
          <w:rFonts w:asciiTheme="minorHAnsi" w:hAnsiTheme="minorHAnsi" w:cstheme="minorHAnsi"/>
          <w:szCs w:val="24"/>
        </w:rPr>
        <w:t xml:space="preserve">There is </w:t>
      </w:r>
      <w:r w:rsidR="00862ED5">
        <w:rPr>
          <w:rFonts w:asciiTheme="minorHAnsi" w:hAnsiTheme="minorHAnsi" w:cstheme="minorHAnsi"/>
          <w:szCs w:val="24"/>
        </w:rPr>
        <w:t xml:space="preserve">also </w:t>
      </w:r>
      <w:r w:rsidRPr="00877923">
        <w:rPr>
          <w:rFonts w:asciiTheme="minorHAnsi" w:hAnsiTheme="minorHAnsi" w:cstheme="minorHAnsi"/>
          <w:szCs w:val="24"/>
        </w:rPr>
        <w:t>some evidence that increasing woody</w:t>
      </w:r>
      <w:r>
        <w:rPr>
          <w:rFonts w:asciiTheme="minorHAnsi" w:hAnsiTheme="minorHAnsi" w:cstheme="minorHAnsi"/>
          <w:szCs w:val="24"/>
        </w:rPr>
        <w:t xml:space="preserve"> </w:t>
      </w:r>
      <w:r w:rsidRPr="00877923">
        <w:rPr>
          <w:rFonts w:asciiTheme="minorHAnsi" w:hAnsiTheme="minorHAnsi" w:cstheme="minorHAnsi"/>
          <w:szCs w:val="24"/>
        </w:rPr>
        <w:t>biomass in savanna systems is paralleled by increasing soil</w:t>
      </w:r>
      <w:r>
        <w:rPr>
          <w:rFonts w:asciiTheme="minorHAnsi" w:hAnsiTheme="minorHAnsi" w:cstheme="minorHAnsi"/>
          <w:szCs w:val="24"/>
        </w:rPr>
        <w:t xml:space="preserve"> </w:t>
      </w:r>
      <w:r w:rsidRPr="00877923">
        <w:rPr>
          <w:rFonts w:asciiTheme="minorHAnsi" w:hAnsiTheme="minorHAnsi" w:cstheme="minorHAnsi"/>
          <w:szCs w:val="24"/>
        </w:rPr>
        <w:t xml:space="preserve">carbon stocks (Coetsee et al. </w:t>
      </w:r>
      <w:r w:rsidRPr="00624DCD">
        <w:rPr>
          <w:rFonts w:asciiTheme="minorHAnsi" w:hAnsiTheme="minorHAnsi" w:cstheme="minorHAnsi"/>
          <w:szCs w:val="24"/>
        </w:rPr>
        <w:t>2010</w:t>
      </w:r>
      <w:r w:rsidR="00623A20">
        <w:rPr>
          <w:rFonts w:asciiTheme="minorHAnsi" w:hAnsiTheme="minorHAnsi" w:cstheme="minorHAnsi"/>
          <w:szCs w:val="24"/>
        </w:rPr>
        <w:t>;</w:t>
      </w:r>
      <w:r w:rsidRPr="00624DCD">
        <w:rPr>
          <w:rFonts w:asciiTheme="minorHAnsi" w:hAnsiTheme="minorHAnsi" w:cstheme="minorHAnsi"/>
          <w:szCs w:val="24"/>
        </w:rPr>
        <w:t xml:space="preserve"> Murphy et al. 2014); however</w:t>
      </w:r>
      <w:r w:rsidRPr="00877923">
        <w:rPr>
          <w:rFonts w:asciiTheme="minorHAnsi" w:hAnsiTheme="minorHAnsi" w:cstheme="minorHAnsi"/>
          <w:szCs w:val="24"/>
        </w:rPr>
        <w:t>, the generality</w:t>
      </w:r>
      <w:r>
        <w:rPr>
          <w:rFonts w:asciiTheme="minorHAnsi" w:hAnsiTheme="minorHAnsi" w:cstheme="minorHAnsi"/>
          <w:szCs w:val="24"/>
        </w:rPr>
        <w:t xml:space="preserve"> </w:t>
      </w:r>
      <w:r w:rsidRPr="00877923">
        <w:rPr>
          <w:rFonts w:asciiTheme="minorHAnsi" w:hAnsiTheme="minorHAnsi" w:cstheme="minorHAnsi"/>
          <w:szCs w:val="24"/>
        </w:rPr>
        <w:t>of such an effect is highly uncertain.</w:t>
      </w:r>
      <w:r>
        <w:rPr>
          <w:rFonts w:asciiTheme="minorHAnsi" w:hAnsiTheme="minorHAnsi" w:cstheme="minorHAnsi"/>
          <w:szCs w:val="24"/>
        </w:rPr>
        <w:t xml:space="preserve"> </w:t>
      </w:r>
      <w:r w:rsidRPr="007430B6">
        <w:rPr>
          <w:rFonts w:asciiTheme="minorHAnsi" w:hAnsiTheme="minorHAnsi" w:cstheme="minorHAnsi"/>
          <w:szCs w:val="24"/>
        </w:rPr>
        <w:t>Despite this uncertainty, changes in soil carbon stocks are</w:t>
      </w:r>
      <w:r>
        <w:rPr>
          <w:rFonts w:asciiTheme="minorHAnsi" w:hAnsiTheme="minorHAnsi" w:cstheme="minorHAnsi"/>
          <w:szCs w:val="24"/>
        </w:rPr>
        <w:t xml:space="preserve"> </w:t>
      </w:r>
      <w:r w:rsidRPr="007430B6">
        <w:rPr>
          <w:rFonts w:asciiTheme="minorHAnsi" w:hAnsiTheme="minorHAnsi" w:cstheme="minorHAnsi"/>
          <w:szCs w:val="24"/>
        </w:rPr>
        <w:t>likely to be very important, given that soil organic carbon is</w:t>
      </w:r>
      <w:r>
        <w:rPr>
          <w:rFonts w:asciiTheme="minorHAnsi" w:hAnsiTheme="minorHAnsi" w:cstheme="minorHAnsi"/>
          <w:szCs w:val="24"/>
        </w:rPr>
        <w:t xml:space="preserve"> </w:t>
      </w:r>
      <w:r w:rsidRPr="007430B6">
        <w:rPr>
          <w:rFonts w:asciiTheme="minorHAnsi" w:hAnsiTheme="minorHAnsi" w:cstheme="minorHAnsi"/>
          <w:szCs w:val="24"/>
        </w:rPr>
        <w:t>by far the largest pool in these savannas, representing about</w:t>
      </w:r>
      <w:r>
        <w:rPr>
          <w:rFonts w:asciiTheme="minorHAnsi" w:hAnsiTheme="minorHAnsi" w:cstheme="minorHAnsi"/>
          <w:szCs w:val="24"/>
        </w:rPr>
        <w:t xml:space="preserve"> </w:t>
      </w:r>
      <w:r w:rsidRPr="007430B6">
        <w:rPr>
          <w:rFonts w:asciiTheme="minorHAnsi" w:hAnsiTheme="minorHAnsi" w:cstheme="minorHAnsi"/>
          <w:szCs w:val="24"/>
        </w:rPr>
        <w:t>75% of ecosystem carbon (</w:t>
      </w:r>
      <w:bookmarkStart w:id="153" w:name="_Hlk49864187"/>
      <w:r w:rsidRPr="007430B6">
        <w:rPr>
          <w:rFonts w:asciiTheme="minorHAnsi" w:hAnsiTheme="minorHAnsi" w:cstheme="minorHAnsi"/>
          <w:szCs w:val="24"/>
        </w:rPr>
        <w:t>Chen et al., 2003</w:t>
      </w:r>
      <w:bookmarkEnd w:id="153"/>
      <w:r w:rsidRPr="007430B6">
        <w:rPr>
          <w:rFonts w:asciiTheme="minorHAnsi" w:hAnsiTheme="minorHAnsi" w:cstheme="minorHAnsi"/>
          <w:szCs w:val="24"/>
        </w:rPr>
        <w:t>).</w:t>
      </w:r>
      <w:r>
        <w:rPr>
          <w:rFonts w:asciiTheme="minorHAnsi" w:hAnsiTheme="minorHAnsi" w:cstheme="minorHAnsi"/>
          <w:szCs w:val="24"/>
        </w:rPr>
        <w:t xml:space="preserve"> </w:t>
      </w:r>
    </w:p>
    <w:p w14:paraId="726E502B" w14:textId="4BBB5569" w:rsidR="004166ED" w:rsidRPr="00A87ACE" w:rsidRDefault="004166ED">
      <w:pPr>
        <w:pStyle w:val="BodyText"/>
        <w:rPr>
          <w:rFonts w:asciiTheme="minorHAnsi" w:hAnsiTheme="minorHAnsi" w:cstheme="minorHAnsi"/>
          <w:szCs w:val="24"/>
        </w:rPr>
      </w:pPr>
      <w:r w:rsidRPr="00D43E50">
        <w:rPr>
          <w:rFonts w:asciiTheme="minorHAnsi" w:hAnsiTheme="minorHAnsi" w:cstheme="minorHAnsi"/>
          <w:szCs w:val="24"/>
        </w:rPr>
        <w:t>Chen</w:t>
      </w:r>
      <w:r>
        <w:rPr>
          <w:rFonts w:asciiTheme="minorHAnsi" w:hAnsiTheme="minorHAnsi" w:cstheme="minorHAnsi"/>
          <w:szCs w:val="24"/>
        </w:rPr>
        <w:t xml:space="preserve"> </w:t>
      </w:r>
      <w:r w:rsidRPr="00D43E50">
        <w:rPr>
          <w:rFonts w:asciiTheme="minorHAnsi" w:hAnsiTheme="minorHAnsi" w:cstheme="minorHAnsi"/>
          <w:szCs w:val="24"/>
        </w:rPr>
        <w:t>et al. (2003) estimated that 74% of the carbon in a northern Australian</w:t>
      </w:r>
      <w:r>
        <w:rPr>
          <w:rFonts w:asciiTheme="minorHAnsi" w:hAnsiTheme="minorHAnsi" w:cstheme="minorHAnsi"/>
          <w:szCs w:val="24"/>
        </w:rPr>
        <w:t xml:space="preserve"> </w:t>
      </w:r>
      <w:r w:rsidRPr="00D43E50">
        <w:rPr>
          <w:rFonts w:asciiTheme="minorHAnsi" w:hAnsiTheme="minorHAnsi" w:cstheme="minorHAnsi"/>
          <w:szCs w:val="24"/>
        </w:rPr>
        <w:t>savanna system is stored in soil organic matter and only</w:t>
      </w:r>
      <w:r>
        <w:rPr>
          <w:rFonts w:asciiTheme="minorHAnsi" w:hAnsiTheme="minorHAnsi" w:cstheme="minorHAnsi"/>
          <w:szCs w:val="24"/>
        </w:rPr>
        <w:t xml:space="preserve"> </w:t>
      </w:r>
      <w:r w:rsidRPr="00D43E50">
        <w:rPr>
          <w:rFonts w:asciiTheme="minorHAnsi" w:hAnsiTheme="minorHAnsi" w:cstheme="minorHAnsi"/>
          <w:szCs w:val="24"/>
        </w:rPr>
        <w:t>24% is stored in live biomass. How soil carbon stocks respond to</w:t>
      </w:r>
      <w:r>
        <w:rPr>
          <w:rFonts w:asciiTheme="minorHAnsi" w:hAnsiTheme="minorHAnsi" w:cstheme="minorHAnsi"/>
          <w:szCs w:val="24"/>
        </w:rPr>
        <w:t xml:space="preserve"> </w:t>
      </w:r>
      <w:r w:rsidRPr="00D43E50">
        <w:rPr>
          <w:rFonts w:asciiTheme="minorHAnsi" w:hAnsiTheme="minorHAnsi" w:cstheme="minorHAnsi"/>
          <w:szCs w:val="24"/>
        </w:rPr>
        <w:t xml:space="preserve">fire or climate change is still uncertain. </w:t>
      </w:r>
      <w:bookmarkStart w:id="154" w:name="_Hlk49864205"/>
      <w:r w:rsidRPr="00D43E50">
        <w:rPr>
          <w:rFonts w:asciiTheme="minorHAnsi" w:hAnsiTheme="minorHAnsi" w:cstheme="minorHAnsi"/>
          <w:szCs w:val="24"/>
        </w:rPr>
        <w:t>Richards et al. (2011)</w:t>
      </w:r>
      <w:r>
        <w:rPr>
          <w:rFonts w:asciiTheme="minorHAnsi" w:hAnsiTheme="minorHAnsi" w:cstheme="minorHAnsi"/>
          <w:szCs w:val="24"/>
        </w:rPr>
        <w:t xml:space="preserve"> </w:t>
      </w:r>
      <w:bookmarkEnd w:id="154"/>
      <w:r w:rsidRPr="00D43E50">
        <w:rPr>
          <w:rFonts w:asciiTheme="minorHAnsi" w:hAnsiTheme="minorHAnsi" w:cstheme="minorHAnsi"/>
          <w:szCs w:val="24"/>
        </w:rPr>
        <w:t>showed in a modelling study that soil carbon storage increased</w:t>
      </w:r>
      <w:r>
        <w:rPr>
          <w:rFonts w:asciiTheme="minorHAnsi" w:hAnsiTheme="minorHAnsi" w:cstheme="minorHAnsi"/>
          <w:szCs w:val="24"/>
        </w:rPr>
        <w:t xml:space="preserve"> </w:t>
      </w:r>
      <w:r w:rsidRPr="00D43E50">
        <w:rPr>
          <w:rFonts w:asciiTheme="minorHAnsi" w:hAnsiTheme="minorHAnsi" w:cstheme="minorHAnsi"/>
          <w:szCs w:val="24"/>
        </w:rPr>
        <w:t>when fire return intervals increased from 1 to 5 yr but slightly</w:t>
      </w:r>
      <w:r>
        <w:rPr>
          <w:rFonts w:asciiTheme="minorHAnsi" w:hAnsiTheme="minorHAnsi" w:cstheme="minorHAnsi"/>
          <w:szCs w:val="24"/>
        </w:rPr>
        <w:t xml:space="preserve"> </w:t>
      </w:r>
      <w:r w:rsidRPr="00D43E50">
        <w:rPr>
          <w:rFonts w:asciiTheme="minorHAnsi" w:hAnsiTheme="minorHAnsi" w:cstheme="minorHAnsi"/>
          <w:szCs w:val="24"/>
        </w:rPr>
        <w:t xml:space="preserve">decreased for less frequent fires. </w:t>
      </w:r>
      <w:r w:rsidR="00E07298">
        <w:rPr>
          <w:rFonts w:asciiTheme="minorHAnsi" w:hAnsiTheme="minorHAnsi" w:cstheme="minorHAnsi"/>
          <w:szCs w:val="24"/>
        </w:rPr>
        <w:t>T</w:t>
      </w:r>
      <w:r w:rsidRPr="00D43E50">
        <w:rPr>
          <w:rFonts w:asciiTheme="minorHAnsi" w:hAnsiTheme="minorHAnsi" w:cstheme="minorHAnsi"/>
          <w:szCs w:val="24"/>
        </w:rPr>
        <w:t>his</w:t>
      </w:r>
      <w:r>
        <w:rPr>
          <w:rFonts w:asciiTheme="minorHAnsi" w:hAnsiTheme="minorHAnsi" w:cstheme="minorHAnsi"/>
          <w:szCs w:val="24"/>
        </w:rPr>
        <w:t xml:space="preserve"> </w:t>
      </w:r>
      <w:r w:rsidRPr="00D43E50">
        <w:rPr>
          <w:rFonts w:asciiTheme="minorHAnsi" w:hAnsiTheme="minorHAnsi" w:cstheme="minorHAnsi"/>
          <w:szCs w:val="24"/>
        </w:rPr>
        <w:t>implies that carbon storage in savanna ecosystems is maximized</w:t>
      </w:r>
      <w:r>
        <w:rPr>
          <w:rFonts w:asciiTheme="minorHAnsi" w:hAnsiTheme="minorHAnsi" w:cstheme="minorHAnsi"/>
          <w:szCs w:val="24"/>
        </w:rPr>
        <w:t xml:space="preserve"> </w:t>
      </w:r>
      <w:r w:rsidRPr="00D43E50">
        <w:rPr>
          <w:rFonts w:asciiTheme="minorHAnsi" w:hAnsiTheme="minorHAnsi" w:cstheme="minorHAnsi"/>
          <w:szCs w:val="24"/>
        </w:rPr>
        <w:t>when fire return intervals are long. By contrast, field experiments</w:t>
      </w:r>
      <w:r>
        <w:rPr>
          <w:rFonts w:asciiTheme="minorHAnsi" w:hAnsiTheme="minorHAnsi" w:cstheme="minorHAnsi"/>
          <w:szCs w:val="24"/>
        </w:rPr>
        <w:t xml:space="preserve"> </w:t>
      </w:r>
      <w:r w:rsidRPr="00D43E50">
        <w:rPr>
          <w:rFonts w:asciiTheme="minorHAnsi" w:hAnsiTheme="minorHAnsi" w:cstheme="minorHAnsi"/>
          <w:szCs w:val="24"/>
        </w:rPr>
        <w:t>show only weak impacts of fire on soil carbon (</w:t>
      </w:r>
      <w:bookmarkStart w:id="155" w:name="_Hlk49864214"/>
      <w:r w:rsidRPr="00D43E50">
        <w:rPr>
          <w:rFonts w:asciiTheme="minorHAnsi" w:hAnsiTheme="minorHAnsi" w:cstheme="minorHAnsi"/>
          <w:szCs w:val="24"/>
        </w:rPr>
        <w:t>Beyer et al.,</w:t>
      </w:r>
      <w:r>
        <w:rPr>
          <w:rFonts w:asciiTheme="minorHAnsi" w:hAnsiTheme="minorHAnsi" w:cstheme="minorHAnsi"/>
          <w:szCs w:val="24"/>
        </w:rPr>
        <w:t xml:space="preserve"> </w:t>
      </w:r>
      <w:r w:rsidRPr="00D43E50">
        <w:rPr>
          <w:rFonts w:asciiTheme="minorHAnsi" w:hAnsiTheme="minorHAnsi" w:cstheme="minorHAnsi"/>
          <w:szCs w:val="24"/>
        </w:rPr>
        <w:t>2011</w:t>
      </w:r>
      <w:bookmarkEnd w:id="155"/>
      <w:r w:rsidRPr="00D43E50">
        <w:rPr>
          <w:rFonts w:asciiTheme="minorHAnsi" w:hAnsiTheme="minorHAnsi" w:cstheme="minorHAnsi"/>
          <w:szCs w:val="24"/>
        </w:rPr>
        <w:t>).</w:t>
      </w:r>
      <w:r w:rsidR="001060B4">
        <w:rPr>
          <w:rFonts w:asciiTheme="minorHAnsi" w:hAnsiTheme="minorHAnsi" w:cstheme="minorHAnsi"/>
          <w:szCs w:val="24"/>
        </w:rPr>
        <w:t xml:space="preserve"> Conversely, fires create resistant soil carbon in the form of charcoal-like substances, which are resistant to further decay and thus, over time, can accumulate.</w:t>
      </w:r>
    </w:p>
    <w:p w14:paraId="4CF76137" w14:textId="77777777" w:rsidR="004166ED" w:rsidRDefault="004166ED" w:rsidP="004166ED">
      <w:pPr>
        <w:pStyle w:val="Heading4"/>
      </w:pPr>
      <w:r>
        <w:lastRenderedPageBreak/>
        <w:t>Summary</w:t>
      </w:r>
    </w:p>
    <w:p w14:paraId="6EB9AFF1" w14:textId="1F598720" w:rsidR="00C05A7F" w:rsidRDefault="00C05A7F" w:rsidP="00C05A7F">
      <w:pPr>
        <w:pStyle w:val="BodyText"/>
      </w:pPr>
      <w:r>
        <w:t>Given savanna fire management projects have abatement calculated with respect to a baseline period</w:t>
      </w:r>
      <w:r w:rsidR="0042525D">
        <w:t xml:space="preserve"> that changes over time to ensure the most recent years are included in the baseline calculation</w:t>
      </w:r>
      <w:r>
        <w:t>, the risk</w:t>
      </w:r>
      <w:r w:rsidR="000A4E87">
        <w:t>s</w:t>
      </w:r>
      <w:r>
        <w:t xml:space="preserve"> will differ between existing projects and new projects. Unlike existing projects, in new projects </w:t>
      </w:r>
      <w:r w:rsidR="00B93348">
        <w:t xml:space="preserve">going forward </w:t>
      </w:r>
      <w:r>
        <w:t xml:space="preserve">the baseline will be impacted by climate change. </w:t>
      </w:r>
    </w:p>
    <w:p w14:paraId="649FB506" w14:textId="23284731" w:rsidR="00C05A7F" w:rsidRDefault="003E48B6" w:rsidP="00C05A7F">
      <w:pPr>
        <w:pStyle w:val="BodyText"/>
      </w:pPr>
      <w:r>
        <w:t>A persistent increase in water stress was judged to be a high risk to both accumulation and maintenance. This is because a decrease in water availability will result in a decline in rates of fuel accumulation due to a decline in live woody biomass, and the rate of post-fire recovery of this live biomass. Under the current methodology, these changes would require updates to SavBAT defaults for litterfall, and hence, assumed rates of fuel accumulation for different vegetation types. With slower rates of fuel accumulation, there will be less abatement from fire management.</w:t>
      </w:r>
      <w:r w:rsidR="00C05A7F">
        <w:t xml:space="preserve"> </w:t>
      </w:r>
    </w:p>
    <w:p w14:paraId="1FBBFE95" w14:textId="7CB05D0F" w:rsidR="003E48B6" w:rsidRDefault="00C05A7F" w:rsidP="003E48B6">
      <w:pPr>
        <w:pStyle w:val="BodyText"/>
      </w:pPr>
      <w:r>
        <w:t>Of all the regions in Australia, the increases in temperature are projected to be the highest in the regions where savanna fire management projects occur. It is also a region that experiences cyclones, and these are projected to intensify. It is therefore likely that savanna vegetation will have increasing mortality rates associated with heat stress and cyclones. Increased rates of mortality will increase the fuel and thus, increase the abatement potential from fire management. However, this will be partly negated by increased temperatures resulting in increase</w:t>
      </w:r>
      <w:r w:rsidR="007E21DC">
        <w:t>d</w:t>
      </w:r>
      <w:r>
        <w:t xml:space="preserve"> rates of decomposition. With higher rates of decomposition, fuel loads will decline and the abatement potential from fire management will be less. </w:t>
      </w:r>
      <w:r w:rsidR="003E48B6">
        <w:t>Again, for the currently methodology to account for these changes, updates to SavBAT default assumptions of inputs and outputs to fuels will be required.</w:t>
      </w:r>
    </w:p>
    <w:p w14:paraId="17DE73DF" w14:textId="746B6F54" w:rsidR="00624DCD" w:rsidRDefault="003E48B6" w:rsidP="00C05A7F">
      <w:pPr>
        <w:pStyle w:val="BodyText"/>
      </w:pPr>
      <w:r>
        <w:t>Fire intensity and fire weather is projected to increase, and this will increase the potential abatement from fire management. However, this will only be possible where project managers can manage fires carefully to minimise the chance of a late dry season fire accidentally occurring during the period of the project</w:t>
      </w:r>
      <w:r w:rsidR="00C05A7F">
        <w:t>.</w:t>
      </w:r>
    </w:p>
    <w:p w14:paraId="4C0DF995" w14:textId="77777777" w:rsidR="00CE573A" w:rsidRDefault="00CE573A">
      <w:pPr>
        <w:rPr>
          <w:rFonts w:ascii="Calibri" w:eastAsia="Calibri" w:hAnsi="Calibri"/>
          <w:b/>
          <w:bCs/>
          <w:color w:val="007E9A" w:themeColor="accent1" w:themeShade="BF"/>
          <w:sz w:val="20"/>
          <w:szCs w:val="18"/>
        </w:rPr>
      </w:pPr>
      <w:r>
        <w:br w:type="page"/>
      </w:r>
    </w:p>
    <w:p w14:paraId="4F3BF64B" w14:textId="12306401" w:rsidR="005E1028" w:rsidRPr="00351B86" w:rsidRDefault="005E1028" w:rsidP="005E1028">
      <w:pPr>
        <w:pStyle w:val="Caption"/>
        <w:rPr>
          <w:b w:val="0"/>
          <w:szCs w:val="20"/>
        </w:rPr>
      </w:pPr>
      <w:bookmarkStart w:id="156" w:name="_Toc52971069"/>
      <w:r>
        <w:lastRenderedPageBreak/>
        <w:t xml:space="preserve">Table </w:t>
      </w:r>
      <w:r>
        <w:fldChar w:fldCharType="begin"/>
      </w:r>
      <w:r>
        <w:instrText>SEQ Table \* ARABIC</w:instrText>
      </w:r>
      <w:r>
        <w:fldChar w:fldCharType="separate"/>
      </w:r>
      <w:r w:rsidR="00235F13">
        <w:rPr>
          <w:noProof/>
        </w:rPr>
        <w:t>14</w:t>
      </w:r>
      <w:r>
        <w:fldChar w:fldCharType="end"/>
      </w:r>
      <w:r>
        <w:t xml:space="preserve">. </w:t>
      </w:r>
      <w:r w:rsidRPr="00FC0E0D">
        <w:rPr>
          <w:b w:val="0"/>
          <w:bCs w:val="0"/>
        </w:rPr>
        <w:t xml:space="preserve">Risk assessment for </w:t>
      </w:r>
      <w:r>
        <w:rPr>
          <w:b w:val="0"/>
          <w:bCs w:val="0"/>
        </w:rPr>
        <w:t xml:space="preserve">the Savanna Fire </w:t>
      </w:r>
      <w:r w:rsidR="00787615">
        <w:rPr>
          <w:b w:val="0"/>
          <w:bCs w:val="0"/>
        </w:rPr>
        <w:t>M</w:t>
      </w:r>
      <w:r>
        <w:rPr>
          <w:b w:val="0"/>
          <w:bCs w:val="0"/>
        </w:rPr>
        <w:t>anagement activit</w:t>
      </w:r>
      <w:r w:rsidR="00787615">
        <w:rPr>
          <w:b w:val="0"/>
          <w:bCs w:val="0"/>
        </w:rPr>
        <w:t>ies</w:t>
      </w:r>
      <w:r w:rsidRPr="00351B86">
        <w:rPr>
          <w:b w:val="0"/>
          <w:szCs w:val="20"/>
        </w:rPr>
        <w:t>.</w:t>
      </w:r>
      <w:bookmarkEnd w:id="156"/>
    </w:p>
    <w:tbl>
      <w:tblPr>
        <w:tblStyle w:val="TableCSIRO"/>
        <w:tblW w:w="10490" w:type="dxa"/>
        <w:tblInd w:w="-14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6"/>
        <w:gridCol w:w="4455"/>
        <w:gridCol w:w="1210"/>
        <w:gridCol w:w="190"/>
        <w:gridCol w:w="1085"/>
        <w:gridCol w:w="1134"/>
        <w:gridCol w:w="1134"/>
        <w:gridCol w:w="426"/>
        <w:gridCol w:w="425"/>
        <w:gridCol w:w="425"/>
      </w:tblGrid>
      <w:tr w:rsidR="004E6EA8" w:rsidRPr="004F363E" w14:paraId="45B1D55A" w14:textId="77777777" w:rsidTr="004354E2">
        <w:trPr>
          <w:cnfStyle w:val="100000000000" w:firstRow="1" w:lastRow="0" w:firstColumn="0" w:lastColumn="0" w:oddVBand="0" w:evenVBand="0" w:oddHBand="0" w:evenHBand="0" w:firstRowFirstColumn="0" w:firstRowLastColumn="0" w:lastRowFirstColumn="0" w:lastRowLastColumn="0"/>
          <w:cantSplit/>
          <w:trHeight w:val="1508"/>
        </w:trPr>
        <w:tc>
          <w:tcPr>
            <w:cnfStyle w:val="001000000000" w:firstRow="0" w:lastRow="0" w:firstColumn="1" w:lastColumn="0" w:oddVBand="0" w:evenVBand="0" w:oddHBand="0" w:evenHBand="0" w:firstRowFirstColumn="0" w:firstRowLastColumn="0" w:lastRowFirstColumn="0" w:lastRowLastColumn="0"/>
            <w:tcW w:w="4461" w:type="dxa"/>
            <w:gridSpan w:val="2"/>
            <w:shd w:val="clear" w:color="auto" w:fill="FFFFFF" w:themeFill="background1"/>
            <w:tcMar>
              <w:top w:w="28" w:type="dxa"/>
              <w:left w:w="28" w:type="dxa"/>
              <w:bottom w:w="28" w:type="dxa"/>
              <w:right w:w="28" w:type="dxa"/>
            </w:tcMar>
            <w:vAlign w:val="center"/>
          </w:tcPr>
          <w:p w14:paraId="7706C666" w14:textId="77777777" w:rsidR="004E6EA8" w:rsidRDefault="004E6EA8" w:rsidP="004354E2">
            <w:pPr>
              <w:jc w:val="center"/>
            </w:pPr>
            <w:bookmarkStart w:id="157" w:name="_Hlk48112532"/>
          </w:p>
          <w:p w14:paraId="59F6202E" w14:textId="77777777" w:rsidR="004E6EA8" w:rsidRDefault="004E6EA8" w:rsidP="004354E2">
            <w:pPr>
              <w:jc w:val="center"/>
            </w:pPr>
          </w:p>
          <w:p w14:paraId="523D588E" w14:textId="77777777" w:rsidR="004E6EA8" w:rsidRDefault="004E6EA8" w:rsidP="004354E2">
            <w:pPr>
              <w:rPr>
                <w:b w:val="0"/>
                <w:bCs w:val="0"/>
              </w:rPr>
            </w:pPr>
          </w:p>
          <w:p w14:paraId="167B233E" w14:textId="77777777" w:rsidR="004E6EA8" w:rsidRPr="00867ED7" w:rsidRDefault="004E6EA8" w:rsidP="004354E2">
            <w:pPr>
              <w:rPr>
                <w:rFonts w:asciiTheme="minorHAnsi" w:hAnsiTheme="minorHAnsi" w:cstheme="minorHAnsi"/>
                <w:color w:val="000000" w:themeColor="text1"/>
                <w:sz w:val="18"/>
                <w:szCs w:val="18"/>
              </w:rPr>
            </w:pPr>
          </w:p>
        </w:tc>
        <w:tc>
          <w:tcPr>
            <w:tcW w:w="1210" w:type="dxa"/>
            <w:shd w:val="clear" w:color="auto" w:fill="FFFFFF" w:themeFill="background1"/>
          </w:tcPr>
          <w:p w14:paraId="0D03CB55" w14:textId="77777777" w:rsidR="004E6EA8" w:rsidRDefault="004E6EA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90" w:type="dxa"/>
            <w:shd w:val="clear" w:color="auto" w:fill="FFFFFF" w:themeFill="background1"/>
          </w:tcPr>
          <w:p w14:paraId="659C2C21" w14:textId="77777777" w:rsidR="004E6EA8" w:rsidRDefault="004E6EA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5" w:type="dxa"/>
            <w:shd w:val="clear" w:color="auto" w:fill="FFFFFF" w:themeFill="background1"/>
            <w:tcMar>
              <w:top w:w="28" w:type="dxa"/>
              <w:left w:w="28" w:type="dxa"/>
              <w:bottom w:w="28" w:type="dxa"/>
              <w:right w:w="28" w:type="dxa"/>
            </w:tcMar>
            <w:vAlign w:val="center"/>
          </w:tcPr>
          <w:p w14:paraId="3355ED4B" w14:textId="77777777" w:rsidR="004E6EA8" w:rsidRDefault="004E6EA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34" w:type="dxa"/>
            <w:shd w:val="clear" w:color="auto" w:fill="FFFFFF" w:themeFill="background1"/>
            <w:tcMar>
              <w:top w:w="28" w:type="dxa"/>
              <w:left w:w="28" w:type="dxa"/>
              <w:bottom w:w="28" w:type="dxa"/>
              <w:right w:w="28" w:type="dxa"/>
            </w:tcMar>
            <w:vAlign w:val="center"/>
          </w:tcPr>
          <w:p w14:paraId="027D2107" w14:textId="77777777" w:rsidR="004E6EA8" w:rsidRDefault="004E6EA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34" w:type="dxa"/>
            <w:shd w:val="clear" w:color="auto" w:fill="FFFFFF" w:themeFill="background1"/>
            <w:vAlign w:val="center"/>
          </w:tcPr>
          <w:p w14:paraId="1568C7A9" w14:textId="77777777" w:rsidR="004E6EA8" w:rsidRDefault="004E6EA8"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6" w:type="dxa"/>
            <w:vMerge w:val="restart"/>
            <w:shd w:val="clear" w:color="auto" w:fill="FFFFFF" w:themeFill="background1"/>
            <w:textDirection w:val="btLr"/>
          </w:tcPr>
          <w:p w14:paraId="6FC06820" w14:textId="77777777" w:rsidR="004E6EA8" w:rsidRDefault="004E6EA8"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Portfolio-level risks?</w:t>
            </w:r>
          </w:p>
        </w:tc>
        <w:tc>
          <w:tcPr>
            <w:tcW w:w="425" w:type="dxa"/>
            <w:vMerge w:val="restart"/>
            <w:shd w:val="clear" w:color="auto" w:fill="FFFFFF" w:themeFill="background1"/>
            <w:textDirection w:val="btLr"/>
          </w:tcPr>
          <w:p w14:paraId="43677A47" w14:textId="77777777" w:rsidR="004E6EA8" w:rsidRDefault="004E6EA8"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accumulation</w:t>
            </w:r>
          </w:p>
        </w:tc>
        <w:tc>
          <w:tcPr>
            <w:tcW w:w="425" w:type="dxa"/>
            <w:vMerge w:val="restart"/>
            <w:shd w:val="clear" w:color="auto" w:fill="FFFFFF" w:themeFill="background1"/>
            <w:textDirection w:val="btLr"/>
          </w:tcPr>
          <w:p w14:paraId="73CAC9EF" w14:textId="77777777" w:rsidR="004E6EA8" w:rsidRDefault="004E6EA8"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maintenance</w:t>
            </w:r>
          </w:p>
        </w:tc>
      </w:tr>
      <w:tr w:rsidR="008D11AD" w:rsidRPr="002A6E7B" w14:paraId="2B149A7F" w14:textId="77777777" w:rsidTr="004354E2">
        <w:trPr>
          <w:gridBefore w:val="1"/>
          <w:cnfStyle w:val="000000100000" w:firstRow="0" w:lastRow="0" w:firstColumn="0" w:lastColumn="0" w:oddVBand="0" w:evenVBand="0" w:oddHBand="1" w:evenHBand="0" w:firstRowFirstColumn="0" w:firstRowLastColumn="0" w:lastRowFirstColumn="0" w:lastRowLastColumn="0"/>
          <w:wBefore w:w="6" w:type="dxa"/>
          <w:trHeight w:val="146"/>
        </w:trPr>
        <w:tc>
          <w:tcPr>
            <w:cnfStyle w:val="001000000000" w:firstRow="0" w:lastRow="0" w:firstColumn="1" w:lastColumn="0" w:oddVBand="0" w:evenVBand="0" w:oddHBand="0" w:evenHBand="0" w:firstRowFirstColumn="0" w:firstRowLastColumn="0" w:lastRowFirstColumn="0" w:lastRowLastColumn="0"/>
            <w:tcW w:w="4455" w:type="dxa"/>
            <w:tcBorders>
              <w:top w:val="nil"/>
              <w:bottom w:val="nil"/>
            </w:tcBorders>
            <w:shd w:val="clear" w:color="auto" w:fill="FFFFFF" w:themeFill="background1"/>
            <w:tcMar>
              <w:top w:w="28" w:type="dxa"/>
              <w:left w:w="28" w:type="dxa"/>
              <w:bottom w:w="28" w:type="dxa"/>
              <w:right w:w="28" w:type="dxa"/>
            </w:tcMar>
            <w:vAlign w:val="bottom"/>
          </w:tcPr>
          <w:p w14:paraId="5252BD87" w14:textId="0AB9A32F" w:rsidR="004E6EA8" w:rsidRPr="002A6E7B" w:rsidRDefault="004E6EA8" w:rsidP="004354E2">
            <w:pPr>
              <w:rPr>
                <w:rFonts w:asciiTheme="minorHAnsi" w:hAnsiTheme="minorHAnsi" w:cstheme="minorHAnsi"/>
                <w:color w:val="000000" w:themeColor="text1"/>
                <w:sz w:val="18"/>
                <w:szCs w:val="18"/>
              </w:rPr>
            </w:pPr>
            <w:r w:rsidRPr="004E6EA8">
              <w:rPr>
                <w:rFonts w:asciiTheme="minorHAnsi" w:hAnsiTheme="minorHAnsi" w:cstheme="minorHAnsi"/>
                <w:color w:val="000000" w:themeColor="text1"/>
                <w:sz w:val="18"/>
                <w:szCs w:val="18"/>
              </w:rPr>
              <w:t>Direct impacts via primary climate change variables</w:t>
            </w:r>
          </w:p>
        </w:tc>
        <w:tc>
          <w:tcPr>
            <w:tcW w:w="1210" w:type="dxa"/>
            <w:tcBorders>
              <w:top w:val="nil"/>
              <w:bottom w:val="nil"/>
            </w:tcBorders>
            <w:shd w:val="clear" w:color="auto" w:fill="FFFFFF" w:themeFill="background1"/>
            <w:vAlign w:val="bottom"/>
          </w:tcPr>
          <w:p w14:paraId="4B3DCA18" w14:textId="77777777" w:rsidR="004E6EA8" w:rsidRPr="002A6E7B" w:rsidRDefault="004E6EA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Science c</w:t>
            </w:r>
            <w:r w:rsidRPr="002A6E7B">
              <w:rPr>
                <w:rFonts w:asciiTheme="minorHAnsi" w:hAnsiTheme="minorHAnsi" w:cstheme="minorHAnsi"/>
                <w:b/>
                <w:bCs/>
                <w:color w:val="000000" w:themeColor="text1"/>
                <w:sz w:val="18"/>
                <w:szCs w:val="18"/>
              </w:rPr>
              <w:t>onfidence</w:t>
            </w:r>
            <w:r>
              <w:rPr>
                <w:rFonts w:asciiTheme="minorHAnsi" w:hAnsiTheme="minorHAnsi" w:cstheme="minorHAnsi"/>
                <w:b/>
                <w:bCs/>
                <w:color w:val="000000" w:themeColor="text1"/>
                <w:sz w:val="18"/>
                <w:szCs w:val="18"/>
              </w:rPr>
              <w:t xml:space="preserve"> in projection</w:t>
            </w:r>
          </w:p>
        </w:tc>
        <w:tc>
          <w:tcPr>
            <w:tcW w:w="190" w:type="dxa"/>
            <w:tcBorders>
              <w:top w:val="nil"/>
              <w:bottom w:val="nil"/>
            </w:tcBorders>
            <w:shd w:val="clear" w:color="auto" w:fill="FFFFFF" w:themeFill="background1"/>
            <w:vAlign w:val="bottom"/>
          </w:tcPr>
          <w:p w14:paraId="1C7EE3B2" w14:textId="77777777" w:rsidR="004E6EA8" w:rsidRPr="002A6E7B" w:rsidRDefault="004E6EA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85" w:type="dxa"/>
            <w:tcBorders>
              <w:top w:val="nil"/>
              <w:bottom w:val="nil"/>
            </w:tcBorders>
            <w:shd w:val="clear" w:color="auto" w:fill="FFFFFF" w:themeFill="background1"/>
            <w:tcMar>
              <w:top w:w="28" w:type="dxa"/>
              <w:left w:w="28" w:type="dxa"/>
              <w:bottom w:w="28" w:type="dxa"/>
              <w:right w:w="28" w:type="dxa"/>
            </w:tcMar>
            <w:vAlign w:val="bottom"/>
          </w:tcPr>
          <w:p w14:paraId="4AF1E97F" w14:textId="77777777" w:rsidR="004E6EA8" w:rsidRPr="002A6E7B" w:rsidRDefault="004E6EA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likelihood</w:t>
            </w:r>
          </w:p>
        </w:tc>
        <w:tc>
          <w:tcPr>
            <w:tcW w:w="1134" w:type="dxa"/>
            <w:tcBorders>
              <w:top w:val="nil"/>
              <w:bottom w:val="nil"/>
            </w:tcBorders>
            <w:shd w:val="clear" w:color="auto" w:fill="FFFFFF" w:themeFill="background1"/>
            <w:tcMar>
              <w:top w:w="28" w:type="dxa"/>
              <w:left w:w="28" w:type="dxa"/>
              <w:bottom w:w="28" w:type="dxa"/>
              <w:right w:w="28" w:type="dxa"/>
            </w:tcMar>
            <w:vAlign w:val="bottom"/>
          </w:tcPr>
          <w:p w14:paraId="3D979211" w14:textId="77777777" w:rsidR="004E6EA8" w:rsidRPr="002A6E7B" w:rsidRDefault="004E6EA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Consequence</w:t>
            </w:r>
          </w:p>
        </w:tc>
        <w:tc>
          <w:tcPr>
            <w:tcW w:w="1134" w:type="dxa"/>
            <w:tcBorders>
              <w:top w:val="nil"/>
              <w:bottom w:val="single" w:sz="4" w:space="0" w:color="D9D9D9" w:themeColor="background1" w:themeShade="D9"/>
            </w:tcBorders>
            <w:shd w:val="clear" w:color="auto" w:fill="FFFFFF" w:themeFill="background1"/>
            <w:vAlign w:val="bottom"/>
          </w:tcPr>
          <w:p w14:paraId="7ACB6359" w14:textId="77777777" w:rsidR="004E6EA8" w:rsidRPr="002A6E7B" w:rsidRDefault="004E6EA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Risk rating</w:t>
            </w:r>
          </w:p>
        </w:tc>
        <w:tc>
          <w:tcPr>
            <w:tcW w:w="426" w:type="dxa"/>
            <w:vMerge/>
            <w:tcBorders>
              <w:bottom w:val="nil"/>
            </w:tcBorders>
            <w:shd w:val="clear" w:color="auto" w:fill="FFFFFF" w:themeFill="background1"/>
            <w:vAlign w:val="bottom"/>
          </w:tcPr>
          <w:p w14:paraId="67AF50FB" w14:textId="77777777" w:rsidR="004E6EA8" w:rsidRPr="002A6E7B" w:rsidRDefault="004E6EA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5" w:type="dxa"/>
            <w:vMerge/>
            <w:tcBorders>
              <w:bottom w:val="nil"/>
            </w:tcBorders>
            <w:shd w:val="clear" w:color="auto" w:fill="FFFFFF" w:themeFill="background1"/>
            <w:vAlign w:val="bottom"/>
          </w:tcPr>
          <w:p w14:paraId="4BC28C91" w14:textId="77777777" w:rsidR="004E6EA8" w:rsidRPr="002A6E7B" w:rsidRDefault="004E6EA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5" w:type="dxa"/>
            <w:vMerge/>
            <w:tcBorders>
              <w:bottom w:val="nil"/>
            </w:tcBorders>
            <w:shd w:val="clear" w:color="auto" w:fill="FFFFFF" w:themeFill="background1"/>
            <w:vAlign w:val="bottom"/>
          </w:tcPr>
          <w:p w14:paraId="01977949" w14:textId="77777777" w:rsidR="004E6EA8" w:rsidRPr="002A6E7B" w:rsidRDefault="004E6EA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1E4691F0" w14:textId="77777777" w:rsidTr="004E6EA8">
        <w:trPr>
          <w:gridBefore w:val="1"/>
          <w:wBefore w:w="6" w:type="dxa"/>
          <w:trHeight w:val="376"/>
        </w:trPr>
        <w:tc>
          <w:tcPr>
            <w:cnfStyle w:val="001000000000" w:firstRow="0" w:lastRow="0" w:firstColumn="1" w:lastColumn="0" w:oddVBand="0" w:evenVBand="0" w:oddHBand="0" w:evenHBand="0" w:firstRowFirstColumn="0" w:firstRowLastColumn="0" w:lastRowFirstColumn="0" w:lastRowLastColumn="0"/>
            <w:tcW w:w="4455"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077BDB9" w14:textId="32133879" w:rsidR="004E6EA8" w:rsidRPr="004F363E" w:rsidRDefault="004E6EA8" w:rsidP="004E6EA8">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Heat-stress limiting plant growth and increasing mortality rates</w:t>
            </w:r>
          </w:p>
        </w:tc>
        <w:tc>
          <w:tcPr>
            <w:tcW w:w="1210" w:type="dxa"/>
            <w:tcBorders>
              <w:bottom w:val="single" w:sz="4" w:space="0" w:color="D9D9D9" w:themeColor="background1" w:themeShade="D9"/>
              <w:right w:val="single" w:sz="4" w:space="0" w:color="D9D9D9" w:themeColor="background1" w:themeShade="D9"/>
            </w:tcBorders>
            <w:shd w:val="clear" w:color="auto" w:fill="FFFFFF" w:themeFill="background1"/>
            <w:vAlign w:val="center"/>
          </w:tcPr>
          <w:p w14:paraId="1CB64168" w14:textId="56406040" w:rsidR="004E6EA8" w:rsidRDefault="004E6EA8" w:rsidP="004E6E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16F7F0D3" w14:textId="77777777" w:rsidR="004E6EA8" w:rsidRDefault="004E6EA8" w:rsidP="004E6E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5" w:type="dxa"/>
            <w:tcBorders>
              <w:left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0DE916A" w14:textId="25603CED" w:rsidR="004E6EA8" w:rsidRPr="004F363E" w:rsidRDefault="004E6EA8" w:rsidP="004E6E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656777B" w14:textId="51B3B623" w:rsidR="004E6EA8" w:rsidRPr="004F363E" w:rsidRDefault="004E6EA8" w:rsidP="004E6E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bottom w:val="single" w:sz="4" w:space="0" w:color="D9D9D9" w:themeColor="background1" w:themeShade="D9"/>
            </w:tcBorders>
            <w:shd w:val="clear" w:color="auto" w:fill="ED7D31"/>
            <w:vAlign w:val="center"/>
          </w:tcPr>
          <w:p w14:paraId="512371EA" w14:textId="3CF9400D" w:rsidR="004E6EA8" w:rsidRPr="004F363E" w:rsidRDefault="004E6EA8" w:rsidP="004E6E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426" w:type="dxa"/>
            <w:tcBorders>
              <w:bottom w:val="single" w:sz="4" w:space="0" w:color="D9D9D9" w:themeColor="background1" w:themeShade="D9"/>
            </w:tcBorders>
            <w:shd w:val="clear" w:color="auto" w:fill="FFFFFF" w:themeFill="background1"/>
            <w:vAlign w:val="center"/>
          </w:tcPr>
          <w:p w14:paraId="57D5FA78" w14:textId="4772AE54" w:rsidR="004E6EA8" w:rsidRDefault="004E6EA8" w:rsidP="004E6E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bottom w:val="single" w:sz="4" w:space="0" w:color="D9D9D9" w:themeColor="background1" w:themeShade="D9"/>
            </w:tcBorders>
            <w:shd w:val="clear" w:color="auto" w:fill="FFFFFF" w:themeFill="background1"/>
            <w:vAlign w:val="center"/>
          </w:tcPr>
          <w:p w14:paraId="46F6ACFA" w14:textId="4D84993C" w:rsidR="004E6EA8" w:rsidRDefault="004E6EA8" w:rsidP="004E6E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bottom w:val="single" w:sz="4" w:space="0" w:color="D9D9D9" w:themeColor="background1" w:themeShade="D9"/>
            </w:tcBorders>
            <w:shd w:val="clear" w:color="auto" w:fill="FFFFFF" w:themeFill="background1"/>
            <w:vAlign w:val="center"/>
          </w:tcPr>
          <w:p w14:paraId="0056D56E" w14:textId="77777777" w:rsidR="004E6EA8" w:rsidRDefault="004E6EA8" w:rsidP="004E6E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6E2A7648" w14:textId="77777777" w:rsidTr="00A6734C">
        <w:trPr>
          <w:gridBefore w:val="1"/>
          <w:cnfStyle w:val="000000100000" w:firstRow="0" w:lastRow="0" w:firstColumn="0" w:lastColumn="0" w:oddVBand="0" w:evenVBand="0" w:oddHBand="1" w:evenHBand="0" w:firstRowFirstColumn="0" w:firstRowLastColumn="0" w:lastRowFirstColumn="0" w:lastRowLastColumn="0"/>
          <w:wBefore w:w="6" w:type="dxa"/>
          <w:trHeight w:val="417"/>
        </w:trPr>
        <w:tc>
          <w:tcPr>
            <w:cnfStyle w:val="001000000000" w:firstRow="0" w:lastRow="0" w:firstColumn="1" w:lastColumn="0" w:oddVBand="0" w:evenVBand="0" w:oddHBand="0" w:evenHBand="0" w:firstRowFirstColumn="0" w:firstRowLastColumn="0" w:lastRowFirstColumn="0" w:lastRowLastColumn="0"/>
            <w:tcW w:w="445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45967C7" w14:textId="3C3B0EDA" w:rsidR="00A6734C" w:rsidRPr="004F363E" w:rsidRDefault="00A6734C" w:rsidP="00A6734C">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21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4EEF903" w14:textId="10600D16" w:rsidR="00A6734C"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1ED3B904" w14:textId="77777777" w:rsidR="00A6734C"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B6D8886" w14:textId="4724ECC4" w:rsidR="00A6734C" w:rsidRPr="004F363E"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1566A2E" w14:textId="77777777" w:rsidR="00A6734C"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p w14:paraId="741B4DC0" w14:textId="1B34656B" w:rsidR="00A6734C" w:rsidRPr="004F363E"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Major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1F0CB6A9" w14:textId="77777777" w:rsidR="00A6734C" w:rsidRPr="007C385F"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sidRPr="007C385F">
              <w:rPr>
                <w:rFonts w:asciiTheme="minorHAnsi" w:hAnsiTheme="minorHAnsi" w:cstheme="minorHAnsi"/>
                <w:color w:val="FFFFFF" w:themeColor="background1"/>
                <w:sz w:val="18"/>
                <w:szCs w:val="18"/>
              </w:rPr>
              <w:t>Medium/</w:t>
            </w:r>
          </w:p>
          <w:p w14:paraId="5682AD1E" w14:textId="45C83401" w:rsidR="00A6734C" w:rsidRPr="004F363E"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7C385F">
              <w:rPr>
                <w:rFonts w:asciiTheme="minorHAnsi" w:hAnsiTheme="minorHAnsi" w:cstheme="minorHAnsi"/>
                <w:color w:val="FFFFFF" w:themeColor="background1"/>
                <w:sz w:val="18"/>
                <w:szCs w:val="18"/>
              </w:rPr>
              <w:t>High</w:t>
            </w:r>
          </w:p>
        </w:tc>
        <w:tc>
          <w:tcPr>
            <w:tcW w:w="4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E38472A" w14:textId="4422B0E1" w:rsidR="00A6734C"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00F0C59" w14:textId="4DDA124B" w:rsidR="00A6734C"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C596FFF" w14:textId="77777777" w:rsidR="00A6734C" w:rsidRDefault="00A6734C" w:rsidP="00A6734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8D11AD" w:rsidRPr="004F363E" w14:paraId="45E06448" w14:textId="77777777" w:rsidTr="004354E2">
        <w:trPr>
          <w:gridBefore w:val="1"/>
          <w:wBefore w:w="6" w:type="dxa"/>
          <w:trHeight w:val="417"/>
        </w:trPr>
        <w:tc>
          <w:tcPr>
            <w:cnfStyle w:val="001000000000" w:firstRow="0" w:lastRow="0" w:firstColumn="1" w:lastColumn="0" w:oddVBand="0" w:evenVBand="0" w:oddHBand="0" w:evenHBand="0" w:firstRowFirstColumn="0" w:firstRowLastColumn="0" w:lastRowFirstColumn="0" w:lastRowLastColumn="0"/>
            <w:tcW w:w="445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E089E2A" w14:textId="77777777" w:rsidR="004E6EA8" w:rsidRPr="000556A4" w:rsidRDefault="004E6EA8" w:rsidP="004354E2">
            <w:pPr>
              <w:ind w:left="401"/>
              <w:rPr>
                <w:rFonts w:asciiTheme="minorHAnsi" w:hAnsiTheme="minorHAnsi" w:cstheme="minorHAnsi"/>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21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BA8B4C1"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722B47EC"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1731396"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6C315DE"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752ABE36"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4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3D01DC0"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211F33D"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5AD569B"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725895" w:rsidRPr="004F363E" w14:paraId="76E5DB1E" w14:textId="77777777" w:rsidTr="00B452BB">
        <w:trPr>
          <w:gridBefore w:val="1"/>
          <w:cnfStyle w:val="000000100000" w:firstRow="0" w:lastRow="0" w:firstColumn="0" w:lastColumn="0" w:oddVBand="0" w:evenVBand="0" w:oddHBand="1" w:evenHBand="0" w:firstRowFirstColumn="0" w:firstRowLastColumn="0" w:lastRowFirstColumn="0" w:lastRowLastColumn="0"/>
          <w:wBefore w:w="6" w:type="dxa"/>
          <w:trHeight w:val="417"/>
        </w:trPr>
        <w:tc>
          <w:tcPr>
            <w:cnfStyle w:val="001000000000" w:firstRow="0" w:lastRow="0" w:firstColumn="1" w:lastColumn="0" w:oddVBand="0" w:evenVBand="0" w:oddHBand="0" w:evenHBand="0" w:firstRowFirstColumn="0" w:firstRowLastColumn="0" w:lastRowFirstColumn="0" w:lastRowLastColumn="0"/>
            <w:tcW w:w="445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CAD400D" w14:textId="4DB72E94" w:rsidR="00725895" w:rsidRPr="004A1C8C" w:rsidRDefault="00725895" w:rsidP="00725895">
            <w:pPr>
              <w:ind w:left="401"/>
              <w:rPr>
                <w:rFonts w:asciiTheme="minorHAnsi" w:hAnsiTheme="minorHAnsi" w:cstheme="minorHAnsi"/>
                <w:color w:val="000000" w:themeColor="text1"/>
                <w:sz w:val="18"/>
                <w:szCs w:val="18"/>
              </w:rPr>
            </w:pPr>
            <w:r w:rsidRPr="00280763">
              <w:rPr>
                <w:rFonts w:asciiTheme="minorHAnsi" w:hAnsiTheme="minorHAnsi" w:cstheme="minorHAnsi"/>
                <w:b w:val="0"/>
                <w:bCs w:val="0"/>
                <w:color w:val="000000" w:themeColor="text1"/>
                <w:sz w:val="18"/>
                <w:szCs w:val="18"/>
              </w:rPr>
              <w:t>Mechanical damage from wind and storms</w:t>
            </w:r>
          </w:p>
        </w:tc>
        <w:tc>
          <w:tcPr>
            <w:tcW w:w="121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D7F1075" w14:textId="0782C254" w:rsidR="00725895" w:rsidRDefault="00725895" w:rsidP="007258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0" w:type="dxa"/>
            <w:tcBorders>
              <w:top w:val="nil"/>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6EA73B42" w14:textId="77777777" w:rsidR="00725895" w:rsidRDefault="00725895" w:rsidP="007258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0993C41" w14:textId="3E65CCD5" w:rsidR="00725895" w:rsidRDefault="00725895" w:rsidP="007258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1A94508" w14:textId="626FE9AF" w:rsidR="00725895" w:rsidRDefault="00725895" w:rsidP="007258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Insignificant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45CA1F52" w14:textId="7A64C466" w:rsidR="00725895" w:rsidRDefault="00725895" w:rsidP="007258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4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6205757" w14:textId="77777777" w:rsidR="00725895" w:rsidRDefault="00725895" w:rsidP="007258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42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1C39A8B" w14:textId="06CF777E" w:rsidR="00725895" w:rsidRDefault="00725895" w:rsidP="007258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80C9CBD" w14:textId="6027C8C1" w:rsidR="00725895" w:rsidRDefault="00725895" w:rsidP="0072589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4E6EA8" w:rsidRPr="002A6E7B" w14:paraId="72BC11C7" w14:textId="77777777" w:rsidTr="00B452BB">
        <w:trPr>
          <w:gridBefore w:val="1"/>
          <w:wBefore w:w="6" w:type="dxa"/>
          <w:trHeight w:val="29"/>
        </w:trPr>
        <w:tc>
          <w:tcPr>
            <w:cnfStyle w:val="001000000000" w:firstRow="0" w:lastRow="0" w:firstColumn="1" w:lastColumn="0" w:oddVBand="0" w:evenVBand="0" w:oddHBand="0" w:evenHBand="0" w:firstRowFirstColumn="0" w:firstRowLastColumn="0" w:lastRowFirstColumn="0" w:lastRowLastColumn="0"/>
            <w:tcW w:w="4455"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4C73EE2E" w14:textId="3BE34561" w:rsidR="004E6EA8" w:rsidRPr="002A6E7B" w:rsidRDefault="00D77587" w:rsidP="004354E2">
            <w:pPr>
              <w:ind w:left="117"/>
              <w:rPr>
                <w:rFonts w:asciiTheme="minorHAnsi" w:hAnsiTheme="minorHAnsi" w:cstheme="minorHAnsi"/>
                <w:color w:val="000000" w:themeColor="text1"/>
                <w:sz w:val="18"/>
                <w:szCs w:val="18"/>
              </w:rPr>
            </w:pPr>
            <w:r w:rsidRPr="00D77587">
              <w:rPr>
                <w:rFonts w:asciiTheme="minorHAnsi" w:hAnsiTheme="minorHAnsi" w:cstheme="minorHAnsi"/>
                <w:color w:val="000000" w:themeColor="text1"/>
                <w:sz w:val="18"/>
                <w:szCs w:val="18"/>
              </w:rPr>
              <w:t>Direct impacts via secondary climate change variables</w:t>
            </w:r>
          </w:p>
        </w:tc>
        <w:tc>
          <w:tcPr>
            <w:tcW w:w="121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16853441" w14:textId="77777777" w:rsidR="004E6EA8" w:rsidRPr="002A6E7B"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9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Pr>
          <w:p w14:paraId="0F32576A" w14:textId="77777777" w:rsidR="004E6EA8" w:rsidRPr="002A6E7B"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085"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19504105" w14:textId="77777777" w:rsidR="004E6EA8" w:rsidRPr="002A6E7B"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36DB298B" w14:textId="77777777" w:rsidR="004E6EA8" w:rsidRPr="002A6E7B"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10D59357" w14:textId="77777777" w:rsidR="004E6EA8" w:rsidRPr="002A6E7B"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26"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6C821BE9" w14:textId="77777777" w:rsidR="004E6EA8" w:rsidRPr="002A6E7B"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25"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5675B965" w14:textId="77777777" w:rsidR="004E6EA8" w:rsidRPr="002A6E7B"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25"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7D564C5A" w14:textId="77777777" w:rsidR="004E6EA8" w:rsidRPr="002A6E7B"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247B0A" w:rsidRPr="004F363E" w14:paraId="0C13FF02" w14:textId="77777777" w:rsidTr="00B452BB">
        <w:trPr>
          <w:gridBefore w:val="1"/>
          <w:cnfStyle w:val="000000100000" w:firstRow="0" w:lastRow="0" w:firstColumn="0" w:lastColumn="0" w:oddVBand="0" w:evenVBand="0" w:oddHBand="1" w:evenHBand="0" w:firstRowFirstColumn="0" w:firstRowLastColumn="0" w:lastRowFirstColumn="0" w:lastRowLastColumn="0"/>
          <w:wBefore w:w="6" w:type="dxa"/>
          <w:trHeight w:val="363"/>
        </w:trPr>
        <w:tc>
          <w:tcPr>
            <w:cnfStyle w:val="001000000000" w:firstRow="0" w:lastRow="0" w:firstColumn="1" w:lastColumn="0" w:oddVBand="0" w:evenVBand="0" w:oddHBand="0" w:evenHBand="0" w:firstRowFirstColumn="0" w:firstRowLastColumn="0" w:lastRowFirstColumn="0" w:lastRowLastColumn="0"/>
            <w:tcW w:w="4455"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7EA83C6" w14:textId="77777777" w:rsidR="00247B0A" w:rsidRPr="004F363E" w:rsidRDefault="00247B0A" w:rsidP="004354E2">
            <w:pPr>
              <w:ind w:left="401"/>
              <w:rPr>
                <w:rFonts w:asciiTheme="minorHAnsi" w:hAnsiTheme="minorHAnsi" w:cstheme="minorHAnsi"/>
                <w:b w:val="0"/>
                <w:bCs w:val="0"/>
                <w:color w:val="000000" w:themeColor="text1"/>
                <w:sz w:val="18"/>
                <w:szCs w:val="18"/>
              </w:rPr>
            </w:pPr>
            <w:r w:rsidRPr="004E6EA8">
              <w:rPr>
                <w:rFonts w:asciiTheme="minorHAnsi" w:hAnsiTheme="minorHAnsi" w:cstheme="minorHAnsi"/>
                <w:b w:val="0"/>
                <w:bCs w:val="0"/>
                <w:color w:val="000000" w:themeColor="text1"/>
                <w:sz w:val="18"/>
                <w:szCs w:val="18"/>
              </w:rPr>
              <w:t>Drought-induced plant mortality, with possibility of recruitment failure.</w:t>
            </w:r>
          </w:p>
        </w:tc>
        <w:tc>
          <w:tcPr>
            <w:tcW w:w="121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3ACE1F77" w14:textId="77777777" w:rsidR="00247B0A" w:rsidRDefault="00247B0A"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0" w:type="dxa"/>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shd w:val="clear" w:color="auto" w:fill="FFFFFF" w:themeFill="background1"/>
          </w:tcPr>
          <w:p w14:paraId="1099FE96" w14:textId="77777777" w:rsidR="00247B0A" w:rsidRDefault="00247B0A"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5"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EC8789C" w14:textId="77777777" w:rsidR="00247B0A" w:rsidRPr="004F363E" w:rsidRDefault="00247B0A"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BC7FABF" w14:textId="77777777" w:rsidR="00247B0A" w:rsidRPr="004F363E" w:rsidRDefault="00247B0A"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ED7D31"/>
            <w:vAlign w:val="center"/>
          </w:tcPr>
          <w:p w14:paraId="71EB57D0" w14:textId="77777777" w:rsidR="00247B0A" w:rsidRPr="004F363E" w:rsidRDefault="00247B0A"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426"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6C94AC17" w14:textId="77777777" w:rsidR="00247B0A" w:rsidRDefault="00247B0A"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1E9ACCFE" w14:textId="77777777" w:rsidR="00247B0A" w:rsidRDefault="00247B0A"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33B6EFA3" w14:textId="77777777" w:rsidR="00247B0A" w:rsidRDefault="00247B0A"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54D572CB" w14:textId="77777777" w:rsidTr="004354E2">
        <w:trPr>
          <w:gridBefore w:val="1"/>
          <w:wBefore w:w="6" w:type="dxa"/>
          <w:trHeight w:val="411"/>
        </w:trPr>
        <w:tc>
          <w:tcPr>
            <w:cnfStyle w:val="001000000000" w:firstRow="0" w:lastRow="0" w:firstColumn="1" w:lastColumn="0" w:oddVBand="0" w:evenVBand="0" w:oddHBand="0" w:evenHBand="0" w:firstRowFirstColumn="0" w:firstRowLastColumn="0" w:lastRowFirstColumn="0" w:lastRowLastColumn="0"/>
            <w:tcW w:w="445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0A357C7" w14:textId="77777777" w:rsidR="004E6EA8" w:rsidRPr="004F363E" w:rsidRDefault="004E6EA8" w:rsidP="004354E2">
            <w:pPr>
              <w:ind w:left="401"/>
              <w:rPr>
                <w:rFonts w:asciiTheme="minorHAnsi" w:hAnsiTheme="minorHAnsi" w:cstheme="minorHAnsi"/>
                <w:b w:val="0"/>
                <w:bCs w:val="0"/>
                <w:color w:val="000000" w:themeColor="text1"/>
                <w:sz w:val="18"/>
                <w:szCs w:val="18"/>
              </w:rPr>
            </w:pPr>
            <w:r w:rsidRPr="001B28F1">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1210"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56B262B"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4AA3EDED"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DEB8C2F" w14:textId="77777777" w:rsidR="004E6EA8" w:rsidRPr="004F363E"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06D923C" w14:textId="77777777" w:rsidR="004E6EA8" w:rsidRPr="004F363E"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268FD340" w14:textId="77777777" w:rsidR="004E6EA8" w:rsidRPr="004F363E"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42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6A814B7"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2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92FA1D9"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5"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360D4EE" w14:textId="77777777" w:rsidR="004E6EA8" w:rsidRDefault="004E6EA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B452BB" w:rsidRPr="002A6E7B" w14:paraId="03B8B6FF" w14:textId="77777777" w:rsidTr="004354E2">
        <w:trPr>
          <w:gridBefore w:val="1"/>
          <w:cnfStyle w:val="000000100000" w:firstRow="0" w:lastRow="0" w:firstColumn="0" w:lastColumn="0" w:oddVBand="0" w:evenVBand="0" w:oddHBand="1" w:evenHBand="0" w:firstRowFirstColumn="0" w:firstRowLastColumn="0" w:lastRowFirstColumn="0" w:lastRowLastColumn="0"/>
          <w:wBefore w:w="6" w:type="dxa"/>
          <w:trHeight w:val="29"/>
        </w:trPr>
        <w:tc>
          <w:tcPr>
            <w:cnfStyle w:val="001000000000" w:firstRow="0" w:lastRow="0" w:firstColumn="1" w:lastColumn="0" w:oddVBand="0" w:evenVBand="0" w:oddHBand="0" w:evenHBand="0" w:firstRowFirstColumn="0" w:firstRowLastColumn="0" w:lastRowFirstColumn="0" w:lastRowLastColumn="0"/>
            <w:tcW w:w="4455"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0928223" w14:textId="0282E377" w:rsidR="00B452BB" w:rsidRPr="002A6E7B" w:rsidRDefault="00B452BB" w:rsidP="004354E2">
            <w:pPr>
              <w:ind w:left="117"/>
              <w:rPr>
                <w:rFonts w:asciiTheme="minorHAnsi" w:hAnsiTheme="minorHAnsi" w:cstheme="minorHAnsi"/>
                <w:color w:val="000000" w:themeColor="text1"/>
                <w:sz w:val="18"/>
                <w:szCs w:val="18"/>
              </w:rPr>
            </w:pPr>
            <w:r w:rsidRPr="00B452BB">
              <w:rPr>
                <w:rFonts w:asciiTheme="minorHAnsi" w:hAnsiTheme="minorHAnsi" w:cstheme="minorHAnsi"/>
                <w:color w:val="000000" w:themeColor="text1"/>
                <w:sz w:val="18"/>
                <w:szCs w:val="18"/>
              </w:rPr>
              <w:t>Indirect impacts via climate change impacts on weeds, pests and diseases</w:t>
            </w:r>
          </w:p>
        </w:tc>
        <w:tc>
          <w:tcPr>
            <w:tcW w:w="1210"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F9747E1" w14:textId="77777777" w:rsidR="00B452BB" w:rsidRPr="002A6E7B" w:rsidRDefault="00B452BB"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90" w:type="dxa"/>
            <w:tcBorders>
              <w:top w:val="single" w:sz="4" w:space="0" w:color="D9D9D9" w:themeColor="background1" w:themeShade="D9"/>
              <w:bottom w:val="single" w:sz="4" w:space="0" w:color="D9D9D9" w:themeColor="background1" w:themeShade="D9"/>
            </w:tcBorders>
            <w:shd w:val="clear" w:color="auto" w:fill="FFFFFF" w:themeFill="background1"/>
          </w:tcPr>
          <w:p w14:paraId="59AD45AF" w14:textId="77777777" w:rsidR="00B452BB" w:rsidRPr="002A6E7B" w:rsidRDefault="00B452BB"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85"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75742F2" w14:textId="77777777" w:rsidR="00B452BB" w:rsidRPr="002A6E7B" w:rsidRDefault="00B452BB"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9B02385" w14:textId="77777777" w:rsidR="00B452BB" w:rsidRPr="002A6E7B" w:rsidRDefault="00B452BB"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54F647C" w14:textId="77777777" w:rsidR="00B452BB" w:rsidRPr="002A6E7B" w:rsidRDefault="00B452BB"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6"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1CEA13F" w14:textId="77777777" w:rsidR="00B452BB" w:rsidRPr="002A6E7B" w:rsidRDefault="00B452BB"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5"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0F0CAA35" w14:textId="77777777" w:rsidR="00B452BB" w:rsidRPr="002A6E7B" w:rsidRDefault="00B452BB"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25"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73EA6F32" w14:textId="77777777" w:rsidR="00B452BB" w:rsidRPr="002A6E7B" w:rsidRDefault="00B452BB"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B452BB" w:rsidRPr="004F363E" w14:paraId="5EC080A8" w14:textId="77777777" w:rsidTr="00B452BB">
        <w:trPr>
          <w:gridBefore w:val="1"/>
          <w:wBefore w:w="6" w:type="dxa"/>
          <w:trHeight w:val="44"/>
        </w:trPr>
        <w:tc>
          <w:tcPr>
            <w:cnfStyle w:val="001000000000" w:firstRow="0" w:lastRow="0" w:firstColumn="1" w:lastColumn="0" w:oddVBand="0" w:evenVBand="0" w:oddHBand="0" w:evenHBand="0" w:firstRowFirstColumn="0" w:firstRowLastColumn="0" w:lastRowFirstColumn="0" w:lastRowLastColumn="0"/>
            <w:tcW w:w="4455"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BA1C8C3" w14:textId="36CAC8D4" w:rsidR="00B452BB" w:rsidRPr="00E73F23" w:rsidRDefault="00B452BB" w:rsidP="00B452BB">
            <w:pPr>
              <w:ind w:left="401"/>
              <w:rPr>
                <w:rFonts w:asciiTheme="minorHAnsi" w:hAnsiTheme="minorHAnsi" w:cstheme="minorHAnsi"/>
                <w:color w:val="000000" w:themeColor="text1"/>
                <w:sz w:val="18"/>
                <w:szCs w:val="18"/>
              </w:rPr>
            </w:pPr>
            <w:r w:rsidRPr="00550E9D">
              <w:rPr>
                <w:rFonts w:asciiTheme="minorHAnsi" w:hAnsiTheme="minorHAnsi" w:cstheme="minorHAnsi"/>
                <w:b w:val="0"/>
                <w:bCs w:val="0"/>
                <w:color w:val="000000" w:themeColor="text1"/>
                <w:sz w:val="18"/>
                <w:szCs w:val="18"/>
              </w:rPr>
              <w:t>Increase in invasive weeds</w:t>
            </w:r>
          </w:p>
        </w:tc>
        <w:tc>
          <w:tcPr>
            <w:tcW w:w="1210"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289FB3B6" w14:textId="1C874B81" w:rsidR="00B452BB" w:rsidRDefault="00B452BB" w:rsidP="00B45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11BE22EA" w14:textId="77777777" w:rsidR="00B452BB" w:rsidRDefault="00B452BB" w:rsidP="00B45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5"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64E1DA9" w14:textId="0D684937" w:rsidR="00B452BB" w:rsidRPr="004F363E" w:rsidRDefault="00B452BB" w:rsidP="00B45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DD4AE24" w14:textId="74CD830B" w:rsidR="00B452BB" w:rsidRPr="004F363E" w:rsidRDefault="00B452BB" w:rsidP="00B45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left w:val="single" w:sz="4" w:space="0" w:color="D9D9D9" w:themeColor="background1" w:themeShade="D9"/>
              <w:right w:val="single" w:sz="4" w:space="0" w:color="D9D9D9" w:themeColor="background1" w:themeShade="D9"/>
            </w:tcBorders>
            <w:shd w:val="clear" w:color="auto" w:fill="ED7D31"/>
            <w:vAlign w:val="center"/>
          </w:tcPr>
          <w:p w14:paraId="23297B70" w14:textId="0B292274" w:rsidR="00B452BB" w:rsidRPr="004F363E" w:rsidRDefault="00B452BB" w:rsidP="00B45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426"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097141CC" w14:textId="77777777" w:rsidR="00B452BB" w:rsidRDefault="00B452BB" w:rsidP="00B45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5"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58F5D4DF" w14:textId="52475E04" w:rsidR="00B452BB" w:rsidRDefault="00B452BB" w:rsidP="00B45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425" w:type="dxa"/>
            <w:tcBorders>
              <w:left w:val="single" w:sz="4" w:space="0" w:color="D9D9D9" w:themeColor="background1" w:themeShade="D9"/>
              <w:right w:val="single" w:sz="4" w:space="0" w:color="D9D9D9" w:themeColor="background1" w:themeShade="D9"/>
            </w:tcBorders>
            <w:shd w:val="clear" w:color="auto" w:fill="FFFFFF" w:themeFill="background1"/>
            <w:vAlign w:val="center"/>
          </w:tcPr>
          <w:p w14:paraId="69F45DD4" w14:textId="441B6D85" w:rsidR="00B452BB" w:rsidRDefault="00B452BB" w:rsidP="00B45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bl>
    <w:p w14:paraId="6F688EA6" w14:textId="0225B8ED" w:rsidR="00312ADA" w:rsidRDefault="00312ADA">
      <w:pPr>
        <w:rPr>
          <w:rFonts w:ascii="Calibri" w:eastAsia="Calibri" w:hAnsi="Calibri"/>
          <w:color w:val="000000"/>
          <w:szCs w:val="22"/>
        </w:rPr>
      </w:pPr>
      <w:r>
        <w:br w:type="page"/>
      </w:r>
    </w:p>
    <w:p w14:paraId="733AAE6D" w14:textId="0C045F23" w:rsidR="009C0BF6" w:rsidRDefault="009C0BF6" w:rsidP="009C0BF6">
      <w:pPr>
        <w:pStyle w:val="Heading3"/>
      </w:pPr>
      <w:r w:rsidRPr="000135E7">
        <w:lastRenderedPageBreak/>
        <w:t>Management of Intertidal Ecosystems (</w:t>
      </w:r>
      <w:r>
        <w:t>B</w:t>
      </w:r>
      <w:r w:rsidRPr="000135E7">
        <w:t xml:space="preserve">lue </w:t>
      </w:r>
      <w:r>
        <w:t>C</w:t>
      </w:r>
      <w:r w:rsidRPr="000135E7">
        <w:t>arbon)</w:t>
      </w:r>
    </w:p>
    <w:p w14:paraId="2D4271CD" w14:textId="77777777" w:rsidR="009C0BF6" w:rsidRDefault="009C0BF6" w:rsidP="009C0BF6">
      <w:pPr>
        <w:pStyle w:val="Heading4"/>
      </w:pPr>
      <w:r>
        <w:t>Embedded Methodologies</w:t>
      </w:r>
    </w:p>
    <w:p w14:paraId="69149605" w14:textId="10116944" w:rsidR="009C0BF6" w:rsidRDefault="000651DF" w:rsidP="009C0BF6">
      <w:pPr>
        <w:pStyle w:val="BodyText"/>
      </w:pPr>
      <w:hyperlink r:id="rId73" w:history="1">
        <w:r w:rsidR="009C0BF6">
          <w:rPr>
            <w:rStyle w:val="Hyperlink"/>
            <w:rFonts w:asciiTheme="minorHAnsi" w:hAnsiTheme="minorHAnsi"/>
            <w:smallCaps/>
            <w:sz w:val="20"/>
            <w:szCs w:val="20"/>
          </w:rPr>
          <w:t>Methodology Under Consideration</w:t>
        </w:r>
      </w:hyperlink>
      <w:r w:rsidR="009C0BF6">
        <w:rPr>
          <w:rStyle w:val="Hyperlink"/>
          <w:rFonts w:asciiTheme="minorHAnsi" w:hAnsiTheme="minorHAnsi"/>
          <w:smallCaps/>
          <w:sz w:val="20"/>
          <w:szCs w:val="20"/>
        </w:rPr>
        <w:t xml:space="preserve"> </w:t>
      </w:r>
    </w:p>
    <w:p w14:paraId="55CC21C5" w14:textId="78285FC8" w:rsidR="009C0BF6" w:rsidRDefault="009C0BF6" w:rsidP="009C0BF6">
      <w:pPr>
        <w:pStyle w:val="BodyText"/>
        <w:rPr>
          <w:color w:val="auto"/>
        </w:rPr>
      </w:pPr>
      <w:r>
        <w:rPr>
          <w:color w:val="auto"/>
        </w:rPr>
        <w:t>Blue carbon ecosystems include mangroves, tidal marshes and seagrass beds. Globally, the capacity of blue carbon ecosystems to sequester carbon and mitigate climate change is receiving increasing interest (O’Connor et al. 20</w:t>
      </w:r>
      <w:r w:rsidR="00DC4BFD">
        <w:rPr>
          <w:color w:val="auto"/>
        </w:rPr>
        <w:t>20</w:t>
      </w:r>
      <w:r>
        <w:rPr>
          <w:color w:val="auto"/>
        </w:rPr>
        <w:t>), based on relatively rapid rates of sequestration, and high levels of organic carbon below-ground, especially in soil organic matter. From their global analysis, O’Connor et al. (20</w:t>
      </w:r>
      <w:r w:rsidR="00DC4BFD">
        <w:rPr>
          <w:color w:val="auto"/>
        </w:rPr>
        <w:t>20</w:t>
      </w:r>
      <w:r>
        <w:rPr>
          <w:color w:val="auto"/>
        </w:rPr>
        <w:t>) identified restoration of degraded ecosystems to be the most promising management intervention, with indications of significant increases in carbon storage after four years, and suggestions ecosystem carbon stocks could recover to those of undisturbed systems in less than 20 years.</w:t>
      </w:r>
    </w:p>
    <w:p w14:paraId="1338683F" w14:textId="77777777" w:rsidR="009C0BF6" w:rsidRDefault="009C0BF6" w:rsidP="009C0BF6">
      <w:pPr>
        <w:pStyle w:val="BodyText"/>
        <w:rPr>
          <w:color w:val="auto"/>
        </w:rPr>
      </w:pPr>
      <w:r>
        <w:rPr>
          <w:color w:val="auto"/>
        </w:rPr>
        <w:t xml:space="preserve">Kelleway et al. (2017), in their review of </w:t>
      </w:r>
      <w:r w:rsidRPr="003A3D0C">
        <w:rPr>
          <w:color w:val="auto"/>
        </w:rPr>
        <w:t>opportunities for including</w:t>
      </w:r>
      <w:r>
        <w:rPr>
          <w:color w:val="auto"/>
        </w:rPr>
        <w:t xml:space="preserve"> </w:t>
      </w:r>
      <w:r w:rsidRPr="003A3D0C">
        <w:rPr>
          <w:color w:val="auto"/>
        </w:rPr>
        <w:t>blue carbon in the</w:t>
      </w:r>
      <w:r>
        <w:rPr>
          <w:color w:val="auto"/>
        </w:rPr>
        <w:t xml:space="preserve"> Emissions Reduction Fund, identified the introduction (or re-introduction) of tidal flows to restore mangrove and tidal marsh ecosystems as the most promising intervention on which to base a future ERF methodology. This conclusion was based on an assessment against the ERF criteria for new methodology development, and the availability of suitable sites across Australia (Commonwealth of Australia 2019). Other management options that were considered, but were deemed unsuitable for further method development at this time, included avoided clearing (of mangroves) and avoided soil disturbance, land-use planning changes to facilitate mangrove and tidal marsh migration, restoration of seagrass ecosystems, avoidance of seagrass loss</w:t>
      </w:r>
      <w:r w:rsidR="002B2EA9">
        <w:rPr>
          <w:color w:val="auto"/>
        </w:rPr>
        <w:t>,</w:t>
      </w:r>
      <w:r>
        <w:rPr>
          <w:color w:val="auto"/>
        </w:rPr>
        <w:t xml:space="preserve"> and seagrass re-establishment.</w:t>
      </w:r>
    </w:p>
    <w:p w14:paraId="7603FF04" w14:textId="77777777" w:rsidR="009C0BF6" w:rsidRDefault="009C0BF6" w:rsidP="009C0BF6">
      <w:pPr>
        <w:pStyle w:val="BodyText"/>
        <w:rPr>
          <w:color w:val="auto"/>
        </w:rPr>
      </w:pPr>
      <w:r>
        <w:rPr>
          <w:color w:val="auto"/>
        </w:rPr>
        <w:t xml:space="preserve">Tidal marshes </w:t>
      </w:r>
      <w:r w:rsidRPr="00F73415">
        <w:rPr>
          <w:color w:val="auto"/>
        </w:rPr>
        <w:t>are coastal, saline ecosystems comprising a</w:t>
      </w:r>
      <w:r>
        <w:rPr>
          <w:color w:val="auto"/>
        </w:rPr>
        <w:t xml:space="preserve"> </w:t>
      </w:r>
      <w:r w:rsidRPr="00F73415">
        <w:rPr>
          <w:color w:val="auto"/>
        </w:rPr>
        <w:t xml:space="preserve">diversity of grasses, rushes, and herbs </w:t>
      </w:r>
      <w:r>
        <w:rPr>
          <w:color w:val="auto"/>
        </w:rPr>
        <w:t xml:space="preserve">(and are </w:t>
      </w:r>
      <w:r w:rsidRPr="00F73415">
        <w:rPr>
          <w:color w:val="auto"/>
        </w:rPr>
        <w:t xml:space="preserve">often referred </w:t>
      </w:r>
      <w:r>
        <w:rPr>
          <w:color w:val="auto"/>
        </w:rPr>
        <w:t xml:space="preserve">to colloquially </w:t>
      </w:r>
      <w:r w:rsidRPr="00F73415">
        <w:rPr>
          <w:color w:val="auto"/>
        </w:rPr>
        <w:t xml:space="preserve">as saltmarshes). </w:t>
      </w:r>
      <w:r>
        <w:rPr>
          <w:color w:val="auto"/>
        </w:rPr>
        <w:t xml:space="preserve">They occur in the </w:t>
      </w:r>
      <w:r w:rsidRPr="00F73415">
        <w:rPr>
          <w:color w:val="auto"/>
        </w:rPr>
        <w:t>intertidal to supratidal zones of Australia’s estuaries</w:t>
      </w:r>
      <w:r>
        <w:rPr>
          <w:color w:val="auto"/>
        </w:rPr>
        <w:t xml:space="preserve"> </w:t>
      </w:r>
      <w:r w:rsidRPr="00F73415">
        <w:rPr>
          <w:color w:val="auto"/>
        </w:rPr>
        <w:t>and sheltered coasts</w:t>
      </w:r>
      <w:r>
        <w:rPr>
          <w:color w:val="auto"/>
        </w:rPr>
        <w:t>, and historically have been degraded or lost through land reclamation for infrastructure or agricultural use. For example</w:t>
      </w:r>
      <w:r w:rsidR="00AA1FAB">
        <w:rPr>
          <w:color w:val="auto"/>
        </w:rPr>
        <w:t>,</w:t>
      </w:r>
      <w:r>
        <w:rPr>
          <w:color w:val="auto"/>
        </w:rPr>
        <w:t xml:space="preserve"> i</w:t>
      </w:r>
      <w:r w:rsidRPr="00F73415">
        <w:rPr>
          <w:color w:val="auto"/>
        </w:rPr>
        <w:t>n SE Queensland mapping has</w:t>
      </w:r>
      <w:r>
        <w:rPr>
          <w:color w:val="auto"/>
        </w:rPr>
        <w:t xml:space="preserve"> </w:t>
      </w:r>
      <w:r w:rsidRPr="00F73415">
        <w:rPr>
          <w:color w:val="auto"/>
        </w:rPr>
        <w:t>shown that just 36% of the 1955 extent of tidal marshes remains today (Accad et al. 2016</w:t>
      </w:r>
      <w:r>
        <w:rPr>
          <w:color w:val="auto"/>
        </w:rPr>
        <w:t>, cited in Kelleway et al. 2017</w:t>
      </w:r>
      <w:r w:rsidRPr="00F73415">
        <w:rPr>
          <w:color w:val="auto"/>
        </w:rPr>
        <w:t>). Mangrove</w:t>
      </w:r>
      <w:r>
        <w:rPr>
          <w:color w:val="auto"/>
        </w:rPr>
        <w:t xml:space="preserve"> ecosystems</w:t>
      </w:r>
      <w:r w:rsidRPr="00F73415">
        <w:rPr>
          <w:color w:val="auto"/>
        </w:rPr>
        <w:t xml:space="preserve"> are comprised of trees and shrubs that are adapted to live in the </w:t>
      </w:r>
      <w:r>
        <w:rPr>
          <w:color w:val="auto"/>
        </w:rPr>
        <w:t xml:space="preserve">saline </w:t>
      </w:r>
      <w:r w:rsidRPr="00F73415">
        <w:rPr>
          <w:color w:val="auto"/>
        </w:rPr>
        <w:t>intertidal zone of low‐energy coastlines</w:t>
      </w:r>
      <w:r>
        <w:rPr>
          <w:color w:val="auto"/>
        </w:rPr>
        <w:t xml:space="preserve">, with </w:t>
      </w:r>
      <w:r w:rsidRPr="00F73415">
        <w:rPr>
          <w:color w:val="auto"/>
        </w:rPr>
        <w:t>Australia ha</w:t>
      </w:r>
      <w:r>
        <w:rPr>
          <w:color w:val="auto"/>
        </w:rPr>
        <w:t xml:space="preserve">ving </w:t>
      </w:r>
      <w:r w:rsidRPr="00F73415">
        <w:rPr>
          <w:color w:val="auto"/>
        </w:rPr>
        <w:t>the third largest area of mangroves globally, occurring</w:t>
      </w:r>
      <w:r>
        <w:rPr>
          <w:color w:val="auto"/>
        </w:rPr>
        <w:t xml:space="preserve"> </w:t>
      </w:r>
      <w:r w:rsidRPr="00F73415">
        <w:rPr>
          <w:color w:val="auto"/>
        </w:rPr>
        <w:t>throughout the tropical north of the country, but also extending through the subtropical and</w:t>
      </w:r>
      <w:r>
        <w:rPr>
          <w:color w:val="auto"/>
        </w:rPr>
        <w:t xml:space="preserve"> </w:t>
      </w:r>
      <w:r w:rsidRPr="00F73415">
        <w:rPr>
          <w:color w:val="auto"/>
        </w:rPr>
        <w:t xml:space="preserve">temperate coasts of Australia’s mainland. </w:t>
      </w:r>
      <w:r>
        <w:rPr>
          <w:color w:val="auto"/>
        </w:rPr>
        <w:t xml:space="preserve">Extensive mangrove loss has occurred in areas of intensive coastal development (Kelleway et al. 2017). </w:t>
      </w:r>
    </w:p>
    <w:p w14:paraId="125B3D42" w14:textId="77777777" w:rsidR="009C0BF6" w:rsidRDefault="009C0BF6" w:rsidP="009C0BF6">
      <w:pPr>
        <w:pStyle w:val="BodyText"/>
        <w:rPr>
          <w:color w:val="auto"/>
        </w:rPr>
      </w:pPr>
      <w:r>
        <w:rPr>
          <w:color w:val="auto"/>
        </w:rPr>
        <w:t xml:space="preserve">The proposed activities associated with tidal marsh and mangrove restoration involve the re-introduction of tidal flows to promote the recovery of vegetation and associated re-sequestration of carbon into vegetation and the soil. Typical scenarios might include where tidal flow has been disconnected or restricted, e.g. through the building of levees, roads and sea walls, and where removing the barrier and reintroducing flow leads to subsequent re-sequestration in vegetation and the soil. </w:t>
      </w:r>
    </w:p>
    <w:p w14:paraId="5149C9BE" w14:textId="77777777" w:rsidR="009C0BF6" w:rsidRDefault="009C0BF6" w:rsidP="009C0BF6">
      <w:pPr>
        <w:pStyle w:val="BodyText"/>
        <w:rPr>
          <w:color w:val="auto"/>
        </w:rPr>
      </w:pPr>
      <w:r>
        <w:rPr>
          <w:color w:val="auto"/>
        </w:rPr>
        <w:t xml:space="preserve">In both mangrove and tidal marsh ecosystems the majority of stored carbon is in the soil, with Kelleway et al. (2017) reviewing the literature and concluding approximately 90% of total carbon in tidal marshes resides in the soil, and approximately 75% for mangrove ecosystems. In mangroves the sequestration in woody biomass is also likely material, and thus it is proposed both </w:t>
      </w:r>
      <w:r>
        <w:rPr>
          <w:color w:val="auto"/>
        </w:rPr>
        <w:lastRenderedPageBreak/>
        <w:t>above- and below-ground biomass, as well as soil carbon, be included as mandatory pools for accounting for mangrove ecosystems (Commonwealth of Australia 2019). In tidal marshes the biomass comprises predominantly herbaceous vegetation, and therefore reporting of biomass carbon is suggested to be optional (Commonwealth of Australia 2019). The potential for substantial loss of soil carbon from environmental disturbance is therefore a key risk for blue carbon activities. This includes both losses through direct soil disturbance, as well as losses over time due to reduced rates of organic matter input from reduced vegetation growth or mortality. In some instances</w:t>
      </w:r>
      <w:r w:rsidR="00C90803">
        <w:rPr>
          <w:color w:val="auto"/>
        </w:rPr>
        <w:t>,</w:t>
      </w:r>
      <w:r>
        <w:rPr>
          <w:color w:val="auto"/>
        </w:rPr>
        <w:t xml:space="preserve"> it may also be possible to claim for emissions avoidance, where the introduction of tidal flows inhibits or reduces the emissions of greenhouses gasses from the existing land (principally nitrous oxide and methane). The focus here, however, is solely on sequestration.</w:t>
      </w:r>
    </w:p>
    <w:p w14:paraId="60799664" w14:textId="77777777" w:rsidR="009C0BF6" w:rsidRPr="00D40272" w:rsidRDefault="009C0BF6" w:rsidP="009C0BF6">
      <w:pPr>
        <w:pStyle w:val="Heading4"/>
        <w:rPr>
          <w:color w:val="008CAC" w:themeColor="accent2" w:themeTint="BF"/>
        </w:rPr>
      </w:pPr>
      <w:r w:rsidRPr="00D40272">
        <w:rPr>
          <w:color w:val="008CAC" w:themeColor="accent2" w:themeTint="BF"/>
        </w:rPr>
        <w:t>Spatial domain</w:t>
      </w:r>
    </w:p>
    <w:p w14:paraId="338B7703" w14:textId="79B9BF9E" w:rsidR="009C0BF6" w:rsidRDefault="009C0BF6" w:rsidP="009C0BF6">
      <w:pPr>
        <w:pStyle w:val="BodyText"/>
        <w:rPr>
          <w:color w:val="auto"/>
        </w:rPr>
      </w:pPr>
      <w:r>
        <w:rPr>
          <w:color w:val="auto"/>
        </w:rPr>
        <w:t>There are relatively large areas of mangroves across northern Australia (</w:t>
      </w:r>
      <w:r w:rsidR="00090CC9">
        <w:rPr>
          <w:color w:val="auto"/>
        </w:rPr>
        <w:fldChar w:fldCharType="begin"/>
      </w:r>
      <w:r w:rsidR="00090CC9">
        <w:rPr>
          <w:color w:val="auto"/>
        </w:rPr>
        <w:instrText xml:space="preserve"> REF _Ref49781790 \h </w:instrText>
      </w:r>
      <w:r w:rsidR="00090CC9">
        <w:rPr>
          <w:color w:val="auto"/>
        </w:rPr>
      </w:r>
      <w:r w:rsidR="00090CC9">
        <w:rPr>
          <w:color w:val="auto"/>
        </w:rPr>
        <w:fldChar w:fldCharType="separate"/>
      </w:r>
      <w:r w:rsidR="00235F13">
        <w:t xml:space="preserve">Figure </w:t>
      </w:r>
      <w:r w:rsidR="00235F13">
        <w:rPr>
          <w:noProof/>
        </w:rPr>
        <w:t>11</w:t>
      </w:r>
      <w:r w:rsidR="00090CC9">
        <w:rPr>
          <w:color w:val="auto"/>
        </w:rPr>
        <w:fldChar w:fldCharType="end"/>
      </w:r>
      <w:r>
        <w:rPr>
          <w:color w:val="auto"/>
        </w:rPr>
        <w:t>), although the vast majority of these occur in relatively isolated areas with little anthropogenic disturbance. Because the proposed methodology requires a change in current tidal management to re-introduce tidal flows, potential areas are therefore limited to those where previous developments for infrastructure or agriculture have taken place. Data on the extent of suitable areas is limited, though the area available for individual interventions is likely restricted. Kelleway et al. (2017) provided estimates of up to 35,000 ha of tidal marsh replaced by ponded pastures in Queensland, 62,000 ha of drained coastal wetlands in northern NSW (inclusive of both mangroves and tidal marshes), and several locations in South Australia where salt production ponds were developed, from as early as the 19</w:t>
      </w:r>
      <w:r w:rsidRPr="009D26BA">
        <w:rPr>
          <w:color w:val="auto"/>
          <w:vertAlign w:val="superscript"/>
        </w:rPr>
        <w:t>th</w:t>
      </w:r>
      <w:r>
        <w:rPr>
          <w:color w:val="auto"/>
        </w:rPr>
        <w:t xml:space="preserve"> century. The potential domain is therefore spatially extensive across the coastal catchments of the continent where anthropogenic development has taken place (</w:t>
      </w:r>
      <w:r w:rsidR="00090CC9">
        <w:rPr>
          <w:color w:val="auto"/>
        </w:rPr>
        <w:fldChar w:fldCharType="begin"/>
      </w:r>
      <w:r w:rsidR="00090CC9">
        <w:rPr>
          <w:color w:val="auto"/>
        </w:rPr>
        <w:instrText xml:space="preserve"> REF _Ref49781790 \h </w:instrText>
      </w:r>
      <w:r w:rsidR="00090CC9">
        <w:rPr>
          <w:color w:val="auto"/>
        </w:rPr>
      </w:r>
      <w:r w:rsidR="00090CC9">
        <w:rPr>
          <w:color w:val="auto"/>
        </w:rPr>
        <w:fldChar w:fldCharType="separate"/>
      </w:r>
      <w:r w:rsidR="00235F13">
        <w:t xml:space="preserve">Figure </w:t>
      </w:r>
      <w:r w:rsidR="00235F13">
        <w:rPr>
          <w:noProof/>
        </w:rPr>
        <w:t>11</w:t>
      </w:r>
      <w:r w:rsidR="00090CC9">
        <w:rPr>
          <w:color w:val="auto"/>
        </w:rPr>
        <w:fldChar w:fldCharType="end"/>
      </w:r>
      <w:r>
        <w:rPr>
          <w:color w:val="auto"/>
        </w:rPr>
        <w:t>)</w:t>
      </w:r>
      <w:r w:rsidR="00BF2234">
        <w:rPr>
          <w:color w:val="auto"/>
        </w:rPr>
        <w:t xml:space="preserve">. </w:t>
      </w:r>
    </w:p>
    <w:p w14:paraId="12B626BB" w14:textId="77777777" w:rsidR="009C0BF6" w:rsidRDefault="009C0BF6" w:rsidP="009C0BF6">
      <w:pPr>
        <w:pStyle w:val="BodyText"/>
        <w:rPr>
          <w:color w:val="auto"/>
        </w:rPr>
      </w:pPr>
      <w:r>
        <w:rPr>
          <w:noProof/>
        </w:rPr>
        <w:drawing>
          <wp:inline distT="0" distB="0" distL="0" distR="0" wp14:anchorId="0794189A" wp14:editId="7A2F7123">
            <wp:extent cx="5750910" cy="2689412"/>
            <wp:effectExtent l="0" t="0" r="2540" b="0"/>
            <wp:docPr id="1421844912" name="Picture 106868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683832"/>
                    <pic:cNvPicPr/>
                  </pic:nvPicPr>
                  <pic:blipFill>
                    <a:blip r:embed="rId74">
                      <a:extLst>
                        <a:ext uri="{28A0092B-C50C-407E-A947-70E740481C1C}">
                          <a14:useLocalDpi xmlns:a14="http://schemas.microsoft.com/office/drawing/2010/main" val="0"/>
                        </a:ext>
                      </a:extLst>
                    </a:blip>
                    <a:stretch>
                      <a:fillRect/>
                    </a:stretch>
                  </pic:blipFill>
                  <pic:spPr>
                    <a:xfrm>
                      <a:off x="0" y="0"/>
                      <a:ext cx="5766985" cy="2696930"/>
                    </a:xfrm>
                    <a:prstGeom prst="rect">
                      <a:avLst/>
                    </a:prstGeom>
                  </pic:spPr>
                </pic:pic>
              </a:graphicData>
            </a:graphic>
          </wp:inline>
        </w:drawing>
      </w:r>
    </w:p>
    <w:p w14:paraId="0B56A9EA" w14:textId="5F990C6A" w:rsidR="009C0BF6" w:rsidRDefault="009C0BF6" w:rsidP="00BC786D">
      <w:pPr>
        <w:pStyle w:val="Caption"/>
        <w:keepNext w:val="0"/>
        <w:widowControl w:val="0"/>
        <w:rPr>
          <w:b w:val="0"/>
          <w:bCs w:val="0"/>
        </w:rPr>
      </w:pPr>
      <w:bookmarkStart w:id="158" w:name="_Ref49781790"/>
      <w:bookmarkStart w:id="159" w:name="_Toc52968241"/>
      <w:r>
        <w:t xml:space="preserve">Figure </w:t>
      </w:r>
      <w:r>
        <w:fldChar w:fldCharType="begin"/>
      </w:r>
      <w:r>
        <w:instrText>SEQ Figure \* ARABIC</w:instrText>
      </w:r>
      <w:r>
        <w:fldChar w:fldCharType="separate"/>
      </w:r>
      <w:r w:rsidR="00235F13">
        <w:rPr>
          <w:noProof/>
        </w:rPr>
        <w:t>11</w:t>
      </w:r>
      <w:r>
        <w:fldChar w:fldCharType="end"/>
      </w:r>
      <w:bookmarkEnd w:id="158"/>
      <w:r>
        <w:t xml:space="preserve">. </w:t>
      </w:r>
      <w:r>
        <w:rPr>
          <w:b w:val="0"/>
          <w:bCs w:val="0"/>
        </w:rPr>
        <w:t>Spatial distribution of Australian mangrove and tidal marsh ecosystems. Re-drawn from Serrano et al. (2019)</w:t>
      </w:r>
      <w:bookmarkEnd w:id="159"/>
      <w:r>
        <w:rPr>
          <w:b w:val="0"/>
          <w:bCs w:val="0"/>
        </w:rPr>
        <w:t xml:space="preserve"> </w:t>
      </w:r>
    </w:p>
    <w:p w14:paraId="77D93857" w14:textId="77777777" w:rsidR="009C0BF6" w:rsidRPr="00191E3E" w:rsidRDefault="009C0BF6" w:rsidP="009C0BF6">
      <w:pPr>
        <w:pStyle w:val="Heading4"/>
      </w:pPr>
      <w:r w:rsidRPr="00191E3E">
        <w:t>Risk assessment against identified climate impact factors</w:t>
      </w:r>
    </w:p>
    <w:p w14:paraId="6353530C" w14:textId="22A9F66D" w:rsidR="009C0BF6" w:rsidRDefault="009C0BF6" w:rsidP="009C0BF6">
      <w:pPr>
        <w:pStyle w:val="BodyText"/>
        <w:spacing w:after="0"/>
        <w:rPr>
          <w:color w:val="auto"/>
        </w:rPr>
      </w:pPr>
      <w:r>
        <w:rPr>
          <w:color w:val="auto"/>
        </w:rPr>
        <w:t xml:space="preserve">For the </w:t>
      </w:r>
      <w:r w:rsidRPr="0068261B">
        <w:rPr>
          <w:color w:val="auto"/>
        </w:rPr>
        <w:t xml:space="preserve">Management of </w:t>
      </w:r>
      <w:r>
        <w:rPr>
          <w:color w:val="auto"/>
        </w:rPr>
        <w:t>I</w:t>
      </w:r>
      <w:r w:rsidRPr="0068261B">
        <w:rPr>
          <w:color w:val="auto"/>
        </w:rPr>
        <w:t xml:space="preserve">ntertidal </w:t>
      </w:r>
      <w:r>
        <w:rPr>
          <w:color w:val="auto"/>
        </w:rPr>
        <w:t>E</w:t>
      </w:r>
      <w:r w:rsidRPr="0068261B">
        <w:rPr>
          <w:color w:val="auto"/>
        </w:rPr>
        <w:t>cosystems</w:t>
      </w:r>
      <w:r>
        <w:rPr>
          <w:color w:val="auto"/>
        </w:rPr>
        <w:t xml:space="preserve"> (Blue Carbon) activity the distinction between disturbance impacts, and factors that impact on vegetation growth and ecosystem functioning, are less clearly separated than when dealing with terrestrial ecosystems. For example</w:t>
      </w:r>
      <w:r w:rsidR="00540C82">
        <w:rPr>
          <w:color w:val="auto"/>
        </w:rPr>
        <w:t>,</w:t>
      </w:r>
      <w:r>
        <w:rPr>
          <w:color w:val="auto"/>
        </w:rPr>
        <w:t xml:space="preserve"> a freshwater </w:t>
      </w:r>
      <w:r>
        <w:rPr>
          <w:color w:val="auto"/>
        </w:rPr>
        <w:lastRenderedPageBreak/>
        <w:t xml:space="preserve">inundation event may induce physiological stress and impact growth rates over the long term (with implications for </w:t>
      </w:r>
      <w:r w:rsidR="009A3FF7">
        <w:rPr>
          <w:color w:val="auto"/>
        </w:rPr>
        <w:t>rates of accumulation</w:t>
      </w:r>
      <w:r>
        <w:rPr>
          <w:color w:val="auto"/>
        </w:rPr>
        <w:t xml:space="preserve">), or if the disturbance persists, it may lead to mortality, and abatement </w:t>
      </w:r>
      <w:r w:rsidR="001803B5">
        <w:rPr>
          <w:color w:val="auto"/>
        </w:rPr>
        <w:t>losses</w:t>
      </w:r>
      <w:r>
        <w:rPr>
          <w:color w:val="auto"/>
        </w:rPr>
        <w:t xml:space="preserve">. Lovelock et al. (2017) </w:t>
      </w:r>
      <w:r w:rsidR="00540C82">
        <w:rPr>
          <w:color w:val="auto"/>
        </w:rPr>
        <w:t>have</w:t>
      </w:r>
      <w:r>
        <w:rPr>
          <w:color w:val="auto"/>
        </w:rPr>
        <w:t xml:space="preserve"> developed a risk assessment framework for blue carbon ecosystems similar to that presented in Section</w:t>
      </w:r>
      <w:r w:rsidR="00090CC9">
        <w:rPr>
          <w:color w:val="auto"/>
        </w:rPr>
        <w:t xml:space="preserve"> 2.1</w:t>
      </w:r>
      <w:r>
        <w:rPr>
          <w:color w:val="auto"/>
        </w:rPr>
        <w:t xml:space="preserve">, which combines likelihoods with various categories of consequence, with consequence quantified as being proportional to the soil carbon stock (on the basis the more there is to start with, the higher the potential loss). Although Lovelock et al. (2017) </w:t>
      </w:r>
      <w:r w:rsidR="00540C82">
        <w:rPr>
          <w:color w:val="auto"/>
        </w:rPr>
        <w:t>have</w:t>
      </w:r>
      <w:r>
        <w:rPr>
          <w:color w:val="auto"/>
        </w:rPr>
        <w:t xml:space="preserve"> identified a number of generic risk factors, and formulated a conceptual model of different pathways to emission due to direct and indirect disturbance impacts, no formal risk assessment was undertaken</w:t>
      </w:r>
      <w:r w:rsidR="00BF2234">
        <w:rPr>
          <w:color w:val="auto"/>
        </w:rPr>
        <w:t xml:space="preserve">. </w:t>
      </w:r>
    </w:p>
    <w:p w14:paraId="0EA5CD80" w14:textId="77777777" w:rsidR="009C0BF6" w:rsidRPr="00191E3E" w:rsidRDefault="009C0BF6" w:rsidP="009C0BF6">
      <w:pPr>
        <w:pStyle w:val="BodyText"/>
        <w:spacing w:after="0"/>
        <w:rPr>
          <w:i/>
          <w:iCs/>
          <w:color w:val="auto"/>
        </w:rPr>
      </w:pPr>
      <w:r w:rsidRPr="00191E3E">
        <w:rPr>
          <w:i/>
          <w:iCs/>
          <w:color w:val="auto"/>
        </w:rPr>
        <w:t xml:space="preserve">Factors affecting </w:t>
      </w:r>
      <w:r>
        <w:rPr>
          <w:i/>
          <w:iCs/>
          <w:color w:val="auto"/>
        </w:rPr>
        <w:t>vegetation growth</w:t>
      </w:r>
    </w:p>
    <w:p w14:paraId="09C96EAF" w14:textId="77777777" w:rsidR="009C0BF6" w:rsidRPr="00191E3E" w:rsidRDefault="009C0BF6" w:rsidP="009C0BF6">
      <w:pPr>
        <w:pStyle w:val="BodyText"/>
        <w:spacing w:before="0"/>
        <w:rPr>
          <w:i/>
          <w:iCs/>
          <w:color w:val="auto"/>
        </w:rPr>
      </w:pPr>
      <w:r w:rsidRPr="00191E3E">
        <w:rPr>
          <w:i/>
          <w:iCs/>
          <w:color w:val="auto"/>
        </w:rPr>
        <w:t xml:space="preserve">Factors affecting </w:t>
      </w:r>
      <w:r>
        <w:rPr>
          <w:i/>
          <w:iCs/>
          <w:color w:val="auto"/>
        </w:rPr>
        <w:t>soil respiration and soil microbial processes</w:t>
      </w:r>
    </w:p>
    <w:p w14:paraId="0FA7F87C" w14:textId="77777777" w:rsidR="009C0BF6" w:rsidRDefault="009C0BF6" w:rsidP="009C0BF6">
      <w:pPr>
        <w:pStyle w:val="BodyText"/>
        <w:rPr>
          <w:color w:val="auto"/>
        </w:rPr>
      </w:pPr>
      <w:r w:rsidRPr="00920405">
        <w:rPr>
          <w:color w:val="auto"/>
        </w:rPr>
        <w:t xml:space="preserve">There are </w:t>
      </w:r>
      <w:r>
        <w:rPr>
          <w:color w:val="auto"/>
        </w:rPr>
        <w:t xml:space="preserve">two main </w:t>
      </w:r>
      <w:r w:rsidRPr="00920405">
        <w:rPr>
          <w:color w:val="auto"/>
        </w:rPr>
        <w:t xml:space="preserve">mechanisms </w:t>
      </w:r>
      <w:r>
        <w:rPr>
          <w:color w:val="auto"/>
        </w:rPr>
        <w:t>by which introducing (or re-introducing) tidal flows increase carbon sequestration. These are:</w:t>
      </w:r>
    </w:p>
    <w:p w14:paraId="39F45668" w14:textId="77777777" w:rsidR="009C0BF6" w:rsidRDefault="009C0BF6" w:rsidP="009C0BF6">
      <w:pPr>
        <w:pStyle w:val="BodyText"/>
        <w:numPr>
          <w:ilvl w:val="0"/>
          <w:numId w:val="19"/>
        </w:numPr>
        <w:rPr>
          <w:color w:val="auto"/>
        </w:rPr>
      </w:pPr>
      <w:r>
        <w:rPr>
          <w:color w:val="auto"/>
        </w:rPr>
        <w:t>Re-invigoration of native intertidal vegetation that leads to (a) higher above- and below-ground biomass, and (b) higher rates of turnover into the soil pool, leading to increased sequestration.</w:t>
      </w:r>
    </w:p>
    <w:p w14:paraId="6DA3B7CF" w14:textId="77777777" w:rsidR="009C0BF6" w:rsidRDefault="009C0BF6" w:rsidP="009C0BF6">
      <w:pPr>
        <w:pStyle w:val="BodyText"/>
        <w:numPr>
          <w:ilvl w:val="0"/>
          <w:numId w:val="19"/>
        </w:numPr>
        <w:rPr>
          <w:color w:val="auto"/>
        </w:rPr>
      </w:pPr>
      <w:r>
        <w:rPr>
          <w:color w:val="auto"/>
        </w:rPr>
        <w:t>Increased re-distribution of organic matter, either from within or external to the site, leading to enhanced build-up of carbon-rich sediments.</w:t>
      </w:r>
    </w:p>
    <w:p w14:paraId="7C8F82FE" w14:textId="4D93510D" w:rsidR="009C0BF6" w:rsidRDefault="009C0BF6" w:rsidP="009C0BF6">
      <w:pPr>
        <w:pStyle w:val="BodyText"/>
        <w:rPr>
          <w:color w:val="auto"/>
        </w:rPr>
      </w:pPr>
      <w:r>
        <w:rPr>
          <w:color w:val="auto"/>
        </w:rPr>
        <w:t>The opportunity for sequestration arises from the historical loss of biomass and/or soil carbon following the original intervention that impeded the tidal flow. For example</w:t>
      </w:r>
      <w:r w:rsidR="001F35F6">
        <w:rPr>
          <w:color w:val="auto"/>
        </w:rPr>
        <w:t>,</w:t>
      </w:r>
      <w:r>
        <w:rPr>
          <w:color w:val="auto"/>
        </w:rPr>
        <w:t xml:space="preserve"> in tropical monsoon areas structures such as artificial levees have been used to create ‘ponded pastures’, which support pasture rather than tidal marsh or mangrove. In such systems soil organic carbon losses are accelerated as the soils dry and become more aerobic (Bu et al. 2015), with the removal and/or death of mangrove trees leading to significant losses of biomass carbon. Similarly, subtropical and temperate estuaries have been modified using levees or floodgates, to promote draining for agricultural use.</w:t>
      </w:r>
      <w:r w:rsidR="002B2EA9">
        <w:rPr>
          <w:color w:val="auto"/>
        </w:rPr>
        <w:t xml:space="preserve"> </w:t>
      </w:r>
      <w:r>
        <w:rPr>
          <w:color w:val="auto"/>
        </w:rPr>
        <w:t xml:space="preserve">In their conceptual model of risks to blue carbon, Lovelock et al. (2017) identified disturbance to the soil matrix, and disturbance to the primary producers, as the two primary pathways for loss. This distinction is also adopted here, but extended to include </w:t>
      </w:r>
      <w:r w:rsidR="00614590">
        <w:rPr>
          <w:color w:val="auto"/>
        </w:rPr>
        <w:t>non-disturbance</w:t>
      </w:r>
      <w:r>
        <w:rPr>
          <w:color w:val="auto"/>
        </w:rPr>
        <w:t>-related impacts of climate change factors on soil respiration, and on net photosynthesis.</w:t>
      </w:r>
    </w:p>
    <w:p w14:paraId="28A13306" w14:textId="6372F8C6" w:rsidR="009C0BF6" w:rsidRDefault="009C0BF6" w:rsidP="009C0BF6">
      <w:pPr>
        <w:pStyle w:val="BodyText"/>
        <w:rPr>
          <w:color w:val="auto"/>
        </w:rPr>
      </w:pPr>
      <w:r>
        <w:rPr>
          <w:color w:val="auto"/>
        </w:rPr>
        <w:t>The f</w:t>
      </w:r>
      <w:r w:rsidRPr="00210AE8">
        <w:rPr>
          <w:color w:val="auto"/>
        </w:rPr>
        <w:t xml:space="preserve">actors that reduce </w:t>
      </w:r>
      <w:r>
        <w:rPr>
          <w:color w:val="auto"/>
        </w:rPr>
        <w:t xml:space="preserve">plant productivity, thereby reducing the rates of both biomass and soil carbon accumulation, are similar to those for terrestrial vegetation, primarily involving the </w:t>
      </w:r>
      <w:r w:rsidRPr="00191E3E">
        <w:rPr>
          <w:color w:val="auto"/>
        </w:rPr>
        <w:t xml:space="preserve">potential for heat- and water-stress induced limitations to plant </w:t>
      </w:r>
      <w:r>
        <w:rPr>
          <w:color w:val="auto"/>
        </w:rPr>
        <w:t>growth. However, precisely how such changes might affect carbon sequestration is difficult to predict (Mc</w:t>
      </w:r>
      <w:r w:rsidR="00DC4BFD">
        <w:rPr>
          <w:color w:val="auto"/>
        </w:rPr>
        <w:t>L</w:t>
      </w:r>
      <w:r>
        <w:rPr>
          <w:color w:val="auto"/>
        </w:rPr>
        <w:t>eod et al. 2011). For example</w:t>
      </w:r>
      <w:r w:rsidR="00E61B5B">
        <w:rPr>
          <w:color w:val="auto"/>
        </w:rPr>
        <w:t>,</w:t>
      </w:r>
      <w:r>
        <w:rPr>
          <w:color w:val="auto"/>
        </w:rPr>
        <w:t xml:space="preserve"> whilst increasing atmospheric CO</w:t>
      </w:r>
      <w:r w:rsidRPr="0027015E">
        <w:rPr>
          <w:color w:val="auto"/>
          <w:vertAlign w:val="subscript"/>
        </w:rPr>
        <w:t>2</w:t>
      </w:r>
      <w:r>
        <w:rPr>
          <w:color w:val="auto"/>
        </w:rPr>
        <w:t xml:space="preserve"> concentrations combined with a moderate increase in temperature might increase overall productivity, increasing temperatures are also expected to increase rates of soil respiration. The net effect on the total ecosystem is therefore difficult to predict, particularly as there are many additional factors in blue carbon ecosystems that can influence soil respiration, such as variability in the level of inundation, exposure to currents, and the presence of bioturbating organisms such as crabs (Lovelock et al. 2017). At the biogeographic scale mangrove distribution is controlled by temperature, with many species being frost sensitive, and with the latitudinal limit coinciding with the 20</w:t>
      </w:r>
      <w:r>
        <w:rPr>
          <w:rFonts w:ascii="Symbol" w:eastAsia="Symbol" w:hAnsi="Symbol" w:cs="Symbol"/>
          <w:color w:val="auto"/>
        </w:rPr>
        <w:sym w:font="Symbol" w:char="F0B0"/>
      </w:r>
      <w:r>
        <w:rPr>
          <w:color w:val="auto"/>
        </w:rPr>
        <w:t xml:space="preserve">C sea surface temperature (Asbridge et al. </w:t>
      </w:r>
      <w:r>
        <w:rPr>
          <w:color w:val="auto"/>
        </w:rPr>
        <w:lastRenderedPageBreak/>
        <w:t>201</w:t>
      </w:r>
      <w:r w:rsidR="00DC4BFD">
        <w:rPr>
          <w:color w:val="auto"/>
        </w:rPr>
        <w:t>6</w:t>
      </w:r>
      <w:r>
        <w:rPr>
          <w:color w:val="auto"/>
        </w:rPr>
        <w:t xml:space="preserve">). An overall increase in average temperature (Appendix B, Figure B1(a)) and a reduction in frost days (Appendix B, Figure B1(m)) is therefore expected </w:t>
      </w:r>
      <w:r w:rsidR="00A07207">
        <w:rPr>
          <w:color w:val="auto"/>
        </w:rPr>
        <w:t xml:space="preserve">to </w:t>
      </w:r>
      <w:r>
        <w:rPr>
          <w:color w:val="auto"/>
        </w:rPr>
        <w:t>result in climate-induced latitudinal shifts to mangrove distribution.</w:t>
      </w:r>
    </w:p>
    <w:p w14:paraId="4B2F449F" w14:textId="1B5F0F85" w:rsidR="009C0BF6" w:rsidRDefault="009C0BF6" w:rsidP="009C0BF6">
      <w:pPr>
        <w:pStyle w:val="BodyText"/>
        <w:rPr>
          <w:color w:val="auto"/>
        </w:rPr>
      </w:pPr>
      <w:r>
        <w:rPr>
          <w:color w:val="auto"/>
        </w:rPr>
        <w:t>A change in climatic extremes, particularly heatwaves and extreme temperature days, has the potential to disrupt growth, and potentially cause mortality. Across the nine sub-clusters that contain significant blue carbon ecosystems t</w:t>
      </w:r>
      <w:r w:rsidRPr="00B846C7">
        <w:rPr>
          <w:color w:val="auto"/>
        </w:rPr>
        <w:t>he change in the number of days year</w:t>
      </w:r>
      <w:r w:rsidRPr="00B846C7">
        <w:rPr>
          <w:color w:val="auto"/>
          <w:vertAlign w:val="superscript"/>
        </w:rPr>
        <w:t>-1</w:t>
      </w:r>
      <w:r w:rsidRPr="00B846C7">
        <w:rPr>
          <w:color w:val="auto"/>
        </w:rPr>
        <w:t xml:space="preserve"> expected to be greater than 35</w:t>
      </w:r>
      <w:r w:rsidR="00462582">
        <w:sym w:font="Symbol" w:char="F0B0"/>
      </w:r>
      <w:r w:rsidR="00462582">
        <w:t>C</w:t>
      </w:r>
      <w:r w:rsidRPr="00B846C7">
        <w:rPr>
          <w:color w:val="auto"/>
        </w:rPr>
        <w:t xml:space="preserve"> </w:t>
      </w:r>
      <w:r>
        <w:rPr>
          <w:color w:val="auto"/>
        </w:rPr>
        <w:t>is projected to increase by approximately 50% (minimum 30%; maximum 76%; Appendix B, Figure B1(n)). This suggests extreme heat days are likely to be more common across the extent of potential project areas, though care needs to be taken with this interpretation given coastal environments can be quite different climatically than those inland. A recent example of the potential impact of extreme heat days is the mass mortality along approximately 1000 km of mangrove ecosystems in the Gulf of Carpentaria in 2015-2016 (Duke et al. 2017), where extreme temperatures (combined with drought conditions and a temporary drop in sea level) have been implicated in the event. This is discussed further under ‘Combined Disturbance Impacts’ below.</w:t>
      </w:r>
    </w:p>
    <w:p w14:paraId="6F6860A0" w14:textId="4CE292A5" w:rsidR="009C0BF6" w:rsidRDefault="009C0BF6" w:rsidP="009C0BF6">
      <w:pPr>
        <w:pStyle w:val="BodyText"/>
        <w:rPr>
          <w:color w:val="auto"/>
        </w:rPr>
      </w:pPr>
      <w:r>
        <w:rPr>
          <w:color w:val="auto"/>
        </w:rPr>
        <w:t>There is little consensus amongst climate models regarding the direction or magnitude of changes in average rainfall (Appendix B, Figure B1(d)), however there are implications for long-term changes in the exposure to fresh water for blue carbon ecosystems, particularly mangroves. Over the long</w:t>
      </w:r>
      <w:r w:rsidR="004477F7">
        <w:rPr>
          <w:color w:val="auto"/>
        </w:rPr>
        <w:t>-</w:t>
      </w:r>
      <w:r>
        <w:rPr>
          <w:color w:val="auto"/>
        </w:rPr>
        <w:t>term gradual changes in rainfall are expected to influence mangrove distributions, for example through reductions in sediment salinity that facilitates faster growth, higher biomass, and lateral dispersal (Asbridge et al. 2015). Conversely, increasing aridity is expected to lead to reduced growth and spatial contraction. However, over the 2050 timeframe considered here, gradual changes in precipitation are expected to be secondary to changes in extreme rainfall events and drought. These factors are also discussed under ‘Combined Disturbance Impacts’ below.</w:t>
      </w:r>
    </w:p>
    <w:p w14:paraId="124FC44D" w14:textId="732F54E1" w:rsidR="009C0BF6" w:rsidRDefault="009C0BF6" w:rsidP="009C0BF6">
      <w:pPr>
        <w:pStyle w:val="BodyText"/>
        <w:rPr>
          <w:color w:val="auto"/>
        </w:rPr>
      </w:pPr>
      <w:r>
        <w:rPr>
          <w:color w:val="auto"/>
        </w:rPr>
        <w:t xml:space="preserve">Whilst changes in average temperature and associated variables such as evapotranspiration and relative humidity are likely to occur by 2050 and beyond (with overall </w:t>
      </w:r>
      <w:r>
        <w:rPr>
          <w:i/>
          <w:iCs/>
          <w:color w:val="auto"/>
        </w:rPr>
        <w:t xml:space="preserve">high </w:t>
      </w:r>
      <w:r>
        <w:rPr>
          <w:color w:val="auto"/>
        </w:rPr>
        <w:t xml:space="preserve">to </w:t>
      </w:r>
      <w:r>
        <w:rPr>
          <w:i/>
          <w:iCs/>
          <w:color w:val="auto"/>
        </w:rPr>
        <w:t>very high confidence</w:t>
      </w:r>
      <w:r>
        <w:rPr>
          <w:color w:val="auto"/>
        </w:rPr>
        <w:t xml:space="preserve">), the consequences for rates of carbon sequestration, and associated risks to abatement </w:t>
      </w:r>
      <w:r w:rsidR="009A3FF7">
        <w:rPr>
          <w:color w:val="auto"/>
        </w:rPr>
        <w:t>accumulation</w:t>
      </w:r>
      <w:r>
        <w:rPr>
          <w:color w:val="auto"/>
        </w:rPr>
        <w:t xml:space="preserve">, are too uncertain to determine at this stage (Adam 2020). Of greater significance are losses associated with disturbances, which have implications for both abatement </w:t>
      </w:r>
      <w:r w:rsidR="000A4E87">
        <w:rPr>
          <w:color w:val="auto"/>
        </w:rPr>
        <w:t>accumulation</w:t>
      </w:r>
      <w:r>
        <w:rPr>
          <w:color w:val="auto"/>
        </w:rPr>
        <w:t xml:space="preserve"> and </w:t>
      </w:r>
      <w:r w:rsidR="000A4E87" w:rsidRPr="000A4E87">
        <w:rPr>
          <w:color w:val="auto"/>
        </w:rPr>
        <w:t>maintenance</w:t>
      </w:r>
      <w:r>
        <w:rPr>
          <w:color w:val="auto"/>
        </w:rPr>
        <w:t>.</w:t>
      </w:r>
    </w:p>
    <w:p w14:paraId="192A8049" w14:textId="77777777" w:rsidR="009C0BF6" w:rsidRDefault="009C0BF6" w:rsidP="009C0BF6">
      <w:pPr>
        <w:pStyle w:val="BodyText"/>
        <w:rPr>
          <w:i/>
          <w:iCs/>
          <w:color w:val="auto"/>
        </w:rPr>
      </w:pPr>
    </w:p>
    <w:p w14:paraId="0E8840D9" w14:textId="77777777" w:rsidR="009C0BF6" w:rsidRPr="00F148AA" w:rsidRDefault="009C0BF6" w:rsidP="009C0BF6">
      <w:pPr>
        <w:pStyle w:val="BodyText"/>
        <w:rPr>
          <w:i/>
          <w:iCs/>
          <w:color w:val="808080" w:themeColor="background1" w:themeShade="80"/>
          <w:szCs w:val="24"/>
        </w:rPr>
      </w:pPr>
      <w:r w:rsidRPr="00F148AA">
        <w:rPr>
          <w:i/>
          <w:iCs/>
          <w:color w:val="auto"/>
          <w:szCs w:val="24"/>
        </w:rPr>
        <w:t>Pest/Diseases</w:t>
      </w:r>
    </w:p>
    <w:bookmarkEnd w:id="157"/>
    <w:p w14:paraId="1C2C6D85" w14:textId="26C08A20" w:rsidR="009C0BF6" w:rsidRPr="00F148AA" w:rsidRDefault="009C0BF6" w:rsidP="009C0BF6">
      <w:pPr>
        <w:pStyle w:val="BodyText"/>
        <w:rPr>
          <w:color w:val="auto"/>
          <w:szCs w:val="24"/>
          <w:shd w:val="clear" w:color="auto" w:fill="FFFFFF"/>
        </w:rPr>
      </w:pPr>
      <w:r w:rsidRPr="00F148AA">
        <w:rPr>
          <w:color w:val="auto"/>
          <w:szCs w:val="24"/>
          <w:shd w:val="clear" w:color="auto" w:fill="FFFFFF"/>
        </w:rPr>
        <w:t>There is little current knowledge regarding the pests and diseases of tidal marshes. Adam (2002) in an extensive review of the structure, function and threats to tidal marshes globally did not list pests and diseases as a significant threat, though susceptibility to invasive plants was noted. For mangroves heavy infestations of insects leading to defoliation have been suggested</w:t>
      </w:r>
      <w:r w:rsidRPr="00F148AA">
        <w:rPr>
          <w:rStyle w:val="FootnoteReference"/>
          <w:color w:val="auto"/>
          <w:szCs w:val="24"/>
          <w:shd w:val="clear" w:color="auto" w:fill="FFFFFF"/>
        </w:rPr>
        <w:footnoteReference w:id="11"/>
      </w:r>
      <w:r w:rsidRPr="00F148AA">
        <w:rPr>
          <w:color w:val="auto"/>
          <w:szCs w:val="24"/>
          <w:shd w:val="clear" w:color="auto" w:fill="FFFFFF"/>
        </w:rPr>
        <w:t>, but hard evidence for this is elusive. Burrows (2003) made the observation that, traditionally, insect herbivory on mangroves was assumed to be low due to a depauperate specialised herbivore fauna, and that mangrove leaves are less palatable and less nutritious than leaves of other tree species. However</w:t>
      </w:r>
      <w:r w:rsidR="004477F7" w:rsidRPr="00F148AA">
        <w:rPr>
          <w:color w:val="auto"/>
          <w:szCs w:val="24"/>
          <w:shd w:val="clear" w:color="auto" w:fill="FFFFFF"/>
        </w:rPr>
        <w:t>,</w:t>
      </w:r>
      <w:r w:rsidRPr="00F148AA">
        <w:rPr>
          <w:color w:val="auto"/>
          <w:szCs w:val="24"/>
          <w:shd w:val="clear" w:color="auto" w:fill="FFFFFF"/>
        </w:rPr>
        <w:t xml:space="preserve"> in a detailed exploration of herbivory rates in mangroves in Queensland, </w:t>
      </w:r>
      <w:r w:rsidRPr="00F148AA">
        <w:rPr>
          <w:color w:val="auto"/>
          <w:szCs w:val="24"/>
          <w:shd w:val="clear" w:color="auto" w:fill="FFFFFF"/>
        </w:rPr>
        <w:lastRenderedPageBreak/>
        <w:t>Burrows (200</w:t>
      </w:r>
      <w:r w:rsidR="00DC4BFD">
        <w:rPr>
          <w:color w:val="auto"/>
          <w:szCs w:val="24"/>
          <w:shd w:val="clear" w:color="auto" w:fill="FFFFFF"/>
        </w:rPr>
        <w:t>3</w:t>
      </w:r>
      <w:r w:rsidRPr="00F148AA">
        <w:rPr>
          <w:color w:val="auto"/>
          <w:szCs w:val="24"/>
          <w:shd w:val="clear" w:color="auto" w:fill="FFFFFF"/>
        </w:rPr>
        <w:t xml:space="preserve">) concluded that rates of insect herbivory were similar to terrestrial forests, with mangroves supporting a diverse assemblage of insect herbivores. Herbivory impacts were particularly apparent on young and developing leaves, with leaf loss rates in the order of 7-36%, reducing average leaf longevity by 4-13%. The potential for </w:t>
      </w:r>
      <w:r>
        <w:rPr>
          <w:color w:val="auto"/>
          <w:szCs w:val="24"/>
          <w:shd w:val="clear" w:color="auto" w:fill="FFFFFF"/>
        </w:rPr>
        <w:t xml:space="preserve">extensive </w:t>
      </w:r>
      <w:r w:rsidRPr="00F148AA">
        <w:rPr>
          <w:color w:val="auto"/>
          <w:szCs w:val="24"/>
          <w:shd w:val="clear" w:color="auto" w:fill="FFFFFF"/>
        </w:rPr>
        <w:t>insect outbreaks, either under current climatic conditions or into the future, remains an open question (Cannicci et al. 2008).</w:t>
      </w:r>
    </w:p>
    <w:p w14:paraId="6F7252FE" w14:textId="6BF859D9" w:rsidR="009C0BF6" w:rsidRPr="00F148AA" w:rsidRDefault="009C0BF6" w:rsidP="009C0BF6">
      <w:pPr>
        <w:pStyle w:val="BodyText"/>
        <w:rPr>
          <w:color w:val="auto"/>
          <w:szCs w:val="24"/>
          <w:shd w:val="clear" w:color="auto" w:fill="FFFFFF"/>
        </w:rPr>
      </w:pPr>
      <w:r w:rsidRPr="00F148AA">
        <w:rPr>
          <w:color w:val="auto"/>
          <w:szCs w:val="24"/>
          <w:shd w:val="clear" w:color="auto" w:fill="FFFFFF"/>
        </w:rPr>
        <w:t xml:space="preserve">Fungal diseases have been recorded in mangroves (Osorio et al. </w:t>
      </w:r>
      <w:r w:rsidR="00294837">
        <w:rPr>
          <w:color w:val="auto"/>
          <w:szCs w:val="24"/>
          <w:shd w:val="clear" w:color="auto" w:fill="FFFFFF"/>
        </w:rPr>
        <w:t xml:space="preserve">2016, </w:t>
      </w:r>
      <w:r w:rsidRPr="00F148AA">
        <w:rPr>
          <w:color w:val="auto"/>
          <w:szCs w:val="24"/>
          <w:shd w:val="clear" w:color="auto" w:fill="FFFFFF"/>
        </w:rPr>
        <w:t>201</w:t>
      </w:r>
      <w:r w:rsidR="00DC4BFD">
        <w:rPr>
          <w:color w:val="auto"/>
          <w:szCs w:val="24"/>
          <w:shd w:val="clear" w:color="auto" w:fill="FFFFFF"/>
        </w:rPr>
        <w:t>7</w:t>
      </w:r>
      <w:r w:rsidRPr="00F148AA">
        <w:rPr>
          <w:color w:val="auto"/>
          <w:szCs w:val="24"/>
          <w:shd w:val="clear" w:color="auto" w:fill="FFFFFF"/>
        </w:rPr>
        <w:t>), leading to mortality, such as reported for a community of river mangroves (</w:t>
      </w:r>
      <w:r w:rsidRPr="00F148AA">
        <w:rPr>
          <w:i/>
          <w:iCs/>
          <w:color w:val="auto"/>
          <w:szCs w:val="24"/>
          <w:shd w:val="clear" w:color="auto" w:fill="FFFFFF"/>
        </w:rPr>
        <w:t>Aegiceras</w:t>
      </w:r>
      <w:r w:rsidRPr="00F148AA">
        <w:rPr>
          <w:color w:val="auto"/>
          <w:szCs w:val="24"/>
          <w:shd w:val="clear" w:color="auto" w:fill="FFFFFF"/>
        </w:rPr>
        <w:t xml:space="preserve">) in Brisbane during the summer of 2006; and in the late 1970s, a soil fungus, </w:t>
      </w:r>
      <w:r w:rsidRPr="00F148AA">
        <w:rPr>
          <w:i/>
          <w:iCs/>
          <w:color w:val="auto"/>
          <w:szCs w:val="24"/>
          <w:shd w:val="clear" w:color="auto" w:fill="FFFFFF"/>
        </w:rPr>
        <w:t>Halophytophthora</w:t>
      </w:r>
      <w:r w:rsidRPr="00F148AA">
        <w:rPr>
          <w:color w:val="auto"/>
          <w:szCs w:val="24"/>
          <w:shd w:val="clear" w:color="auto" w:fill="FFFFFF"/>
        </w:rPr>
        <w:t xml:space="preserve"> sp., caused large areas of dieback through leaf loss and trunk rot around Gladstone, central Queensland (Pegg et al. 1980). Interestingly, out of approximately 12 species of mangrove within the affected area, only one species was impacted. As for the potential for mass mangrove dieback from disease</w:t>
      </w:r>
      <w:r>
        <w:rPr>
          <w:color w:val="auto"/>
          <w:szCs w:val="24"/>
          <w:shd w:val="clear" w:color="auto" w:fill="FFFFFF"/>
        </w:rPr>
        <w:t xml:space="preserve"> to significantly impact sequestration </w:t>
      </w:r>
      <w:r w:rsidR="000A4E87">
        <w:rPr>
          <w:color w:val="auto"/>
          <w:szCs w:val="24"/>
          <w:shd w:val="clear" w:color="auto" w:fill="FFFFFF"/>
        </w:rPr>
        <w:t>accumulation</w:t>
      </w:r>
      <w:r>
        <w:rPr>
          <w:color w:val="auto"/>
          <w:szCs w:val="24"/>
          <w:shd w:val="clear" w:color="auto" w:fill="FFFFFF"/>
        </w:rPr>
        <w:t xml:space="preserve"> or </w:t>
      </w:r>
      <w:r w:rsidR="000A4E87">
        <w:rPr>
          <w:color w:val="auto"/>
          <w:szCs w:val="24"/>
          <w:shd w:val="clear" w:color="auto" w:fill="FFFFFF"/>
        </w:rPr>
        <w:t>maintenance</w:t>
      </w:r>
      <w:r w:rsidRPr="00F148AA">
        <w:rPr>
          <w:color w:val="auto"/>
          <w:szCs w:val="24"/>
          <w:shd w:val="clear" w:color="auto" w:fill="FFFFFF"/>
        </w:rPr>
        <w:t xml:space="preserve">, </w:t>
      </w:r>
      <w:r>
        <w:rPr>
          <w:color w:val="auto"/>
          <w:szCs w:val="24"/>
          <w:shd w:val="clear" w:color="auto" w:fill="FFFFFF"/>
        </w:rPr>
        <w:t>there is currently insufficient information on which to base an assessment</w:t>
      </w:r>
      <w:r w:rsidRPr="00F148AA">
        <w:rPr>
          <w:color w:val="auto"/>
          <w:szCs w:val="24"/>
          <w:shd w:val="clear" w:color="auto" w:fill="FFFFFF"/>
        </w:rPr>
        <w:t>.</w:t>
      </w:r>
    </w:p>
    <w:p w14:paraId="0FE6C5A6" w14:textId="4146C1EF" w:rsidR="009C0BF6" w:rsidRPr="00F148AA" w:rsidRDefault="009C0BF6" w:rsidP="009C0BF6">
      <w:pPr>
        <w:pStyle w:val="BodyText"/>
        <w:rPr>
          <w:color w:val="auto"/>
          <w:szCs w:val="24"/>
          <w:shd w:val="clear" w:color="auto" w:fill="FFFFFF"/>
        </w:rPr>
      </w:pPr>
      <w:r w:rsidRPr="00F148AA">
        <w:rPr>
          <w:color w:val="auto"/>
          <w:szCs w:val="24"/>
          <w:shd w:val="clear" w:color="auto" w:fill="FFFFFF"/>
        </w:rPr>
        <w:t>Invasive plant species have been noted as a potential threat to tidal marshes. Adam (2002) reports several instances where the common reed (</w:t>
      </w:r>
      <w:r w:rsidRPr="00F148AA">
        <w:rPr>
          <w:i/>
          <w:iCs/>
          <w:color w:val="auto"/>
          <w:szCs w:val="24"/>
          <w:shd w:val="clear" w:color="auto" w:fill="FFFFFF"/>
        </w:rPr>
        <w:t>Phragmites australis</w:t>
      </w:r>
      <w:r w:rsidRPr="00F148AA">
        <w:rPr>
          <w:color w:val="auto"/>
          <w:szCs w:val="24"/>
          <w:shd w:val="clear" w:color="auto" w:fill="FFFFFF"/>
        </w:rPr>
        <w:t xml:space="preserve">) and </w:t>
      </w:r>
      <w:r w:rsidRPr="00F148AA">
        <w:rPr>
          <w:i/>
          <w:iCs/>
          <w:color w:val="auto"/>
          <w:szCs w:val="24"/>
          <w:shd w:val="clear" w:color="auto" w:fill="FFFFFF"/>
        </w:rPr>
        <w:t>Typha</w:t>
      </w:r>
      <w:r w:rsidRPr="00F148AA">
        <w:rPr>
          <w:color w:val="auto"/>
          <w:szCs w:val="24"/>
          <w:shd w:val="clear" w:color="auto" w:fill="FFFFFF"/>
        </w:rPr>
        <w:t xml:space="preserve"> sp. </w:t>
      </w:r>
      <w:r w:rsidR="00430DD5" w:rsidRPr="00F148AA">
        <w:rPr>
          <w:color w:val="auto"/>
          <w:szCs w:val="24"/>
          <w:shd w:val="clear" w:color="auto" w:fill="FFFFFF"/>
        </w:rPr>
        <w:t>H</w:t>
      </w:r>
      <w:r w:rsidRPr="00F148AA">
        <w:rPr>
          <w:color w:val="auto"/>
          <w:szCs w:val="24"/>
          <w:shd w:val="clear" w:color="auto" w:fill="FFFFFF"/>
        </w:rPr>
        <w:t>ave invaded tidal marshes in urbanised areas subject to stormwater discharge, where a lowering of salinity and increase in nutrients has facilitated been observed to invade saltmarshes. Although unlikely to be of widespread concern, any proposed activity where such threats are possible should include a contingency plan for managing these invasive weeds. Tidal marshes are also susceptible to invasion by mangroves (Adam 2002; Asbridge et al. 2015), though in the context of the activities under consideration here such an outcome might be considered favourable – on the assumption the tidal flow intervention was not linked to conservation outcomes related specifically to tidal marsh restoration.</w:t>
      </w:r>
    </w:p>
    <w:p w14:paraId="23393006" w14:textId="3EA74F74" w:rsidR="009C0BF6" w:rsidRPr="00F148AA" w:rsidRDefault="009C0BF6" w:rsidP="009C0BF6">
      <w:pPr>
        <w:pStyle w:val="BodyText"/>
        <w:rPr>
          <w:color w:val="auto"/>
          <w:szCs w:val="24"/>
          <w:shd w:val="clear" w:color="auto" w:fill="FFFFFF"/>
        </w:rPr>
      </w:pPr>
      <w:r w:rsidRPr="00F148AA">
        <w:rPr>
          <w:color w:val="auto"/>
          <w:szCs w:val="24"/>
          <w:shd w:val="clear" w:color="auto" w:fill="FFFFFF"/>
        </w:rPr>
        <w:t xml:space="preserve">In summary, the likelihoods and consequences of pests and diseases to risks </w:t>
      </w:r>
      <w:r w:rsidR="000A4E87">
        <w:rPr>
          <w:color w:val="auto"/>
          <w:szCs w:val="24"/>
          <w:shd w:val="clear" w:color="auto" w:fill="FFFFFF"/>
        </w:rPr>
        <w:t>to accumulation</w:t>
      </w:r>
      <w:r w:rsidRPr="00F148AA">
        <w:rPr>
          <w:color w:val="auto"/>
          <w:szCs w:val="24"/>
          <w:shd w:val="clear" w:color="auto" w:fill="FFFFFF"/>
        </w:rPr>
        <w:t xml:space="preserve"> and </w:t>
      </w:r>
      <w:r w:rsidR="000A4E87">
        <w:rPr>
          <w:color w:val="auto"/>
          <w:szCs w:val="24"/>
          <w:shd w:val="clear" w:color="auto" w:fill="FFFFFF"/>
        </w:rPr>
        <w:t xml:space="preserve">maintenance </w:t>
      </w:r>
      <w:r w:rsidRPr="00F148AA">
        <w:rPr>
          <w:color w:val="auto"/>
          <w:szCs w:val="24"/>
          <w:shd w:val="clear" w:color="auto" w:fill="FFFFFF"/>
        </w:rPr>
        <w:t>for blue carbon projects remains uncertain at this time.</w:t>
      </w:r>
    </w:p>
    <w:p w14:paraId="63F40AED" w14:textId="77777777" w:rsidR="009C0BF6" w:rsidRPr="00F148AA" w:rsidRDefault="009C0BF6" w:rsidP="009C0BF6">
      <w:pPr>
        <w:pStyle w:val="BodyText"/>
        <w:rPr>
          <w:i/>
          <w:iCs/>
          <w:color w:val="auto"/>
          <w:szCs w:val="24"/>
        </w:rPr>
      </w:pPr>
    </w:p>
    <w:p w14:paraId="24542182" w14:textId="77777777" w:rsidR="009C0BF6" w:rsidRPr="00F148AA" w:rsidRDefault="009C0BF6" w:rsidP="009C0BF6">
      <w:pPr>
        <w:pStyle w:val="BodyText"/>
        <w:rPr>
          <w:i/>
          <w:iCs/>
          <w:color w:val="auto"/>
          <w:szCs w:val="24"/>
        </w:rPr>
      </w:pPr>
      <w:r w:rsidRPr="00F148AA">
        <w:rPr>
          <w:i/>
          <w:iCs/>
          <w:color w:val="auto"/>
          <w:szCs w:val="24"/>
        </w:rPr>
        <w:t>Combined Disturbance Impacts</w:t>
      </w:r>
    </w:p>
    <w:p w14:paraId="4A9631EC" w14:textId="77777777" w:rsidR="009C0BF6" w:rsidRDefault="009C0BF6" w:rsidP="009C0BF6">
      <w:pPr>
        <w:pStyle w:val="BodyText"/>
        <w:spacing w:before="0" w:after="0" w:line="240" w:lineRule="auto"/>
        <w:rPr>
          <w:smallCaps/>
          <w:color w:val="auto"/>
        </w:rPr>
      </w:pPr>
      <w:r w:rsidRPr="00AE5225">
        <w:rPr>
          <w:smallCaps/>
          <w:color w:val="auto"/>
        </w:rPr>
        <w:t xml:space="preserve">Changes in sea level </w:t>
      </w:r>
    </w:p>
    <w:p w14:paraId="7F05FF53" w14:textId="77777777" w:rsidR="009C0BF6" w:rsidRDefault="009C0BF6" w:rsidP="009C0BF6">
      <w:pPr>
        <w:pStyle w:val="BodyText"/>
        <w:spacing w:before="0" w:after="0" w:line="240" w:lineRule="auto"/>
        <w:rPr>
          <w:smallCaps/>
          <w:color w:val="auto"/>
        </w:rPr>
      </w:pPr>
      <w:r>
        <w:rPr>
          <w:smallCaps/>
          <w:color w:val="auto"/>
        </w:rPr>
        <w:t>Storms/Flooding</w:t>
      </w:r>
    </w:p>
    <w:p w14:paraId="24211621" w14:textId="77777777" w:rsidR="009C0BF6" w:rsidRDefault="009C0BF6" w:rsidP="009C0BF6">
      <w:pPr>
        <w:pStyle w:val="BodyText"/>
        <w:spacing w:before="0" w:after="0" w:line="240" w:lineRule="auto"/>
        <w:rPr>
          <w:smallCaps/>
          <w:color w:val="auto"/>
        </w:rPr>
      </w:pPr>
      <w:r>
        <w:rPr>
          <w:smallCaps/>
          <w:color w:val="auto"/>
        </w:rPr>
        <w:t>Drought/Heatwaves</w:t>
      </w:r>
    </w:p>
    <w:p w14:paraId="245AB6F3" w14:textId="061CEFD9" w:rsidR="009C0BF6" w:rsidRDefault="009C0BF6" w:rsidP="009C0BF6">
      <w:pPr>
        <w:pStyle w:val="BodyText"/>
        <w:rPr>
          <w:color w:val="auto"/>
        </w:rPr>
      </w:pPr>
      <w:r>
        <w:rPr>
          <w:color w:val="auto"/>
        </w:rPr>
        <w:t xml:space="preserve">The spatial distribution of mangroves is inherently dynamic, with historical records showing significant fluctuations in expansion and retraction of Australian mangrove forests over time and over large expanses of coastline (10s – 1000s km), with associated waves of mortality and regeneration (Saintilan and Williams </w:t>
      </w:r>
      <w:r w:rsidR="00DC4BFD">
        <w:rPr>
          <w:color w:val="auto"/>
        </w:rPr>
        <w:t>2001</w:t>
      </w:r>
      <w:r>
        <w:rPr>
          <w:color w:val="auto"/>
        </w:rPr>
        <w:t>; Asbridge et al. 2015). Similar, though more localised, changes to tidal marsh distribution have also been reported (Adam 2002). A combination of factors have been implicated in these changes, including fluctuations in sea level, drought and flood events, extreme temperatures, and changes to the rates of sedimentation. Because of the interactions amongst these factors, they are here treated together.</w:t>
      </w:r>
    </w:p>
    <w:p w14:paraId="47293C47" w14:textId="38427487" w:rsidR="009C0BF6" w:rsidRDefault="009C0BF6" w:rsidP="009C0BF6">
      <w:pPr>
        <w:pStyle w:val="BodyText"/>
        <w:rPr>
          <w:color w:val="auto"/>
        </w:rPr>
      </w:pPr>
      <w:r>
        <w:rPr>
          <w:color w:val="auto"/>
        </w:rPr>
        <w:t xml:space="preserve">A reduction in sea level has been heavily implicated in the significant northern Australia mangrove die-back event in 2015-2016 (Duke et al. 2017, Lovelock et al. 2017). A drop in average sea level of approximately 20cm over the period arose from a persistent </w:t>
      </w:r>
      <w:r w:rsidRPr="005F2D38">
        <w:rPr>
          <w:color w:val="auto"/>
        </w:rPr>
        <w:t>El Niño</w:t>
      </w:r>
      <w:r>
        <w:rPr>
          <w:color w:val="auto"/>
        </w:rPr>
        <w:t xml:space="preserve"> </w:t>
      </w:r>
      <w:r w:rsidR="00614590">
        <w:rPr>
          <w:color w:val="auto"/>
        </w:rPr>
        <w:t>event that</w:t>
      </w:r>
      <w:r>
        <w:rPr>
          <w:color w:val="auto"/>
        </w:rPr>
        <w:t xml:space="preserve"> during strong years </w:t>
      </w:r>
      <w:r>
        <w:rPr>
          <w:color w:val="auto"/>
        </w:rPr>
        <w:lastRenderedPageBreak/>
        <w:t xml:space="preserve">commonly leads to sea level declines in </w:t>
      </w:r>
      <w:r w:rsidRPr="005F2D38">
        <w:rPr>
          <w:color w:val="auto"/>
        </w:rPr>
        <w:t xml:space="preserve">the western Pacific (and </w:t>
      </w:r>
      <w:r>
        <w:rPr>
          <w:color w:val="auto"/>
        </w:rPr>
        <w:t xml:space="preserve">increases </w:t>
      </w:r>
      <w:r w:rsidRPr="005F2D38">
        <w:rPr>
          <w:color w:val="auto"/>
        </w:rPr>
        <w:t>in the eastern Pacific)</w:t>
      </w:r>
      <w:r>
        <w:rPr>
          <w:color w:val="auto"/>
        </w:rPr>
        <w:t>. This correlated with the majority of the mortality occurring at the shoreline, with plants that maintained access to groundwater being less affected. Coincident with the event was a period of extreme drought and extreme high temperatures, placing plants further under stress and potentially contributing to mortality.</w:t>
      </w:r>
    </w:p>
    <w:p w14:paraId="13FA4BE2" w14:textId="5CD87A4B" w:rsidR="009C0BF6" w:rsidRDefault="009C0BF6" w:rsidP="009C0BF6">
      <w:pPr>
        <w:pStyle w:val="BodyText"/>
        <w:rPr>
          <w:color w:val="auto"/>
        </w:rPr>
      </w:pPr>
      <w:r>
        <w:rPr>
          <w:color w:val="auto"/>
        </w:rPr>
        <w:t xml:space="preserve">In contrast to </w:t>
      </w:r>
      <w:r w:rsidRPr="005F2D38">
        <w:rPr>
          <w:color w:val="auto"/>
        </w:rPr>
        <w:t>El Niño</w:t>
      </w:r>
      <w:r>
        <w:rPr>
          <w:color w:val="auto"/>
        </w:rPr>
        <w:t>-driven declines in sea level, sea levels are expected to rise on average over the long term. This is consistent with recent history, with increases of 1.5-2.0mm yr</w:t>
      </w:r>
      <w:r w:rsidRPr="005F2D38">
        <w:rPr>
          <w:color w:val="auto"/>
          <w:vertAlign w:val="superscript"/>
        </w:rPr>
        <w:t>-1</w:t>
      </w:r>
      <w:r>
        <w:rPr>
          <w:color w:val="auto"/>
        </w:rPr>
        <w:t xml:space="preserve"> from the </w:t>
      </w:r>
      <w:r w:rsidR="00614590">
        <w:rPr>
          <w:color w:val="auto"/>
        </w:rPr>
        <w:t>mid-1800s</w:t>
      </w:r>
      <w:r>
        <w:rPr>
          <w:color w:val="auto"/>
        </w:rPr>
        <w:t xml:space="preserve"> to 1993, 2.8 to 3.6mm yr</w:t>
      </w:r>
      <w:r w:rsidRPr="005F2D38">
        <w:rPr>
          <w:color w:val="auto"/>
          <w:vertAlign w:val="superscript"/>
        </w:rPr>
        <w:t>-1</w:t>
      </w:r>
      <w:r>
        <w:rPr>
          <w:color w:val="auto"/>
        </w:rPr>
        <w:t xml:space="preserve"> between 1993 and 2010, and approximately 3.1mm yr</w:t>
      </w:r>
      <w:r w:rsidRPr="002D50CF">
        <w:rPr>
          <w:color w:val="auto"/>
          <w:vertAlign w:val="superscript"/>
        </w:rPr>
        <w:t>-1</w:t>
      </w:r>
      <w:r>
        <w:rPr>
          <w:color w:val="auto"/>
        </w:rPr>
        <w:t xml:space="preserve"> since. Projections are for sea levels to continue rising in the future, with Australia projected to experience an increase of approximately 0.12m up to 2030 (</w:t>
      </w:r>
      <w:r w:rsidR="00090CC9">
        <w:rPr>
          <w:color w:val="auto"/>
        </w:rPr>
        <w:fldChar w:fldCharType="begin"/>
      </w:r>
      <w:r w:rsidR="00090CC9">
        <w:rPr>
          <w:color w:val="auto"/>
        </w:rPr>
        <w:instrText xml:space="preserve"> REF _Ref49781891 \h </w:instrText>
      </w:r>
      <w:r w:rsidR="00090CC9">
        <w:rPr>
          <w:color w:val="auto"/>
        </w:rPr>
      </w:r>
      <w:r w:rsidR="00090CC9">
        <w:rPr>
          <w:color w:val="auto"/>
        </w:rPr>
        <w:fldChar w:fldCharType="separate"/>
      </w:r>
      <w:r w:rsidR="00235F13">
        <w:t xml:space="preserve">Figure </w:t>
      </w:r>
      <w:r w:rsidR="00235F13">
        <w:rPr>
          <w:noProof/>
        </w:rPr>
        <w:t>12</w:t>
      </w:r>
      <w:r w:rsidR="00090CC9">
        <w:rPr>
          <w:color w:val="auto"/>
        </w:rPr>
        <w:fldChar w:fldCharType="end"/>
      </w:r>
      <w:r>
        <w:rPr>
          <w:color w:val="auto"/>
        </w:rPr>
        <w:t xml:space="preserve">), and up to approximately 0.45m by 2090. A simplistic scenario is that sea level rise will lead to landward expansion, where the seaward edge becomes inundated and plants die, but recruitment occurs as new land becomes increasingly intertidal, and this has indeed been observed (Asbridge et al. 2015). </w:t>
      </w:r>
      <w:r w:rsidR="00F8183B">
        <w:rPr>
          <w:color w:val="auto"/>
        </w:rPr>
        <w:t>Saint</w:t>
      </w:r>
      <w:r w:rsidR="000E0631">
        <w:rPr>
          <w:color w:val="auto"/>
        </w:rPr>
        <w:t>i</w:t>
      </w:r>
      <w:r w:rsidR="00F8183B">
        <w:rPr>
          <w:color w:val="auto"/>
        </w:rPr>
        <w:t>lan et al. (2020) suggest mangroves would not be able to adapt to rates of sea level rise higher than 7mm yr</w:t>
      </w:r>
      <w:r w:rsidR="00F8183B" w:rsidRPr="009F12A0">
        <w:rPr>
          <w:color w:val="auto"/>
          <w:vertAlign w:val="superscript"/>
        </w:rPr>
        <w:t>-1</w:t>
      </w:r>
      <w:r w:rsidR="00F8183B">
        <w:rPr>
          <w:color w:val="auto"/>
        </w:rPr>
        <w:t xml:space="preserve">. </w:t>
      </w:r>
      <w:r>
        <w:rPr>
          <w:color w:val="auto"/>
        </w:rPr>
        <w:t>However, predicting the overall response across different sites is complex, as the impact will also be mediated by the size and shape of estuaries and associated topography, water circulation patterns, freshwater and groundwater inputs, and climatic conditions (Asbridge et al. 2015). For example, mangroves can maintain position if rates of sediment accumulation increase proportionally to increased sea level rise, and increased precipitation and freshwater runoff can help promote establishment through making conditions more favourable to growth, through an influx of nutrient and through reducing salinity.</w:t>
      </w:r>
    </w:p>
    <w:p w14:paraId="043DD9A6" w14:textId="1100CB77" w:rsidR="009C0BF6" w:rsidRDefault="009C0BF6" w:rsidP="009C0BF6">
      <w:pPr>
        <w:pStyle w:val="BodyText"/>
        <w:rPr>
          <w:color w:val="auto"/>
        </w:rPr>
      </w:pPr>
      <w:r>
        <w:rPr>
          <w:color w:val="auto"/>
        </w:rPr>
        <w:t>As the intensity and</w:t>
      </w:r>
      <w:r w:rsidR="00B17369">
        <w:rPr>
          <w:color w:val="auto"/>
        </w:rPr>
        <w:t>/</w:t>
      </w:r>
      <w:r>
        <w:rPr>
          <w:color w:val="auto"/>
        </w:rPr>
        <w:t>or frequency of rainfall increases, then there can also be negative impacts, due to persistent inundation leading to ‘drowning’, and the burial of pneumatophores (‘air-breathing roots’) by increased rates of sediment deposition (conversely, increased erosion from flooding has also been observed). Studies of mangrove physiology have suggested long-term inundation by flooding will lead to reduced assimilation, and thus productivity; such impacts would also be expected in tidal marsh communities. Associated with more intense and frequent rainfall is the potential for increased cyclone and storm activity, which can lead to mortality through windthrow, losses in productivity due to leaf loss, and losses of soil organic carbon from increased current flow and subsequent erosion and sediment redistribution (Asbridge et al. 2015).</w:t>
      </w:r>
    </w:p>
    <w:p w14:paraId="53D35FCA" w14:textId="77777777" w:rsidR="009C0BF6" w:rsidRDefault="009C0BF6" w:rsidP="009C0BF6">
      <w:pPr>
        <w:pStyle w:val="BodyText"/>
        <w:rPr>
          <w:color w:val="auto"/>
        </w:rPr>
      </w:pPr>
      <w:r>
        <w:rPr>
          <w:color w:val="auto"/>
        </w:rPr>
        <w:t>Under drought conditions salinity can increase leading to reductions in growth and limitations to regeneration, and as noted above, when combined with extreme heat events and reduced sea levels mass mortality can occur. As Asbridge et al. (2015) conclude, “</w:t>
      </w:r>
      <w:r w:rsidRPr="005033F7">
        <w:rPr>
          <w:color w:val="auto"/>
        </w:rPr>
        <w:t>If climate change predictions are realised,</w:t>
      </w:r>
      <w:r>
        <w:rPr>
          <w:color w:val="auto"/>
        </w:rPr>
        <w:t xml:space="preserve"> </w:t>
      </w:r>
      <w:r w:rsidRPr="005033F7">
        <w:rPr>
          <w:color w:val="auto"/>
        </w:rPr>
        <w:t>mangroves in some regions could soon be experiencing widespread mortality and losses to productivity due to significant</w:t>
      </w:r>
      <w:r>
        <w:rPr>
          <w:color w:val="auto"/>
        </w:rPr>
        <w:t xml:space="preserve"> </w:t>
      </w:r>
      <w:r w:rsidRPr="005033F7">
        <w:rPr>
          <w:color w:val="auto"/>
        </w:rPr>
        <w:t>reductions in photosynthesis and metabolism.</w:t>
      </w:r>
      <w:r>
        <w:rPr>
          <w:color w:val="auto"/>
        </w:rPr>
        <w:t>” The same conclusion could undoubtedly be made for tidal marshes.</w:t>
      </w:r>
    </w:p>
    <w:p w14:paraId="6F0EA1D8" w14:textId="77777777" w:rsidR="009C0BF6" w:rsidRPr="007700CE" w:rsidRDefault="009C0BF6" w:rsidP="009C0BF6">
      <w:pPr>
        <w:pStyle w:val="BodyText"/>
        <w:rPr>
          <w:color w:val="auto"/>
        </w:rPr>
      </w:pPr>
      <w:r>
        <w:rPr>
          <w:color w:val="auto"/>
        </w:rPr>
        <w:t xml:space="preserve">The key drivers included in the above discussion are all features of the current climate, and all are expected to intensify under climate change. The projected changes in extreme temperatures were summarised in the previous section, and extreme drought frequency and extreme drought duration are both projected to increase across the regions supporting blue carbon ecosystems (Appendix B, Figure B1(t,u)). By 2050, extreme drought frequency is projected to increase by 0.4 – 1.5 days per 20 years, and extreme drought duration to increase by 1 to 11 months. Although tropical cyclones are projected to become less frequent across the Monsoonal North, Wet Tropics </w:t>
      </w:r>
      <w:r>
        <w:rPr>
          <w:color w:val="auto"/>
        </w:rPr>
        <w:lastRenderedPageBreak/>
        <w:t>and East Coast sub-clusters, the proportion of the most intense storms is projected to increase (</w:t>
      </w:r>
      <w:r>
        <w:rPr>
          <w:i/>
          <w:iCs/>
          <w:color w:val="auto"/>
        </w:rPr>
        <w:t>medium confidence</w:t>
      </w:r>
      <w:r>
        <w:rPr>
          <w:color w:val="auto"/>
        </w:rPr>
        <w:t>). Across all regions the expectation is for 13-75% increase in the number of intense rainfall days.</w:t>
      </w:r>
    </w:p>
    <w:p w14:paraId="1F63D707" w14:textId="2973B27D" w:rsidR="009C0BF6" w:rsidRDefault="009C0BF6" w:rsidP="009C0BF6">
      <w:pPr>
        <w:pStyle w:val="BodyText"/>
        <w:rPr>
          <w:color w:val="auto"/>
        </w:rPr>
      </w:pPr>
      <w:r>
        <w:rPr>
          <w:color w:val="auto"/>
        </w:rPr>
        <w:t xml:space="preserve">Mangroves and tidal marshes exist in high-energy environments, under conditions that are challenging for plant growth, and where plant growth is the primary mechanism by which these ecosystems are able to sequester high amounts of organic matter in the substrate (through increased biomass, sediment capture, and inputs from plant turnover). It is therefore understandable that these ecosystems are subject to several disturbance impacts than can, and do, lead to significant impacts on carbon storage. </w:t>
      </w:r>
      <w:r w:rsidR="00CF10F5">
        <w:rPr>
          <w:color w:val="auto"/>
        </w:rPr>
        <w:t xml:space="preserve">Lovelock et al (2017) in their </w:t>
      </w:r>
      <w:r w:rsidR="00774668">
        <w:rPr>
          <w:color w:val="auto"/>
        </w:rPr>
        <w:t xml:space="preserve">in their conceptual model of blue carbon </w:t>
      </w:r>
      <w:r w:rsidR="005816E6">
        <w:rPr>
          <w:color w:val="auto"/>
        </w:rPr>
        <w:t xml:space="preserve">risk </w:t>
      </w:r>
      <w:r w:rsidR="00774668">
        <w:rPr>
          <w:color w:val="auto"/>
        </w:rPr>
        <w:t xml:space="preserve">dynamics </w:t>
      </w:r>
      <w:r w:rsidR="00CF10F5">
        <w:rPr>
          <w:color w:val="auto"/>
        </w:rPr>
        <w:t xml:space="preserve">specifically include </w:t>
      </w:r>
      <w:r w:rsidR="00D135D7">
        <w:rPr>
          <w:color w:val="auto"/>
        </w:rPr>
        <w:t xml:space="preserve">erosion and </w:t>
      </w:r>
      <w:r w:rsidR="00367B1E">
        <w:rPr>
          <w:color w:val="auto"/>
        </w:rPr>
        <w:t xml:space="preserve">changes to sedimentation rates </w:t>
      </w:r>
      <w:r w:rsidR="00CA0653">
        <w:rPr>
          <w:color w:val="auto"/>
        </w:rPr>
        <w:t xml:space="preserve">as an important </w:t>
      </w:r>
      <w:r w:rsidR="00A42A58">
        <w:rPr>
          <w:color w:val="auto"/>
        </w:rPr>
        <w:t xml:space="preserve">risk </w:t>
      </w:r>
      <w:r w:rsidR="005816E6">
        <w:rPr>
          <w:color w:val="auto"/>
        </w:rPr>
        <w:t xml:space="preserve">factor for </w:t>
      </w:r>
      <w:r w:rsidR="00CA0653">
        <w:rPr>
          <w:color w:val="auto"/>
        </w:rPr>
        <w:t>carbon loss</w:t>
      </w:r>
      <w:r w:rsidR="00A42A58">
        <w:rPr>
          <w:color w:val="auto"/>
        </w:rPr>
        <w:t>, and in</w:t>
      </w:r>
      <w:r w:rsidR="00D10D6B">
        <w:rPr>
          <w:color w:val="auto"/>
        </w:rPr>
        <w:t xml:space="preserve"> the Australian context </w:t>
      </w:r>
      <w:r w:rsidR="004140FC">
        <w:rPr>
          <w:color w:val="auto"/>
        </w:rPr>
        <w:t>Kelleway et al</w:t>
      </w:r>
      <w:r w:rsidR="00EA3EB3">
        <w:rPr>
          <w:color w:val="auto"/>
        </w:rPr>
        <w:t>.</w:t>
      </w:r>
      <w:r w:rsidR="004140FC">
        <w:rPr>
          <w:color w:val="auto"/>
        </w:rPr>
        <w:t xml:space="preserve"> (2017) </w:t>
      </w:r>
      <w:r w:rsidR="00BF3AE4">
        <w:rPr>
          <w:color w:val="auto"/>
        </w:rPr>
        <w:t xml:space="preserve">discuss sedimentation </w:t>
      </w:r>
      <w:r w:rsidR="001663A5">
        <w:rPr>
          <w:color w:val="auto"/>
        </w:rPr>
        <w:t xml:space="preserve">rates </w:t>
      </w:r>
      <w:r w:rsidR="00EA3EB3">
        <w:rPr>
          <w:color w:val="auto"/>
        </w:rPr>
        <w:t xml:space="preserve">as a </w:t>
      </w:r>
      <w:r w:rsidR="00BF3AE4">
        <w:rPr>
          <w:color w:val="auto"/>
        </w:rPr>
        <w:t xml:space="preserve">mechanism for both </w:t>
      </w:r>
      <w:r w:rsidR="00A42A58">
        <w:rPr>
          <w:color w:val="auto"/>
        </w:rPr>
        <w:t xml:space="preserve">the </w:t>
      </w:r>
      <w:r w:rsidR="00BF3AE4">
        <w:rPr>
          <w:color w:val="auto"/>
        </w:rPr>
        <w:t xml:space="preserve">sequestration and loss of </w:t>
      </w:r>
      <w:r w:rsidR="001663A5">
        <w:rPr>
          <w:color w:val="auto"/>
        </w:rPr>
        <w:t>blue carbon.</w:t>
      </w:r>
      <w:r w:rsidR="00101685">
        <w:rPr>
          <w:color w:val="auto"/>
        </w:rPr>
        <w:t xml:space="preserve"> </w:t>
      </w:r>
      <w:r>
        <w:rPr>
          <w:color w:val="auto"/>
        </w:rPr>
        <w:t xml:space="preserve">On face value it would appear the risk consequences for carbon, </w:t>
      </w:r>
      <w:r w:rsidR="000A4E87">
        <w:rPr>
          <w:color w:val="auto"/>
        </w:rPr>
        <w:t>arising from either reduced rates of accumulation or losses</w:t>
      </w:r>
      <w:r>
        <w:rPr>
          <w:color w:val="auto"/>
        </w:rPr>
        <w:t xml:space="preserve">, would therefore </w:t>
      </w:r>
      <w:r w:rsidR="00F8183B">
        <w:rPr>
          <w:color w:val="auto"/>
        </w:rPr>
        <w:t xml:space="preserve">be </w:t>
      </w:r>
      <w:r>
        <w:rPr>
          <w:color w:val="auto"/>
        </w:rPr>
        <w:t xml:space="preserve">high. However, much of the evidence for climatic impacts reviewed above comes from blue carbon ecosystems in environments that are have not been heavily impacted by anthropogenic activity. The basis of the proposed methodology is the restoration of tidal flows following previous management, through modification of existing infrastructure, such as levees or other barriers. It is therefore likely such areas will be at least partially protected from the worse impacts of storm surges and other direct mechanical disturbance. The major risks are therefore likely to come from combinations of changing drought, flooding, and changes in sea level. Because these factors can cause both accretion and loss of carbon, the magnitude and direction of change in carbon storage is uncertain. Given this uncertainty the combined risk rating is therefore deemed to be medium, arising a likelihood that such change will eventuate (‘Likely’), and that the worst impacts are likely to be moderated by existing site infrastructure, with a ‘Medium’ consequence. Overall, however, the confidence is </w:t>
      </w:r>
      <w:r w:rsidRPr="006D5D2C">
        <w:rPr>
          <w:i/>
          <w:color w:val="auto"/>
        </w:rPr>
        <w:t>low</w:t>
      </w:r>
      <w:r>
        <w:rPr>
          <w:color w:val="auto"/>
        </w:rPr>
        <w:t>, given the uncertainty surrounding precisely where, and under what conditions, particulars site might either benefit or suffer growth declines or direct losses to stored carbon.</w:t>
      </w:r>
    </w:p>
    <w:p w14:paraId="374DE348" w14:textId="5C116399" w:rsidR="009C0BF6" w:rsidRDefault="004354E2" w:rsidP="009C0BF6">
      <w:pPr>
        <w:pStyle w:val="BodyText"/>
        <w:rPr>
          <w:color w:val="auto"/>
        </w:rPr>
      </w:pPr>
      <w:bookmarkStart w:id="160" w:name="_Hlk48112595"/>
      <w:r>
        <w:rPr>
          <w:noProof/>
        </w:rPr>
        <w:lastRenderedPageBreak/>
        <w:drawing>
          <wp:anchor distT="0" distB="0" distL="114300" distR="114300" simplePos="0" relativeHeight="251658267" behindDoc="0" locked="0" layoutInCell="1" allowOverlap="1" wp14:anchorId="7A42E5C5" wp14:editId="150A44FB">
            <wp:simplePos x="0" y="0"/>
            <wp:positionH relativeFrom="column">
              <wp:posOffset>2035835</wp:posOffset>
            </wp:positionH>
            <wp:positionV relativeFrom="page">
              <wp:posOffset>3701593</wp:posOffset>
            </wp:positionV>
            <wp:extent cx="518160" cy="643255"/>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18160" cy="643255"/>
                    </a:xfrm>
                    <a:prstGeom prst="rect">
                      <a:avLst/>
                    </a:prstGeom>
                  </pic:spPr>
                </pic:pic>
              </a:graphicData>
            </a:graphic>
            <wp14:sizeRelH relativeFrom="page">
              <wp14:pctWidth>0</wp14:pctWidth>
            </wp14:sizeRelH>
            <wp14:sizeRelV relativeFrom="page">
              <wp14:pctHeight>0</wp14:pctHeight>
            </wp14:sizeRelV>
          </wp:anchor>
        </w:drawing>
      </w:r>
      <w:r w:rsidR="009C0BF6">
        <w:rPr>
          <w:noProof/>
        </w:rPr>
        <w:drawing>
          <wp:inline distT="0" distB="0" distL="0" distR="0" wp14:anchorId="05B5181C" wp14:editId="6954EA76">
            <wp:extent cx="5593278" cy="3831958"/>
            <wp:effectExtent l="0" t="0" r="7620" b="0"/>
            <wp:docPr id="1068683830" name="Picture 106868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00124" cy="3836648"/>
                    </a:xfrm>
                    <a:prstGeom prst="rect">
                      <a:avLst/>
                    </a:prstGeom>
                  </pic:spPr>
                </pic:pic>
              </a:graphicData>
            </a:graphic>
          </wp:inline>
        </w:drawing>
      </w:r>
      <w:r w:rsidR="009C0BF6" w:rsidRPr="00BA487B">
        <w:rPr>
          <w:noProof/>
        </w:rPr>
        <w:t xml:space="preserve"> </w:t>
      </w:r>
    </w:p>
    <w:bookmarkEnd w:id="160"/>
    <w:p w14:paraId="16C13134" w14:textId="44E9E560" w:rsidR="009C0BF6" w:rsidRPr="006D5D2C" w:rsidRDefault="009C0BF6" w:rsidP="009C0BF6">
      <w:pPr>
        <w:pStyle w:val="BodyText"/>
        <w:rPr>
          <w:i/>
          <w:color w:val="auto"/>
        </w:rPr>
      </w:pPr>
    </w:p>
    <w:p w14:paraId="0C895E67" w14:textId="512BBF99" w:rsidR="009C0BF6" w:rsidRDefault="009C0BF6" w:rsidP="009C0BF6">
      <w:pPr>
        <w:pStyle w:val="Caption"/>
        <w:rPr>
          <w:b w:val="0"/>
          <w:bCs w:val="0"/>
        </w:rPr>
      </w:pPr>
      <w:bookmarkStart w:id="161" w:name="_Ref49781891"/>
      <w:bookmarkStart w:id="162" w:name="_Toc52968242"/>
      <w:r>
        <w:t xml:space="preserve">Figure </w:t>
      </w:r>
      <w:r>
        <w:fldChar w:fldCharType="begin"/>
      </w:r>
      <w:r>
        <w:instrText>SEQ Figure \* ARABIC</w:instrText>
      </w:r>
      <w:r>
        <w:fldChar w:fldCharType="separate"/>
      </w:r>
      <w:r w:rsidR="00235F13">
        <w:rPr>
          <w:noProof/>
        </w:rPr>
        <w:t>12</w:t>
      </w:r>
      <w:r>
        <w:fldChar w:fldCharType="end"/>
      </w:r>
      <w:bookmarkEnd w:id="161"/>
      <w:r>
        <w:t xml:space="preserve">. </w:t>
      </w:r>
      <w:r>
        <w:rPr>
          <w:b w:val="0"/>
          <w:bCs w:val="0"/>
        </w:rPr>
        <w:t>Projected 2030 sea level rise (m). Trend</w:t>
      </w:r>
      <w:r w:rsidR="002C2B15">
        <w:rPr>
          <w:b w:val="0"/>
          <w:bCs w:val="0"/>
        </w:rPr>
        <w:t>s</w:t>
      </w:r>
      <w:r>
        <w:rPr>
          <w:b w:val="0"/>
          <w:bCs w:val="0"/>
        </w:rPr>
        <w:t xml:space="preserve"> for 2090 are similar, with a range 0.44 – 0.48m.</w:t>
      </w:r>
      <w:bookmarkEnd w:id="162"/>
    </w:p>
    <w:p w14:paraId="50133C9E" w14:textId="6EB0DE9C" w:rsidR="00ED4BD0" w:rsidRDefault="00ED4BD0" w:rsidP="009C0BF6">
      <w:pPr>
        <w:pStyle w:val="BodyText"/>
        <w:rPr>
          <w:i/>
          <w:iCs/>
          <w:color w:val="auto"/>
        </w:rPr>
      </w:pPr>
    </w:p>
    <w:p w14:paraId="42150172" w14:textId="77777777" w:rsidR="009C0BF6" w:rsidRPr="000C7F34" w:rsidRDefault="009C0BF6" w:rsidP="009C0BF6">
      <w:pPr>
        <w:pStyle w:val="BodyText"/>
        <w:rPr>
          <w:i/>
          <w:iCs/>
          <w:color w:val="auto"/>
        </w:rPr>
      </w:pPr>
      <w:r w:rsidRPr="000C7F34">
        <w:rPr>
          <w:i/>
          <w:iCs/>
          <w:color w:val="auto"/>
        </w:rPr>
        <w:t>Fire</w:t>
      </w:r>
    </w:p>
    <w:p w14:paraId="3AE54669" w14:textId="11577951" w:rsidR="009C0BF6" w:rsidRDefault="009C0BF6" w:rsidP="009C0BF6">
      <w:pPr>
        <w:pStyle w:val="BodyText"/>
        <w:rPr>
          <w:color w:val="auto"/>
        </w:rPr>
      </w:pPr>
      <w:r>
        <w:rPr>
          <w:color w:val="auto"/>
        </w:rPr>
        <w:t>Fire has been used in the control of invasive grasses in tidal marshes, and some Queensland tidal marshes have been historically burnt to encourage ‘green pick’ regrowth for grazing (</w:t>
      </w:r>
      <w:r w:rsidRPr="00F148AA">
        <w:rPr>
          <w:color w:val="auto"/>
          <w:szCs w:val="24"/>
          <w:shd w:val="clear" w:color="auto" w:fill="FFFFFF"/>
        </w:rPr>
        <w:t>Adam 2002</w:t>
      </w:r>
      <w:r>
        <w:rPr>
          <w:color w:val="auto"/>
        </w:rPr>
        <w:t>). However, in general, the risk to loss of carbon sequestration due to fire is considered negligible.</w:t>
      </w:r>
    </w:p>
    <w:p w14:paraId="08CAF560" w14:textId="77777777" w:rsidR="009C0BF6" w:rsidRPr="00B2218A" w:rsidRDefault="009C0BF6" w:rsidP="009C0BF6">
      <w:pPr>
        <w:pStyle w:val="BodyText"/>
        <w:rPr>
          <w:i/>
          <w:iCs/>
          <w:color w:val="auto"/>
        </w:rPr>
      </w:pPr>
      <w:r w:rsidRPr="00B2218A">
        <w:rPr>
          <w:i/>
          <w:iCs/>
          <w:color w:val="auto"/>
        </w:rPr>
        <w:t>Other carbon pools</w:t>
      </w:r>
    </w:p>
    <w:p w14:paraId="6D34256F" w14:textId="77777777" w:rsidR="009C0BF6" w:rsidRPr="00B2218A" w:rsidRDefault="009C0BF6" w:rsidP="009C0BF6">
      <w:pPr>
        <w:pStyle w:val="BodyText"/>
        <w:rPr>
          <w:color w:val="auto"/>
        </w:rPr>
      </w:pPr>
      <w:r>
        <w:rPr>
          <w:color w:val="auto"/>
        </w:rPr>
        <w:t>Ecosystem-level carbon accounting under the proposed methodology is comprehensive. For mangrove systems the proposal is to include above-and below-ground living and dead biomass carbon, as well as soil organic carbon. For tidal marsh ecosystems the proposal is the same, although with the reporting of biomass carbon optional, given it forms only a small proportion of the total ecosystem carbon (Commonwealth of Australia 2019).</w:t>
      </w:r>
    </w:p>
    <w:p w14:paraId="048D110F" w14:textId="77777777" w:rsidR="009C0BF6" w:rsidRPr="0069658F" w:rsidRDefault="009C0BF6" w:rsidP="009C0BF6">
      <w:pPr>
        <w:pStyle w:val="Heading4"/>
        <w:keepNext w:val="0"/>
        <w:keepLines w:val="0"/>
        <w:widowControl w:val="0"/>
        <w:rPr>
          <w:color w:val="008CAC" w:themeColor="accent2" w:themeTint="BF"/>
        </w:rPr>
      </w:pPr>
      <w:r w:rsidRPr="0069658F">
        <w:rPr>
          <w:color w:val="008CAC" w:themeColor="accent2" w:themeTint="BF"/>
        </w:rPr>
        <w:t>Summary</w:t>
      </w:r>
    </w:p>
    <w:p w14:paraId="002B9255" w14:textId="42C19ADC" w:rsidR="009C0BF6" w:rsidRDefault="009C0BF6" w:rsidP="009C0BF6">
      <w:pPr>
        <w:pStyle w:val="BodyText"/>
        <w:rPr>
          <w:color w:val="auto"/>
        </w:rPr>
      </w:pPr>
      <w:r>
        <w:rPr>
          <w:color w:val="auto"/>
        </w:rPr>
        <w:t xml:space="preserve">There are risks to both </w:t>
      </w:r>
      <w:r w:rsidR="000A4E87">
        <w:rPr>
          <w:color w:val="auto"/>
        </w:rPr>
        <w:t>accumulation</w:t>
      </w:r>
      <w:r>
        <w:rPr>
          <w:color w:val="auto"/>
        </w:rPr>
        <w:t xml:space="preserve"> and </w:t>
      </w:r>
      <w:r w:rsidR="000A4E87" w:rsidRPr="000A4E87">
        <w:rPr>
          <w:color w:val="auto"/>
        </w:rPr>
        <w:t>maintenance</w:t>
      </w:r>
      <w:r>
        <w:rPr>
          <w:color w:val="auto"/>
        </w:rPr>
        <w:t xml:space="preserve"> </w:t>
      </w:r>
      <w:r w:rsidR="000A4E87">
        <w:rPr>
          <w:color w:val="auto"/>
        </w:rPr>
        <w:t>for</w:t>
      </w:r>
      <w:r>
        <w:rPr>
          <w:color w:val="auto"/>
        </w:rPr>
        <w:t xml:space="preserve"> sequestration activities in Blue carbon ecosystems, however the primary drivers are connected and interacting, involving changes to sea levels (both short-term declines and long-term increases), drought, flooding and storm impacts, extreme temperatures, and impacts to rates of sedimentation and erosion. Because these factors can cause either accretion or loss of carbon, the magnitude and direction of change in carbon storage is uncertain, and hence identifying where and under what conditions particular sites might be at risk requires further detailed analysis. Despite this uncertainty, Blue Carbon ecosystems have historically shown dynamism in patterns of regrowth and mortality, and such changes are </w:t>
      </w:r>
      <w:r>
        <w:rPr>
          <w:color w:val="auto"/>
        </w:rPr>
        <w:lastRenderedPageBreak/>
        <w:t>expected to continue into the future. An important question is how much protection projects might be afforded by existing infrastructure, such as levees and embankments, and how modifications to these structures to promote increased tidal flows can be undertaken in such a way as to not leave the regenerating systems vulnerable to some of the identified risk factors, particularly tidal surges and storm damage</w:t>
      </w:r>
      <w:r w:rsidR="00BF2234">
        <w:rPr>
          <w:color w:val="auto"/>
        </w:rPr>
        <w:t xml:space="preserve">. </w:t>
      </w:r>
    </w:p>
    <w:p w14:paraId="3D9F3742" w14:textId="243A97DC" w:rsidR="00F12632" w:rsidRDefault="00F12632">
      <w:pPr>
        <w:rPr>
          <w:rFonts w:ascii="Calibri" w:eastAsia="Calibri" w:hAnsi="Calibri"/>
          <w:szCs w:val="22"/>
        </w:rPr>
      </w:pPr>
    </w:p>
    <w:p w14:paraId="22996E25" w14:textId="074D6988" w:rsidR="009C0BF6" w:rsidRPr="00351B86" w:rsidRDefault="009C0BF6" w:rsidP="009C0BF6">
      <w:pPr>
        <w:pStyle w:val="Caption"/>
        <w:rPr>
          <w:b w:val="0"/>
          <w:szCs w:val="20"/>
        </w:rPr>
      </w:pPr>
      <w:bookmarkStart w:id="163" w:name="_Toc52971070"/>
      <w:r>
        <w:t xml:space="preserve">Table </w:t>
      </w:r>
      <w:r>
        <w:fldChar w:fldCharType="begin"/>
      </w:r>
      <w:r>
        <w:instrText>SEQ Table \* ARABIC</w:instrText>
      </w:r>
      <w:r>
        <w:fldChar w:fldCharType="separate"/>
      </w:r>
      <w:r w:rsidR="00235F13">
        <w:rPr>
          <w:noProof/>
        </w:rPr>
        <w:t>15</w:t>
      </w:r>
      <w:r>
        <w:fldChar w:fldCharType="end"/>
      </w:r>
      <w:r>
        <w:t xml:space="preserve">. </w:t>
      </w:r>
      <w:r w:rsidRPr="00FC0E0D">
        <w:rPr>
          <w:b w:val="0"/>
          <w:bCs w:val="0"/>
        </w:rPr>
        <w:t xml:space="preserve">Risk assessment for </w:t>
      </w:r>
      <w:r>
        <w:rPr>
          <w:b w:val="0"/>
          <w:bCs w:val="0"/>
        </w:rPr>
        <w:t xml:space="preserve">the proposed </w:t>
      </w:r>
      <w:r w:rsidRPr="000205EB">
        <w:rPr>
          <w:b w:val="0"/>
          <w:bCs w:val="0"/>
        </w:rPr>
        <w:t>Management of Intertidal Ecosystems (Blue Carbon)</w:t>
      </w:r>
      <w:r>
        <w:rPr>
          <w:b w:val="0"/>
          <w:bCs w:val="0"/>
        </w:rPr>
        <w:t xml:space="preserve"> activities</w:t>
      </w:r>
      <w:r w:rsidR="00BF2234">
        <w:rPr>
          <w:b w:val="0"/>
          <w:szCs w:val="20"/>
        </w:rPr>
        <w:t>.</w:t>
      </w:r>
      <w:bookmarkEnd w:id="163"/>
      <w:r w:rsidR="00BF2234">
        <w:rPr>
          <w:b w:val="0"/>
          <w:szCs w:val="20"/>
        </w:rPr>
        <w:t xml:space="preserve"> </w:t>
      </w:r>
    </w:p>
    <w:tbl>
      <w:tblPr>
        <w:tblStyle w:val="TableCSIRO"/>
        <w:tblW w:w="10060" w:type="dxa"/>
        <w:tblInd w:w="-14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6"/>
        <w:gridCol w:w="4247"/>
        <w:gridCol w:w="1234"/>
        <w:gridCol w:w="190"/>
        <w:gridCol w:w="981"/>
        <w:gridCol w:w="1134"/>
        <w:gridCol w:w="1134"/>
        <w:gridCol w:w="347"/>
        <w:gridCol w:w="347"/>
        <w:gridCol w:w="440"/>
      </w:tblGrid>
      <w:tr w:rsidR="00ED3285" w:rsidRPr="004F363E" w14:paraId="25166B8A" w14:textId="77777777" w:rsidTr="004354E2">
        <w:trPr>
          <w:cnfStyle w:val="100000000000" w:firstRow="1" w:lastRow="0" w:firstColumn="0" w:lastColumn="0" w:oddVBand="0" w:evenVBand="0" w:oddHBand="0" w:evenHBand="0" w:firstRowFirstColumn="0" w:firstRowLastColumn="0" w:lastRowFirstColumn="0" w:lastRowLastColumn="0"/>
          <w:cantSplit/>
          <w:trHeight w:val="1260"/>
        </w:trPr>
        <w:tc>
          <w:tcPr>
            <w:cnfStyle w:val="001000000000" w:firstRow="0" w:lastRow="0" w:firstColumn="1" w:lastColumn="0" w:oddVBand="0" w:evenVBand="0" w:oddHBand="0" w:evenHBand="0" w:firstRowFirstColumn="0" w:firstRowLastColumn="0" w:lastRowFirstColumn="0" w:lastRowLastColumn="0"/>
            <w:tcW w:w="4253" w:type="dxa"/>
            <w:gridSpan w:val="2"/>
            <w:shd w:val="clear" w:color="auto" w:fill="FFFFFF" w:themeFill="background1"/>
            <w:tcMar>
              <w:top w:w="28" w:type="dxa"/>
              <w:left w:w="28" w:type="dxa"/>
              <w:bottom w:w="28" w:type="dxa"/>
              <w:right w:w="28" w:type="dxa"/>
            </w:tcMar>
            <w:vAlign w:val="center"/>
          </w:tcPr>
          <w:p w14:paraId="3E1DB1A4" w14:textId="77777777" w:rsidR="00ED3285" w:rsidRPr="00867ED7" w:rsidRDefault="00ED3285" w:rsidP="004354E2">
            <w:pPr>
              <w:jc w:val="center"/>
              <w:rPr>
                <w:rFonts w:asciiTheme="minorHAnsi" w:hAnsiTheme="minorHAnsi" w:cstheme="minorHAnsi"/>
                <w:color w:val="000000" w:themeColor="text1"/>
                <w:sz w:val="18"/>
                <w:szCs w:val="18"/>
              </w:rPr>
            </w:pPr>
          </w:p>
        </w:tc>
        <w:tc>
          <w:tcPr>
            <w:tcW w:w="1234" w:type="dxa"/>
            <w:shd w:val="clear" w:color="auto" w:fill="FFFFFF" w:themeFill="background1"/>
          </w:tcPr>
          <w:p w14:paraId="1434B9D2" w14:textId="77777777" w:rsidR="00ED3285" w:rsidRDefault="00ED3285"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90" w:type="dxa"/>
            <w:shd w:val="clear" w:color="auto" w:fill="FFFFFF" w:themeFill="background1"/>
          </w:tcPr>
          <w:p w14:paraId="45C96D94" w14:textId="77777777" w:rsidR="00ED3285" w:rsidRDefault="00ED3285"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shd w:val="clear" w:color="auto" w:fill="FFFFFF" w:themeFill="background1"/>
            <w:tcMar>
              <w:top w:w="28" w:type="dxa"/>
              <w:left w:w="28" w:type="dxa"/>
              <w:bottom w:w="28" w:type="dxa"/>
              <w:right w:w="28" w:type="dxa"/>
            </w:tcMar>
            <w:vAlign w:val="center"/>
          </w:tcPr>
          <w:p w14:paraId="5B7D9AC2" w14:textId="77777777" w:rsidR="00ED3285" w:rsidRDefault="00ED3285"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34" w:type="dxa"/>
            <w:shd w:val="clear" w:color="auto" w:fill="FFFFFF" w:themeFill="background1"/>
            <w:tcMar>
              <w:top w:w="28" w:type="dxa"/>
              <w:left w:w="28" w:type="dxa"/>
              <w:bottom w:w="28" w:type="dxa"/>
              <w:right w:w="28" w:type="dxa"/>
            </w:tcMar>
            <w:vAlign w:val="center"/>
          </w:tcPr>
          <w:p w14:paraId="7CA6F611" w14:textId="77777777" w:rsidR="00ED3285" w:rsidRDefault="00ED3285"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34" w:type="dxa"/>
            <w:shd w:val="clear" w:color="auto" w:fill="FFFFFF" w:themeFill="background1"/>
            <w:vAlign w:val="center"/>
          </w:tcPr>
          <w:p w14:paraId="2C3AD21A" w14:textId="77777777" w:rsidR="00ED3285" w:rsidRDefault="00ED3285"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vMerge w:val="restart"/>
            <w:shd w:val="clear" w:color="auto" w:fill="FFFFFF" w:themeFill="background1"/>
            <w:textDirection w:val="btLr"/>
          </w:tcPr>
          <w:p w14:paraId="679B06E2" w14:textId="77777777" w:rsidR="00ED3285" w:rsidRDefault="00ED3285"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Portfolio-level risks?</w:t>
            </w:r>
          </w:p>
        </w:tc>
        <w:tc>
          <w:tcPr>
            <w:tcW w:w="347" w:type="dxa"/>
            <w:vMerge w:val="restart"/>
            <w:shd w:val="clear" w:color="auto" w:fill="FFFFFF" w:themeFill="background1"/>
            <w:textDirection w:val="btLr"/>
          </w:tcPr>
          <w:p w14:paraId="41640B54" w14:textId="77777777" w:rsidR="00ED3285" w:rsidRDefault="00ED3285"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accumulation</w:t>
            </w:r>
          </w:p>
        </w:tc>
        <w:tc>
          <w:tcPr>
            <w:tcW w:w="440" w:type="dxa"/>
            <w:vMerge w:val="restart"/>
            <w:shd w:val="clear" w:color="auto" w:fill="FFFFFF" w:themeFill="background1"/>
            <w:textDirection w:val="btLr"/>
          </w:tcPr>
          <w:p w14:paraId="36137FB1" w14:textId="77777777" w:rsidR="00ED3285" w:rsidRDefault="00ED3285"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maintenance</w:t>
            </w:r>
          </w:p>
        </w:tc>
      </w:tr>
      <w:tr w:rsidR="00ED3285" w:rsidRPr="002A6E7B" w14:paraId="4CECCC06" w14:textId="77777777" w:rsidTr="004354E2">
        <w:trPr>
          <w:gridBefore w:val="1"/>
          <w:cnfStyle w:val="000000100000" w:firstRow="0" w:lastRow="0" w:firstColumn="0" w:lastColumn="0" w:oddVBand="0" w:evenVBand="0" w:oddHBand="1" w:evenHBand="0" w:firstRowFirstColumn="0" w:firstRowLastColumn="0" w:lastRowFirstColumn="0" w:lastRowLastColumn="0"/>
          <w:wBefore w:w="6" w:type="dxa"/>
          <w:trHeight w:val="411"/>
        </w:trPr>
        <w:tc>
          <w:tcPr>
            <w:cnfStyle w:val="001000000000" w:firstRow="0" w:lastRow="0" w:firstColumn="1" w:lastColumn="0" w:oddVBand="0" w:evenVBand="0" w:oddHBand="0" w:evenHBand="0" w:firstRowFirstColumn="0" w:firstRowLastColumn="0" w:lastRowFirstColumn="0" w:lastRowLastColumn="0"/>
            <w:tcW w:w="4247" w:type="dxa"/>
            <w:tcBorders>
              <w:top w:val="nil"/>
              <w:bottom w:val="nil"/>
            </w:tcBorders>
            <w:shd w:val="clear" w:color="auto" w:fill="FFFFFF" w:themeFill="background1"/>
            <w:tcMar>
              <w:top w:w="28" w:type="dxa"/>
              <w:left w:w="28" w:type="dxa"/>
              <w:bottom w:w="28" w:type="dxa"/>
              <w:right w:w="28" w:type="dxa"/>
            </w:tcMar>
            <w:vAlign w:val="bottom"/>
          </w:tcPr>
          <w:p w14:paraId="6828567C" w14:textId="792CCEE5" w:rsidR="00ED3285" w:rsidRPr="002A6E7B" w:rsidRDefault="00552096" w:rsidP="004354E2">
            <w:pPr>
              <w:rPr>
                <w:rFonts w:asciiTheme="minorHAnsi" w:hAnsiTheme="minorHAnsi" w:cstheme="minorHAnsi"/>
                <w:color w:val="000000" w:themeColor="text1"/>
                <w:sz w:val="18"/>
                <w:szCs w:val="18"/>
              </w:rPr>
            </w:pPr>
            <w:r w:rsidRPr="00552096">
              <w:rPr>
                <w:rFonts w:asciiTheme="minorHAnsi" w:hAnsiTheme="minorHAnsi" w:cstheme="minorHAnsi"/>
                <w:color w:val="000000" w:themeColor="text1"/>
                <w:sz w:val="18"/>
                <w:szCs w:val="18"/>
              </w:rPr>
              <w:t>Direct impacts via primary climate change variables</w:t>
            </w:r>
          </w:p>
        </w:tc>
        <w:tc>
          <w:tcPr>
            <w:tcW w:w="1234" w:type="dxa"/>
            <w:tcBorders>
              <w:top w:val="nil"/>
              <w:bottom w:val="nil"/>
            </w:tcBorders>
            <w:shd w:val="clear" w:color="auto" w:fill="FFFFFF" w:themeFill="background1"/>
            <w:vAlign w:val="bottom"/>
          </w:tcPr>
          <w:p w14:paraId="6E8ACC94"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Science c</w:t>
            </w:r>
            <w:r w:rsidRPr="002A6E7B">
              <w:rPr>
                <w:rFonts w:asciiTheme="minorHAnsi" w:hAnsiTheme="minorHAnsi" w:cstheme="minorHAnsi"/>
                <w:b/>
                <w:bCs/>
                <w:color w:val="000000" w:themeColor="text1"/>
                <w:sz w:val="18"/>
                <w:szCs w:val="18"/>
              </w:rPr>
              <w:t>onfidence</w:t>
            </w:r>
            <w:r>
              <w:rPr>
                <w:rFonts w:asciiTheme="minorHAnsi" w:hAnsiTheme="minorHAnsi" w:cstheme="minorHAnsi"/>
                <w:b/>
                <w:bCs/>
                <w:color w:val="000000" w:themeColor="text1"/>
                <w:sz w:val="18"/>
                <w:szCs w:val="18"/>
              </w:rPr>
              <w:t xml:space="preserve"> in projection</w:t>
            </w:r>
          </w:p>
        </w:tc>
        <w:tc>
          <w:tcPr>
            <w:tcW w:w="190" w:type="dxa"/>
            <w:tcBorders>
              <w:top w:val="nil"/>
              <w:bottom w:val="nil"/>
            </w:tcBorders>
            <w:shd w:val="clear" w:color="auto" w:fill="FFFFFF" w:themeFill="background1"/>
            <w:vAlign w:val="bottom"/>
          </w:tcPr>
          <w:p w14:paraId="5DD73B6E"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981" w:type="dxa"/>
            <w:tcBorders>
              <w:top w:val="nil"/>
              <w:bottom w:val="nil"/>
            </w:tcBorders>
            <w:shd w:val="clear" w:color="auto" w:fill="FFFFFF" w:themeFill="background1"/>
            <w:tcMar>
              <w:top w:w="28" w:type="dxa"/>
              <w:left w:w="28" w:type="dxa"/>
              <w:bottom w:w="28" w:type="dxa"/>
              <w:right w:w="28" w:type="dxa"/>
            </w:tcMar>
            <w:vAlign w:val="bottom"/>
          </w:tcPr>
          <w:p w14:paraId="250FD9EF"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likelihood</w:t>
            </w:r>
          </w:p>
        </w:tc>
        <w:tc>
          <w:tcPr>
            <w:tcW w:w="1134" w:type="dxa"/>
            <w:tcBorders>
              <w:top w:val="nil"/>
              <w:bottom w:val="nil"/>
            </w:tcBorders>
            <w:shd w:val="clear" w:color="auto" w:fill="FFFFFF" w:themeFill="background1"/>
            <w:tcMar>
              <w:top w:w="28" w:type="dxa"/>
              <w:left w:w="28" w:type="dxa"/>
              <w:bottom w:w="28" w:type="dxa"/>
              <w:right w:w="28" w:type="dxa"/>
            </w:tcMar>
            <w:vAlign w:val="bottom"/>
          </w:tcPr>
          <w:p w14:paraId="6C2859AC"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Consequence</w:t>
            </w:r>
          </w:p>
        </w:tc>
        <w:tc>
          <w:tcPr>
            <w:tcW w:w="1134" w:type="dxa"/>
            <w:tcBorders>
              <w:top w:val="nil"/>
              <w:bottom w:val="nil"/>
            </w:tcBorders>
            <w:shd w:val="clear" w:color="auto" w:fill="FFFFFF" w:themeFill="background1"/>
            <w:vAlign w:val="bottom"/>
          </w:tcPr>
          <w:p w14:paraId="63050FFF"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Risk rating</w:t>
            </w:r>
          </w:p>
        </w:tc>
        <w:tc>
          <w:tcPr>
            <w:tcW w:w="347" w:type="dxa"/>
            <w:vMerge/>
            <w:tcBorders>
              <w:bottom w:val="nil"/>
            </w:tcBorders>
            <w:shd w:val="clear" w:color="auto" w:fill="FFFFFF" w:themeFill="background1"/>
            <w:vAlign w:val="bottom"/>
          </w:tcPr>
          <w:p w14:paraId="544394DC"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vMerge/>
            <w:tcBorders>
              <w:bottom w:val="nil"/>
            </w:tcBorders>
            <w:shd w:val="clear" w:color="auto" w:fill="FFFFFF" w:themeFill="background1"/>
            <w:vAlign w:val="bottom"/>
          </w:tcPr>
          <w:p w14:paraId="3FB292FD"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40" w:type="dxa"/>
            <w:vMerge/>
            <w:tcBorders>
              <w:bottom w:val="nil"/>
            </w:tcBorders>
            <w:shd w:val="clear" w:color="auto" w:fill="FFFFFF" w:themeFill="background1"/>
            <w:vAlign w:val="bottom"/>
          </w:tcPr>
          <w:p w14:paraId="40BDD04C"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7FD8BD4A" w14:textId="77777777" w:rsidTr="004354E2">
        <w:trPr>
          <w:gridBefore w:val="1"/>
          <w:wBefore w:w="6" w:type="dxa"/>
          <w:trHeight w:val="417"/>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35BE8E8" w14:textId="77777777" w:rsidR="00ED3285" w:rsidRPr="004F363E" w:rsidRDefault="00ED3285" w:rsidP="004354E2">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Heat-stress limiting plant growth and increasing mortality rates</w:t>
            </w:r>
          </w:p>
        </w:tc>
        <w:tc>
          <w:tcPr>
            <w:tcW w:w="12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802E73E"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526E22FE"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6415292" w14:textId="77777777" w:rsidR="00ED3285" w:rsidRPr="004F363E"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309A53F" w14:textId="77777777" w:rsidR="00ED3285" w:rsidRPr="004F363E"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5415458A" w14:textId="77777777" w:rsidR="00ED3285" w:rsidRPr="004F363E"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F19AF73"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76CB355"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0289494"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23539B16" w14:textId="77777777" w:rsidTr="004354E2">
        <w:trPr>
          <w:gridBefore w:val="1"/>
          <w:cnfStyle w:val="000000100000" w:firstRow="0" w:lastRow="0" w:firstColumn="0" w:lastColumn="0" w:oddVBand="0" w:evenVBand="0" w:oddHBand="1" w:evenHBand="0" w:firstRowFirstColumn="0" w:firstRowLastColumn="0" w:lastRowFirstColumn="0" w:lastRowLastColumn="0"/>
          <w:wBefore w:w="6" w:type="dxa"/>
          <w:trHeight w:val="417"/>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8E2C3AF" w14:textId="77777777" w:rsidR="00ED3285" w:rsidRPr="00FD2EE9" w:rsidRDefault="00ED3285" w:rsidP="004354E2">
            <w:pPr>
              <w:ind w:left="401"/>
              <w:rPr>
                <w:rFonts w:asciiTheme="minorHAnsi" w:hAnsiTheme="minorHAnsi" w:cstheme="minorHAnsi"/>
                <w:b w:val="0"/>
                <w:bCs w:val="0"/>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2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E79D787" w14:textId="77777777" w:rsidR="00ED3285"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vAlign w:val="center"/>
          </w:tcPr>
          <w:p w14:paraId="534E56C5" w14:textId="77777777" w:rsidR="00ED3285"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F639FCD" w14:textId="77777777" w:rsidR="00ED3285"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BF66C51" w14:textId="77777777" w:rsidR="00ED3285"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27A6282F" w14:textId="77777777" w:rsidR="00ED3285"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C6054DD" w14:textId="77777777" w:rsidR="00ED3285"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6A46832" w14:textId="77777777" w:rsidR="00ED3285"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C3E0BB2" w14:textId="77777777" w:rsidR="00ED3285"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11027964" w14:textId="77777777" w:rsidTr="004354E2">
        <w:trPr>
          <w:gridBefore w:val="1"/>
          <w:wBefore w:w="6" w:type="dxa"/>
          <w:trHeight w:val="417"/>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971525D" w14:textId="77777777" w:rsidR="00ED3285" w:rsidRPr="004F363E" w:rsidRDefault="00ED3285" w:rsidP="004354E2">
            <w:pPr>
              <w:ind w:left="401"/>
              <w:rPr>
                <w:rFonts w:asciiTheme="minorHAnsi" w:hAnsiTheme="minorHAnsi" w:cstheme="minorHAnsi"/>
                <w:b w:val="0"/>
                <w:bCs w:val="0"/>
                <w:color w:val="000000" w:themeColor="text1"/>
                <w:sz w:val="18"/>
                <w:szCs w:val="18"/>
              </w:rPr>
            </w:pPr>
            <w:r w:rsidRPr="00FD2EE9">
              <w:rPr>
                <w:rFonts w:asciiTheme="minorHAnsi" w:hAnsiTheme="minorHAnsi" w:cstheme="minorHAnsi"/>
                <w:b w:val="0"/>
                <w:bCs w:val="0"/>
                <w:sz w:val="18"/>
                <w:szCs w:val="18"/>
              </w:rPr>
              <w:t>Changes to soil respiration and soil microbial processes</w:t>
            </w:r>
          </w:p>
        </w:tc>
        <w:tc>
          <w:tcPr>
            <w:tcW w:w="12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B719C8A"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008F4369"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319CE91"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01645B9"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517DC6A0"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139C662"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07C8AC7"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4E49A5B" w14:textId="77777777" w:rsidR="00ED3285" w:rsidRDefault="00ED3285"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363054D8" w14:textId="77777777" w:rsidTr="00044E8C">
        <w:trPr>
          <w:gridBefore w:val="1"/>
          <w:cnfStyle w:val="000000100000" w:firstRow="0" w:lastRow="0" w:firstColumn="0" w:lastColumn="0" w:oddVBand="0" w:evenVBand="0" w:oddHBand="1" w:evenHBand="0" w:firstRowFirstColumn="0" w:firstRowLastColumn="0" w:lastRowFirstColumn="0" w:lastRowLastColumn="0"/>
          <w:wBefore w:w="6" w:type="dxa"/>
          <w:trHeight w:val="417"/>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41EF270" w14:textId="3EED4363" w:rsidR="00044E8C" w:rsidRPr="00FD2EE9" w:rsidRDefault="00044E8C" w:rsidP="00044E8C">
            <w:pPr>
              <w:ind w:left="401"/>
              <w:rPr>
                <w:rFonts w:asciiTheme="minorHAnsi" w:hAnsiTheme="minorHAnsi" w:cstheme="minorHAnsi"/>
                <w:b w:val="0"/>
                <w:bCs w:val="0"/>
                <w:sz w:val="18"/>
                <w:szCs w:val="18"/>
              </w:rPr>
            </w:pPr>
            <w:r w:rsidRPr="000556A4">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2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247A6AE" w14:textId="2F3F0B27" w:rsidR="00044E8C" w:rsidRDefault="00044E8C" w:rsidP="00044E8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61D21B94" w14:textId="77777777" w:rsidR="00044E8C" w:rsidRDefault="00044E8C" w:rsidP="00044E8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478E9B6" w14:textId="1729DDD1" w:rsidR="00044E8C" w:rsidRDefault="00044E8C" w:rsidP="00044E8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About as likely as not</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DAAC901" w14:textId="3C2F69AD" w:rsidR="00044E8C" w:rsidRDefault="00044E8C" w:rsidP="00044E8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5BEDF5B1" w14:textId="7D9D83D4" w:rsidR="00044E8C" w:rsidRDefault="00044E8C" w:rsidP="00044E8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2F76855" w14:textId="77777777" w:rsidR="00044E8C" w:rsidRDefault="00044E8C" w:rsidP="00044E8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86A6755" w14:textId="61C73C15" w:rsidR="00044E8C" w:rsidRDefault="00044E8C" w:rsidP="00044E8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50B1BA5" w14:textId="0B11D96A" w:rsidR="00044E8C" w:rsidRDefault="00044E8C" w:rsidP="00044E8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77348F12" w14:textId="77777777" w:rsidTr="00044E8C">
        <w:trPr>
          <w:gridBefore w:val="1"/>
          <w:wBefore w:w="6" w:type="dxa"/>
          <w:trHeight w:val="417"/>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DEA39E6" w14:textId="77777777" w:rsidR="004B4BF8" w:rsidRDefault="004B4BF8" w:rsidP="004B4BF8">
            <w:pPr>
              <w:ind w:left="393"/>
              <w:rPr>
                <w:rFonts w:asciiTheme="minorHAnsi" w:hAnsiTheme="minorHAnsi" w:cstheme="minorHAnsi"/>
                <w:color w:val="000000" w:themeColor="text1"/>
                <w:sz w:val="18"/>
                <w:szCs w:val="18"/>
                <w:highlight w:val="lightGray"/>
              </w:rPr>
            </w:pPr>
            <w:r w:rsidRPr="000556A4">
              <w:rPr>
                <w:rFonts w:asciiTheme="minorHAnsi" w:hAnsiTheme="minorHAnsi" w:cstheme="minorHAnsi"/>
                <w:b w:val="0"/>
                <w:bCs w:val="0"/>
                <w:color w:val="000000" w:themeColor="text1"/>
                <w:sz w:val="18"/>
                <w:szCs w:val="18"/>
              </w:rPr>
              <w:t>Flood-related soil erosion and deposition</w:t>
            </w:r>
            <w:r w:rsidRPr="000556A4">
              <w:rPr>
                <w:rFonts w:asciiTheme="minorHAnsi" w:hAnsiTheme="minorHAnsi" w:cstheme="minorHAnsi"/>
                <w:b w:val="0"/>
                <w:bCs w:val="0"/>
                <w:color w:val="000000" w:themeColor="text1"/>
                <w:sz w:val="18"/>
                <w:szCs w:val="18"/>
                <w:highlight w:val="lightGray"/>
              </w:rPr>
              <w:t xml:space="preserve"> </w:t>
            </w:r>
          </w:p>
          <w:p w14:paraId="0FE88FDF" w14:textId="77777777" w:rsidR="004B4BF8" w:rsidRPr="000556A4" w:rsidRDefault="004B4BF8" w:rsidP="004B4BF8">
            <w:pPr>
              <w:ind w:left="401"/>
              <w:rPr>
                <w:rFonts w:asciiTheme="minorHAnsi" w:hAnsiTheme="minorHAnsi" w:cstheme="minorHAnsi"/>
                <w:b w:val="0"/>
                <w:bCs w:val="0"/>
                <w:color w:val="000000" w:themeColor="text1"/>
                <w:sz w:val="18"/>
                <w:szCs w:val="18"/>
              </w:rPr>
            </w:pPr>
          </w:p>
        </w:tc>
        <w:tc>
          <w:tcPr>
            <w:tcW w:w="12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7E414C8" w14:textId="2DBC0067" w:rsidR="004B4BF8" w:rsidRDefault="004B4BF8" w:rsidP="004B4B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33FE3465" w14:textId="77777777" w:rsidR="004B4BF8" w:rsidRDefault="004B4BF8" w:rsidP="004B4B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A2CC435" w14:textId="20682CB6" w:rsidR="004B4BF8" w:rsidRDefault="004B4BF8" w:rsidP="004B4B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About as likely as not</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27003F6" w14:textId="57880BEC" w:rsidR="004B4BF8" w:rsidRDefault="004B4BF8" w:rsidP="004B4B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7E54E4FB" w14:textId="125953D8" w:rsidR="004B4BF8" w:rsidRDefault="004B4BF8" w:rsidP="004B4B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9E1719D" w14:textId="77777777" w:rsidR="004B4BF8" w:rsidRDefault="004B4BF8" w:rsidP="004B4B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8D05465" w14:textId="79971824" w:rsidR="004B4BF8" w:rsidRDefault="004B4BF8" w:rsidP="004B4B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B42A804" w14:textId="4D3F2717" w:rsidR="004B4BF8" w:rsidRDefault="004B4BF8" w:rsidP="004B4B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3DAE3DA8" w14:textId="77777777" w:rsidTr="00044E8C">
        <w:trPr>
          <w:gridBefore w:val="1"/>
          <w:cnfStyle w:val="000000100000" w:firstRow="0" w:lastRow="0" w:firstColumn="0" w:lastColumn="0" w:oddVBand="0" w:evenVBand="0" w:oddHBand="1" w:evenHBand="0" w:firstRowFirstColumn="0" w:firstRowLastColumn="0" w:lastRowFirstColumn="0" w:lastRowLastColumn="0"/>
          <w:wBefore w:w="6" w:type="dxa"/>
          <w:trHeight w:val="417"/>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D884F2B" w14:textId="77777777" w:rsidR="002D1EA2" w:rsidRDefault="002D1EA2" w:rsidP="002D1EA2">
            <w:pPr>
              <w:ind w:left="393"/>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 xml:space="preserve">Mechanical damage from wind and storms </w:t>
            </w:r>
          </w:p>
          <w:p w14:paraId="35CA61BE" w14:textId="77777777" w:rsidR="002D1EA2" w:rsidRPr="000556A4" w:rsidRDefault="002D1EA2" w:rsidP="002D1EA2">
            <w:pPr>
              <w:ind w:left="393"/>
              <w:rPr>
                <w:rFonts w:asciiTheme="minorHAnsi" w:hAnsiTheme="minorHAnsi" w:cstheme="minorHAnsi"/>
                <w:b w:val="0"/>
                <w:bCs w:val="0"/>
                <w:color w:val="000000" w:themeColor="text1"/>
                <w:sz w:val="18"/>
                <w:szCs w:val="18"/>
              </w:rPr>
            </w:pPr>
          </w:p>
        </w:tc>
        <w:tc>
          <w:tcPr>
            <w:tcW w:w="12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0149555" w14:textId="015211CC" w:rsidR="002D1EA2" w:rsidRDefault="002D1EA2" w:rsidP="002D1E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20B1B985" w14:textId="77777777" w:rsidR="002D1EA2" w:rsidRDefault="002D1EA2" w:rsidP="002D1E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D26DC69" w14:textId="4481652C" w:rsidR="002D1EA2" w:rsidRDefault="002D1EA2" w:rsidP="002D1E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6E291B8" w14:textId="33132D51" w:rsidR="002D1EA2" w:rsidRDefault="002D1EA2" w:rsidP="002D1E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2CFD1710" w14:textId="15F1AB8A" w:rsidR="002D1EA2" w:rsidRDefault="002D1EA2" w:rsidP="002D1E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46A84C7" w14:textId="77777777" w:rsidR="002D1EA2" w:rsidRDefault="002D1EA2" w:rsidP="002D1E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574701B" w14:textId="57635A2E" w:rsidR="002D1EA2" w:rsidRDefault="002D1EA2" w:rsidP="002D1E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EFD7CEB" w14:textId="0E2A4DC3" w:rsidR="002D1EA2" w:rsidRDefault="002D1EA2" w:rsidP="002D1E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4896B0EA" w14:textId="77777777" w:rsidTr="00044E8C">
        <w:trPr>
          <w:gridBefore w:val="1"/>
          <w:wBefore w:w="6" w:type="dxa"/>
          <w:trHeight w:val="417"/>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147A207" w14:textId="77777777" w:rsidR="00552096" w:rsidRDefault="00552096" w:rsidP="00552096">
            <w:pPr>
              <w:ind w:left="392"/>
              <w:rPr>
                <w:rFonts w:asciiTheme="minorHAnsi" w:hAnsiTheme="minorHAnsi" w:cstheme="minorHAnsi"/>
                <w:color w:val="000000" w:themeColor="text1"/>
                <w:sz w:val="18"/>
                <w:szCs w:val="18"/>
              </w:rPr>
            </w:pPr>
            <w:r w:rsidRPr="004F363E">
              <w:rPr>
                <w:rFonts w:asciiTheme="minorHAnsi" w:hAnsiTheme="minorHAnsi" w:cstheme="minorHAnsi"/>
                <w:b w:val="0"/>
                <w:bCs w:val="0"/>
                <w:color w:val="000000" w:themeColor="text1"/>
                <w:sz w:val="18"/>
                <w:szCs w:val="18"/>
              </w:rPr>
              <w:t>Coastal storm surges with implications for blue carbon stability</w:t>
            </w:r>
          </w:p>
          <w:p w14:paraId="7DC3110D" w14:textId="77777777" w:rsidR="00552096" w:rsidRPr="000556A4" w:rsidRDefault="00552096" w:rsidP="00552096">
            <w:pPr>
              <w:ind w:left="393"/>
              <w:rPr>
                <w:rFonts w:asciiTheme="minorHAnsi" w:hAnsiTheme="minorHAnsi" w:cstheme="minorHAnsi"/>
                <w:b w:val="0"/>
                <w:bCs w:val="0"/>
                <w:color w:val="000000" w:themeColor="text1"/>
                <w:sz w:val="18"/>
                <w:szCs w:val="18"/>
              </w:rPr>
            </w:pPr>
          </w:p>
        </w:tc>
        <w:tc>
          <w:tcPr>
            <w:tcW w:w="12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F72125D" w14:textId="541F9E24" w:rsidR="00552096" w:rsidRDefault="00552096" w:rsidP="005520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16375055" w14:textId="77777777" w:rsidR="00552096" w:rsidRDefault="00552096" w:rsidP="005520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311787C" w14:textId="5C029C60" w:rsidR="00552096" w:rsidRDefault="00552096" w:rsidP="005520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0482250" w14:textId="6B35EBC9" w:rsidR="00552096" w:rsidRDefault="00552096" w:rsidP="005520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5A5914CD" w14:textId="36C01728" w:rsidR="00552096" w:rsidRDefault="00552096" w:rsidP="005520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67FF017" w14:textId="77777777" w:rsidR="00552096" w:rsidRDefault="00552096" w:rsidP="005520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52A6040" w14:textId="747CD396" w:rsidR="00552096" w:rsidRDefault="00552096" w:rsidP="005520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5BB2C14" w14:textId="02BBC966" w:rsidR="00552096" w:rsidRDefault="00552096" w:rsidP="005520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ED3285" w:rsidRPr="002A6E7B" w14:paraId="4D89D223" w14:textId="77777777" w:rsidTr="004354E2">
        <w:trPr>
          <w:gridBefore w:val="1"/>
          <w:cnfStyle w:val="000000100000" w:firstRow="0" w:lastRow="0" w:firstColumn="0" w:lastColumn="0" w:oddVBand="0" w:evenVBand="0" w:oddHBand="1" w:evenHBand="0" w:firstRowFirstColumn="0" w:firstRowLastColumn="0" w:lastRowFirstColumn="0" w:lastRowLastColumn="0"/>
          <w:wBefore w:w="6" w:type="dxa"/>
          <w:trHeight w:val="29"/>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6F7B896" w14:textId="0C56D34A" w:rsidR="00ED3285" w:rsidRPr="002A6E7B" w:rsidRDefault="00552096" w:rsidP="004354E2">
            <w:pPr>
              <w:ind w:left="117"/>
              <w:rPr>
                <w:rFonts w:asciiTheme="minorHAnsi" w:hAnsiTheme="minorHAnsi" w:cstheme="minorHAnsi"/>
                <w:color w:val="000000" w:themeColor="text1"/>
                <w:sz w:val="18"/>
                <w:szCs w:val="18"/>
              </w:rPr>
            </w:pPr>
            <w:r w:rsidRPr="00552096">
              <w:rPr>
                <w:rFonts w:asciiTheme="minorHAnsi" w:hAnsiTheme="minorHAnsi" w:cstheme="minorHAnsi"/>
                <w:color w:val="000000" w:themeColor="text1"/>
                <w:sz w:val="18"/>
                <w:szCs w:val="18"/>
              </w:rPr>
              <w:t>Direct impacts via secondary climate change variables</w:t>
            </w:r>
          </w:p>
        </w:tc>
        <w:tc>
          <w:tcPr>
            <w:tcW w:w="1234"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0871225F"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90" w:type="dxa"/>
            <w:tcBorders>
              <w:top w:val="nil"/>
              <w:bottom w:val="nil"/>
            </w:tcBorders>
            <w:shd w:val="clear" w:color="auto" w:fill="FFFFFF" w:themeFill="background1"/>
          </w:tcPr>
          <w:p w14:paraId="77403BBF"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981"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6411927"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A6ED64B"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491FCF17"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64588902"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338D01E5"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440"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438E84CF" w14:textId="77777777" w:rsidR="00ED3285" w:rsidRPr="002A6E7B" w:rsidRDefault="00ED328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1E517C25" w14:textId="77777777" w:rsidTr="00FA77B8">
        <w:trPr>
          <w:gridBefore w:val="1"/>
          <w:wBefore w:w="6" w:type="dxa"/>
          <w:trHeight w:val="275"/>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B4F79DB" w14:textId="54A6E49C" w:rsidR="00FA77B8" w:rsidRPr="00E73F23" w:rsidRDefault="00FA77B8" w:rsidP="00FA77B8">
            <w:pPr>
              <w:ind w:left="401"/>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 xml:space="preserve">Sea level change, with </w:t>
            </w:r>
            <w:r w:rsidRPr="004F363E">
              <w:rPr>
                <w:rFonts w:asciiTheme="minorHAnsi" w:hAnsiTheme="minorHAnsi" w:cstheme="minorHAnsi"/>
                <w:b w:val="0"/>
                <w:bCs w:val="0"/>
                <w:color w:val="000000" w:themeColor="text1"/>
                <w:sz w:val="18"/>
                <w:szCs w:val="18"/>
              </w:rPr>
              <w:t>implications for blue carbon stability</w:t>
            </w:r>
          </w:p>
        </w:tc>
        <w:tc>
          <w:tcPr>
            <w:tcW w:w="1234"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7302AB09" w14:textId="2555FA51" w:rsidR="00FA77B8" w:rsidRDefault="00FA77B8" w:rsidP="00FA77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4868685D" w14:textId="77777777" w:rsidR="00FA77B8" w:rsidRDefault="00FA77B8" w:rsidP="00FA77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878876F" w14:textId="78C395C3" w:rsidR="00FA77B8" w:rsidRPr="004F363E" w:rsidRDefault="00FA77B8" w:rsidP="00FA77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2F08A62" w14:textId="1B785745" w:rsidR="00FA77B8" w:rsidRPr="004F363E" w:rsidRDefault="00FA77B8" w:rsidP="00FA77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10F9C25F" w14:textId="4189DF0D" w:rsidR="00FA77B8" w:rsidRPr="004F363E" w:rsidRDefault="00FA77B8" w:rsidP="00FA77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7"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58A27839" w14:textId="77777777" w:rsidR="00FA77B8" w:rsidRDefault="00FA77B8" w:rsidP="00FA77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6BEB0802" w14:textId="4023D62B" w:rsidR="00FA77B8" w:rsidRDefault="00FA77B8" w:rsidP="00FA77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329F24BF" w14:textId="467E26E8" w:rsidR="00FA77B8" w:rsidRDefault="00FA77B8" w:rsidP="00FA77B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4F363E" w14:paraId="74697C05" w14:textId="77777777" w:rsidTr="00115308">
        <w:trPr>
          <w:gridBefore w:val="1"/>
          <w:cnfStyle w:val="000000100000" w:firstRow="0" w:lastRow="0" w:firstColumn="0" w:lastColumn="0" w:oddVBand="0" w:evenVBand="0" w:oddHBand="1" w:evenHBand="0" w:firstRowFirstColumn="0" w:firstRowLastColumn="0" w:lastRowFirstColumn="0" w:lastRowLastColumn="0"/>
          <w:wBefore w:w="6" w:type="dxa"/>
          <w:trHeight w:val="275"/>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04F077C" w14:textId="34F07753" w:rsidR="00472331" w:rsidRDefault="00472331" w:rsidP="00472331">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 xml:space="preserve">Drought-induced </w:t>
            </w:r>
            <w:r>
              <w:rPr>
                <w:rFonts w:asciiTheme="minorHAnsi" w:hAnsiTheme="minorHAnsi" w:cstheme="minorHAnsi"/>
                <w:b w:val="0"/>
                <w:bCs w:val="0"/>
                <w:color w:val="000000" w:themeColor="text1"/>
                <w:sz w:val="18"/>
                <w:szCs w:val="18"/>
              </w:rPr>
              <w:t xml:space="preserve">plant </w:t>
            </w:r>
            <w:r w:rsidRPr="000556A4">
              <w:rPr>
                <w:rFonts w:asciiTheme="minorHAnsi" w:hAnsiTheme="minorHAnsi" w:cstheme="minorHAnsi"/>
                <w:b w:val="0"/>
                <w:bCs w:val="0"/>
                <w:color w:val="000000" w:themeColor="text1"/>
                <w:sz w:val="18"/>
                <w:szCs w:val="18"/>
              </w:rPr>
              <w:t>mortality, with possibility of recruitment failure.</w:t>
            </w:r>
          </w:p>
        </w:tc>
        <w:tc>
          <w:tcPr>
            <w:tcW w:w="12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2DF09D8" w14:textId="081E8B24" w:rsidR="00472331" w:rsidRDefault="00472331" w:rsidP="0047233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51898F97" w14:textId="77777777" w:rsidR="00472331" w:rsidRDefault="00472331" w:rsidP="0047233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55671D1" w14:textId="16CC8B58" w:rsidR="00472331" w:rsidRDefault="00472331" w:rsidP="0047233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059303A" w14:textId="400A6957" w:rsidR="00472331" w:rsidRDefault="00472331" w:rsidP="0047233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789BD79D" w14:textId="6D94E67A" w:rsidR="00472331" w:rsidRDefault="00472331" w:rsidP="0047233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DABAB3C" w14:textId="54751894" w:rsidR="00472331" w:rsidRDefault="00472331" w:rsidP="0047233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34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DD4CEC7" w14:textId="2B3CD197" w:rsidR="00472331" w:rsidRDefault="00472331" w:rsidP="0047233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80D61B0" w14:textId="57414FF1" w:rsidR="00472331" w:rsidRDefault="00472331" w:rsidP="0047233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2A6E7B" w14:paraId="551C78EE" w14:textId="77777777" w:rsidTr="004354E2">
        <w:trPr>
          <w:gridBefore w:val="1"/>
          <w:wBefore w:w="6" w:type="dxa"/>
          <w:trHeight w:val="29"/>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32CEE50E" w14:textId="6EEABCFB" w:rsidR="00115308" w:rsidRPr="002A6E7B" w:rsidRDefault="00115308" w:rsidP="004354E2">
            <w:pPr>
              <w:ind w:left="117"/>
              <w:rPr>
                <w:rFonts w:asciiTheme="minorHAnsi" w:hAnsiTheme="minorHAnsi" w:cstheme="minorHAnsi"/>
                <w:color w:val="000000" w:themeColor="text1"/>
                <w:sz w:val="18"/>
                <w:szCs w:val="18"/>
              </w:rPr>
            </w:pPr>
            <w:r w:rsidRPr="00115308">
              <w:rPr>
                <w:rFonts w:asciiTheme="minorHAnsi" w:hAnsiTheme="minorHAnsi" w:cstheme="minorHAnsi"/>
                <w:color w:val="000000" w:themeColor="text1"/>
                <w:sz w:val="18"/>
                <w:szCs w:val="18"/>
              </w:rPr>
              <w:t>Indirect impacts via climate change impacts on weeds, pests and diseases</w:t>
            </w:r>
          </w:p>
        </w:tc>
        <w:tc>
          <w:tcPr>
            <w:tcW w:w="12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463628F2" w14:textId="77777777" w:rsidR="00115308" w:rsidRPr="002A6E7B" w:rsidRDefault="0011530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90" w:type="dxa"/>
            <w:tcBorders>
              <w:top w:val="nil"/>
              <w:left w:val="nil"/>
              <w:bottom w:val="nil"/>
              <w:right w:val="nil"/>
            </w:tcBorders>
            <w:shd w:val="clear" w:color="auto" w:fill="FFFFFF" w:themeFill="background1"/>
          </w:tcPr>
          <w:p w14:paraId="26CDA41B" w14:textId="77777777" w:rsidR="00115308" w:rsidRPr="002A6E7B" w:rsidRDefault="0011530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981"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3A1D71A2" w14:textId="77777777" w:rsidR="00115308" w:rsidRPr="002A6E7B" w:rsidRDefault="0011530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169D14D1" w14:textId="77777777" w:rsidR="00115308" w:rsidRPr="002A6E7B" w:rsidRDefault="0011530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23345BE9" w14:textId="77777777" w:rsidR="00115308" w:rsidRPr="002A6E7B" w:rsidRDefault="0011530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2AB6C626" w14:textId="77777777" w:rsidR="00115308" w:rsidRPr="002A6E7B" w:rsidRDefault="0011530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40DC64BD" w14:textId="77777777" w:rsidR="00115308" w:rsidRPr="002A6E7B" w:rsidRDefault="0011530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44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621184B2" w14:textId="77777777" w:rsidR="00115308" w:rsidRPr="002A6E7B" w:rsidRDefault="0011530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rsidRPr="004F363E" w14:paraId="6B64F7C8" w14:textId="77777777" w:rsidTr="00115308">
        <w:trPr>
          <w:gridBefore w:val="1"/>
          <w:cnfStyle w:val="000000100000" w:firstRow="0" w:lastRow="0" w:firstColumn="0" w:lastColumn="0" w:oddVBand="0" w:evenVBand="0" w:oddHBand="1" w:evenHBand="0" w:firstRowFirstColumn="0" w:firstRowLastColumn="0" w:lastRowFirstColumn="0" w:lastRowLastColumn="0"/>
          <w:wBefore w:w="6" w:type="dxa"/>
          <w:trHeight w:val="275"/>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B08EE23" w14:textId="60469442" w:rsidR="00115308" w:rsidRPr="000556A4" w:rsidRDefault="00115308" w:rsidP="00115308">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Extended range of pests/diseases; Increased over-wintering resulting in faster build-up in the growing season</w:t>
            </w:r>
          </w:p>
        </w:tc>
        <w:tc>
          <w:tcPr>
            <w:tcW w:w="1234"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20A4AC87" w14:textId="0EB2911B" w:rsidR="00115308" w:rsidRDefault="00115308" w:rsidP="0011530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687B7B9A" w14:textId="77777777" w:rsidR="00115308" w:rsidRDefault="00115308" w:rsidP="0011530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981"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441A480" w14:textId="73756636" w:rsidR="00115308" w:rsidRDefault="00115308" w:rsidP="0011530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34"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550AF5F" w14:textId="79DF28AA" w:rsidR="00115308" w:rsidRDefault="00115308" w:rsidP="0011530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4364A66E" w14:textId="0127F620" w:rsidR="00115308" w:rsidRDefault="00115308" w:rsidP="0011530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47"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0751986A" w14:textId="77777777" w:rsidR="00115308" w:rsidRDefault="00115308" w:rsidP="0011530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6050D4CD" w14:textId="7519E08B" w:rsidR="00115308" w:rsidRDefault="00115308" w:rsidP="0011530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440" w:type="dxa"/>
            <w:tcBorders>
              <w:top w:val="single" w:sz="4" w:space="0" w:color="D9D9D9" w:themeColor="background1" w:themeShade="D9"/>
              <w:left w:val="single" w:sz="4" w:space="0" w:color="D9D9D9" w:themeColor="background1" w:themeShade="D9"/>
              <w:right w:val="single" w:sz="4" w:space="0" w:color="D9D9D9" w:themeColor="background1" w:themeShade="D9"/>
            </w:tcBorders>
            <w:shd w:val="clear" w:color="auto" w:fill="FFFFFF" w:themeFill="background1"/>
            <w:vAlign w:val="center"/>
          </w:tcPr>
          <w:p w14:paraId="1800A274" w14:textId="7CC83A2A" w:rsidR="00115308" w:rsidRDefault="00115308" w:rsidP="0011530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bl>
    <w:p w14:paraId="408FB0EB" w14:textId="03B2DD7C" w:rsidR="00ED3285" w:rsidRDefault="00ED3285">
      <w:pPr>
        <w:rPr>
          <w:rFonts w:asciiTheme="minorHAnsi" w:eastAsia="Calibri" w:hAnsiTheme="minorHAnsi" w:cstheme="minorHAnsi"/>
          <w:i/>
          <w:iCs/>
          <w:color w:val="000000"/>
        </w:rPr>
      </w:pPr>
      <w:r>
        <w:rPr>
          <w:rFonts w:asciiTheme="minorHAnsi" w:hAnsiTheme="minorHAnsi" w:cstheme="minorHAnsi"/>
          <w:i/>
          <w:iCs/>
        </w:rPr>
        <w:br w:type="page"/>
      </w:r>
    </w:p>
    <w:p w14:paraId="65B0D390" w14:textId="43049C0C" w:rsidR="00CA36FE" w:rsidRDefault="00CA36FE" w:rsidP="00CA36FE">
      <w:pPr>
        <w:pStyle w:val="Heading3"/>
      </w:pPr>
      <w:r w:rsidRPr="000135E7">
        <w:lastRenderedPageBreak/>
        <w:t xml:space="preserve">Management of </w:t>
      </w:r>
      <w:r>
        <w:t>Agricultural Soils</w:t>
      </w:r>
    </w:p>
    <w:p w14:paraId="4BB126D6" w14:textId="77777777" w:rsidR="00CA36FE" w:rsidRDefault="00CA36FE" w:rsidP="00CA36FE">
      <w:pPr>
        <w:pStyle w:val="Heading4"/>
      </w:pPr>
      <w:r>
        <w:t>Embedded Methodologies</w:t>
      </w:r>
    </w:p>
    <w:p w14:paraId="662BAC51" w14:textId="77777777" w:rsidR="00CA36FE" w:rsidRDefault="00CA36FE" w:rsidP="00CA36FE">
      <w:pPr>
        <w:pStyle w:val="BodyText"/>
        <w:spacing w:before="0" w:after="0"/>
        <w:rPr>
          <w:smallCaps/>
          <w:color w:val="008CAC" w:themeColor="accent2" w:themeTint="BF"/>
          <w:sz w:val="20"/>
          <w:szCs w:val="20"/>
        </w:rPr>
      </w:pPr>
      <w:r w:rsidRPr="0012776E">
        <w:rPr>
          <w:smallCaps/>
          <w:color w:val="008CAC" w:themeColor="accent2" w:themeTint="BF"/>
          <w:sz w:val="20"/>
          <w:szCs w:val="20"/>
        </w:rPr>
        <w:t>Measurement of soil carbon sequestration in agricultural systems (2018)</w:t>
      </w:r>
    </w:p>
    <w:p w14:paraId="347E91B1" w14:textId="7B537C6F" w:rsidR="00CA36FE" w:rsidRPr="0012776E" w:rsidRDefault="00CA36FE" w:rsidP="00CA36FE">
      <w:pPr>
        <w:pStyle w:val="BodyText"/>
        <w:spacing w:before="0" w:after="0"/>
        <w:rPr>
          <w:smallCaps/>
          <w:color w:val="008CAC" w:themeColor="accent2" w:themeTint="BF"/>
          <w:sz w:val="20"/>
          <w:szCs w:val="20"/>
        </w:rPr>
      </w:pPr>
      <w:r w:rsidRPr="00601756">
        <w:rPr>
          <w:smallCaps/>
          <w:color w:val="008CAC" w:themeColor="accent2" w:themeTint="BF"/>
          <w:sz w:val="20"/>
          <w:szCs w:val="20"/>
        </w:rPr>
        <w:t xml:space="preserve">Estimating Sequestration of Carbon in Soil Using Default Values (2015) </w:t>
      </w:r>
    </w:p>
    <w:p w14:paraId="76A80D36" w14:textId="56F4C58A" w:rsidR="00CA36FE" w:rsidRDefault="00CA36FE" w:rsidP="00CA36FE">
      <w:pPr>
        <w:pStyle w:val="BodyText"/>
        <w:rPr>
          <w:color w:val="auto"/>
        </w:rPr>
      </w:pPr>
      <w:r w:rsidRPr="00B06453">
        <w:rPr>
          <w:color w:val="auto"/>
        </w:rPr>
        <w:t xml:space="preserve">The basis of soil carbon sequestration is a change in land management that either increases the rate at which carbon is accumulated into the soil, or decreases the rate at which soil carbon is lost from the soil, or both. </w:t>
      </w:r>
      <w:r>
        <w:rPr>
          <w:color w:val="auto"/>
        </w:rPr>
        <w:t>There are currently two available methodologies. The ‘</w:t>
      </w:r>
      <w:r w:rsidRPr="00601756">
        <w:rPr>
          <w:color w:val="auto"/>
        </w:rPr>
        <w:t>Estimating Sequestration of Carbon in Soil Using Default Values</w:t>
      </w:r>
      <w:r>
        <w:rPr>
          <w:color w:val="auto"/>
        </w:rPr>
        <w:t>’</w:t>
      </w:r>
      <w:r w:rsidRPr="00601756">
        <w:rPr>
          <w:color w:val="auto"/>
        </w:rPr>
        <w:t xml:space="preserve"> </w:t>
      </w:r>
      <w:r>
        <w:rPr>
          <w:color w:val="auto"/>
        </w:rPr>
        <w:t>calculates abatement through the use of lookup tables of sequestration rates under different activities and in different regions. It does not have any registered or contracted projects. The revoked ‘</w:t>
      </w:r>
      <w:r w:rsidRPr="00982F46">
        <w:rPr>
          <w:color w:val="auto"/>
        </w:rPr>
        <w:t>Sequestering carbon in soils in grazing systems method (2014)</w:t>
      </w:r>
      <w:r>
        <w:rPr>
          <w:color w:val="auto"/>
        </w:rPr>
        <w:t xml:space="preserve">’ methodology </w:t>
      </w:r>
      <w:r w:rsidR="00ED4BD0">
        <w:rPr>
          <w:color w:val="auto"/>
        </w:rPr>
        <w:t>has</w:t>
      </w:r>
      <w:r>
        <w:rPr>
          <w:color w:val="auto"/>
        </w:rPr>
        <w:t xml:space="preserve"> been replaced by the ‘</w:t>
      </w:r>
      <w:r w:rsidRPr="00B06453">
        <w:rPr>
          <w:color w:val="auto"/>
        </w:rPr>
        <w:t>Measurement of soil carbon sequestration in agricultural systems</w:t>
      </w:r>
      <w:r>
        <w:rPr>
          <w:color w:val="auto"/>
        </w:rPr>
        <w:t xml:space="preserve">’ </w:t>
      </w:r>
      <w:r w:rsidRPr="00B06453">
        <w:rPr>
          <w:color w:val="auto"/>
        </w:rPr>
        <w:t>methodology</w:t>
      </w:r>
      <w:r>
        <w:rPr>
          <w:color w:val="auto"/>
        </w:rPr>
        <w:t>, which</w:t>
      </w:r>
      <w:r w:rsidRPr="00B06453">
        <w:rPr>
          <w:color w:val="auto"/>
        </w:rPr>
        <w:t xml:space="preserve"> </w:t>
      </w:r>
      <w:r>
        <w:rPr>
          <w:color w:val="auto"/>
        </w:rPr>
        <w:t xml:space="preserve">requires the field-based measurement of sequestration, and compared to the 2014 methodology, </w:t>
      </w:r>
      <w:r w:rsidRPr="00B06453">
        <w:rPr>
          <w:color w:val="auto"/>
        </w:rPr>
        <w:t xml:space="preserve">broadens the list of eligible farming systems to include cropping, grazing and horticulture, and provides for additional measurement options to take advantage of the latest technologies for in-field and laboratory sensing to estimate carbon. </w:t>
      </w:r>
      <w:r>
        <w:rPr>
          <w:color w:val="auto"/>
        </w:rPr>
        <w:t xml:space="preserve">It is receiving increasing interest with 50 registered and 11 contracted projects (as at May 2020), and a total contracted abatement of nearly 14 Million tonnes. </w:t>
      </w:r>
    </w:p>
    <w:p w14:paraId="280FCF9F" w14:textId="1167A48C" w:rsidR="00CA36FE" w:rsidRDefault="00CA36FE" w:rsidP="00CA36FE">
      <w:pPr>
        <w:pStyle w:val="BodyText"/>
        <w:rPr>
          <w:color w:val="auto"/>
        </w:rPr>
      </w:pPr>
      <w:r>
        <w:rPr>
          <w:color w:val="auto"/>
        </w:rPr>
        <w:t xml:space="preserve">There are </w:t>
      </w:r>
      <w:r w:rsidRPr="00B06453">
        <w:rPr>
          <w:color w:val="auto"/>
        </w:rPr>
        <w:t xml:space="preserve">eleven allowable activities that can be applied </w:t>
      </w:r>
      <w:r>
        <w:rPr>
          <w:color w:val="auto"/>
        </w:rPr>
        <w:t xml:space="preserve">under the 2018 methodology </w:t>
      </w:r>
      <w:r w:rsidRPr="00B06453">
        <w:rPr>
          <w:color w:val="auto"/>
        </w:rPr>
        <w:t xml:space="preserve">to build soil organic carbon, ranging from altering stocking rates and grazing management, through to stubble management and pasture improvement. </w:t>
      </w:r>
    </w:p>
    <w:p w14:paraId="019CDC1C" w14:textId="2A5EA650" w:rsidR="00CA36FE" w:rsidRPr="00007D38" w:rsidRDefault="00CA36FE" w:rsidP="00CA36FE">
      <w:pPr>
        <w:pStyle w:val="BodyText"/>
        <w:numPr>
          <w:ilvl w:val="0"/>
          <w:numId w:val="27"/>
        </w:numPr>
        <w:rPr>
          <w:color w:val="auto"/>
        </w:rPr>
      </w:pPr>
      <w:r w:rsidRPr="00007D38">
        <w:rPr>
          <w:color w:val="auto"/>
        </w:rPr>
        <w:t>Applying nutrients to the land in the form of synthetic or non-synthetic fertiliser to address a material deficiency</w:t>
      </w:r>
    </w:p>
    <w:p w14:paraId="79B4CD60" w14:textId="126BFB5A" w:rsidR="00CA36FE" w:rsidRPr="00007D38" w:rsidRDefault="00CA36FE" w:rsidP="00CA36FE">
      <w:pPr>
        <w:pStyle w:val="BodyText"/>
        <w:numPr>
          <w:ilvl w:val="0"/>
          <w:numId w:val="27"/>
        </w:numPr>
        <w:rPr>
          <w:color w:val="auto"/>
        </w:rPr>
      </w:pPr>
      <w:r w:rsidRPr="00007D38">
        <w:rPr>
          <w:color w:val="auto"/>
        </w:rPr>
        <w:t>Applying lime to remediate acid soils</w:t>
      </w:r>
    </w:p>
    <w:p w14:paraId="2837C65A" w14:textId="173F2DAD" w:rsidR="00CA36FE" w:rsidRPr="00007D38" w:rsidRDefault="00CA36FE" w:rsidP="00CA36FE">
      <w:pPr>
        <w:pStyle w:val="BodyText"/>
        <w:numPr>
          <w:ilvl w:val="0"/>
          <w:numId w:val="27"/>
        </w:numPr>
        <w:rPr>
          <w:color w:val="auto"/>
        </w:rPr>
      </w:pPr>
      <w:r w:rsidRPr="00007D38">
        <w:rPr>
          <w:color w:val="auto"/>
        </w:rPr>
        <w:t>Applying gypsum to remediate sodic or magnesic soils</w:t>
      </w:r>
    </w:p>
    <w:p w14:paraId="7EC12E0D" w14:textId="12984FC9" w:rsidR="00CA36FE" w:rsidRPr="00007D38" w:rsidRDefault="00CA36FE" w:rsidP="00CA36FE">
      <w:pPr>
        <w:pStyle w:val="BodyText"/>
        <w:numPr>
          <w:ilvl w:val="0"/>
          <w:numId w:val="27"/>
        </w:numPr>
        <w:rPr>
          <w:color w:val="auto"/>
        </w:rPr>
      </w:pPr>
      <w:r w:rsidRPr="00007D38">
        <w:rPr>
          <w:color w:val="auto"/>
        </w:rPr>
        <w:t>Undertaking new irrigation</w:t>
      </w:r>
    </w:p>
    <w:p w14:paraId="5410B43D" w14:textId="795D6EA1" w:rsidR="00CA36FE" w:rsidRPr="00007D38" w:rsidRDefault="00CA36FE" w:rsidP="00CA36FE">
      <w:pPr>
        <w:pStyle w:val="BodyText"/>
        <w:numPr>
          <w:ilvl w:val="0"/>
          <w:numId w:val="27"/>
        </w:numPr>
        <w:rPr>
          <w:color w:val="auto"/>
        </w:rPr>
      </w:pPr>
      <w:r w:rsidRPr="00007D38">
        <w:rPr>
          <w:color w:val="auto"/>
        </w:rPr>
        <w:t>Re-establishing or rejuvenating a pasture by seeding</w:t>
      </w:r>
    </w:p>
    <w:p w14:paraId="1FDF6A65" w14:textId="34A17DC7" w:rsidR="00CA36FE" w:rsidRPr="00007D38" w:rsidRDefault="00CA36FE" w:rsidP="00CA36FE">
      <w:pPr>
        <w:pStyle w:val="BodyText"/>
        <w:numPr>
          <w:ilvl w:val="0"/>
          <w:numId w:val="27"/>
        </w:numPr>
        <w:rPr>
          <w:color w:val="auto"/>
        </w:rPr>
      </w:pPr>
      <w:r w:rsidRPr="00007D38">
        <w:rPr>
          <w:color w:val="auto"/>
        </w:rPr>
        <w:t>Establishing and permanently maintain</w:t>
      </w:r>
      <w:r w:rsidR="00492E28">
        <w:rPr>
          <w:color w:val="auto"/>
        </w:rPr>
        <w:t>ing</w:t>
      </w:r>
      <w:r w:rsidRPr="00007D38">
        <w:rPr>
          <w:color w:val="auto"/>
        </w:rPr>
        <w:t xml:space="preserve"> a pasture where there was previously no pasture, such as cropland or bare fallow</w:t>
      </w:r>
    </w:p>
    <w:p w14:paraId="59015D30" w14:textId="2F326DAE" w:rsidR="00CA36FE" w:rsidRPr="00007D38" w:rsidRDefault="00CA36FE" w:rsidP="00CA36FE">
      <w:pPr>
        <w:pStyle w:val="BodyText"/>
        <w:numPr>
          <w:ilvl w:val="0"/>
          <w:numId w:val="27"/>
        </w:numPr>
        <w:rPr>
          <w:color w:val="auto"/>
        </w:rPr>
      </w:pPr>
      <w:r w:rsidRPr="00007D38">
        <w:rPr>
          <w:color w:val="auto"/>
        </w:rPr>
        <w:t>Altering the stocking rate, duration or intensity of grazing</w:t>
      </w:r>
    </w:p>
    <w:p w14:paraId="2460D2A1" w14:textId="2768D862" w:rsidR="00CA36FE" w:rsidRPr="00007D38" w:rsidRDefault="00CA36FE" w:rsidP="00CA36FE">
      <w:pPr>
        <w:pStyle w:val="BodyText"/>
        <w:numPr>
          <w:ilvl w:val="0"/>
          <w:numId w:val="27"/>
        </w:numPr>
        <w:rPr>
          <w:color w:val="auto"/>
        </w:rPr>
      </w:pPr>
      <w:r w:rsidRPr="00007D38">
        <w:rPr>
          <w:color w:val="auto"/>
        </w:rPr>
        <w:t>Retaining stubble after a crop is harvested</w:t>
      </w:r>
    </w:p>
    <w:p w14:paraId="317D3C50" w14:textId="2411A783" w:rsidR="00CA36FE" w:rsidRPr="00007D38" w:rsidRDefault="00CA36FE" w:rsidP="00CA36FE">
      <w:pPr>
        <w:pStyle w:val="BodyText"/>
        <w:numPr>
          <w:ilvl w:val="0"/>
          <w:numId w:val="27"/>
        </w:numPr>
        <w:rPr>
          <w:color w:val="auto"/>
        </w:rPr>
      </w:pPr>
      <w:r w:rsidRPr="00007D38">
        <w:rPr>
          <w:color w:val="auto"/>
        </w:rPr>
        <w:t>Converting from intensive tillage practices to reduced or no-till practices</w:t>
      </w:r>
    </w:p>
    <w:p w14:paraId="2C7F8A07" w14:textId="53BE105C" w:rsidR="00CA36FE" w:rsidRPr="00007D38" w:rsidRDefault="00CA36FE" w:rsidP="00CA36FE">
      <w:pPr>
        <w:pStyle w:val="BodyText"/>
        <w:numPr>
          <w:ilvl w:val="0"/>
          <w:numId w:val="27"/>
        </w:numPr>
        <w:rPr>
          <w:color w:val="auto"/>
        </w:rPr>
      </w:pPr>
      <w:r w:rsidRPr="00007D38">
        <w:rPr>
          <w:color w:val="auto"/>
        </w:rPr>
        <w:t>Modifying landscape or landform features to remediate land</w:t>
      </w:r>
    </w:p>
    <w:p w14:paraId="33DEF487" w14:textId="6B9E3FB7" w:rsidR="00CA36FE" w:rsidRDefault="00CA36FE" w:rsidP="00CA36FE">
      <w:pPr>
        <w:pStyle w:val="BodyText"/>
        <w:numPr>
          <w:ilvl w:val="0"/>
          <w:numId w:val="27"/>
        </w:numPr>
        <w:rPr>
          <w:color w:val="auto"/>
        </w:rPr>
      </w:pPr>
      <w:r w:rsidRPr="00007D38">
        <w:rPr>
          <w:color w:val="auto"/>
        </w:rPr>
        <w:t>Using mechanical means to add or redistribute soil through the soil profile</w:t>
      </w:r>
    </w:p>
    <w:p w14:paraId="0B57AB8C" w14:textId="0E4A7F10" w:rsidR="00CA36FE" w:rsidRPr="00007D38" w:rsidRDefault="00CA36FE" w:rsidP="00CA36FE">
      <w:pPr>
        <w:pStyle w:val="BodyText"/>
        <w:rPr>
          <w:color w:val="auto"/>
        </w:rPr>
      </w:pPr>
      <w:r w:rsidRPr="00007D38">
        <w:rPr>
          <w:color w:val="auto"/>
        </w:rPr>
        <w:t>Although</w:t>
      </w:r>
      <w:r>
        <w:rPr>
          <w:color w:val="auto"/>
        </w:rPr>
        <w:t xml:space="preserve"> this list represents a wide range of activities, across a potentially wide spatial domain, the common aim across all options is to increase the storage of soil organic carbon (SOC) in agricultural soils in a form that is persistent over the long term.</w:t>
      </w:r>
      <w:r w:rsidRPr="00007D38">
        <w:rPr>
          <w:color w:val="auto"/>
        </w:rPr>
        <w:t xml:space="preserve"> </w:t>
      </w:r>
      <w:r>
        <w:rPr>
          <w:color w:val="auto"/>
        </w:rPr>
        <w:t xml:space="preserve">The key risk factors are therefore those that impact on the rates at which that carbon in incorporated into the soil (principally </w:t>
      </w:r>
      <w:r>
        <w:rPr>
          <w:color w:val="auto"/>
        </w:rPr>
        <w:lastRenderedPageBreak/>
        <w:t>through plant growth), and the rates of loss back to the atmosphere (principally through soil respiration, but also potentially direct disturbance</w:t>
      </w:r>
      <w:r w:rsidR="00ED4BD0">
        <w:rPr>
          <w:color w:val="auto"/>
        </w:rPr>
        <w:t>, including erosion</w:t>
      </w:r>
      <w:r>
        <w:rPr>
          <w:color w:val="auto"/>
        </w:rPr>
        <w:t>).</w:t>
      </w:r>
    </w:p>
    <w:p w14:paraId="3D5CDECB" w14:textId="3916C08A" w:rsidR="00CA36FE" w:rsidRPr="003366A1" w:rsidRDefault="00CA36FE" w:rsidP="00CA36FE">
      <w:pPr>
        <w:pStyle w:val="Heading4"/>
        <w:rPr>
          <w:color w:val="008CAC" w:themeColor="accent2" w:themeTint="BF"/>
        </w:rPr>
      </w:pPr>
      <w:r w:rsidRPr="003366A1">
        <w:rPr>
          <w:color w:val="008CAC" w:themeColor="accent2" w:themeTint="BF"/>
        </w:rPr>
        <w:t>Spatial domain</w:t>
      </w:r>
    </w:p>
    <w:p w14:paraId="2EDBEFC8" w14:textId="519F00F7" w:rsidR="00CA36FE" w:rsidRPr="00EF3DF0" w:rsidRDefault="00CA36FE" w:rsidP="00A75AC4">
      <w:pPr>
        <w:pStyle w:val="BodyText"/>
      </w:pPr>
      <w:r w:rsidRPr="00EF3DF0">
        <w:t>The spatial domain for analysis</w:t>
      </w:r>
      <w:r>
        <w:t xml:space="preserve"> includes six agricultural land-use classes extracted from the Land Use of Australia 2010-2011 coverage (ABARES 201</w:t>
      </w:r>
      <w:r w:rsidR="00E47308">
        <w:t>6</w:t>
      </w:r>
      <w:r>
        <w:t>): grazed modified pastures, dryland cropping, dryland horticulture, irrigated pastures, irrigated cropping and irrigated horticu</w:t>
      </w:r>
      <w:r w:rsidRPr="006A6853">
        <w:t>lture</w:t>
      </w:r>
      <w:r w:rsidR="006A6853" w:rsidRPr="006A6853">
        <w:t xml:space="preserve"> (</w:t>
      </w:r>
      <w:r w:rsidR="00A75AC4">
        <w:fldChar w:fldCharType="begin"/>
      </w:r>
      <w:r w:rsidR="00A75AC4">
        <w:instrText xml:space="preserve"> REF _Ref49781946 \h </w:instrText>
      </w:r>
      <w:r w:rsidR="00A75AC4">
        <w:fldChar w:fldCharType="separate"/>
      </w:r>
      <w:r w:rsidR="00235F13">
        <w:t xml:space="preserve">Figure </w:t>
      </w:r>
      <w:r w:rsidR="00235F13">
        <w:rPr>
          <w:noProof/>
        </w:rPr>
        <w:t>13</w:t>
      </w:r>
      <w:r w:rsidR="00A75AC4">
        <w:fldChar w:fldCharType="end"/>
      </w:r>
      <w:r w:rsidR="006A6853" w:rsidRPr="006A6853">
        <w:t>)</w:t>
      </w:r>
      <w:r>
        <w:t xml:space="preserve">. Agricultural activity occurs within all sub-clusters, concentrated within the Southern Slopes and South Western Flatlands, Murray Basin, Central Slopes and East Coast sub-clusters. </w:t>
      </w:r>
    </w:p>
    <w:p w14:paraId="468AA3EC" w14:textId="19162ECD" w:rsidR="00CA36FE" w:rsidRDefault="00CA36FE" w:rsidP="00CA36FE">
      <w:pPr>
        <w:pStyle w:val="BodyText"/>
        <w:rPr>
          <w:color w:val="808080" w:themeColor="background1" w:themeShade="80"/>
        </w:rPr>
      </w:pPr>
    </w:p>
    <w:p w14:paraId="4FBF6D86" w14:textId="4B3CDC79" w:rsidR="00CA36FE" w:rsidRDefault="00CA36FE" w:rsidP="00CA36FE">
      <w:pPr>
        <w:pStyle w:val="BodyText"/>
        <w:rPr>
          <w:color w:val="808080" w:themeColor="background1" w:themeShade="80"/>
        </w:rPr>
      </w:pPr>
    </w:p>
    <w:p w14:paraId="7DD990E2" w14:textId="44BB3552" w:rsidR="00CA36FE" w:rsidRPr="0012776E" w:rsidRDefault="00CA36FE" w:rsidP="00CA36FE">
      <w:pPr>
        <w:pStyle w:val="BodyText"/>
        <w:rPr>
          <w:color w:val="808080" w:themeColor="background1" w:themeShade="80"/>
        </w:rPr>
      </w:pPr>
    </w:p>
    <w:p w14:paraId="4C49D9B5" w14:textId="10874B7F" w:rsidR="00CA36FE" w:rsidRPr="0012776E" w:rsidRDefault="00180904" w:rsidP="00CA36FE">
      <w:pPr>
        <w:pStyle w:val="BodyText"/>
        <w:rPr>
          <w:color w:val="808080" w:themeColor="background1" w:themeShade="80"/>
        </w:rPr>
      </w:pPr>
      <w:r w:rsidRPr="00180904">
        <w:rPr>
          <w:noProof/>
        </w:rPr>
        <mc:AlternateContent>
          <mc:Choice Requires="wps">
            <w:drawing>
              <wp:anchor distT="0" distB="0" distL="114300" distR="114300" simplePos="0" relativeHeight="251658297" behindDoc="0" locked="0" layoutInCell="1" allowOverlap="1" wp14:anchorId="51DAF6B4" wp14:editId="3F9CF515">
                <wp:simplePos x="0" y="0"/>
                <wp:positionH relativeFrom="margin">
                  <wp:posOffset>4186280</wp:posOffset>
                </wp:positionH>
                <wp:positionV relativeFrom="paragraph">
                  <wp:posOffset>3615728</wp:posOffset>
                </wp:positionV>
                <wp:extent cx="1391597" cy="382137"/>
                <wp:effectExtent l="0" t="0" r="0" b="0"/>
                <wp:wrapNone/>
                <wp:docPr id="1850805851" name="Text Box 1850805851"/>
                <wp:cNvGraphicFramePr/>
                <a:graphic xmlns:a="http://schemas.openxmlformats.org/drawingml/2006/main">
                  <a:graphicData uri="http://schemas.microsoft.com/office/word/2010/wordprocessingShape">
                    <wps:wsp>
                      <wps:cNvSpPr txBox="1"/>
                      <wps:spPr>
                        <a:xfrm>
                          <a:off x="0" y="0"/>
                          <a:ext cx="1391597" cy="382137"/>
                        </a:xfrm>
                        <a:prstGeom prst="rect">
                          <a:avLst/>
                        </a:prstGeom>
                        <a:noFill/>
                        <a:ln w="6350">
                          <a:noFill/>
                        </a:ln>
                      </wps:spPr>
                      <wps:txbx>
                        <w:txbxContent>
                          <w:p w14:paraId="02BA43B9"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Southern Slopes</w:t>
                            </w:r>
                          </w:p>
                          <w:p w14:paraId="3EC4B6B8"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(Tas 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AF6B4" id="Text Box 1850805851" o:spid="_x0000_s1073" type="#_x0000_t202" style="position:absolute;margin-left:329.65pt;margin-top:284.7pt;width:109.55pt;height:30.1pt;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" filled="f" stroked="f" strokeweight=".5pt">
                <v:textbox>
                  <w:txbxContent>
                    <w:p w14:paraId="02BA43B9"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Southern Slopes</w:t>
                      </w:r>
                    </w:p>
                    <w:p w14:paraId="3EC4B6B8"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(Tas East)</w:t>
                      </w:r>
                    </w:p>
                  </w:txbxContent>
                </v:textbox>
                <w10:wrap anchorx="margin"/>
              </v:shape>
            </w:pict>
          </mc:Fallback>
        </mc:AlternateContent>
      </w:r>
      <w:r w:rsidRPr="00180904">
        <w:rPr>
          <w:noProof/>
        </w:rPr>
        <mc:AlternateContent>
          <mc:Choice Requires="wps">
            <w:drawing>
              <wp:anchor distT="0" distB="0" distL="114300" distR="114300" simplePos="0" relativeHeight="251658296" behindDoc="0" locked="0" layoutInCell="1" allowOverlap="1" wp14:anchorId="3001B359" wp14:editId="74E35C5A">
                <wp:simplePos x="0" y="0"/>
                <wp:positionH relativeFrom="column">
                  <wp:posOffset>4367246</wp:posOffset>
                </wp:positionH>
                <wp:positionV relativeFrom="paragraph">
                  <wp:posOffset>3055032</wp:posOffset>
                </wp:positionV>
                <wp:extent cx="1391285" cy="402590"/>
                <wp:effectExtent l="0" t="0" r="0" b="0"/>
                <wp:wrapNone/>
                <wp:docPr id="1850805850" name="Text Box 1850805850"/>
                <wp:cNvGraphicFramePr/>
                <a:graphic xmlns:a="http://schemas.openxmlformats.org/drawingml/2006/main">
                  <a:graphicData uri="http://schemas.microsoft.com/office/word/2010/wordprocessingShape">
                    <wps:wsp>
                      <wps:cNvSpPr txBox="1"/>
                      <wps:spPr>
                        <a:xfrm>
                          <a:off x="0" y="0"/>
                          <a:ext cx="1391285" cy="402590"/>
                        </a:xfrm>
                        <a:prstGeom prst="rect">
                          <a:avLst/>
                        </a:prstGeom>
                        <a:noFill/>
                        <a:ln w="6350">
                          <a:noFill/>
                        </a:ln>
                      </wps:spPr>
                      <wps:txbx>
                        <w:txbxContent>
                          <w:p w14:paraId="401299C8"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Southern Slopes (Vic/NSW Eest)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1B359" id="Text Box 1850805850" o:spid="_x0000_s1074" type="#_x0000_t202" style="position:absolute;margin-left:343.9pt;margin-top:240.55pt;width:109.55pt;height:31.7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" filled="f" stroked="f" strokeweight=".5pt">
                <v:textbox>
                  <w:txbxContent>
                    <w:p w14:paraId="401299C8"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Southern Slopes (Vic/NSW Eest)</w:t>
                      </w:r>
                    </w:p>
                  </w:txbxContent>
                </v:textbox>
              </v:shape>
            </w:pict>
          </mc:Fallback>
        </mc:AlternateContent>
      </w:r>
      <w:r w:rsidRPr="00180904">
        <w:rPr>
          <w:noProof/>
        </w:rPr>
        <mc:AlternateContent>
          <mc:Choice Requires="wps">
            <w:drawing>
              <wp:anchor distT="0" distB="0" distL="114300" distR="114300" simplePos="0" relativeHeight="251658295" behindDoc="0" locked="0" layoutInCell="1" allowOverlap="1" wp14:anchorId="70949973" wp14:editId="1FC16BBE">
                <wp:simplePos x="0" y="0"/>
                <wp:positionH relativeFrom="column">
                  <wp:posOffset>2688467</wp:posOffset>
                </wp:positionH>
                <wp:positionV relativeFrom="paragraph">
                  <wp:posOffset>3328385</wp:posOffset>
                </wp:positionV>
                <wp:extent cx="1391285" cy="688975"/>
                <wp:effectExtent l="0" t="0" r="0" b="0"/>
                <wp:wrapNone/>
                <wp:docPr id="1850805849" name="Text Box 1850805849"/>
                <wp:cNvGraphicFramePr/>
                <a:graphic xmlns:a="http://schemas.openxmlformats.org/drawingml/2006/main">
                  <a:graphicData uri="http://schemas.microsoft.com/office/word/2010/wordprocessingShape">
                    <wps:wsp>
                      <wps:cNvSpPr txBox="1"/>
                      <wps:spPr>
                        <a:xfrm>
                          <a:off x="0" y="0"/>
                          <a:ext cx="1391285" cy="688975"/>
                        </a:xfrm>
                        <a:prstGeom prst="rect">
                          <a:avLst/>
                        </a:prstGeom>
                        <a:noFill/>
                        <a:ln w="6350">
                          <a:noFill/>
                        </a:ln>
                      </wps:spPr>
                      <wps:txbx>
                        <w:txbxContent>
                          <w:p w14:paraId="2BA18846"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Southern Slopes</w:t>
                            </w:r>
                          </w:p>
                          <w:p w14:paraId="6EF59DEC"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(Vic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49973" id="Text Box 1850805849" o:spid="_x0000_s1075" type="#_x0000_t202" style="position:absolute;margin-left:211.7pt;margin-top:262.1pt;width:109.55pt;height:54.2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" filled="f" stroked="f" strokeweight=".5pt">
                <v:textbox>
                  <w:txbxContent>
                    <w:p w14:paraId="2BA18846"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Southern Slopes</w:t>
                      </w:r>
                    </w:p>
                    <w:p w14:paraId="6EF59DEC" w14:textId="77777777" w:rsidR="00A264AF" w:rsidRPr="00180904" w:rsidRDefault="00A264AF" w:rsidP="00180904">
                      <w:pPr>
                        <w:rPr>
                          <w:rFonts w:asciiTheme="minorHAnsi" w:hAnsiTheme="minorHAnsi" w:cstheme="minorHAnsi"/>
                          <w:color w:val="262626" w:themeColor="text1" w:themeTint="D9"/>
                          <w:sz w:val="18"/>
                          <w:szCs w:val="18"/>
                        </w:rPr>
                      </w:pPr>
                      <w:r w:rsidRPr="00180904">
                        <w:rPr>
                          <w:rFonts w:asciiTheme="minorHAnsi" w:hAnsiTheme="minorHAnsi" w:cstheme="minorHAnsi"/>
                          <w:color w:val="262626" w:themeColor="text1" w:themeTint="D9"/>
                          <w:sz w:val="18"/>
                          <w:szCs w:val="18"/>
                        </w:rPr>
                        <w:t>(Vic West)</w:t>
                      </w:r>
                    </w:p>
                  </w:txbxContent>
                </v:textbox>
              </v:shape>
            </w:pict>
          </mc:Fallback>
        </mc:AlternateContent>
      </w:r>
      <w:r>
        <w:rPr>
          <w:noProof/>
        </w:rPr>
        <mc:AlternateContent>
          <mc:Choice Requires="wps">
            <w:drawing>
              <wp:anchor distT="0" distB="0" distL="114300" distR="114300" simplePos="0" relativeHeight="251658298" behindDoc="0" locked="0" layoutInCell="1" allowOverlap="1" wp14:anchorId="546C6715" wp14:editId="0891C460">
                <wp:simplePos x="0" y="0"/>
                <wp:positionH relativeFrom="column">
                  <wp:posOffset>3578955</wp:posOffset>
                </wp:positionH>
                <wp:positionV relativeFrom="paragraph">
                  <wp:posOffset>2309713</wp:posOffset>
                </wp:positionV>
                <wp:extent cx="548265" cy="204716"/>
                <wp:effectExtent l="0" t="0" r="23495" b="24130"/>
                <wp:wrapNone/>
                <wp:docPr id="1850805852" name="Straight Connector 1850805852"/>
                <wp:cNvGraphicFramePr/>
                <a:graphic xmlns:a="http://schemas.openxmlformats.org/drawingml/2006/main">
                  <a:graphicData uri="http://schemas.microsoft.com/office/word/2010/wordprocessingShape">
                    <wps:wsp>
                      <wps:cNvCnPr/>
                      <wps:spPr>
                        <a:xfrm>
                          <a:off x="0" y="0"/>
                          <a:ext cx="548265" cy="20471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F371E1" id="Straight Connector 1850805852" o:spid="_x0000_s1026" style="position:absolute;z-index:251658298;visibility:visible;mso-wrap-style:square;mso-wrap-distance-left:9pt;mso-wrap-distance-top:0;mso-wrap-distance-right:9pt;mso-wrap-distance-bottom:0;mso-position-horizontal:absolute;mso-position-horizontal-relative:text;mso-position-vertical:absolute;mso-position-vertical-relative:text" from="281.8pt,181.85pt" to="324.95pt,1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" strokecolor="white [3212]"/>
            </w:pict>
          </mc:Fallback>
        </mc:AlternateContent>
      </w:r>
      <w:r w:rsidRPr="00180904">
        <w:rPr>
          <w:noProof/>
        </w:rPr>
        <mc:AlternateContent>
          <mc:Choice Requires="wps">
            <w:drawing>
              <wp:anchor distT="0" distB="0" distL="114300" distR="114300" simplePos="0" relativeHeight="251658294" behindDoc="0" locked="0" layoutInCell="1" allowOverlap="1" wp14:anchorId="0F030B3D" wp14:editId="2D2D129A">
                <wp:simplePos x="0" y="0"/>
                <wp:positionH relativeFrom="margin">
                  <wp:posOffset>2657987</wp:posOffset>
                </wp:positionH>
                <wp:positionV relativeFrom="paragraph">
                  <wp:posOffset>1965590</wp:posOffset>
                </wp:positionV>
                <wp:extent cx="1029970" cy="511175"/>
                <wp:effectExtent l="0" t="0" r="0" b="3175"/>
                <wp:wrapNone/>
                <wp:docPr id="1850805848" name="Text Box 1850805848"/>
                <wp:cNvGraphicFramePr/>
                <a:graphic xmlns:a="http://schemas.openxmlformats.org/drawingml/2006/main">
                  <a:graphicData uri="http://schemas.microsoft.com/office/word/2010/wordprocessingShape">
                    <wps:wsp>
                      <wps:cNvSpPr txBox="1"/>
                      <wps:spPr>
                        <a:xfrm>
                          <a:off x="0" y="0"/>
                          <a:ext cx="1029970" cy="511175"/>
                        </a:xfrm>
                        <a:prstGeom prst="rect">
                          <a:avLst/>
                        </a:prstGeom>
                        <a:noFill/>
                        <a:ln w="6350">
                          <a:noFill/>
                        </a:ln>
                      </wps:spPr>
                      <wps:txbx>
                        <w:txbxContent>
                          <w:p w14:paraId="54721273" w14:textId="77777777" w:rsidR="00A264AF" w:rsidRPr="00180904" w:rsidRDefault="00A264AF" w:rsidP="00180904">
                            <w:pPr>
                              <w:jc w:val="right"/>
                              <w:rPr>
                                <w:rFonts w:asciiTheme="minorHAnsi" w:hAnsiTheme="minorHAnsi" w:cstheme="minorHAnsi"/>
                                <w:color w:val="FFFFFF" w:themeColor="background1"/>
                                <w:sz w:val="18"/>
                                <w:szCs w:val="18"/>
                              </w:rPr>
                            </w:pPr>
                            <w:r w:rsidRPr="00180904">
                              <w:rPr>
                                <w:rFonts w:asciiTheme="minorHAnsi" w:hAnsiTheme="minorHAnsi" w:cstheme="minorHAnsi"/>
                                <w:color w:val="FFFFFF" w:themeColor="background1"/>
                                <w:sz w:val="18"/>
                                <w:szCs w:val="18"/>
                              </w:rPr>
                              <w:t>Central</w:t>
                            </w:r>
                          </w:p>
                          <w:p w14:paraId="373A9B45" w14:textId="77777777" w:rsidR="00A264AF" w:rsidRPr="00180904" w:rsidRDefault="00A264AF" w:rsidP="00180904">
                            <w:pPr>
                              <w:jc w:val="right"/>
                              <w:rPr>
                                <w:rFonts w:asciiTheme="minorHAnsi" w:hAnsiTheme="minorHAnsi" w:cstheme="minorHAnsi"/>
                                <w:color w:val="FFFFFF" w:themeColor="background1"/>
                                <w:sz w:val="18"/>
                                <w:szCs w:val="18"/>
                              </w:rPr>
                            </w:pPr>
                            <w:r w:rsidRPr="00180904">
                              <w:rPr>
                                <w:rFonts w:asciiTheme="minorHAnsi" w:hAnsiTheme="minorHAnsi" w:cstheme="minorHAnsi"/>
                                <w:color w:val="FFFFFF" w:themeColor="background1"/>
                                <w:sz w:val="18"/>
                                <w:szCs w:val="18"/>
                              </w:rPr>
                              <w:t>Slopes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30B3D" id="Text Box 1850805848" o:spid="_x0000_s1076" type="#_x0000_t202" style="position:absolute;margin-left:209.3pt;margin-top:154.75pt;width:81.1pt;height:40.25pt;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" filled="f" stroked="f" strokeweight=".5pt">
                <v:textbox>
                  <w:txbxContent>
                    <w:p w14:paraId="54721273" w14:textId="77777777" w:rsidR="00A264AF" w:rsidRPr="00180904" w:rsidRDefault="00A264AF" w:rsidP="00180904">
                      <w:pPr>
                        <w:jc w:val="right"/>
                        <w:rPr>
                          <w:rFonts w:asciiTheme="minorHAnsi" w:hAnsiTheme="minorHAnsi" w:cstheme="minorHAnsi"/>
                          <w:color w:val="FFFFFF" w:themeColor="background1"/>
                          <w:sz w:val="18"/>
                          <w:szCs w:val="18"/>
                        </w:rPr>
                      </w:pPr>
                      <w:r w:rsidRPr="00180904">
                        <w:rPr>
                          <w:rFonts w:asciiTheme="minorHAnsi" w:hAnsiTheme="minorHAnsi" w:cstheme="minorHAnsi"/>
                          <w:color w:val="FFFFFF" w:themeColor="background1"/>
                          <w:sz w:val="18"/>
                          <w:szCs w:val="18"/>
                        </w:rPr>
                        <w:t>Central</w:t>
                      </w:r>
                    </w:p>
                    <w:p w14:paraId="373A9B45" w14:textId="77777777" w:rsidR="00A264AF" w:rsidRPr="00180904" w:rsidRDefault="00A264AF" w:rsidP="00180904">
                      <w:pPr>
                        <w:jc w:val="right"/>
                        <w:rPr>
                          <w:rFonts w:asciiTheme="minorHAnsi" w:hAnsiTheme="minorHAnsi" w:cstheme="minorHAnsi"/>
                          <w:color w:val="FFFFFF" w:themeColor="background1"/>
                          <w:sz w:val="18"/>
                          <w:szCs w:val="18"/>
                        </w:rPr>
                      </w:pPr>
                      <w:r w:rsidRPr="00180904">
                        <w:rPr>
                          <w:rFonts w:asciiTheme="minorHAnsi" w:hAnsiTheme="minorHAnsi" w:cstheme="minorHAnsi"/>
                          <w:color w:val="FFFFFF" w:themeColor="background1"/>
                          <w:sz w:val="18"/>
                          <w:szCs w:val="18"/>
                        </w:rPr>
                        <w:t>Slopes</w:t>
                      </w:r>
                    </w:p>
                  </w:txbxContent>
                </v:textbox>
                <w10:wrap anchorx="margin"/>
              </v:shape>
            </w:pict>
          </mc:Fallback>
        </mc:AlternateContent>
      </w:r>
      <w:r w:rsidRPr="00180904">
        <w:rPr>
          <w:noProof/>
        </w:rPr>
        <mc:AlternateContent>
          <mc:Choice Requires="wps">
            <w:drawing>
              <wp:anchor distT="0" distB="0" distL="114300" distR="114300" simplePos="0" relativeHeight="251658293" behindDoc="0" locked="0" layoutInCell="1" allowOverlap="1" wp14:anchorId="63E05DCB" wp14:editId="51666829">
                <wp:simplePos x="0" y="0"/>
                <wp:positionH relativeFrom="column">
                  <wp:posOffset>4756245</wp:posOffset>
                </wp:positionH>
                <wp:positionV relativeFrom="paragraph">
                  <wp:posOffset>2292189</wp:posOffset>
                </wp:positionV>
                <wp:extent cx="1452880" cy="675564"/>
                <wp:effectExtent l="0" t="0" r="0" b="0"/>
                <wp:wrapNone/>
                <wp:docPr id="1850805847" name="Text Box 1850805847"/>
                <wp:cNvGraphicFramePr/>
                <a:graphic xmlns:a="http://schemas.openxmlformats.org/drawingml/2006/main">
                  <a:graphicData uri="http://schemas.microsoft.com/office/word/2010/wordprocessingShape">
                    <wps:wsp>
                      <wps:cNvSpPr txBox="1"/>
                      <wps:spPr>
                        <a:xfrm>
                          <a:off x="0" y="0"/>
                          <a:ext cx="1452880" cy="675564"/>
                        </a:xfrm>
                        <a:prstGeom prst="rect">
                          <a:avLst/>
                        </a:prstGeom>
                        <a:noFill/>
                        <a:ln w="6350">
                          <a:noFill/>
                        </a:ln>
                      </wps:spPr>
                      <wps:txbx>
                        <w:txbxContent>
                          <w:p w14:paraId="4A54A66C" w14:textId="77777777" w:rsidR="00A264AF"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East Coast</w:t>
                            </w:r>
                          </w:p>
                          <w:p w14:paraId="2C816B4E" w14:textId="3460ED69" w:rsidR="00A264AF" w:rsidRPr="00180904"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E05DCB" id="Text Box 1850805847" o:spid="_x0000_s1077" type="#_x0000_t202" style="position:absolute;margin-left:374.5pt;margin-top:180.5pt;width:114.4pt;height:53.2pt;z-index:2516582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" filled="f" stroked="f" strokeweight=".5pt">
                <v:textbox>
                  <w:txbxContent>
                    <w:p w14:paraId="4A54A66C" w14:textId="77777777" w:rsidR="00A264AF"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East Coast</w:t>
                      </w:r>
                    </w:p>
                    <w:p w14:paraId="2C816B4E" w14:textId="3460ED69" w:rsidR="00A264AF" w:rsidRPr="00180904"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(South)</w:t>
                      </w:r>
                    </w:p>
                  </w:txbxContent>
                </v:textbox>
              </v:shape>
            </w:pict>
          </mc:Fallback>
        </mc:AlternateContent>
      </w:r>
      <w:r w:rsidRPr="00180904">
        <w:rPr>
          <w:noProof/>
        </w:rPr>
        <mc:AlternateContent>
          <mc:Choice Requires="wps">
            <w:drawing>
              <wp:anchor distT="0" distB="0" distL="114300" distR="114300" simplePos="0" relativeHeight="251658292" behindDoc="0" locked="0" layoutInCell="1" allowOverlap="1" wp14:anchorId="49F70585" wp14:editId="60B6C72E">
                <wp:simplePos x="0" y="0"/>
                <wp:positionH relativeFrom="column">
                  <wp:posOffset>4564067</wp:posOffset>
                </wp:positionH>
                <wp:positionV relativeFrom="paragraph">
                  <wp:posOffset>1377486</wp:posOffset>
                </wp:positionV>
                <wp:extent cx="1452880" cy="675564"/>
                <wp:effectExtent l="0" t="0" r="0" b="0"/>
                <wp:wrapNone/>
                <wp:docPr id="1850805846" name="Text Box 1850805846"/>
                <wp:cNvGraphicFramePr/>
                <a:graphic xmlns:a="http://schemas.openxmlformats.org/drawingml/2006/main">
                  <a:graphicData uri="http://schemas.microsoft.com/office/word/2010/wordprocessingShape">
                    <wps:wsp>
                      <wps:cNvSpPr txBox="1"/>
                      <wps:spPr>
                        <a:xfrm>
                          <a:off x="0" y="0"/>
                          <a:ext cx="1452880" cy="675564"/>
                        </a:xfrm>
                        <a:prstGeom prst="rect">
                          <a:avLst/>
                        </a:prstGeom>
                        <a:noFill/>
                        <a:ln w="6350">
                          <a:noFill/>
                        </a:ln>
                      </wps:spPr>
                      <wps:txbx>
                        <w:txbxContent>
                          <w:p w14:paraId="6DFA4B9F" w14:textId="77777777" w:rsidR="00A264AF"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East Coast</w:t>
                            </w:r>
                          </w:p>
                          <w:p w14:paraId="2BDFE38A" w14:textId="18D63D4C" w:rsidR="00A264AF" w:rsidRPr="00180904"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(North)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F70585" id="Text Box 1850805846" o:spid="_x0000_s1078" type="#_x0000_t202" style="position:absolute;margin-left:359.4pt;margin-top:108.45pt;width:114.4pt;height:53.2pt;z-index:2516582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" filled="f" stroked="f" strokeweight=".5pt">
                <v:textbox>
                  <w:txbxContent>
                    <w:p w14:paraId="6DFA4B9F" w14:textId="77777777" w:rsidR="00A264AF"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East Coast</w:t>
                      </w:r>
                    </w:p>
                    <w:p w14:paraId="2BDFE38A" w14:textId="18D63D4C" w:rsidR="00A264AF" w:rsidRPr="00180904"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(North)</w:t>
                      </w:r>
                    </w:p>
                  </w:txbxContent>
                </v:textbox>
              </v:shape>
            </w:pict>
          </mc:Fallback>
        </mc:AlternateContent>
      </w:r>
      <w:r w:rsidRPr="00180904">
        <w:rPr>
          <w:noProof/>
        </w:rPr>
        <mc:AlternateContent>
          <mc:Choice Requires="wps">
            <w:drawing>
              <wp:anchor distT="0" distB="0" distL="114300" distR="114300" simplePos="0" relativeHeight="251658291" behindDoc="0" locked="0" layoutInCell="1" allowOverlap="1" wp14:anchorId="6F765357" wp14:editId="5F042B31">
                <wp:simplePos x="0" y="0"/>
                <wp:positionH relativeFrom="column">
                  <wp:posOffset>3605966</wp:posOffset>
                </wp:positionH>
                <wp:positionV relativeFrom="paragraph">
                  <wp:posOffset>569557</wp:posOffset>
                </wp:positionV>
                <wp:extent cx="1452880" cy="395785"/>
                <wp:effectExtent l="0" t="0" r="0" b="4445"/>
                <wp:wrapNone/>
                <wp:docPr id="1850805845" name="Text Box 1850805845"/>
                <wp:cNvGraphicFramePr/>
                <a:graphic xmlns:a="http://schemas.openxmlformats.org/drawingml/2006/main">
                  <a:graphicData uri="http://schemas.microsoft.com/office/word/2010/wordprocessingShape">
                    <wps:wsp>
                      <wps:cNvSpPr txBox="1"/>
                      <wps:spPr>
                        <a:xfrm>
                          <a:off x="0" y="0"/>
                          <a:ext cx="1452880" cy="395785"/>
                        </a:xfrm>
                        <a:prstGeom prst="rect">
                          <a:avLst/>
                        </a:prstGeom>
                        <a:noFill/>
                        <a:ln w="6350">
                          <a:noFill/>
                        </a:ln>
                      </wps:spPr>
                      <wps:txbx>
                        <w:txbxContent>
                          <w:p w14:paraId="73201D9C" w14:textId="209D8EDE" w:rsidR="00A264AF" w:rsidRPr="00180904"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Monsoonal North (East)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765357" id="Text Box 1850805845" o:spid="_x0000_s1079" type="#_x0000_t202" style="position:absolute;margin-left:283.95pt;margin-top:44.85pt;width:114.4pt;height:31.15pt;z-index:2516582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" filled="f" stroked="f" strokeweight=".5pt">
                <v:textbox>
                  <w:txbxContent>
                    <w:p w14:paraId="73201D9C" w14:textId="209D8EDE" w:rsidR="00A264AF" w:rsidRPr="00180904"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Monsoonal North (East)</w:t>
                      </w:r>
                    </w:p>
                  </w:txbxContent>
                </v:textbox>
              </v:shape>
            </w:pict>
          </mc:Fallback>
        </mc:AlternateContent>
      </w:r>
      <w:r w:rsidRPr="00180904">
        <w:rPr>
          <w:noProof/>
        </w:rPr>
        <mc:AlternateContent>
          <mc:Choice Requires="wps">
            <w:drawing>
              <wp:anchor distT="0" distB="0" distL="114300" distR="114300" simplePos="0" relativeHeight="251658290" behindDoc="0" locked="0" layoutInCell="1" allowOverlap="1" wp14:anchorId="24603D96" wp14:editId="3DF9DDD4">
                <wp:simplePos x="0" y="0"/>
                <wp:positionH relativeFrom="column">
                  <wp:posOffset>1555845</wp:posOffset>
                </wp:positionH>
                <wp:positionV relativeFrom="paragraph">
                  <wp:posOffset>1500619</wp:posOffset>
                </wp:positionV>
                <wp:extent cx="1452880" cy="675564"/>
                <wp:effectExtent l="0" t="0" r="0" b="0"/>
                <wp:wrapNone/>
                <wp:docPr id="1850805844" name="Text Box 1850805844"/>
                <wp:cNvGraphicFramePr/>
                <a:graphic xmlns:a="http://schemas.openxmlformats.org/drawingml/2006/main">
                  <a:graphicData uri="http://schemas.microsoft.com/office/word/2010/wordprocessingShape">
                    <wps:wsp>
                      <wps:cNvSpPr txBox="1"/>
                      <wps:spPr>
                        <a:xfrm>
                          <a:off x="0" y="0"/>
                          <a:ext cx="1452880" cy="675564"/>
                        </a:xfrm>
                        <a:prstGeom prst="rect">
                          <a:avLst/>
                        </a:prstGeom>
                        <a:noFill/>
                        <a:ln w="6350">
                          <a:noFill/>
                        </a:ln>
                      </wps:spPr>
                      <wps:txbx>
                        <w:txbxContent>
                          <w:p w14:paraId="26D2AE0A" w14:textId="35F0D7BD" w:rsidR="00A264AF" w:rsidRPr="00180904" w:rsidRDefault="00A264AF" w:rsidP="00180904">
                            <w:pPr>
                              <w:jc w:val="right"/>
                              <w:rPr>
                                <w:rFonts w:asciiTheme="minorHAnsi" w:hAnsiTheme="minorHAnsi" w:cstheme="minorHAnsi"/>
                                <w:color w:val="FFFFFF" w:themeColor="background1"/>
                                <w:sz w:val="18"/>
                                <w:szCs w:val="18"/>
                              </w:rPr>
                            </w:pPr>
                            <w:r w:rsidRPr="00180904">
                              <w:rPr>
                                <w:rFonts w:asciiTheme="minorHAnsi" w:hAnsiTheme="minorHAnsi" w:cstheme="minorHAnsi"/>
                                <w:color w:val="FFFFFF" w:themeColor="background1"/>
                                <w:sz w:val="18"/>
                                <w:szCs w:val="18"/>
                              </w:rPr>
                              <w:t>Rangelands (North)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603D96" id="Text Box 1850805844" o:spid="_x0000_s1080" type="#_x0000_t202" style="position:absolute;margin-left:122.5pt;margin-top:118.15pt;width:114.4pt;height:53.2pt;z-index:2516582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" filled="f" stroked="f" strokeweight=".5pt">
                <v:textbox>
                  <w:txbxContent>
                    <w:p w14:paraId="26D2AE0A" w14:textId="35F0D7BD" w:rsidR="00A264AF" w:rsidRPr="00180904" w:rsidRDefault="00A264AF" w:rsidP="00180904">
                      <w:pPr>
                        <w:jc w:val="right"/>
                        <w:rPr>
                          <w:rFonts w:asciiTheme="minorHAnsi" w:hAnsiTheme="minorHAnsi" w:cstheme="minorHAnsi"/>
                          <w:color w:val="FFFFFF" w:themeColor="background1"/>
                          <w:sz w:val="18"/>
                          <w:szCs w:val="18"/>
                        </w:rPr>
                      </w:pPr>
                      <w:r w:rsidRPr="00180904">
                        <w:rPr>
                          <w:rFonts w:asciiTheme="minorHAnsi" w:hAnsiTheme="minorHAnsi" w:cstheme="minorHAnsi"/>
                          <w:color w:val="FFFFFF" w:themeColor="background1"/>
                          <w:sz w:val="18"/>
                          <w:szCs w:val="18"/>
                        </w:rPr>
                        <w:t>Rangelands (North)</w:t>
                      </w:r>
                    </w:p>
                  </w:txbxContent>
                </v:textbox>
              </v:shape>
            </w:pict>
          </mc:Fallback>
        </mc:AlternateContent>
      </w:r>
      <w:r w:rsidRPr="00180904">
        <w:rPr>
          <w:noProof/>
        </w:rPr>
        <mc:AlternateContent>
          <mc:Choice Requires="wps">
            <w:drawing>
              <wp:anchor distT="0" distB="0" distL="114300" distR="114300" simplePos="0" relativeHeight="251658289" behindDoc="0" locked="0" layoutInCell="1" allowOverlap="1" wp14:anchorId="6229F985" wp14:editId="35BFDE7D">
                <wp:simplePos x="0" y="0"/>
                <wp:positionH relativeFrom="column">
                  <wp:posOffset>3039670</wp:posOffset>
                </wp:positionH>
                <wp:positionV relativeFrom="paragraph">
                  <wp:posOffset>2534835</wp:posOffset>
                </wp:positionV>
                <wp:extent cx="920191" cy="484496"/>
                <wp:effectExtent l="0" t="0" r="0" b="0"/>
                <wp:wrapNone/>
                <wp:docPr id="1850805843" name="Text Box 1850805843"/>
                <wp:cNvGraphicFramePr/>
                <a:graphic xmlns:a="http://schemas.openxmlformats.org/drawingml/2006/main">
                  <a:graphicData uri="http://schemas.microsoft.com/office/word/2010/wordprocessingShape">
                    <wps:wsp>
                      <wps:cNvSpPr txBox="1"/>
                      <wps:spPr>
                        <a:xfrm>
                          <a:off x="0" y="0"/>
                          <a:ext cx="920191" cy="484496"/>
                        </a:xfrm>
                        <a:prstGeom prst="rect">
                          <a:avLst/>
                        </a:prstGeom>
                        <a:noFill/>
                        <a:ln w="6350">
                          <a:noFill/>
                        </a:ln>
                      </wps:spPr>
                      <wps:txbx>
                        <w:txbxContent>
                          <w:p w14:paraId="2FB64F68" w14:textId="128E463C" w:rsidR="00A264AF" w:rsidRPr="00180904" w:rsidRDefault="00A264AF" w:rsidP="00180904">
                            <w:pPr>
                              <w:jc w:val="right"/>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Murray Basin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9F985" id="Text Box 1850805843" o:spid="_x0000_s1081" type="#_x0000_t202" style="position:absolute;margin-left:239.35pt;margin-top:199.6pt;width:72.45pt;height:38.1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" filled="f" stroked="f" strokeweight=".5pt">
                <v:textbox>
                  <w:txbxContent>
                    <w:p w14:paraId="2FB64F68" w14:textId="128E463C" w:rsidR="00A264AF" w:rsidRPr="00180904" w:rsidRDefault="00A264AF" w:rsidP="00180904">
                      <w:pPr>
                        <w:jc w:val="right"/>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Murray Basin</w:t>
                      </w:r>
                    </w:p>
                  </w:txbxContent>
                </v:textbox>
              </v:shape>
            </w:pict>
          </mc:Fallback>
        </mc:AlternateContent>
      </w:r>
      <w:r w:rsidRPr="00180904">
        <w:rPr>
          <w:noProof/>
        </w:rPr>
        <mc:AlternateContent>
          <mc:Choice Requires="wps">
            <w:drawing>
              <wp:anchor distT="0" distB="0" distL="114300" distR="114300" simplePos="0" relativeHeight="251658288" behindDoc="0" locked="0" layoutInCell="1" allowOverlap="1" wp14:anchorId="4CB8AB56" wp14:editId="1CC73E66">
                <wp:simplePos x="0" y="0"/>
                <wp:positionH relativeFrom="column">
                  <wp:posOffset>1340656</wp:posOffset>
                </wp:positionH>
                <wp:positionV relativeFrom="paragraph">
                  <wp:posOffset>2903324</wp:posOffset>
                </wp:positionV>
                <wp:extent cx="1452880" cy="675564"/>
                <wp:effectExtent l="0" t="0" r="0" b="0"/>
                <wp:wrapNone/>
                <wp:docPr id="1850805842" name="Text Box 1850805842"/>
                <wp:cNvGraphicFramePr/>
                <a:graphic xmlns:a="http://schemas.openxmlformats.org/drawingml/2006/main">
                  <a:graphicData uri="http://schemas.microsoft.com/office/word/2010/wordprocessingShape">
                    <wps:wsp>
                      <wps:cNvSpPr txBox="1"/>
                      <wps:spPr>
                        <a:xfrm>
                          <a:off x="0" y="0"/>
                          <a:ext cx="1452880" cy="675564"/>
                        </a:xfrm>
                        <a:prstGeom prst="rect">
                          <a:avLst/>
                        </a:prstGeom>
                        <a:noFill/>
                        <a:ln w="6350">
                          <a:noFill/>
                        </a:ln>
                      </wps:spPr>
                      <wps:txbx>
                        <w:txbxContent>
                          <w:p w14:paraId="500B0598" w14:textId="742D29DB" w:rsidR="00A264AF" w:rsidRPr="00180904" w:rsidRDefault="00A264AF" w:rsidP="00180904">
                            <w:pPr>
                              <w:jc w:val="right"/>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Southern and South Western Flatlands (East)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B8AB56" id="Text Box 1850805842" o:spid="_x0000_s1082" type="#_x0000_t202" style="position:absolute;margin-left:105.55pt;margin-top:228.6pt;width:114.4pt;height:53.2pt;z-index:25165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" filled="f" stroked="f" strokeweight=".5pt">
                <v:textbox>
                  <w:txbxContent>
                    <w:p w14:paraId="500B0598" w14:textId="742D29DB" w:rsidR="00A264AF" w:rsidRPr="00180904" w:rsidRDefault="00A264AF" w:rsidP="00180904">
                      <w:pPr>
                        <w:jc w:val="right"/>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Southern and South Western Flatlands (East)</w:t>
                      </w:r>
                    </w:p>
                  </w:txbxContent>
                </v:textbox>
              </v:shape>
            </w:pict>
          </mc:Fallback>
        </mc:AlternateContent>
      </w:r>
      <w:r w:rsidRPr="00180904">
        <w:rPr>
          <w:noProof/>
        </w:rPr>
        <mc:AlternateContent>
          <mc:Choice Requires="wps">
            <w:drawing>
              <wp:anchor distT="0" distB="0" distL="114300" distR="114300" simplePos="0" relativeHeight="251658287" behindDoc="0" locked="0" layoutInCell="1" allowOverlap="1" wp14:anchorId="55AEFD89" wp14:editId="22B1927E">
                <wp:simplePos x="0" y="0"/>
                <wp:positionH relativeFrom="column">
                  <wp:posOffset>562279</wp:posOffset>
                </wp:positionH>
                <wp:positionV relativeFrom="paragraph">
                  <wp:posOffset>1988365</wp:posOffset>
                </wp:positionV>
                <wp:extent cx="1452880" cy="675564"/>
                <wp:effectExtent l="0" t="0" r="0" b="0"/>
                <wp:wrapNone/>
                <wp:docPr id="1850805841" name="Text Box 1850805841"/>
                <wp:cNvGraphicFramePr/>
                <a:graphic xmlns:a="http://schemas.openxmlformats.org/drawingml/2006/main">
                  <a:graphicData uri="http://schemas.microsoft.com/office/word/2010/wordprocessingShape">
                    <wps:wsp>
                      <wps:cNvSpPr txBox="1"/>
                      <wps:spPr>
                        <a:xfrm>
                          <a:off x="0" y="0"/>
                          <a:ext cx="1452880" cy="675564"/>
                        </a:xfrm>
                        <a:prstGeom prst="rect">
                          <a:avLst/>
                        </a:prstGeom>
                        <a:noFill/>
                        <a:ln w="6350">
                          <a:noFill/>
                        </a:ln>
                      </wps:spPr>
                      <wps:txbx>
                        <w:txbxContent>
                          <w:p w14:paraId="0D8C865E" w14:textId="67D71064" w:rsidR="00A264AF" w:rsidRPr="00180904"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Southern and South Western Flatlands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AEFD89" id="Text Box 1850805841" o:spid="_x0000_s1083" type="#_x0000_t202" style="position:absolute;margin-left:44.25pt;margin-top:156.55pt;width:114.4pt;height:53.2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" filled="f" stroked="f" strokeweight=".5pt">
                <v:textbox>
                  <w:txbxContent>
                    <w:p w14:paraId="0D8C865E" w14:textId="67D71064" w:rsidR="00A264AF" w:rsidRPr="00180904" w:rsidRDefault="00A264AF" w:rsidP="00180904">
                      <w:pPr>
                        <w:rPr>
                          <w:rFonts w:asciiTheme="minorHAnsi" w:hAnsiTheme="minorHAnsi" w:cstheme="minorHAnsi"/>
                          <w:color w:val="262626" w:themeColor="text1" w:themeTint="D9"/>
                          <w:sz w:val="18"/>
                          <w:szCs w:val="18"/>
                        </w:rPr>
                      </w:pPr>
                      <w:r>
                        <w:rPr>
                          <w:rFonts w:asciiTheme="minorHAnsi" w:hAnsiTheme="minorHAnsi" w:cstheme="minorHAnsi"/>
                          <w:color w:val="262626" w:themeColor="text1" w:themeTint="D9"/>
                          <w:sz w:val="18"/>
                          <w:szCs w:val="18"/>
                        </w:rPr>
                        <w:t>Southern and South Western Flatlands (West)</w:t>
                      </w:r>
                    </w:p>
                  </w:txbxContent>
                </v:textbox>
              </v:shape>
            </w:pict>
          </mc:Fallback>
        </mc:AlternateContent>
      </w:r>
      <w:r w:rsidR="00CA36FE">
        <w:rPr>
          <w:noProof/>
        </w:rPr>
        <mc:AlternateContent>
          <mc:Choice Requires="wps">
            <w:drawing>
              <wp:anchor distT="0" distB="0" distL="114300" distR="114300" simplePos="0" relativeHeight="251658264" behindDoc="0" locked="0" layoutInCell="1" allowOverlap="1" wp14:anchorId="0FD34EE2" wp14:editId="114DB189">
                <wp:simplePos x="0" y="0"/>
                <wp:positionH relativeFrom="margin">
                  <wp:posOffset>3933797</wp:posOffset>
                </wp:positionH>
                <wp:positionV relativeFrom="paragraph">
                  <wp:posOffset>1547343</wp:posOffset>
                </wp:positionV>
                <wp:extent cx="648268" cy="545608"/>
                <wp:effectExtent l="0" t="0" r="19050" b="26035"/>
                <wp:wrapNone/>
                <wp:docPr id="1068683814" name="Oval 1068683814"/>
                <wp:cNvGraphicFramePr/>
                <a:graphic xmlns:a="http://schemas.openxmlformats.org/drawingml/2006/main">
                  <a:graphicData uri="http://schemas.microsoft.com/office/word/2010/wordprocessingShape">
                    <wps:wsp>
                      <wps:cNvSpPr/>
                      <wps:spPr>
                        <a:xfrm>
                          <a:off x="0" y="0"/>
                          <a:ext cx="648268" cy="54560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9C3F85" id="Oval 1068683814" o:spid="_x0000_s1026" style="position:absolute;margin-left:309.75pt;margin-top:121.85pt;width:51.05pt;height:42.95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" filled="f" strokecolor="red" strokeweight="1.5pt">
                <w10:wrap anchorx="margin"/>
              </v:oval>
            </w:pict>
          </mc:Fallback>
        </mc:AlternateContent>
      </w:r>
      <w:r w:rsidR="00CA36FE">
        <w:rPr>
          <w:noProof/>
        </w:rPr>
        <mc:AlternateContent>
          <mc:Choice Requires="wps">
            <w:drawing>
              <wp:anchor distT="0" distB="0" distL="114300" distR="114300" simplePos="0" relativeHeight="251658263" behindDoc="0" locked="0" layoutInCell="1" allowOverlap="1" wp14:anchorId="02DB7869" wp14:editId="6CA08C5D">
                <wp:simplePos x="0" y="0"/>
                <wp:positionH relativeFrom="column">
                  <wp:posOffset>4199388</wp:posOffset>
                </wp:positionH>
                <wp:positionV relativeFrom="paragraph">
                  <wp:posOffset>2065740</wp:posOffset>
                </wp:positionV>
                <wp:extent cx="313899" cy="784651"/>
                <wp:effectExtent l="76200" t="0" r="67310" b="0"/>
                <wp:wrapNone/>
                <wp:docPr id="1068683813" name="Oval 1068683813"/>
                <wp:cNvGraphicFramePr/>
                <a:graphic xmlns:a="http://schemas.openxmlformats.org/drawingml/2006/main">
                  <a:graphicData uri="http://schemas.microsoft.com/office/word/2010/wordprocessingShape">
                    <wps:wsp>
                      <wps:cNvSpPr/>
                      <wps:spPr>
                        <a:xfrm rot="1287621">
                          <a:off x="0" y="0"/>
                          <a:ext cx="313899" cy="784651"/>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31E245" id="Oval 1068683813" o:spid="_x0000_s1026" style="position:absolute;margin-left:330.65pt;margin-top:162.65pt;width:24.7pt;height:61.8pt;rotation:1406425fd;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" filled="f" strokecolor="red" strokeweight="1.5pt"/>
            </w:pict>
          </mc:Fallback>
        </mc:AlternateContent>
      </w:r>
      <w:r w:rsidR="00CA36FE">
        <w:rPr>
          <w:noProof/>
        </w:rPr>
        <mc:AlternateContent>
          <mc:Choice Requires="wps">
            <w:drawing>
              <wp:anchor distT="0" distB="0" distL="114300" distR="114300" simplePos="0" relativeHeight="251658262" behindDoc="0" locked="0" layoutInCell="1" allowOverlap="1" wp14:anchorId="78808B97" wp14:editId="6635C372">
                <wp:simplePos x="0" y="0"/>
                <wp:positionH relativeFrom="column">
                  <wp:posOffset>3265056</wp:posOffset>
                </wp:positionH>
                <wp:positionV relativeFrom="paragraph">
                  <wp:posOffset>3103188</wp:posOffset>
                </wp:positionV>
                <wp:extent cx="852985" cy="341194"/>
                <wp:effectExtent l="19050" t="19050" r="23495" b="20955"/>
                <wp:wrapNone/>
                <wp:docPr id="1068683812" name="Oval 1068683812"/>
                <wp:cNvGraphicFramePr/>
                <a:graphic xmlns:a="http://schemas.openxmlformats.org/drawingml/2006/main">
                  <a:graphicData uri="http://schemas.microsoft.com/office/word/2010/wordprocessingShape">
                    <wps:wsp>
                      <wps:cNvSpPr/>
                      <wps:spPr>
                        <a:xfrm rot="238153">
                          <a:off x="0" y="0"/>
                          <a:ext cx="852985" cy="34119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AED907" id="Oval 1068683812" o:spid="_x0000_s1026" style="position:absolute;margin-left:257.1pt;margin-top:244.35pt;width:67.15pt;height:26.85pt;rotation:260127fd;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" filled="f" strokecolor="red" strokeweight="1.5pt"/>
            </w:pict>
          </mc:Fallback>
        </mc:AlternateContent>
      </w:r>
      <w:r w:rsidR="00CA36FE">
        <w:rPr>
          <w:noProof/>
        </w:rPr>
        <mc:AlternateContent>
          <mc:Choice Requires="wps">
            <w:drawing>
              <wp:anchor distT="0" distB="0" distL="114300" distR="114300" simplePos="0" relativeHeight="251658261" behindDoc="0" locked="0" layoutInCell="1" allowOverlap="1" wp14:anchorId="7A4A4791" wp14:editId="3797C967">
                <wp:simplePos x="0" y="0"/>
                <wp:positionH relativeFrom="column">
                  <wp:posOffset>2315940</wp:posOffset>
                </wp:positionH>
                <wp:positionV relativeFrom="paragraph">
                  <wp:posOffset>2515889</wp:posOffset>
                </wp:positionV>
                <wp:extent cx="184245" cy="184245"/>
                <wp:effectExtent l="0" t="0" r="25400" b="25400"/>
                <wp:wrapNone/>
                <wp:docPr id="1068683811" name="Oval 1068683811"/>
                <wp:cNvGraphicFramePr/>
                <a:graphic xmlns:a="http://schemas.openxmlformats.org/drawingml/2006/main">
                  <a:graphicData uri="http://schemas.microsoft.com/office/word/2010/wordprocessingShape">
                    <wps:wsp>
                      <wps:cNvSpPr/>
                      <wps:spPr>
                        <a:xfrm>
                          <a:off x="0" y="0"/>
                          <a:ext cx="184245" cy="18424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74911E" id="Oval 1068683811" o:spid="_x0000_s1026" style="position:absolute;margin-left:182.35pt;margin-top:198.1pt;width:14.5pt;height:14.5pt;z-index:2516582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" filled="f" strokecolor="red" strokeweight="1.5pt"/>
            </w:pict>
          </mc:Fallback>
        </mc:AlternateContent>
      </w:r>
      <w:r w:rsidR="00CA36FE">
        <w:rPr>
          <w:noProof/>
        </w:rPr>
        <w:drawing>
          <wp:inline distT="0" distB="0" distL="0" distR="0" wp14:anchorId="73D9C6D3" wp14:editId="551637DA">
            <wp:extent cx="4857008" cy="4031045"/>
            <wp:effectExtent l="0" t="0" r="1270" b="7620"/>
            <wp:docPr id="1068683810" name="Picture 106868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60033" cy="4033556"/>
                    </a:xfrm>
                    <a:prstGeom prst="rect">
                      <a:avLst/>
                    </a:prstGeom>
                  </pic:spPr>
                </pic:pic>
              </a:graphicData>
            </a:graphic>
          </wp:inline>
        </w:drawing>
      </w:r>
    </w:p>
    <w:p w14:paraId="0CF745FA" w14:textId="78788E70" w:rsidR="006A6853" w:rsidRDefault="006A6853" w:rsidP="006A6853">
      <w:pPr>
        <w:pStyle w:val="Caption"/>
        <w:rPr>
          <w:b w:val="0"/>
          <w:bCs w:val="0"/>
        </w:rPr>
      </w:pPr>
      <w:bookmarkStart w:id="164" w:name="_Ref49781946"/>
      <w:bookmarkStart w:id="165" w:name="_Toc52968243"/>
      <w:r>
        <w:t xml:space="preserve">Figure </w:t>
      </w:r>
      <w:r>
        <w:fldChar w:fldCharType="begin"/>
      </w:r>
      <w:r>
        <w:instrText>SEQ Figure \* ARABIC</w:instrText>
      </w:r>
      <w:r>
        <w:fldChar w:fldCharType="separate"/>
      </w:r>
      <w:r w:rsidR="00235F13">
        <w:rPr>
          <w:noProof/>
        </w:rPr>
        <w:t>13</w:t>
      </w:r>
      <w:r>
        <w:fldChar w:fldCharType="end"/>
      </w:r>
      <w:bookmarkEnd w:id="164"/>
      <w:r>
        <w:t xml:space="preserve">. </w:t>
      </w:r>
      <w:r>
        <w:rPr>
          <w:b w:val="0"/>
          <w:bCs w:val="0"/>
        </w:rPr>
        <w:t>S</w:t>
      </w:r>
      <w:r w:rsidRPr="006A6853">
        <w:rPr>
          <w:b w:val="0"/>
          <w:bCs w:val="0"/>
        </w:rPr>
        <w:t>patial domain for the Management of Agricultural Soils activity. Grey area shows the distribution of Agricultural land use across Australia. Existing registered and contracted projects are located approximately within the red boundarie</w:t>
      </w:r>
      <w:r>
        <w:rPr>
          <w:b w:val="0"/>
          <w:bCs w:val="0"/>
        </w:rPr>
        <w:t>s.</w:t>
      </w:r>
      <w:bookmarkEnd w:id="165"/>
    </w:p>
    <w:p w14:paraId="4831D26A" w14:textId="5E55D8C8" w:rsidR="00CA36FE" w:rsidRPr="0012776E" w:rsidRDefault="00CA36FE" w:rsidP="00CA36FE">
      <w:pPr>
        <w:pStyle w:val="BodyText"/>
        <w:rPr>
          <w:color w:val="808080" w:themeColor="background1" w:themeShade="80"/>
        </w:rPr>
      </w:pPr>
    </w:p>
    <w:p w14:paraId="3A62084C" w14:textId="29290648" w:rsidR="00CA36FE" w:rsidRPr="004E100C" w:rsidRDefault="00CA36FE" w:rsidP="00CA36FE">
      <w:pPr>
        <w:pStyle w:val="Heading4"/>
      </w:pPr>
      <w:r w:rsidRPr="004E100C">
        <w:t>Risk assessment against identified climate impact factors</w:t>
      </w:r>
    </w:p>
    <w:p w14:paraId="5DE512A4" w14:textId="58848A28" w:rsidR="00CA36FE" w:rsidRDefault="00CA36FE" w:rsidP="00CA36FE">
      <w:pPr>
        <w:pStyle w:val="BodyText"/>
        <w:spacing w:after="0"/>
        <w:rPr>
          <w:color w:val="auto"/>
        </w:rPr>
      </w:pPr>
      <w:r w:rsidRPr="007F4D43">
        <w:rPr>
          <w:color w:val="auto"/>
        </w:rPr>
        <w:t>Soil carbon sequestration is widely regarded as</w:t>
      </w:r>
      <w:r>
        <w:rPr>
          <w:color w:val="auto"/>
        </w:rPr>
        <w:t xml:space="preserve"> a viable and enduring option for greenhouse gas mitigation, as evidenced by the ‘4 per mille Soils for Food Security and Climate’ goal announced at the COP21 UNFCC conference of the parties that produced the Paris Climate Agreement (Minasny et al. 2017).</w:t>
      </w:r>
      <w:r w:rsidRPr="007F4D43">
        <w:rPr>
          <w:color w:val="auto"/>
        </w:rPr>
        <w:t xml:space="preserve"> </w:t>
      </w:r>
      <w:r>
        <w:rPr>
          <w:color w:val="auto"/>
        </w:rPr>
        <w:t>This equates to approximately 2-3 Gt C yr</w:t>
      </w:r>
      <w:r w:rsidRPr="00D31B25">
        <w:rPr>
          <w:color w:val="auto"/>
          <w:vertAlign w:val="superscript"/>
        </w:rPr>
        <w:t>-1</w:t>
      </w:r>
      <w:r>
        <w:rPr>
          <w:color w:val="auto"/>
        </w:rPr>
        <w:t xml:space="preserve">, or approximately 20-35% of global anthropogenic emissions annually. However, significant social and economic barriers to achieving </w:t>
      </w:r>
      <w:r>
        <w:rPr>
          <w:color w:val="auto"/>
        </w:rPr>
        <w:lastRenderedPageBreak/>
        <w:t>this goal have been recognised (Amundson and Biardeau 2018; Demenois et al. 2020). Increasing soil organic carbon also poses practical difficulties, such as the potential for reversal, and accounting for the many interacting factors, that vary spatially and temporally, that control rates of organic matter input and SOC losses through decomposition and erosion (Meyer et al. 2018).</w:t>
      </w:r>
    </w:p>
    <w:p w14:paraId="3808FEE9" w14:textId="38BB0A10" w:rsidR="00CA36FE" w:rsidRDefault="00CA36FE" w:rsidP="00CA36FE">
      <w:pPr>
        <w:pStyle w:val="BodyText"/>
        <w:spacing w:after="0"/>
        <w:rPr>
          <w:color w:val="auto"/>
        </w:rPr>
      </w:pPr>
      <w:r>
        <w:rPr>
          <w:color w:val="auto"/>
        </w:rPr>
        <w:t>These two controlling processes, organic matter input and loss, can respond differentially to a given set of climate change factors. For example</w:t>
      </w:r>
      <w:r w:rsidR="00A924EC">
        <w:rPr>
          <w:color w:val="auto"/>
        </w:rPr>
        <w:t>,</w:t>
      </w:r>
      <w:r>
        <w:rPr>
          <w:color w:val="auto"/>
        </w:rPr>
        <w:t xml:space="preserve"> the expected plant growth response to increasing atmospheric CO</w:t>
      </w:r>
      <w:r w:rsidRPr="00AD0569">
        <w:rPr>
          <w:color w:val="auto"/>
          <w:vertAlign w:val="subscript"/>
        </w:rPr>
        <w:t>2</w:t>
      </w:r>
      <w:r>
        <w:rPr>
          <w:color w:val="auto"/>
        </w:rPr>
        <w:t xml:space="preserve"> concentration, temperature and rainfall is an increase in plant production, and hence an increase in the rate of organic matter input. However</w:t>
      </w:r>
      <w:r w:rsidR="00A924EC">
        <w:rPr>
          <w:color w:val="auto"/>
        </w:rPr>
        <w:t>,</w:t>
      </w:r>
      <w:r>
        <w:rPr>
          <w:color w:val="auto"/>
        </w:rPr>
        <w:t xml:space="preserve"> these same factors may also be expected to stimulate microbial activity in the soil, leading to increased decomposition. Whilst overly simplistic, this scenario illustrates the net effect on soil carbon storage to any given set of forcing variables may be uncertain. In general, factors affecting organic matter input and decomposition are expected to have implications for both risks to </w:t>
      </w:r>
      <w:r w:rsidR="000A4E87">
        <w:rPr>
          <w:color w:val="auto"/>
        </w:rPr>
        <w:t>accumulation</w:t>
      </w:r>
      <w:r>
        <w:rPr>
          <w:color w:val="auto"/>
        </w:rPr>
        <w:t xml:space="preserve"> and </w:t>
      </w:r>
      <w:r w:rsidR="000A4E87" w:rsidRPr="000A4E87">
        <w:rPr>
          <w:color w:val="auto"/>
        </w:rPr>
        <w:t>maintenance</w:t>
      </w:r>
      <w:r>
        <w:rPr>
          <w:color w:val="auto"/>
        </w:rPr>
        <w:t xml:space="preserve">; although </w:t>
      </w:r>
      <w:r w:rsidR="000A4E87">
        <w:rPr>
          <w:color w:val="auto"/>
        </w:rPr>
        <w:t xml:space="preserve">losses are </w:t>
      </w:r>
      <w:r>
        <w:rPr>
          <w:color w:val="auto"/>
        </w:rPr>
        <w:t>likely to occur over extended timeframes compared to, for example, instantaneous losses of biomass carbon from wildfire.</w:t>
      </w:r>
    </w:p>
    <w:p w14:paraId="4C28089C" w14:textId="77777777" w:rsidR="00CA36FE" w:rsidRDefault="00CA36FE" w:rsidP="00CA36FE">
      <w:pPr>
        <w:pStyle w:val="BodyText"/>
        <w:spacing w:after="0"/>
        <w:rPr>
          <w:i/>
          <w:iCs/>
        </w:rPr>
      </w:pPr>
      <w:r>
        <w:rPr>
          <w:i/>
          <w:iCs/>
        </w:rPr>
        <w:t>Climate change factors affecting rates of organic matter input and decomposition</w:t>
      </w:r>
    </w:p>
    <w:p w14:paraId="36DF2BF4" w14:textId="77777777" w:rsidR="00CA36FE" w:rsidRPr="00921E76" w:rsidRDefault="00CA36FE" w:rsidP="00CA36FE">
      <w:pPr>
        <w:pStyle w:val="BodyText"/>
        <w:spacing w:before="0" w:after="0" w:line="240" w:lineRule="auto"/>
        <w:ind w:left="284"/>
        <w:rPr>
          <w:i/>
          <w:iCs/>
          <w:color w:val="auto"/>
        </w:rPr>
      </w:pPr>
      <w:r>
        <w:rPr>
          <w:color w:val="auto"/>
        </w:rPr>
        <w:t xml:space="preserve">- </w:t>
      </w:r>
      <w:r w:rsidRPr="00921E76">
        <w:rPr>
          <w:i/>
          <w:iCs/>
          <w:color w:val="auto"/>
        </w:rPr>
        <w:t>Increasing atmospheric CO</w:t>
      </w:r>
      <w:r w:rsidRPr="00921E76">
        <w:rPr>
          <w:i/>
          <w:iCs/>
          <w:color w:val="auto"/>
          <w:vertAlign w:val="subscript"/>
        </w:rPr>
        <w:t>2</w:t>
      </w:r>
      <w:r w:rsidRPr="00921E76">
        <w:rPr>
          <w:i/>
          <w:iCs/>
          <w:color w:val="auto"/>
        </w:rPr>
        <w:t xml:space="preserve"> concentration</w:t>
      </w:r>
    </w:p>
    <w:p w14:paraId="2AA5FCF8" w14:textId="77777777" w:rsidR="00CA36FE" w:rsidRPr="00921E76" w:rsidRDefault="00CA36FE" w:rsidP="00CA36FE">
      <w:pPr>
        <w:pStyle w:val="BodyText"/>
        <w:spacing w:before="0" w:after="0" w:line="240" w:lineRule="auto"/>
        <w:ind w:left="284"/>
        <w:rPr>
          <w:i/>
          <w:iCs/>
          <w:color w:val="auto"/>
        </w:rPr>
      </w:pPr>
      <w:r>
        <w:rPr>
          <w:i/>
          <w:iCs/>
          <w:color w:val="auto"/>
        </w:rPr>
        <w:t xml:space="preserve">- </w:t>
      </w:r>
      <w:r w:rsidRPr="00921E76">
        <w:rPr>
          <w:i/>
          <w:iCs/>
          <w:color w:val="auto"/>
        </w:rPr>
        <w:t>Increasing average temperatures</w:t>
      </w:r>
    </w:p>
    <w:p w14:paraId="3CE67AF4" w14:textId="77777777" w:rsidR="00CA36FE" w:rsidRPr="00921E76" w:rsidRDefault="00CA36FE" w:rsidP="00CA36FE">
      <w:pPr>
        <w:pStyle w:val="BodyText"/>
        <w:spacing w:before="0" w:after="0" w:line="240" w:lineRule="auto"/>
        <w:ind w:left="284"/>
        <w:rPr>
          <w:i/>
          <w:iCs/>
          <w:color w:val="auto"/>
        </w:rPr>
      </w:pPr>
      <w:r>
        <w:rPr>
          <w:i/>
          <w:iCs/>
          <w:color w:val="auto"/>
        </w:rPr>
        <w:t xml:space="preserve">- </w:t>
      </w:r>
      <w:r w:rsidRPr="00921E76">
        <w:rPr>
          <w:i/>
          <w:iCs/>
          <w:color w:val="auto"/>
        </w:rPr>
        <w:t>Changes in rainfall and drought</w:t>
      </w:r>
    </w:p>
    <w:p w14:paraId="7107B9B4" w14:textId="77777777" w:rsidR="00CA36FE" w:rsidRDefault="00CA36FE" w:rsidP="00CA36FE">
      <w:pPr>
        <w:pStyle w:val="BodyText"/>
        <w:rPr>
          <w:color w:val="auto"/>
        </w:rPr>
      </w:pPr>
      <w:r w:rsidRPr="006E423B">
        <w:rPr>
          <w:color w:val="auto"/>
        </w:rPr>
        <w:t xml:space="preserve">The main </w:t>
      </w:r>
      <w:r>
        <w:rPr>
          <w:color w:val="auto"/>
        </w:rPr>
        <w:t>risk factors influencing rates of organic matter input are those that affect crop and pasture productivity, such as changes in atmospheric CO</w:t>
      </w:r>
      <w:r w:rsidRPr="00DA56D7">
        <w:rPr>
          <w:color w:val="auto"/>
          <w:vertAlign w:val="subscript"/>
        </w:rPr>
        <w:t>2</w:t>
      </w:r>
      <w:r>
        <w:rPr>
          <w:color w:val="auto"/>
        </w:rPr>
        <w:t xml:space="preserve"> concentration (with implications for growth and water use efficiency), temperature, and precipitation. There is a vast literature on the potential impacts of climate change on crop and pasture production, and a complete review is well beyond the scope of this report. Here we summarise the primary crop and pasture responses, with particular reference to Australia’s main agricultural regions.</w:t>
      </w:r>
    </w:p>
    <w:p w14:paraId="506C3124" w14:textId="77777777" w:rsidR="00CA36FE" w:rsidRDefault="00CA36FE" w:rsidP="00CA36FE">
      <w:pPr>
        <w:pStyle w:val="BodyText"/>
        <w:rPr>
          <w:color w:val="auto"/>
        </w:rPr>
      </w:pPr>
      <w:r>
        <w:rPr>
          <w:color w:val="auto"/>
        </w:rPr>
        <w:t>Elevated CO</w:t>
      </w:r>
      <w:r w:rsidRPr="00B9153B">
        <w:rPr>
          <w:color w:val="auto"/>
          <w:vertAlign w:val="subscript"/>
        </w:rPr>
        <w:t>2</w:t>
      </w:r>
      <w:r>
        <w:rPr>
          <w:color w:val="auto"/>
        </w:rPr>
        <w:t xml:space="preserve"> has been observed to increase crop biomass and product yields across numerous experimental studies, although it is recognised responses in actual field settings may be lower than observed under idealised experimental conditions, where plants are unstressed and have access to plentiful resources (Tubiello et al. 2007). Positive growth responses to CO</w:t>
      </w:r>
      <w:r w:rsidRPr="00F05F52">
        <w:rPr>
          <w:color w:val="auto"/>
          <w:vertAlign w:val="subscript"/>
        </w:rPr>
        <w:t>2</w:t>
      </w:r>
      <w:r>
        <w:rPr>
          <w:color w:val="auto"/>
          <w:vertAlign w:val="subscript"/>
        </w:rPr>
        <w:t xml:space="preserve"> </w:t>
      </w:r>
      <w:r>
        <w:rPr>
          <w:color w:val="auto"/>
        </w:rPr>
        <w:t>fertilisation can be further moderated by changes in temperature and precipitation, for example increased temperatures with associated increases in potential evapotranspiration can increase demand for water. Differences in photosynthetic pathway are another factor, with C3 species generally considered to be more responsive to CO</w:t>
      </w:r>
      <w:r w:rsidRPr="000A2FD9">
        <w:rPr>
          <w:color w:val="auto"/>
          <w:vertAlign w:val="subscript"/>
        </w:rPr>
        <w:t>2</w:t>
      </w:r>
      <w:r>
        <w:rPr>
          <w:color w:val="auto"/>
        </w:rPr>
        <w:t xml:space="preserve"> compared to C4 species, though with C4 species relatively more responsive to temperature increase. The net response to increasing atmospheric CO</w:t>
      </w:r>
      <w:r w:rsidRPr="000A2FD9">
        <w:rPr>
          <w:color w:val="auto"/>
          <w:vertAlign w:val="subscript"/>
        </w:rPr>
        <w:t>2</w:t>
      </w:r>
      <w:r>
        <w:rPr>
          <w:color w:val="auto"/>
        </w:rPr>
        <w:t xml:space="preserve"> is therefore difficult to predict. </w:t>
      </w:r>
    </w:p>
    <w:p w14:paraId="61A60A91" w14:textId="77777777" w:rsidR="00CA36FE" w:rsidRDefault="00CA36FE" w:rsidP="00CA36FE">
      <w:pPr>
        <w:pStyle w:val="BodyText"/>
        <w:rPr>
          <w:color w:val="auto"/>
        </w:rPr>
      </w:pPr>
      <w:r>
        <w:rPr>
          <w:color w:val="auto"/>
        </w:rPr>
        <w:t>Studies that have simultaneously investigated temperature, precipitation and CO</w:t>
      </w:r>
      <w:r w:rsidRPr="00AF4CB9">
        <w:rPr>
          <w:color w:val="auto"/>
          <w:vertAlign w:val="subscript"/>
        </w:rPr>
        <w:t>2</w:t>
      </w:r>
      <w:r>
        <w:rPr>
          <w:color w:val="auto"/>
        </w:rPr>
        <w:t xml:space="preserve"> fertilisation on crop and pasture growth have suggested some consistency in predicted plant responses. Phelan et al. (2014) investigated projected changes in temperature, CO</w:t>
      </w:r>
      <w:r w:rsidRPr="00AF4CB9">
        <w:rPr>
          <w:color w:val="auto"/>
          <w:vertAlign w:val="subscript"/>
        </w:rPr>
        <w:t>2</w:t>
      </w:r>
      <w:r>
        <w:rPr>
          <w:color w:val="auto"/>
        </w:rPr>
        <w:t xml:space="preserve"> and precipitation across five sites in Tasmania, covering rainfed pastoral and wheat cropping agricultural systems. Increasing mean temperatures combined with an assumed slight increase in mean precipitation led to overall predictions if increased plant productivity. A key caveat to these conclusions is the assumption that patterns of rainfall do not change significantly. Across Tasmania mean temperature by 2050 is projected to increase 0.64(0.95)1.5 </w:t>
      </w:r>
      <w:r>
        <w:rPr>
          <w:rFonts w:ascii="Symbol" w:eastAsia="Symbol" w:hAnsi="Symbol" w:cs="Symbol"/>
          <w:color w:val="auto"/>
        </w:rPr>
        <w:sym w:font="Symbol" w:char="F0B0"/>
      </w:r>
      <w:r>
        <w:rPr>
          <w:color w:val="auto"/>
        </w:rPr>
        <w:t>C (</w:t>
      </w:r>
      <w:r w:rsidRPr="00395D7F">
        <w:rPr>
          <w:i/>
          <w:iCs/>
          <w:color w:val="auto"/>
        </w:rPr>
        <w:t>very high confidence</w:t>
      </w:r>
      <w:r>
        <w:rPr>
          <w:color w:val="auto"/>
        </w:rPr>
        <w:t xml:space="preserve">), although with a wide range of predicted outcomes for annual average precipitation change, from a -8.5% to a 4.4% increase by </w:t>
      </w:r>
      <w:r>
        <w:rPr>
          <w:color w:val="auto"/>
        </w:rPr>
        <w:lastRenderedPageBreak/>
        <w:t xml:space="preserve">2050. In a study of wheat yields at the continental scale, Ghahramani et al. (2015) compared current yields to those projected at 2030, and concluded little </w:t>
      </w:r>
      <w:r w:rsidRPr="00475C83">
        <w:rPr>
          <w:color w:val="auto"/>
        </w:rPr>
        <w:t>substantial</w:t>
      </w:r>
      <w:r>
        <w:rPr>
          <w:color w:val="auto"/>
        </w:rPr>
        <w:t xml:space="preserve"> change </w:t>
      </w:r>
      <w:r w:rsidRPr="00475C83">
        <w:rPr>
          <w:color w:val="auto"/>
        </w:rPr>
        <w:t xml:space="preserve">compared to the baseline with current </w:t>
      </w:r>
      <w:r>
        <w:rPr>
          <w:color w:val="auto"/>
        </w:rPr>
        <w:t xml:space="preserve">management </w:t>
      </w:r>
      <w:r w:rsidRPr="00475C83">
        <w:rPr>
          <w:color w:val="auto"/>
        </w:rPr>
        <w:t xml:space="preserve">practices. </w:t>
      </w:r>
      <w:r>
        <w:rPr>
          <w:color w:val="auto"/>
        </w:rPr>
        <w:t xml:space="preserve">Furthermore, they suggested possible yield increases </w:t>
      </w:r>
      <w:r w:rsidRPr="00475C83">
        <w:rPr>
          <w:color w:val="auto"/>
        </w:rPr>
        <w:t xml:space="preserve">might be </w:t>
      </w:r>
      <w:r>
        <w:rPr>
          <w:color w:val="auto"/>
        </w:rPr>
        <w:t xml:space="preserve">possible </w:t>
      </w:r>
      <w:r w:rsidRPr="00475C83">
        <w:rPr>
          <w:color w:val="auto"/>
        </w:rPr>
        <w:t>applying currently available management</w:t>
      </w:r>
      <w:r>
        <w:rPr>
          <w:color w:val="auto"/>
        </w:rPr>
        <w:t xml:space="preserve"> </w:t>
      </w:r>
      <w:r w:rsidRPr="00475C83">
        <w:rPr>
          <w:color w:val="auto"/>
        </w:rPr>
        <w:t>options</w:t>
      </w:r>
      <w:r>
        <w:rPr>
          <w:color w:val="auto"/>
        </w:rPr>
        <w:t xml:space="preserve"> take advantage of </w:t>
      </w:r>
      <w:r w:rsidRPr="00475C83">
        <w:rPr>
          <w:color w:val="auto"/>
        </w:rPr>
        <w:t>moderate elevated atmospheric</w:t>
      </w:r>
      <w:r>
        <w:rPr>
          <w:color w:val="auto"/>
        </w:rPr>
        <w:t xml:space="preserve"> </w:t>
      </w:r>
      <w:r w:rsidRPr="00475C83">
        <w:rPr>
          <w:color w:val="auto"/>
        </w:rPr>
        <w:t>CO</w:t>
      </w:r>
      <w:r w:rsidRPr="00475C83">
        <w:rPr>
          <w:color w:val="auto"/>
          <w:vertAlign w:val="subscript"/>
        </w:rPr>
        <w:t>2</w:t>
      </w:r>
      <w:r>
        <w:rPr>
          <w:color w:val="auto"/>
        </w:rPr>
        <w:t xml:space="preserve"> concentrations and associated expected increases in </w:t>
      </w:r>
      <w:r w:rsidRPr="00475C83">
        <w:rPr>
          <w:color w:val="auto"/>
        </w:rPr>
        <w:t>water use efficiency</w:t>
      </w:r>
      <w:r>
        <w:rPr>
          <w:color w:val="auto"/>
        </w:rPr>
        <w:t>.</w:t>
      </w:r>
    </w:p>
    <w:p w14:paraId="39F04A5F" w14:textId="77777777" w:rsidR="00CA36FE" w:rsidRDefault="00CA36FE" w:rsidP="00CA36FE">
      <w:pPr>
        <w:pStyle w:val="BodyText"/>
        <w:spacing w:before="240"/>
        <w:rPr>
          <w:color w:val="auto"/>
        </w:rPr>
      </w:pPr>
      <w:r>
        <w:rPr>
          <w:color w:val="auto"/>
        </w:rPr>
        <w:t>In southeast Australia Cullen et al. (2012) investigated the response of pasture production to changes in temperature, precipitation and CO</w:t>
      </w:r>
      <w:r w:rsidRPr="00EC73F2">
        <w:rPr>
          <w:color w:val="auto"/>
          <w:vertAlign w:val="subscript"/>
        </w:rPr>
        <w:t>2</w:t>
      </w:r>
      <w:r>
        <w:rPr>
          <w:color w:val="auto"/>
        </w:rPr>
        <w:t>, across a range of sites that varied from Tasmania through to southern New South Wales. Little change or higher productivity was predicted across all sites with 1</w:t>
      </w:r>
      <w:r>
        <w:rPr>
          <w:rFonts w:ascii="Symbol" w:eastAsia="Symbol" w:hAnsi="Symbol" w:cs="Symbol"/>
          <w:color w:val="auto"/>
        </w:rPr>
        <w:sym w:font="Symbol" w:char="F0B0"/>
      </w:r>
      <w:r>
        <w:rPr>
          <w:color w:val="auto"/>
        </w:rPr>
        <w:t>C warming; whereas at 2</w:t>
      </w:r>
      <w:r>
        <w:rPr>
          <w:rFonts w:ascii="Symbol" w:eastAsia="Symbol" w:hAnsi="Symbol" w:cs="Symbol"/>
          <w:color w:val="auto"/>
        </w:rPr>
        <w:sym w:font="Symbol" w:char="F0B0"/>
      </w:r>
      <w:r>
        <w:rPr>
          <w:color w:val="auto"/>
        </w:rPr>
        <w:t xml:space="preserve">C degrees warming the C4-dominated site in New South Wales experienced growth gains, and growth at the other sites were stable or declined. As with the study of Phelan et al. (2014) rainfall variability and extreme events were not considered. The overall findings are consistent with the review of Lee et al. (2013) on climate change responses to pastures in southeast Australia, with a general tendency for growth increases under 2050 predictions of changes to temperature and precipitation, and with variability in rainfall likely to be the major driver of variability in pasture production. Across the two main cropping sub-clusters in southeast Australia (Murray Basin and Central Slopes) the predicted change in temperature are 0.9(1.3)1.7 </w:t>
      </w:r>
      <w:r>
        <w:rPr>
          <w:rFonts w:ascii="Symbol" w:eastAsia="Symbol" w:hAnsi="Symbol" w:cs="Symbol"/>
          <w:color w:val="auto"/>
        </w:rPr>
        <w:sym w:font="Symbol" w:char="F0B0"/>
      </w:r>
      <w:r>
        <w:rPr>
          <w:color w:val="auto"/>
        </w:rPr>
        <w:t xml:space="preserve">C and 1.4(1.0)1.2 </w:t>
      </w:r>
      <w:r>
        <w:rPr>
          <w:rFonts w:ascii="Symbol" w:eastAsia="Symbol" w:hAnsi="Symbol" w:cs="Symbol"/>
          <w:color w:val="auto"/>
        </w:rPr>
        <w:sym w:font="Symbol" w:char="F0B0"/>
      </w:r>
      <w:r>
        <w:rPr>
          <w:color w:val="auto"/>
        </w:rPr>
        <w:t>C, respectively (</w:t>
      </w:r>
      <w:r w:rsidRPr="00395D7F">
        <w:rPr>
          <w:i/>
          <w:iCs/>
          <w:color w:val="auto"/>
        </w:rPr>
        <w:t>very high confidence</w:t>
      </w:r>
      <w:r>
        <w:rPr>
          <w:color w:val="auto"/>
        </w:rPr>
        <w:t xml:space="preserve">). The range in predicted rainfall was -12.5(-1.0)6.5 % and -12.7(6.0)7.1 % for the Murray Basin and Central Slopes sub-clusters, respectively. </w:t>
      </w:r>
    </w:p>
    <w:p w14:paraId="5261F55A" w14:textId="522454D0" w:rsidR="00CA36FE" w:rsidRPr="00395D7F" w:rsidRDefault="00CA36FE" w:rsidP="00CA36FE">
      <w:pPr>
        <w:pStyle w:val="BodyText"/>
        <w:rPr>
          <w:i/>
          <w:iCs/>
          <w:color w:val="auto"/>
        </w:rPr>
      </w:pPr>
      <w:r>
        <w:rPr>
          <w:color w:val="auto"/>
        </w:rPr>
        <w:t>Whilst changes in average rainfall are generally variable between GCMs across the continent, with the direction of predicted change ranging from increase to decrease, for the Southern and South West Flatlands – West (FL-West) and – East (FL-East) sub-clusters there is a strong and consistent prediction of a decrease in winter rainfall (</w:t>
      </w:r>
      <w:r>
        <w:rPr>
          <w:i/>
          <w:iCs/>
          <w:color w:val="auto"/>
        </w:rPr>
        <w:t>high confidence</w:t>
      </w:r>
      <w:r w:rsidRPr="00395D7F">
        <w:rPr>
          <w:color w:val="auto"/>
        </w:rPr>
        <w:t>)</w:t>
      </w:r>
      <w:r>
        <w:rPr>
          <w:color w:val="auto"/>
        </w:rPr>
        <w:t xml:space="preserve">, of -18.0(-8.7)1.1 % and -16.8(-4.2)2.4 %, respectively. In Western Australia this represents a continuation of an historical trend for reduced rainfall since approximately the </w:t>
      </w:r>
      <w:r w:rsidR="00614590">
        <w:rPr>
          <w:color w:val="auto"/>
        </w:rPr>
        <w:t>mid-1970s</w:t>
      </w:r>
      <w:r>
        <w:rPr>
          <w:color w:val="auto"/>
        </w:rPr>
        <w:t xml:space="preserve">. Significant reductions in rainfall are expected to be reflected in reduced crop and pasture growth, and this is what has been observed. Scanlon and Doncon (2020) reported rainfall declines across the western Australian wheatbelt, during the peak growing months of April-October, of 14%-20%, coincident with reductions in wheat yield of 10-14%. In a modelling study Ghahramani and Moore (2016) explored a range of crops, locations (within Western Australia) and climate change scenarios, concluding crop yields are most likely to decline under the most feasible range of climate projections studies. </w:t>
      </w:r>
    </w:p>
    <w:p w14:paraId="130E6B8B" w14:textId="4DEB9766" w:rsidR="00CA36FE" w:rsidRDefault="00CA36FE" w:rsidP="00CA36FE">
      <w:pPr>
        <w:pStyle w:val="BodyText"/>
        <w:rPr>
          <w:color w:val="auto"/>
        </w:rPr>
      </w:pPr>
      <w:r>
        <w:rPr>
          <w:color w:val="auto"/>
        </w:rPr>
        <w:t>Although there have been many studies considering the gradual change over time in climate factors such as CO</w:t>
      </w:r>
      <w:r w:rsidRPr="009514C1">
        <w:rPr>
          <w:color w:val="auto"/>
          <w:vertAlign w:val="subscript"/>
        </w:rPr>
        <w:t>2</w:t>
      </w:r>
      <w:r>
        <w:rPr>
          <w:color w:val="auto"/>
        </w:rPr>
        <w:t xml:space="preserve"> concentration, temperature and precipitation, it is recognised that extreme events have the potential to significantly affect crop and pasture productivity (Tubiello et al. 2007; Sippel et al. 2018). However, few studies have specifically investigated the response of crop and pasture productivity to extreme events. An exception is Harrison et al. (2016) who undertook parallel climate scenario analyses in dairy pastures of southeast Australia, with one set of scenarios applying averaged climate change factors, and the other maintaining the same average, but adding variability to simulate extreme events (in terms of heatwaves, drought duration, and more extreme rainfall events). Overall, the scenarios embedding extreme event variability resulted in lower annual pasture growth, with up to 50% lower standing biomass by the end of the growth season. With respect to extreme events, all of the sub-clusters within which agricultural activity </w:t>
      </w:r>
      <w:r>
        <w:rPr>
          <w:color w:val="auto"/>
        </w:rPr>
        <w:lastRenderedPageBreak/>
        <w:t>occurs in Australia (</w:t>
      </w:r>
      <w:r w:rsidR="00090CC9">
        <w:rPr>
          <w:color w:val="auto"/>
        </w:rPr>
        <w:fldChar w:fldCharType="begin"/>
      </w:r>
      <w:r w:rsidR="00090CC9">
        <w:rPr>
          <w:color w:val="auto"/>
        </w:rPr>
        <w:instrText xml:space="preserve"> REF _Ref49781946 \h </w:instrText>
      </w:r>
      <w:r w:rsidR="00090CC9">
        <w:rPr>
          <w:color w:val="auto"/>
        </w:rPr>
      </w:r>
      <w:r w:rsidR="00090CC9">
        <w:rPr>
          <w:color w:val="auto"/>
        </w:rPr>
        <w:fldChar w:fldCharType="separate"/>
      </w:r>
      <w:r w:rsidR="00235F13">
        <w:t xml:space="preserve">Figure </w:t>
      </w:r>
      <w:r w:rsidR="00235F13">
        <w:rPr>
          <w:noProof/>
        </w:rPr>
        <w:t>13</w:t>
      </w:r>
      <w:r w:rsidR="00090CC9">
        <w:rPr>
          <w:color w:val="auto"/>
        </w:rPr>
        <w:fldChar w:fldCharType="end"/>
      </w:r>
      <w:r>
        <w:rPr>
          <w:color w:val="auto"/>
        </w:rPr>
        <w:t>) are projected to experience an increase in the number of days greater than 35</w:t>
      </w:r>
      <w:r>
        <w:rPr>
          <w:rFonts w:ascii="Symbol" w:eastAsia="Symbol" w:hAnsi="Symbol" w:cs="Symbol"/>
          <w:color w:val="auto"/>
        </w:rPr>
        <w:t></w:t>
      </w:r>
      <w:r>
        <w:rPr>
          <w:color w:val="auto"/>
        </w:rPr>
        <w:t>C (median increase 43%; range 17-71%); an increase in the number of days exceeding the 99</w:t>
      </w:r>
      <w:r w:rsidRPr="00B9653B">
        <w:rPr>
          <w:color w:val="auto"/>
          <w:vertAlign w:val="superscript"/>
        </w:rPr>
        <w:t>th</w:t>
      </w:r>
      <w:r>
        <w:rPr>
          <w:color w:val="auto"/>
        </w:rPr>
        <w:t xml:space="preserve"> percentile rainfall (median increase 43%; range 14-76% ); and variability in the change in extreme drought duration (minimum -0.36 months for Murray Basin; maximum 10.9 months (</w:t>
      </w:r>
      <w:r w:rsidRPr="00B9653B">
        <w:rPr>
          <w:color w:val="auto"/>
        </w:rPr>
        <w:t>Southern and South Western Flatlands (West)</w:t>
      </w:r>
      <w:r>
        <w:rPr>
          <w:color w:val="auto"/>
        </w:rPr>
        <w:t>).</w:t>
      </w:r>
    </w:p>
    <w:p w14:paraId="2B4071EA" w14:textId="77777777" w:rsidR="00CA36FE" w:rsidRDefault="00CA36FE" w:rsidP="00CA36FE">
      <w:pPr>
        <w:pStyle w:val="BodyText"/>
        <w:rPr>
          <w:color w:val="auto"/>
        </w:rPr>
      </w:pPr>
    </w:p>
    <w:p w14:paraId="625EDD3F" w14:textId="77777777" w:rsidR="00CA36FE" w:rsidRDefault="00CA36FE" w:rsidP="00CA36FE">
      <w:pPr>
        <w:pStyle w:val="BodyText"/>
        <w:spacing w:after="0"/>
        <w:rPr>
          <w:i/>
          <w:iCs/>
        </w:rPr>
      </w:pPr>
      <w:r>
        <w:rPr>
          <w:i/>
          <w:iCs/>
        </w:rPr>
        <w:t>Climate change factors affecting rates of soil organic carbon (SOC) loss</w:t>
      </w:r>
    </w:p>
    <w:p w14:paraId="6C5A9F6A" w14:textId="77777777" w:rsidR="00CA36FE" w:rsidRPr="00921E76" w:rsidRDefault="00CA36FE" w:rsidP="00CA36FE">
      <w:pPr>
        <w:pStyle w:val="BodyText"/>
        <w:spacing w:before="0" w:after="0" w:line="240" w:lineRule="auto"/>
        <w:ind w:left="284"/>
        <w:rPr>
          <w:i/>
          <w:iCs/>
          <w:color w:val="auto"/>
        </w:rPr>
      </w:pPr>
      <w:r>
        <w:rPr>
          <w:color w:val="auto"/>
        </w:rPr>
        <w:t xml:space="preserve">- </w:t>
      </w:r>
      <w:r w:rsidRPr="00921E76">
        <w:rPr>
          <w:i/>
          <w:iCs/>
          <w:color w:val="auto"/>
        </w:rPr>
        <w:t>Increasing atmospheric CO</w:t>
      </w:r>
      <w:r w:rsidRPr="00921E76">
        <w:rPr>
          <w:i/>
          <w:iCs/>
          <w:color w:val="auto"/>
          <w:vertAlign w:val="subscript"/>
        </w:rPr>
        <w:t>2</w:t>
      </w:r>
      <w:r w:rsidRPr="00921E76">
        <w:rPr>
          <w:i/>
          <w:iCs/>
          <w:color w:val="auto"/>
        </w:rPr>
        <w:t xml:space="preserve"> concentration</w:t>
      </w:r>
    </w:p>
    <w:p w14:paraId="6BA28411" w14:textId="77777777" w:rsidR="00CA36FE" w:rsidRPr="00921E76" w:rsidRDefault="00CA36FE" w:rsidP="00CA36FE">
      <w:pPr>
        <w:pStyle w:val="BodyText"/>
        <w:spacing w:before="0" w:after="0" w:line="240" w:lineRule="auto"/>
        <w:ind w:left="284"/>
        <w:rPr>
          <w:i/>
          <w:iCs/>
          <w:color w:val="auto"/>
        </w:rPr>
      </w:pPr>
      <w:r>
        <w:rPr>
          <w:i/>
          <w:iCs/>
          <w:color w:val="auto"/>
        </w:rPr>
        <w:t xml:space="preserve">- </w:t>
      </w:r>
      <w:r w:rsidRPr="00921E76">
        <w:rPr>
          <w:i/>
          <w:iCs/>
          <w:color w:val="auto"/>
        </w:rPr>
        <w:t>Increasing average temperatures</w:t>
      </w:r>
    </w:p>
    <w:p w14:paraId="54B16301" w14:textId="77777777" w:rsidR="00CA36FE" w:rsidRPr="00921E76" w:rsidRDefault="00CA36FE" w:rsidP="00CA36FE">
      <w:pPr>
        <w:pStyle w:val="BodyText"/>
        <w:spacing w:before="0" w:after="0" w:line="240" w:lineRule="auto"/>
        <w:ind w:left="284"/>
        <w:rPr>
          <w:i/>
          <w:iCs/>
          <w:color w:val="auto"/>
        </w:rPr>
      </w:pPr>
      <w:r>
        <w:rPr>
          <w:i/>
          <w:iCs/>
          <w:color w:val="auto"/>
        </w:rPr>
        <w:t xml:space="preserve">- </w:t>
      </w:r>
      <w:r w:rsidRPr="00921E76">
        <w:rPr>
          <w:i/>
          <w:iCs/>
          <w:color w:val="auto"/>
        </w:rPr>
        <w:t>Changes in rainfall and drought</w:t>
      </w:r>
    </w:p>
    <w:p w14:paraId="34300DAF" w14:textId="3475178F" w:rsidR="00CA36FE" w:rsidRDefault="00CA36FE" w:rsidP="00CA36FE">
      <w:pPr>
        <w:pStyle w:val="BodyText"/>
        <w:rPr>
          <w:color w:val="auto"/>
        </w:rPr>
      </w:pPr>
      <w:r>
        <w:rPr>
          <w:color w:val="auto"/>
        </w:rPr>
        <w:t xml:space="preserve">Organic carbon inputs to the soil come from either the deposition of above-ground biomass components on the soil surface, or within the soil through </w:t>
      </w:r>
      <w:r w:rsidRPr="001F5B93">
        <w:rPr>
          <w:color w:val="auto"/>
        </w:rPr>
        <w:t>root</w:t>
      </w:r>
      <w:r>
        <w:rPr>
          <w:color w:val="auto"/>
        </w:rPr>
        <w:t xml:space="preserve"> turnover, </w:t>
      </w:r>
      <w:r w:rsidRPr="001F5B93">
        <w:rPr>
          <w:color w:val="auto"/>
        </w:rPr>
        <w:t>residues</w:t>
      </w:r>
      <w:r>
        <w:rPr>
          <w:color w:val="auto"/>
        </w:rPr>
        <w:t xml:space="preserve"> and</w:t>
      </w:r>
      <w:r w:rsidRPr="001F5B93">
        <w:rPr>
          <w:color w:val="auto"/>
        </w:rPr>
        <w:t xml:space="preserve"> exudates. </w:t>
      </w:r>
      <w:r>
        <w:rPr>
          <w:color w:val="auto"/>
        </w:rPr>
        <w:t>Although t</w:t>
      </w:r>
      <w:r w:rsidRPr="001F5B93">
        <w:rPr>
          <w:color w:val="auto"/>
        </w:rPr>
        <w:t>he</w:t>
      </w:r>
      <w:r>
        <w:rPr>
          <w:color w:val="auto"/>
        </w:rPr>
        <w:t xml:space="preserve"> </w:t>
      </w:r>
      <w:r w:rsidRPr="001F5B93">
        <w:rPr>
          <w:color w:val="auto"/>
        </w:rPr>
        <w:t xml:space="preserve">majority of </w:t>
      </w:r>
      <w:r>
        <w:rPr>
          <w:color w:val="auto"/>
        </w:rPr>
        <w:t xml:space="preserve">incoming organic carbon will decompose over short timeframes and return to the atmosphere as </w:t>
      </w:r>
      <w:r w:rsidRPr="001F5B93">
        <w:rPr>
          <w:color w:val="auto"/>
        </w:rPr>
        <w:t>CO</w:t>
      </w:r>
      <w:r w:rsidRPr="001F5B93">
        <w:rPr>
          <w:color w:val="auto"/>
          <w:vertAlign w:val="subscript"/>
        </w:rPr>
        <w:t>2</w:t>
      </w:r>
      <w:r w:rsidRPr="001F5B93">
        <w:rPr>
          <w:color w:val="auto"/>
        </w:rPr>
        <w:t xml:space="preserve">, </w:t>
      </w:r>
      <w:r>
        <w:rPr>
          <w:color w:val="auto"/>
        </w:rPr>
        <w:t xml:space="preserve">the components that are resistant to </w:t>
      </w:r>
      <w:r w:rsidRPr="001F5B93">
        <w:rPr>
          <w:color w:val="auto"/>
        </w:rPr>
        <w:t>decomposition</w:t>
      </w:r>
      <w:r>
        <w:rPr>
          <w:color w:val="auto"/>
        </w:rPr>
        <w:t xml:space="preserve"> may be retained in the soil matrix through </w:t>
      </w:r>
      <w:r w:rsidRPr="001F5B93">
        <w:rPr>
          <w:color w:val="auto"/>
        </w:rPr>
        <w:t>chemical recalcitrance,</w:t>
      </w:r>
      <w:r>
        <w:rPr>
          <w:color w:val="auto"/>
        </w:rPr>
        <w:t xml:space="preserve"> assimilated into </w:t>
      </w:r>
      <w:r w:rsidRPr="001F5B93">
        <w:rPr>
          <w:color w:val="auto"/>
        </w:rPr>
        <w:t xml:space="preserve">decomposer tissues, or </w:t>
      </w:r>
      <w:r>
        <w:rPr>
          <w:color w:val="auto"/>
        </w:rPr>
        <w:t>become bound to soil minerals (Baldock et al. 2012)</w:t>
      </w:r>
      <w:r w:rsidRPr="001F5B93">
        <w:rPr>
          <w:color w:val="auto"/>
        </w:rPr>
        <w:t xml:space="preserve">. </w:t>
      </w:r>
      <w:r>
        <w:rPr>
          <w:color w:val="auto"/>
        </w:rPr>
        <w:t>Over time e</w:t>
      </w:r>
      <w:r w:rsidRPr="001F5B93">
        <w:rPr>
          <w:color w:val="auto"/>
        </w:rPr>
        <w:t>ven the</w:t>
      </w:r>
      <w:r>
        <w:rPr>
          <w:color w:val="auto"/>
        </w:rPr>
        <w:t xml:space="preserve">se more </w:t>
      </w:r>
      <w:r w:rsidRPr="001F5B93">
        <w:rPr>
          <w:color w:val="auto"/>
        </w:rPr>
        <w:t>biologically stable forms of</w:t>
      </w:r>
      <w:r>
        <w:rPr>
          <w:color w:val="auto"/>
        </w:rPr>
        <w:t xml:space="preserve"> </w:t>
      </w:r>
      <w:r w:rsidRPr="001F5B93">
        <w:rPr>
          <w:color w:val="auto"/>
        </w:rPr>
        <w:t xml:space="preserve">SOC decompose </w:t>
      </w:r>
      <w:r>
        <w:rPr>
          <w:color w:val="auto"/>
        </w:rPr>
        <w:t xml:space="preserve">with </w:t>
      </w:r>
      <w:r w:rsidRPr="001F5B93">
        <w:rPr>
          <w:color w:val="auto"/>
        </w:rPr>
        <w:t>the carbon return</w:t>
      </w:r>
      <w:r>
        <w:rPr>
          <w:color w:val="auto"/>
        </w:rPr>
        <w:t>ing t</w:t>
      </w:r>
      <w:r w:rsidRPr="001F5B93">
        <w:rPr>
          <w:color w:val="auto"/>
        </w:rPr>
        <w:t>o</w:t>
      </w:r>
      <w:r>
        <w:rPr>
          <w:color w:val="auto"/>
        </w:rPr>
        <w:t xml:space="preserve"> </w:t>
      </w:r>
      <w:r w:rsidRPr="001F5B93">
        <w:rPr>
          <w:color w:val="auto"/>
        </w:rPr>
        <w:t xml:space="preserve">the atmosphere. </w:t>
      </w:r>
      <w:r>
        <w:rPr>
          <w:color w:val="auto"/>
        </w:rPr>
        <w:t xml:space="preserve">Building and retaining SOC therefore requires not simply increasing the rates of organic matter production, but also </w:t>
      </w:r>
      <w:r w:rsidRPr="001F5B93">
        <w:rPr>
          <w:color w:val="auto"/>
        </w:rPr>
        <w:t xml:space="preserve">the retention of </w:t>
      </w:r>
      <w:r>
        <w:rPr>
          <w:color w:val="auto"/>
        </w:rPr>
        <w:t xml:space="preserve">the more </w:t>
      </w:r>
      <w:r w:rsidRPr="001F5B93">
        <w:rPr>
          <w:color w:val="auto"/>
        </w:rPr>
        <w:t xml:space="preserve">stabilised </w:t>
      </w:r>
      <w:r>
        <w:rPr>
          <w:color w:val="auto"/>
        </w:rPr>
        <w:t>forms in order to balance the continuous SOC decomposition losses</w:t>
      </w:r>
      <w:r w:rsidRPr="001F5B93">
        <w:rPr>
          <w:color w:val="auto"/>
        </w:rPr>
        <w:t>.</w:t>
      </w:r>
      <w:r>
        <w:rPr>
          <w:color w:val="auto"/>
        </w:rPr>
        <w:t xml:space="preserve"> Knowledge of the chemical composition of the soil is therefore critical to understanding the long-term stability, and the shorter term vulnerability. Three SOC fractions are commonly recognised: particulate organic carbon (POC; residency time </w:t>
      </w:r>
      <w:r>
        <w:rPr>
          <w:rFonts w:cs="Calibri"/>
          <w:color w:val="auto"/>
        </w:rPr>
        <w:t>~</w:t>
      </w:r>
      <w:r>
        <w:rPr>
          <w:color w:val="auto"/>
        </w:rPr>
        <w:t>7 years) which is relatively ephemeral, and thus at risk from loss; humic material (H</w:t>
      </w:r>
      <w:r w:rsidR="00707FAA">
        <w:rPr>
          <w:color w:val="auto"/>
        </w:rPr>
        <w:t>OC</w:t>
      </w:r>
      <w:r>
        <w:rPr>
          <w:color w:val="auto"/>
        </w:rPr>
        <w:t xml:space="preserve">; residency time </w:t>
      </w:r>
      <w:r>
        <w:rPr>
          <w:rFonts w:cs="Calibri"/>
          <w:color w:val="auto"/>
        </w:rPr>
        <w:t>~</w:t>
      </w:r>
      <w:r>
        <w:rPr>
          <w:color w:val="auto"/>
        </w:rPr>
        <w:t xml:space="preserve">50 years), which is relatively more stabilised; and resistant organic carbon (ROC; residency time &gt;100 years), which </w:t>
      </w:r>
      <w:r w:rsidR="00614590">
        <w:rPr>
          <w:color w:val="auto"/>
        </w:rPr>
        <w:t>is resistant</w:t>
      </w:r>
      <w:r>
        <w:rPr>
          <w:color w:val="auto"/>
        </w:rPr>
        <w:t xml:space="preserve"> to decomposition, and include charcoal and charcoal-related compounds.</w:t>
      </w:r>
    </w:p>
    <w:p w14:paraId="3289B0C4" w14:textId="7AEEF05C" w:rsidR="00CA36FE" w:rsidRDefault="00CA36FE" w:rsidP="00CA36FE">
      <w:pPr>
        <w:pStyle w:val="BodyText"/>
        <w:rPr>
          <w:color w:val="auto"/>
        </w:rPr>
      </w:pPr>
      <w:r>
        <w:rPr>
          <w:color w:val="auto"/>
        </w:rPr>
        <w:t>Viscarra-Rossel (2019) mapped POC, H</w:t>
      </w:r>
      <w:r w:rsidR="00707FAA">
        <w:rPr>
          <w:color w:val="auto"/>
        </w:rPr>
        <w:t>OC</w:t>
      </w:r>
      <w:r>
        <w:rPr>
          <w:color w:val="auto"/>
        </w:rPr>
        <w:t xml:space="preserve"> and ROC at the continental scale, and calculated the vulnerability of SOC to loss as the proportion of POC to (HOC+ROC)</w:t>
      </w:r>
      <w:r w:rsidRPr="00D754BB">
        <w:rPr>
          <w:color w:val="auto"/>
        </w:rPr>
        <w:t>(</w:t>
      </w:r>
      <w:r w:rsidR="00090CC9">
        <w:rPr>
          <w:color w:val="auto"/>
        </w:rPr>
        <w:fldChar w:fldCharType="begin"/>
      </w:r>
      <w:r w:rsidR="00090CC9">
        <w:rPr>
          <w:color w:val="auto"/>
        </w:rPr>
        <w:instrText xml:space="preserve"> REF _Ref49781963 \h </w:instrText>
      </w:r>
      <w:r w:rsidR="00090CC9">
        <w:rPr>
          <w:color w:val="auto"/>
        </w:rPr>
      </w:r>
      <w:r w:rsidR="00090CC9">
        <w:rPr>
          <w:color w:val="auto"/>
        </w:rPr>
        <w:fldChar w:fldCharType="separate"/>
      </w:r>
      <w:r w:rsidR="00235F13">
        <w:t xml:space="preserve">Figure </w:t>
      </w:r>
      <w:r w:rsidR="00235F13">
        <w:rPr>
          <w:noProof/>
        </w:rPr>
        <w:t>14</w:t>
      </w:r>
      <w:r w:rsidR="00090CC9">
        <w:rPr>
          <w:color w:val="auto"/>
        </w:rPr>
        <w:fldChar w:fldCharType="end"/>
      </w:r>
      <w:r>
        <w:rPr>
          <w:color w:val="auto"/>
        </w:rPr>
        <w:t xml:space="preserve">). This simply </w:t>
      </w:r>
      <w:r w:rsidR="00733E30">
        <w:rPr>
          <w:color w:val="auto"/>
        </w:rPr>
        <w:t>is</w:t>
      </w:r>
      <w:r>
        <w:rPr>
          <w:color w:val="auto"/>
        </w:rPr>
        <w:t xml:space="preserve"> the ratio of the mass of carbon most susceptible to loss (POC) to more stabilised forms (H</w:t>
      </w:r>
      <w:r w:rsidR="00707FAA">
        <w:rPr>
          <w:color w:val="auto"/>
        </w:rPr>
        <w:t>OC</w:t>
      </w:r>
      <w:r>
        <w:rPr>
          <w:color w:val="auto"/>
        </w:rPr>
        <w:t xml:space="preserve"> + ROC). Summarising the distribution of vulnerability across the agricultural land within each sub-cluster suggests the areas most likely to support SOC management are those with medium to high vulnerability (</w:t>
      </w:r>
      <w:r w:rsidR="00090CC9">
        <w:rPr>
          <w:color w:val="auto"/>
        </w:rPr>
        <w:fldChar w:fldCharType="begin"/>
      </w:r>
      <w:r w:rsidR="00090CC9">
        <w:rPr>
          <w:color w:val="auto"/>
        </w:rPr>
        <w:instrText xml:space="preserve"> REF _Ref49781963 \h </w:instrText>
      </w:r>
      <w:r w:rsidR="00090CC9">
        <w:rPr>
          <w:color w:val="auto"/>
        </w:rPr>
      </w:r>
      <w:r w:rsidR="00090CC9">
        <w:rPr>
          <w:color w:val="auto"/>
        </w:rPr>
        <w:fldChar w:fldCharType="separate"/>
      </w:r>
      <w:r w:rsidR="00235F13">
        <w:t xml:space="preserve">Figure </w:t>
      </w:r>
      <w:r w:rsidR="00235F13">
        <w:rPr>
          <w:noProof/>
        </w:rPr>
        <w:t>14</w:t>
      </w:r>
      <w:r w:rsidR="00090CC9">
        <w:rPr>
          <w:color w:val="auto"/>
        </w:rPr>
        <w:fldChar w:fldCharType="end"/>
      </w:r>
      <w:r>
        <w:rPr>
          <w:color w:val="auto"/>
        </w:rPr>
        <w:t xml:space="preserve">). </w:t>
      </w:r>
    </w:p>
    <w:p w14:paraId="674F1FE6" w14:textId="13F34237" w:rsidR="00CA36FE" w:rsidRDefault="00CA36FE" w:rsidP="00CA36FE">
      <w:pPr>
        <w:pStyle w:val="BodyText"/>
        <w:rPr>
          <w:color w:val="auto"/>
        </w:rPr>
      </w:pPr>
    </w:p>
    <w:p w14:paraId="787C6813" w14:textId="5D1D8CEC" w:rsidR="00CA36FE" w:rsidRDefault="00862C2E" w:rsidP="00CA36FE">
      <w:pPr>
        <w:pStyle w:val="BodyText"/>
        <w:rPr>
          <w:color w:val="auto"/>
        </w:rPr>
      </w:pPr>
      <w:r>
        <w:rPr>
          <w:noProof/>
          <w:color w:val="auto"/>
        </w:rPr>
        <w:lastRenderedPageBreak/>
        <w:drawing>
          <wp:anchor distT="0" distB="0" distL="114300" distR="114300" simplePos="0" relativeHeight="251658265" behindDoc="0" locked="0" layoutInCell="1" allowOverlap="1" wp14:anchorId="1018A9DC" wp14:editId="586885FF">
            <wp:simplePos x="0" y="0"/>
            <wp:positionH relativeFrom="column">
              <wp:posOffset>3294202</wp:posOffset>
            </wp:positionH>
            <wp:positionV relativeFrom="page">
              <wp:posOffset>3371368</wp:posOffset>
            </wp:positionV>
            <wp:extent cx="365760" cy="548640"/>
            <wp:effectExtent l="0" t="0" r="0" b="3810"/>
            <wp:wrapNone/>
            <wp:docPr id="1068683817" name="Picture 106868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576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A36FE">
        <w:rPr>
          <w:noProof/>
        </w:rPr>
        <w:drawing>
          <wp:inline distT="0" distB="0" distL="0" distR="0" wp14:anchorId="3184873C" wp14:editId="21C2F570">
            <wp:extent cx="3555242" cy="3359738"/>
            <wp:effectExtent l="0" t="0" r="7620" b="0"/>
            <wp:docPr id="1068683815" name="Picture 106868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566651" cy="3370520"/>
                    </a:xfrm>
                    <a:prstGeom prst="rect">
                      <a:avLst/>
                    </a:prstGeom>
                  </pic:spPr>
                </pic:pic>
              </a:graphicData>
            </a:graphic>
          </wp:inline>
        </w:drawing>
      </w:r>
    </w:p>
    <w:p w14:paraId="57B19AA9" w14:textId="12297FEE" w:rsidR="00CA36FE" w:rsidRDefault="00CA36FE" w:rsidP="00CA36FE">
      <w:pPr>
        <w:pStyle w:val="BodyText"/>
        <w:rPr>
          <w:color w:val="auto"/>
        </w:rPr>
      </w:pPr>
    </w:p>
    <w:p w14:paraId="538725AD" w14:textId="77777777" w:rsidR="00CA36FE" w:rsidRDefault="00CA36FE" w:rsidP="00CA36FE">
      <w:pPr>
        <w:pStyle w:val="BodyText"/>
        <w:rPr>
          <w:color w:val="auto"/>
        </w:rPr>
      </w:pPr>
    </w:p>
    <w:p w14:paraId="05442FE9" w14:textId="32C832F4" w:rsidR="006A6853" w:rsidRDefault="006A6853" w:rsidP="006A6853">
      <w:pPr>
        <w:pStyle w:val="Caption"/>
        <w:rPr>
          <w:b w:val="0"/>
          <w:bCs w:val="0"/>
        </w:rPr>
      </w:pPr>
      <w:bookmarkStart w:id="166" w:name="_Ref49781963"/>
      <w:bookmarkStart w:id="167" w:name="_Toc52968244"/>
      <w:r>
        <w:t xml:space="preserve">Figure </w:t>
      </w:r>
      <w:r>
        <w:fldChar w:fldCharType="begin"/>
      </w:r>
      <w:r>
        <w:instrText>SEQ Figure \* ARABIC</w:instrText>
      </w:r>
      <w:r>
        <w:fldChar w:fldCharType="separate"/>
      </w:r>
      <w:r w:rsidR="00235F13">
        <w:rPr>
          <w:noProof/>
        </w:rPr>
        <w:t>14</w:t>
      </w:r>
      <w:r>
        <w:fldChar w:fldCharType="end"/>
      </w:r>
      <w:bookmarkEnd w:id="166"/>
      <w:r>
        <w:t>. T</w:t>
      </w:r>
      <w:r w:rsidRPr="006A6853">
        <w:rPr>
          <w:b w:val="0"/>
          <w:bCs w:val="0"/>
        </w:rPr>
        <w:t>he soil carbon vulnerability index (POC / (</w:t>
      </w:r>
      <w:r w:rsidR="00707FAA" w:rsidRPr="006A6853">
        <w:rPr>
          <w:b w:val="0"/>
          <w:bCs w:val="0"/>
        </w:rPr>
        <w:t>H</w:t>
      </w:r>
      <w:r w:rsidR="00707FAA">
        <w:rPr>
          <w:b w:val="0"/>
          <w:bCs w:val="0"/>
        </w:rPr>
        <w:t>OC</w:t>
      </w:r>
      <w:r w:rsidR="00707FAA" w:rsidRPr="006A6853">
        <w:rPr>
          <w:b w:val="0"/>
          <w:bCs w:val="0"/>
        </w:rPr>
        <w:t xml:space="preserve"> + ROC)) of Viscarra-Rossel et al. </w:t>
      </w:r>
      <w:r w:rsidRPr="006A6853">
        <w:rPr>
          <w:b w:val="0"/>
          <w:bCs w:val="0"/>
        </w:rPr>
        <w:t>(2019)</w:t>
      </w:r>
      <w:r>
        <w:rPr>
          <w:b w:val="0"/>
          <w:bCs w:val="0"/>
        </w:rPr>
        <w:t>.</w:t>
      </w:r>
      <w:bookmarkEnd w:id="167"/>
    </w:p>
    <w:p w14:paraId="02BD475A" w14:textId="77777777" w:rsidR="00CA36FE" w:rsidRDefault="00CA36FE" w:rsidP="00CA36FE">
      <w:pPr>
        <w:pStyle w:val="BodyText"/>
        <w:rPr>
          <w:color w:val="auto"/>
        </w:rPr>
      </w:pPr>
    </w:p>
    <w:p w14:paraId="0EBE636C" w14:textId="51982C2A" w:rsidR="00CA36FE" w:rsidRDefault="00CA36FE" w:rsidP="00CA36FE">
      <w:pPr>
        <w:pStyle w:val="BodyText"/>
        <w:rPr>
          <w:color w:val="auto"/>
        </w:rPr>
      </w:pPr>
      <w:r>
        <w:rPr>
          <w:noProof/>
        </w:rPr>
        <w:drawing>
          <wp:inline distT="0" distB="0" distL="0" distR="0" wp14:anchorId="2238B312" wp14:editId="5F53699F">
            <wp:extent cx="5199530" cy="3614613"/>
            <wp:effectExtent l="0" t="0" r="1270" b="5080"/>
            <wp:docPr id="1275536427" name="Picture 106868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683818"/>
                    <pic:cNvPicPr/>
                  </pic:nvPicPr>
                  <pic:blipFill>
                    <a:blip r:embed="rId80">
                      <a:extLst>
                        <a:ext uri="{28A0092B-C50C-407E-A947-70E740481C1C}">
                          <a14:useLocalDpi xmlns:a14="http://schemas.microsoft.com/office/drawing/2010/main" val="0"/>
                        </a:ext>
                      </a:extLst>
                    </a:blip>
                    <a:stretch>
                      <a:fillRect/>
                    </a:stretch>
                  </pic:blipFill>
                  <pic:spPr>
                    <a:xfrm>
                      <a:off x="0" y="0"/>
                      <a:ext cx="5218116" cy="3627534"/>
                    </a:xfrm>
                    <a:prstGeom prst="rect">
                      <a:avLst/>
                    </a:prstGeom>
                  </pic:spPr>
                </pic:pic>
              </a:graphicData>
            </a:graphic>
          </wp:inline>
        </w:drawing>
      </w:r>
    </w:p>
    <w:p w14:paraId="23EEB7F1" w14:textId="31DDA86A" w:rsidR="001A03DF" w:rsidRDefault="001A03DF" w:rsidP="001A03DF">
      <w:pPr>
        <w:pStyle w:val="Caption"/>
        <w:rPr>
          <w:b w:val="0"/>
          <w:bCs w:val="0"/>
        </w:rPr>
      </w:pPr>
      <w:bookmarkStart w:id="168" w:name="_Toc52968245"/>
      <w:r>
        <w:t xml:space="preserve">Figure </w:t>
      </w:r>
      <w:r>
        <w:fldChar w:fldCharType="begin"/>
      </w:r>
      <w:r>
        <w:instrText>SEQ Figure \* ARABIC</w:instrText>
      </w:r>
      <w:r>
        <w:fldChar w:fldCharType="separate"/>
      </w:r>
      <w:r w:rsidR="00235F13">
        <w:rPr>
          <w:noProof/>
        </w:rPr>
        <w:t>15</w:t>
      </w:r>
      <w:r>
        <w:fldChar w:fldCharType="end"/>
      </w:r>
      <w:r>
        <w:t xml:space="preserve">. </w:t>
      </w:r>
      <w:r w:rsidRPr="001A03DF">
        <w:rPr>
          <w:b w:val="0"/>
          <w:bCs w:val="0"/>
        </w:rPr>
        <w:t>Soil carbon vulnerability of each NRM sub-cluster (mean and standard deviation). Orange bars are sub-clusters with agricultural activity</w:t>
      </w:r>
      <w:r>
        <w:rPr>
          <w:b w:val="0"/>
          <w:bCs w:val="0"/>
        </w:rPr>
        <w:t>.</w:t>
      </w:r>
      <w:bookmarkEnd w:id="168"/>
    </w:p>
    <w:p w14:paraId="38F8E1CE" w14:textId="77777777" w:rsidR="00CA36FE" w:rsidRDefault="00CA36FE" w:rsidP="00CA36FE">
      <w:pPr>
        <w:pStyle w:val="BodyText"/>
        <w:rPr>
          <w:color w:val="auto"/>
        </w:rPr>
      </w:pPr>
    </w:p>
    <w:p w14:paraId="3EFB5ED2" w14:textId="68CC8984" w:rsidR="00CA36FE" w:rsidRDefault="00CA36FE" w:rsidP="00CA36FE">
      <w:pPr>
        <w:pStyle w:val="BodyText"/>
        <w:rPr>
          <w:color w:val="auto"/>
        </w:rPr>
      </w:pPr>
      <w:r>
        <w:rPr>
          <w:color w:val="auto"/>
        </w:rPr>
        <w:lastRenderedPageBreak/>
        <w:t xml:space="preserve">The degree of vulnerability of SOC </w:t>
      </w:r>
      <w:r w:rsidR="00733E30">
        <w:rPr>
          <w:color w:val="auto"/>
        </w:rPr>
        <w:t xml:space="preserve">is </w:t>
      </w:r>
      <w:r>
        <w:rPr>
          <w:color w:val="auto"/>
        </w:rPr>
        <w:t xml:space="preserve">a function of (a) the chemical composition of the organic matter, with the more labile POC fraction comprising more recent and readily decomposable plant matter, and the more stable fractions comprising organic matter that has been increasingly depolymerised (Conant et al. 2011), and (b) the degree of protection the material has from decomposition processes, such as binding to clay and other soil minerals. </w:t>
      </w:r>
    </w:p>
    <w:p w14:paraId="4C7186F7" w14:textId="7B19886D" w:rsidR="00CA36FE" w:rsidRPr="005654B7" w:rsidRDefault="00CA36FE" w:rsidP="00CA36FE">
      <w:pPr>
        <w:pStyle w:val="BodyText"/>
        <w:rPr>
          <w:color w:val="auto"/>
        </w:rPr>
      </w:pPr>
      <w:r>
        <w:rPr>
          <w:color w:val="auto"/>
        </w:rPr>
        <w:t>Much research effort has been devoted to studying the response of soil carbon losses to increasing temperature, driven by a concern that anthropogenic warming could trigger the release of stored soil carbon globally, leading to a positive warming feedback with the atmosphere (Schlesinger and Andrews 2000). The ubiquity of increased soil respiration with increasing temperature has been confirmed across numerous laboratory experiments globally, where the temperature sensitivity factor Q</w:t>
      </w:r>
      <w:r w:rsidRPr="005654B7">
        <w:rPr>
          <w:color w:val="auto"/>
          <w:vertAlign w:val="subscript"/>
        </w:rPr>
        <w:t>10</w:t>
      </w:r>
      <w:r>
        <w:rPr>
          <w:color w:val="auto"/>
        </w:rPr>
        <w:t>, calculated as the rate of change of respiration with a temperature change of 10</w:t>
      </w:r>
      <w:r>
        <w:rPr>
          <w:rFonts w:ascii="Symbol" w:eastAsia="Symbol" w:hAnsi="Symbol" w:cs="Symbol"/>
          <w:color w:val="auto"/>
        </w:rPr>
        <w:sym w:font="Symbol" w:char="F0B0"/>
      </w:r>
      <w:r>
        <w:rPr>
          <w:color w:val="auto"/>
        </w:rPr>
        <w:t>C, has been reported with values for terrestrial soils in the range 1.3-3.3 (Oertel et al. 2016), and with a global average of 2.4 (Wang et al. 2018</w:t>
      </w:r>
      <w:r w:rsidR="00E47308">
        <w:rPr>
          <w:color w:val="auto"/>
        </w:rPr>
        <w:t>a</w:t>
      </w:r>
      <w:r>
        <w:rPr>
          <w:color w:val="auto"/>
        </w:rPr>
        <w:t>). Under field conditions, however, other factors such as water stress can reduce the direst effects of temperature, for example by reducing the availability of nutrients to the microbial population.</w:t>
      </w:r>
    </w:p>
    <w:p w14:paraId="3A53820E" w14:textId="77777777" w:rsidR="00CA36FE" w:rsidRDefault="00CA36FE" w:rsidP="00CA36FE">
      <w:pPr>
        <w:pStyle w:val="BodyText"/>
        <w:rPr>
          <w:color w:val="auto"/>
        </w:rPr>
      </w:pPr>
      <w:r>
        <w:rPr>
          <w:color w:val="auto"/>
        </w:rPr>
        <w:t>To overcome the uncertainties of extrapolating laboratory experiments to real ecosystems, field manipulations are required. In their review of results from 49 globally distributed field experiments where artificial warming had been applied, Crowther et al. (2016) concluded strong empirical support for increased SOC loss as global temperatures increased, with the greatest losses in those soils with initially the highest stores of carbon. One of the major limitations of the analysis is that the studies did not include the feedback between rates of SOC loss, and impacts on rates of input (reviewed above). Indeed, the linkage between changes to rates of input via plant growth and loss rates remains one of the key knowledge gaps in carbon cycling research. For example, it has been hypothesised that simply increasing the rate of organic matter input to the soil may stimulate microbial activity, leading to compensatory losses due to enhanced soil respiration (the ‘priming’ hypothesis: Fontaine et al. 2007; Chen et al. 2019).</w:t>
      </w:r>
    </w:p>
    <w:p w14:paraId="30B12223" w14:textId="77777777" w:rsidR="00CA36FE" w:rsidRDefault="00CA36FE" w:rsidP="00CA36FE">
      <w:pPr>
        <w:pStyle w:val="BodyText"/>
        <w:rPr>
          <w:color w:val="auto"/>
        </w:rPr>
      </w:pPr>
      <w:r>
        <w:rPr>
          <w:color w:val="auto"/>
        </w:rPr>
        <w:t xml:space="preserve">Gray and Bishop (2019) investigated the potential change in soil carbon due to combined changes in temperature and rainfall, using climate projections corresponding to </w:t>
      </w:r>
      <w:r>
        <w:rPr>
          <w:rFonts w:cs="Calibri"/>
          <w:color w:val="auto"/>
        </w:rPr>
        <w:t>~</w:t>
      </w:r>
      <w:r>
        <w:rPr>
          <w:color w:val="auto"/>
        </w:rPr>
        <w:t>2070. The study area included all of New South Wales and Victoria, and approximately half of South Australia and Queensland. Overall, SOC stocks were predicted to decline, although with marked spatial variability corresponding approximately to average annual rainfall, and hence plant productivity. In the most productive regions SOC stocks were projected to decline up to 10-20%, but in the less productive areas, including the major cropping areas, declines were in the order 2.5 to 5.0 %. It is important to note that the modelling did not consider the interactions with possible changes to plant productivity.</w:t>
      </w:r>
    </w:p>
    <w:p w14:paraId="16776465" w14:textId="00EF374F" w:rsidR="00CA36FE" w:rsidRDefault="00CA36FE" w:rsidP="00CA36FE">
      <w:pPr>
        <w:pStyle w:val="BodyText"/>
        <w:rPr>
          <w:color w:val="auto"/>
        </w:rPr>
      </w:pPr>
      <w:r>
        <w:rPr>
          <w:color w:val="auto"/>
        </w:rPr>
        <w:t>In a study of the response of soil carbon to climate change (to year 2070) under a range of cropping management practices across the entire cropping lands of Australia, Luo et al. (</w:t>
      </w:r>
      <w:r w:rsidRPr="002D5F0C">
        <w:rPr>
          <w:color w:val="auto"/>
        </w:rPr>
        <w:t>20</w:t>
      </w:r>
      <w:r w:rsidR="002D5F0C">
        <w:rPr>
          <w:color w:val="auto"/>
        </w:rPr>
        <w:t>19a</w:t>
      </w:r>
      <w:r>
        <w:rPr>
          <w:color w:val="auto"/>
        </w:rPr>
        <w:t>) found, at the national level, a relatively small net emission from rainfed cropping soils. At a regional scale, and taking into account uncertainty in the model projections, Queensland cropping zones were consistently a net source of carbon from the soil, with up to a 20 tC ha</w:t>
      </w:r>
      <w:r w:rsidRPr="005B7A6A">
        <w:rPr>
          <w:color w:val="auto"/>
          <w:vertAlign w:val="superscript"/>
        </w:rPr>
        <w:t>-1</w:t>
      </w:r>
      <w:r>
        <w:rPr>
          <w:color w:val="auto"/>
        </w:rPr>
        <w:t xml:space="preserve"> loss predicted. In temperate regions the results ranged from a net loss to a net gain, with an average suggesting a slight positive increase. This study included both the responses of plant production to climate </w:t>
      </w:r>
      <w:r>
        <w:rPr>
          <w:color w:val="auto"/>
        </w:rPr>
        <w:lastRenderedPageBreak/>
        <w:t>factors, as well as direct impacts to soil respiration, and therefore represents one of the few attempts to integrate both the input and loss sides to understanding SOC dynamics.</w:t>
      </w:r>
    </w:p>
    <w:p w14:paraId="7D533BB2" w14:textId="1175FEDA" w:rsidR="00CA36FE" w:rsidRDefault="00CA36FE" w:rsidP="00CA36FE">
      <w:pPr>
        <w:pStyle w:val="BodyText"/>
        <w:rPr>
          <w:color w:val="auto"/>
        </w:rPr>
      </w:pPr>
      <w:r>
        <w:rPr>
          <w:color w:val="auto"/>
        </w:rPr>
        <w:t>Impacts of drought on soil respiration have also been widely investigated. In a global review Wang et al. (201</w:t>
      </w:r>
      <w:r w:rsidR="00071F29">
        <w:rPr>
          <w:color w:val="auto"/>
        </w:rPr>
        <w:t>4</w:t>
      </w:r>
      <w:r>
        <w:rPr>
          <w:color w:val="auto"/>
        </w:rPr>
        <w:t>) concluded drought stress consistently impacts the main components of soil respiration (root respiration, microbial respiration and heterotrophic respiration (SOC decomposition)), and also leads to a de-coupling of above- and below-ground processes. Because the different components of respiration can respond differentially to different climate drivers, the impacts of drought stress can vary across different ecosystems, although the general tendency is for reduced rates of SOC loss with increasing drought intensity. In a study of change in SOC across 10 farms in New South Wales, Singh and Whelan (2020) recorded significant declines in SOC due to drought. Similarly, Meyer et al. (2018) in their exploration of the implications of both wet and dry future climate scenarios on SOC across western Victoria, found that under the more productive, wetter conditions SOC increased, but decreased under dryer conditions</w:t>
      </w:r>
      <w:r w:rsidR="00BF2234">
        <w:rPr>
          <w:color w:val="auto"/>
        </w:rPr>
        <w:t xml:space="preserve">. </w:t>
      </w:r>
      <w:r>
        <w:rPr>
          <w:color w:val="auto"/>
        </w:rPr>
        <w:t>This study, like that of Luo et al. (20</w:t>
      </w:r>
      <w:r w:rsidR="002D5F0C">
        <w:rPr>
          <w:color w:val="auto"/>
        </w:rPr>
        <w:t>19a</w:t>
      </w:r>
      <w:r>
        <w:rPr>
          <w:color w:val="auto"/>
        </w:rPr>
        <w:t xml:space="preserve">), simultaneously included both changes to plant inputs to the soil, as well as decomposition losses. </w:t>
      </w:r>
      <w:r w:rsidR="006267B5">
        <w:rPr>
          <w:color w:val="auto"/>
        </w:rPr>
        <w:t>Karunaratne et al. (2014), also in New South Wales, reported a decline in SOC following drought.</w:t>
      </w:r>
    </w:p>
    <w:p w14:paraId="7D262707" w14:textId="6DC829E5" w:rsidR="00CA36FE" w:rsidRDefault="00CA36FE" w:rsidP="00CA36FE">
      <w:pPr>
        <w:pStyle w:val="BodyText"/>
        <w:rPr>
          <w:color w:val="auto"/>
        </w:rPr>
      </w:pPr>
      <w:r>
        <w:rPr>
          <w:color w:val="auto"/>
        </w:rPr>
        <w:t>There are two studies that have explicitly investigated SOC sequestration with respect to activities allowable under the ‘</w:t>
      </w:r>
      <w:r w:rsidRPr="00B06453">
        <w:rPr>
          <w:color w:val="auto"/>
        </w:rPr>
        <w:t>Measurement of soil carbon sequestration in agricultural systems</w:t>
      </w:r>
      <w:r>
        <w:rPr>
          <w:color w:val="auto"/>
        </w:rPr>
        <w:t xml:space="preserve">’ </w:t>
      </w:r>
      <w:r w:rsidRPr="00B06453">
        <w:rPr>
          <w:color w:val="auto"/>
        </w:rPr>
        <w:t>methodolog</w:t>
      </w:r>
      <w:r>
        <w:rPr>
          <w:color w:val="auto"/>
        </w:rPr>
        <w:t>y. In the first, Badgery et al. (2020a) tracked SOC changes following management change over 16 years at a site in Condobolin, New South Wales. The management changes included a control treatment (conventional tillage), and three manipulations (reduced tillage, no till and establishment of perennial pasture). In all manipulations SOC increased over the first 12 years, but then reversed such that at year 16 SOC levels were the same as at the start of the experiment. SOC measurements included the POC, H</w:t>
      </w:r>
      <w:r w:rsidR="00955F95">
        <w:rPr>
          <w:color w:val="auto"/>
        </w:rPr>
        <w:t>OC</w:t>
      </w:r>
      <w:r>
        <w:rPr>
          <w:color w:val="auto"/>
        </w:rPr>
        <w:t xml:space="preserve"> and ROC fractions, an</w:t>
      </w:r>
      <w:r w:rsidR="00955F95">
        <w:rPr>
          <w:color w:val="auto"/>
        </w:rPr>
        <w:t>d</w:t>
      </w:r>
      <w:r>
        <w:rPr>
          <w:color w:val="auto"/>
        </w:rPr>
        <w:t xml:space="preserve"> in all cases the initial increase was predominantly in the more vulnerable POC fraction. The subsequent observed loss across all treatment is an important indicator of the likely variability in SOC over timeframes commensurate with those of a typical ERF project. Although there were no obvious temperature or precipitation drivers to explain these results, given the trends in SOC were common to all management interventions suggested the variability observed was not strongly related to management, with suggestions from the measurement of soil nitrogen that shifts in microbial activity associated with increased rates of nutrient harvesting may be implicated in the loss of SOC via respiration. Rabbi et al. (2015) similarly concluded that climate and soil related variables (such as clay content and pH) were the dominant drivers of the spatial variability of SOC across 1482 sites in eastern Australia (explaining 64% of the variability), compared to management practice, which explained just 1.4% of the variation. And across 615 sites in Victoria, Robertson et al. (2016) found 80% of the variation in SOC stock could be related to annual rainfall and humidity, and after accounting for climate variability, differences in SOC between different management types contributed minimally to explaining the residual variation, with </w:t>
      </w:r>
      <w:r w:rsidR="00622B72">
        <w:rPr>
          <w:color w:val="auto"/>
        </w:rPr>
        <w:t xml:space="preserve">changes in </w:t>
      </w:r>
      <w:r>
        <w:rPr>
          <w:color w:val="auto"/>
        </w:rPr>
        <w:t>SOC not significantly related to management practice.</w:t>
      </w:r>
    </w:p>
    <w:p w14:paraId="3BB4320D" w14:textId="77777777" w:rsidR="00CA36FE" w:rsidRDefault="00CA36FE" w:rsidP="00CA36FE">
      <w:pPr>
        <w:pStyle w:val="BodyText"/>
        <w:rPr>
          <w:color w:val="auto"/>
        </w:rPr>
      </w:pPr>
      <w:r>
        <w:rPr>
          <w:color w:val="auto"/>
        </w:rPr>
        <w:t xml:space="preserve">In the second study Badgery et al. (2020b) report results from a 5-year study of ten farms across central west New South Wales where a wide range of allowable activities under the methodology had been applied. Farms were chosen with low current carbon stocks (relative to the region) to maximise the chances of sequestration. After five years, increases in SOC were observed for all 10 farms, and statistically significantly so for 6 of the 10. Overall, an increase of approximately 0.25 to </w:t>
      </w:r>
      <w:r>
        <w:rPr>
          <w:color w:val="auto"/>
        </w:rPr>
        <w:lastRenderedPageBreak/>
        <w:t>1.8 tC ha</w:t>
      </w:r>
      <w:r w:rsidRPr="009E2545">
        <w:rPr>
          <w:color w:val="auto"/>
          <w:vertAlign w:val="superscript"/>
        </w:rPr>
        <w:t>-1</w:t>
      </w:r>
      <w:r>
        <w:rPr>
          <w:color w:val="auto"/>
        </w:rPr>
        <w:t xml:space="preserve"> yr</w:t>
      </w:r>
      <w:r w:rsidRPr="009E2545">
        <w:rPr>
          <w:color w:val="auto"/>
          <w:vertAlign w:val="superscript"/>
        </w:rPr>
        <w:t>-1</w:t>
      </w:r>
      <w:r>
        <w:rPr>
          <w:color w:val="auto"/>
        </w:rPr>
        <w:t xml:space="preserve"> was measured across different activities, with the highest rates associated with sowing perennial pasture with organic amendments. A control property, with no management change implemented, showed a slight decline in SOC over the same period. Two key caveats of this study are that additional emissions were not accounted for (e.g. due to additional fertiliser addition or changes to stock numbers), and that, because of the sensitivity of SOC to climate variability, the observed SOC stocks may not be able to be maintained, particular as the study period included only the initial responses of the treatments.</w:t>
      </w:r>
    </w:p>
    <w:p w14:paraId="0AF0F5F7" w14:textId="77777777" w:rsidR="00CA36FE" w:rsidRDefault="00CA36FE" w:rsidP="00CA36FE">
      <w:pPr>
        <w:pStyle w:val="BodyText"/>
        <w:rPr>
          <w:color w:val="auto"/>
        </w:rPr>
      </w:pPr>
    </w:p>
    <w:p w14:paraId="5918C505" w14:textId="77777777" w:rsidR="00CA36FE" w:rsidRPr="005E00C1" w:rsidRDefault="00CA36FE" w:rsidP="00CA36FE">
      <w:pPr>
        <w:pStyle w:val="BodyText"/>
        <w:rPr>
          <w:i/>
          <w:iCs/>
          <w:color w:val="auto"/>
          <w:szCs w:val="24"/>
        </w:rPr>
      </w:pPr>
      <w:r w:rsidRPr="005E00C1">
        <w:rPr>
          <w:i/>
          <w:iCs/>
          <w:color w:val="auto"/>
          <w:szCs w:val="24"/>
        </w:rPr>
        <w:t>Pest/Diseases</w:t>
      </w:r>
    </w:p>
    <w:p w14:paraId="264B24D0" w14:textId="1E1CA0D3" w:rsidR="00CA36FE" w:rsidRPr="005E00C1" w:rsidRDefault="00CA36FE" w:rsidP="00CA36FE">
      <w:pPr>
        <w:pStyle w:val="BodyText"/>
        <w:rPr>
          <w:color w:val="auto"/>
          <w:szCs w:val="24"/>
          <w:shd w:val="clear" w:color="auto" w:fill="FFFFFF"/>
        </w:rPr>
      </w:pPr>
      <w:r w:rsidRPr="005E00C1">
        <w:rPr>
          <w:color w:val="auto"/>
          <w:szCs w:val="24"/>
          <w:shd w:val="clear" w:color="auto" w:fill="FFFFFF"/>
        </w:rPr>
        <w:t xml:space="preserve">The literature on the potential for </w:t>
      </w:r>
      <w:r>
        <w:rPr>
          <w:color w:val="auto"/>
          <w:szCs w:val="24"/>
          <w:shd w:val="clear" w:color="auto" w:fill="FFFFFF"/>
        </w:rPr>
        <w:t xml:space="preserve">climate change to alter </w:t>
      </w:r>
      <w:r w:rsidRPr="005E00C1">
        <w:rPr>
          <w:color w:val="auto"/>
          <w:szCs w:val="24"/>
          <w:shd w:val="clear" w:color="auto" w:fill="FFFFFF"/>
        </w:rPr>
        <w:t>pe</w:t>
      </w:r>
      <w:r>
        <w:rPr>
          <w:color w:val="auto"/>
          <w:szCs w:val="24"/>
          <w:shd w:val="clear" w:color="auto" w:fill="FFFFFF"/>
        </w:rPr>
        <w:t>sts</w:t>
      </w:r>
      <w:r w:rsidRPr="005E00C1">
        <w:rPr>
          <w:color w:val="auto"/>
          <w:szCs w:val="24"/>
          <w:shd w:val="clear" w:color="auto" w:fill="FFFFFF"/>
        </w:rPr>
        <w:t xml:space="preserve"> and diseases</w:t>
      </w:r>
      <w:r>
        <w:rPr>
          <w:color w:val="auto"/>
          <w:szCs w:val="24"/>
          <w:shd w:val="clear" w:color="auto" w:fill="FFFFFF"/>
        </w:rPr>
        <w:t xml:space="preserve"> dynamics in pasture cropping systems is voluminous, driven by the significant implications for human food production (Prakash et al. 2014). However, the overall impact of climate change can be either positive or negative depending on the nature of the pest or disease, and the host species.</w:t>
      </w:r>
      <w:r w:rsidRPr="005E00C1">
        <w:rPr>
          <w:color w:val="auto"/>
          <w:szCs w:val="24"/>
          <w:shd w:val="clear" w:color="auto" w:fill="FFFFFF"/>
        </w:rPr>
        <w:t xml:space="preserve"> </w:t>
      </w:r>
      <w:r>
        <w:rPr>
          <w:color w:val="auto"/>
          <w:szCs w:val="24"/>
          <w:shd w:val="clear" w:color="auto" w:fill="FFFFFF"/>
        </w:rPr>
        <w:t>For example</w:t>
      </w:r>
      <w:r w:rsidR="00B82634">
        <w:rPr>
          <w:color w:val="auto"/>
          <w:szCs w:val="24"/>
          <w:shd w:val="clear" w:color="auto" w:fill="FFFFFF"/>
        </w:rPr>
        <w:t>,</w:t>
      </w:r>
      <w:r>
        <w:rPr>
          <w:color w:val="auto"/>
          <w:szCs w:val="24"/>
          <w:shd w:val="clear" w:color="auto" w:fill="FFFFFF"/>
        </w:rPr>
        <w:t xml:space="preserve"> e</w:t>
      </w:r>
      <w:r w:rsidRPr="005E4236">
        <w:rPr>
          <w:color w:val="auto"/>
          <w:szCs w:val="24"/>
          <w:shd w:val="clear" w:color="auto" w:fill="FFFFFF"/>
        </w:rPr>
        <w:t>levated CO</w:t>
      </w:r>
      <w:r w:rsidRPr="005E4236">
        <w:rPr>
          <w:color w:val="auto"/>
          <w:szCs w:val="24"/>
          <w:shd w:val="clear" w:color="auto" w:fill="FFFFFF"/>
          <w:vertAlign w:val="subscript"/>
        </w:rPr>
        <w:t>2</w:t>
      </w:r>
      <w:r w:rsidRPr="005E4236">
        <w:rPr>
          <w:color w:val="auto"/>
          <w:szCs w:val="24"/>
          <w:shd w:val="clear" w:color="auto" w:fill="FFFFFF"/>
        </w:rPr>
        <w:t xml:space="preserve"> can increase </w:t>
      </w:r>
      <w:r>
        <w:rPr>
          <w:color w:val="auto"/>
          <w:szCs w:val="24"/>
          <w:shd w:val="clear" w:color="auto" w:fill="FFFFFF"/>
        </w:rPr>
        <w:t xml:space="preserve">palatability by changing the chemical composition of leaves, such as a decreasing </w:t>
      </w:r>
      <w:r w:rsidRPr="005E4236">
        <w:rPr>
          <w:color w:val="auto"/>
          <w:szCs w:val="24"/>
          <w:shd w:val="clear" w:color="auto" w:fill="FFFFFF"/>
        </w:rPr>
        <w:t>nitrogen content</w:t>
      </w:r>
      <w:r>
        <w:rPr>
          <w:color w:val="auto"/>
          <w:szCs w:val="24"/>
          <w:shd w:val="clear" w:color="auto" w:fill="FFFFFF"/>
        </w:rPr>
        <w:t xml:space="preserve">, which can increase </w:t>
      </w:r>
      <w:r w:rsidRPr="005E4236">
        <w:rPr>
          <w:color w:val="auto"/>
          <w:szCs w:val="24"/>
          <w:shd w:val="clear" w:color="auto" w:fill="FFFFFF"/>
        </w:rPr>
        <w:t>insect</w:t>
      </w:r>
      <w:r>
        <w:rPr>
          <w:color w:val="auto"/>
          <w:szCs w:val="24"/>
          <w:shd w:val="clear" w:color="auto" w:fill="FFFFFF"/>
        </w:rPr>
        <w:t xml:space="preserve"> damage through greater consumption to meet dietary needs. </w:t>
      </w:r>
      <w:r w:rsidRPr="005E4236">
        <w:rPr>
          <w:color w:val="auto"/>
          <w:szCs w:val="24"/>
          <w:shd w:val="clear" w:color="auto" w:fill="FFFFFF"/>
        </w:rPr>
        <w:t xml:space="preserve">Higher temperatures </w:t>
      </w:r>
      <w:r>
        <w:rPr>
          <w:color w:val="auto"/>
          <w:szCs w:val="24"/>
          <w:shd w:val="clear" w:color="auto" w:fill="FFFFFF"/>
        </w:rPr>
        <w:t xml:space="preserve">may also mean </w:t>
      </w:r>
      <w:r w:rsidRPr="005E4236">
        <w:rPr>
          <w:color w:val="auto"/>
          <w:szCs w:val="24"/>
          <w:shd w:val="clear" w:color="auto" w:fill="FFFFFF"/>
        </w:rPr>
        <w:t>more numbers of pests survive the winter season</w:t>
      </w:r>
      <w:r>
        <w:rPr>
          <w:color w:val="auto"/>
          <w:szCs w:val="24"/>
          <w:shd w:val="clear" w:color="auto" w:fill="FFFFFF"/>
        </w:rPr>
        <w:t xml:space="preserve">, and on larger scales </w:t>
      </w:r>
      <w:r w:rsidRPr="005E4236">
        <w:rPr>
          <w:color w:val="auto"/>
          <w:szCs w:val="24"/>
          <w:shd w:val="clear" w:color="auto" w:fill="FFFFFF"/>
        </w:rPr>
        <w:t>a poleward spread of many pest and disease</w:t>
      </w:r>
      <w:r>
        <w:rPr>
          <w:color w:val="auto"/>
          <w:szCs w:val="24"/>
          <w:shd w:val="clear" w:color="auto" w:fill="FFFFFF"/>
        </w:rPr>
        <w:t>s has been documented. Conversely, beneficial effects of climate change are possible. For example, Wang et al. (2019</w:t>
      </w:r>
      <w:r w:rsidR="009E0A6D">
        <w:rPr>
          <w:color w:val="auto"/>
          <w:szCs w:val="24"/>
          <w:shd w:val="clear" w:color="auto" w:fill="FFFFFF"/>
        </w:rPr>
        <w:t>b</w:t>
      </w:r>
      <w:r>
        <w:rPr>
          <w:color w:val="auto"/>
          <w:szCs w:val="24"/>
          <w:shd w:val="clear" w:color="auto" w:fill="FFFFFF"/>
        </w:rPr>
        <w:t>) concluded that seasonal outbreaks of the Australian plague locust are likely to decline across all seasons, due to a shift to unfavourable climatic conditions for the species.</w:t>
      </w:r>
    </w:p>
    <w:p w14:paraId="2BD00ACB" w14:textId="77777777" w:rsidR="00CA36FE" w:rsidRDefault="00CA36FE" w:rsidP="00CA36FE">
      <w:pPr>
        <w:pStyle w:val="BodyText"/>
        <w:rPr>
          <w:i/>
          <w:iCs/>
          <w:color w:val="808080" w:themeColor="background1" w:themeShade="80"/>
          <w:szCs w:val="24"/>
        </w:rPr>
      </w:pPr>
    </w:p>
    <w:p w14:paraId="673ACF4E" w14:textId="77777777" w:rsidR="00CA36FE" w:rsidRPr="005E00C1" w:rsidRDefault="00CA36FE" w:rsidP="00CA36FE">
      <w:pPr>
        <w:pStyle w:val="BodyText"/>
        <w:keepNext/>
        <w:keepLines/>
        <w:rPr>
          <w:i/>
          <w:iCs/>
          <w:color w:val="auto"/>
          <w:szCs w:val="24"/>
        </w:rPr>
      </w:pPr>
      <w:r>
        <w:rPr>
          <w:i/>
          <w:iCs/>
          <w:color w:val="auto"/>
          <w:szCs w:val="24"/>
        </w:rPr>
        <w:t xml:space="preserve">Other </w:t>
      </w:r>
      <w:r w:rsidRPr="005E00C1">
        <w:rPr>
          <w:i/>
          <w:iCs/>
          <w:color w:val="auto"/>
          <w:szCs w:val="24"/>
        </w:rPr>
        <w:t>Disturbances</w:t>
      </w:r>
    </w:p>
    <w:p w14:paraId="562FE111" w14:textId="77777777" w:rsidR="00CA36FE" w:rsidRPr="008264E5" w:rsidRDefault="00CA36FE" w:rsidP="00CA36FE">
      <w:pPr>
        <w:pStyle w:val="BodyText"/>
        <w:spacing w:before="0" w:after="0" w:line="240" w:lineRule="auto"/>
        <w:rPr>
          <w:smallCaps/>
          <w:color w:val="auto"/>
        </w:rPr>
      </w:pPr>
      <w:r w:rsidRPr="008264E5">
        <w:rPr>
          <w:smallCaps/>
          <w:color w:val="auto"/>
        </w:rPr>
        <w:t>Fire</w:t>
      </w:r>
    </w:p>
    <w:p w14:paraId="05DA1B14" w14:textId="77777777" w:rsidR="00CA36FE" w:rsidRPr="008264E5" w:rsidRDefault="00CA36FE" w:rsidP="00CA36FE">
      <w:pPr>
        <w:pStyle w:val="BodyText"/>
        <w:spacing w:before="0" w:after="0" w:line="240" w:lineRule="auto"/>
        <w:rPr>
          <w:smallCaps/>
          <w:color w:val="auto"/>
        </w:rPr>
      </w:pPr>
      <w:r w:rsidRPr="008264E5">
        <w:rPr>
          <w:smallCaps/>
          <w:color w:val="auto"/>
        </w:rPr>
        <w:t>Storms/Flooding</w:t>
      </w:r>
    </w:p>
    <w:p w14:paraId="1B4D6FD6" w14:textId="284D47FE" w:rsidR="00CA36FE" w:rsidRDefault="00CA36FE" w:rsidP="00CA36FE">
      <w:pPr>
        <w:pStyle w:val="BodyText"/>
        <w:rPr>
          <w:noProof/>
          <w:color w:val="auto"/>
        </w:rPr>
      </w:pPr>
      <w:r>
        <w:rPr>
          <w:noProof/>
          <w:color w:val="auto"/>
        </w:rPr>
        <w:t>Because SOC is, by definition, stored below ground, this affords some protection from many environmental disturbances such as high winds, storm damage and fire</w:t>
      </w:r>
      <w:r w:rsidR="00407A8D">
        <w:rPr>
          <w:noProof/>
          <w:color w:val="auto"/>
        </w:rPr>
        <w:t xml:space="preserve"> (excluding secondary losses through subsequent erosion)</w:t>
      </w:r>
      <w:r>
        <w:rPr>
          <w:noProof/>
          <w:color w:val="auto"/>
        </w:rPr>
        <w:t xml:space="preserve">. Extreme climatic events and droughts were discussed earlier in this section, in relation to impacts on plant growth and SOC decay. Other disturbances that could impact the sequestration of SOC are flood events, and fire. The primary pathway for fire to impact SOC in agricultural settings is via burning of stubble, undertaken </w:t>
      </w:r>
      <w:r w:rsidR="00407A8D">
        <w:rPr>
          <w:noProof/>
          <w:color w:val="auto"/>
        </w:rPr>
        <w:t xml:space="preserve">to </w:t>
      </w:r>
      <w:r>
        <w:rPr>
          <w:noProof/>
          <w:color w:val="auto"/>
        </w:rPr>
        <w:t>facilitate crop re-planting and to help control pests and diseases. The removal of fresh organic matter through fire reduces the amou</w:t>
      </w:r>
      <w:r w:rsidR="00407A8D">
        <w:rPr>
          <w:noProof/>
          <w:color w:val="auto"/>
        </w:rPr>
        <w:t>n</w:t>
      </w:r>
      <w:r>
        <w:rPr>
          <w:noProof/>
          <w:color w:val="auto"/>
        </w:rPr>
        <w:t>t available to enter the soil matrix, and fire can also affect soil quality such as a reduction in macro-aggregate stability (Chan et al. 200</w:t>
      </w:r>
      <w:r w:rsidR="009E0A6D">
        <w:rPr>
          <w:noProof/>
          <w:color w:val="auto"/>
        </w:rPr>
        <w:t>6</w:t>
      </w:r>
      <w:r>
        <w:rPr>
          <w:noProof/>
          <w:color w:val="auto"/>
        </w:rPr>
        <w:t>). Because stubble burning is implemented as part of farm management, it is not considered a risk factor for SOC sequestration under the ERF methodologies. Wildfires are also possible in agricultural landscapes, for example up to 20 fires were started by lightening strikes in Western Australia’s wheatbelt in 2018, with the largest burning approximately 3000 ha</w:t>
      </w:r>
      <w:r>
        <w:rPr>
          <w:rStyle w:val="FootnoteReference"/>
          <w:noProof/>
          <w:color w:val="auto"/>
        </w:rPr>
        <w:footnoteReference w:id="12"/>
      </w:r>
      <w:r>
        <w:rPr>
          <w:noProof/>
          <w:color w:val="auto"/>
        </w:rPr>
        <w:t>; and in 2015 approximately 85,000 of cropping land was burnt in South Australia</w:t>
      </w:r>
      <w:r>
        <w:rPr>
          <w:rStyle w:val="FootnoteReference"/>
          <w:noProof/>
          <w:color w:val="auto"/>
        </w:rPr>
        <w:footnoteReference w:id="13"/>
      </w:r>
      <w:r>
        <w:rPr>
          <w:noProof/>
          <w:color w:val="auto"/>
        </w:rPr>
        <w:t>. Although fire danger weather is expected to incease over the coming decades across Australia’s agricultral areas (</w:t>
      </w:r>
      <w:r>
        <w:rPr>
          <w:color w:val="auto"/>
        </w:rPr>
        <w:t>Appendix B, Figure B1(q,r)</w:t>
      </w:r>
      <w:r>
        <w:rPr>
          <w:noProof/>
          <w:color w:val="auto"/>
        </w:rPr>
        <w:t xml:space="preserve">), which may see an increase in such </w:t>
      </w:r>
      <w:r>
        <w:rPr>
          <w:noProof/>
          <w:color w:val="auto"/>
        </w:rPr>
        <w:lastRenderedPageBreak/>
        <w:t>events in the future, direct risks to soil carbon sequestration are considered low (with a likelihood category of ‘likely’, and a consequence of ‘Insignificant’).</w:t>
      </w:r>
    </w:p>
    <w:p w14:paraId="04C8269C" w14:textId="000E3BCD" w:rsidR="00CA36FE" w:rsidRDefault="00CA36FE" w:rsidP="00CA36FE">
      <w:pPr>
        <w:pStyle w:val="BodyText"/>
        <w:rPr>
          <w:noProof/>
          <w:color w:val="auto"/>
        </w:rPr>
      </w:pPr>
      <w:r>
        <w:rPr>
          <w:noProof/>
          <w:color w:val="auto"/>
        </w:rPr>
        <w:t>Flooding of agricultural soils can lead to both short-term and long-term effects on SOC, and the projections across Australia’s agricultural zone is for incr</w:t>
      </w:r>
      <w:r w:rsidR="00533711">
        <w:rPr>
          <w:noProof/>
          <w:color w:val="auto"/>
        </w:rPr>
        <w:t>ea</w:t>
      </w:r>
      <w:r>
        <w:rPr>
          <w:noProof/>
          <w:color w:val="auto"/>
        </w:rPr>
        <w:t>ses in both the frequency and intensity of extreme rainfall (</w:t>
      </w:r>
      <w:r>
        <w:rPr>
          <w:color w:val="auto"/>
        </w:rPr>
        <w:t>Appendix B, Figure B1(o)</w:t>
      </w:r>
      <w:r>
        <w:rPr>
          <w:noProof/>
          <w:color w:val="auto"/>
        </w:rPr>
        <w:t>), increasing the probability of flooding – although the confidence in timing and location of such events is low, given the high uncertainty in modelled rainfall projections. Flooding can have two impacts on stored soil carbon. First, there is the potential for erosion and topsoil loss. Second, if flooding is prolonged then roots can become starved of oxygen leading to plant death (Piao et al. 2019), and soil respiration. Long-term impacts of flood events on SOC are largely unknown</w:t>
      </w:r>
      <w:r w:rsidR="00BF2234">
        <w:rPr>
          <w:noProof/>
          <w:color w:val="auto"/>
        </w:rPr>
        <w:t xml:space="preserve">. </w:t>
      </w:r>
    </w:p>
    <w:p w14:paraId="0D7DD530" w14:textId="77777777" w:rsidR="00CA36FE" w:rsidRDefault="00CA36FE" w:rsidP="00CA36FE">
      <w:pPr>
        <w:pStyle w:val="BodyText"/>
        <w:rPr>
          <w:i/>
          <w:iCs/>
          <w:color w:val="auto"/>
        </w:rPr>
      </w:pPr>
    </w:p>
    <w:p w14:paraId="2F6853DA" w14:textId="77777777" w:rsidR="00CA36FE" w:rsidRPr="002C6481" w:rsidRDefault="00CA36FE" w:rsidP="00CA36FE">
      <w:pPr>
        <w:pStyle w:val="BodyText"/>
        <w:rPr>
          <w:i/>
          <w:iCs/>
          <w:color w:val="auto"/>
        </w:rPr>
      </w:pPr>
      <w:r w:rsidRPr="002C6481">
        <w:rPr>
          <w:i/>
          <w:iCs/>
          <w:color w:val="auto"/>
        </w:rPr>
        <w:t>Other carbon pools</w:t>
      </w:r>
    </w:p>
    <w:p w14:paraId="50659BA0" w14:textId="77777777" w:rsidR="00CA36FE" w:rsidRDefault="00CA36FE" w:rsidP="00CA36FE">
      <w:pPr>
        <w:pStyle w:val="BodyText"/>
        <w:rPr>
          <w:color w:val="auto"/>
        </w:rPr>
      </w:pPr>
      <w:r>
        <w:rPr>
          <w:color w:val="auto"/>
        </w:rPr>
        <w:t>The soil organic carbon pool is the only pool required to be measured within the ‘</w:t>
      </w:r>
      <w:r w:rsidRPr="00B06453">
        <w:rPr>
          <w:color w:val="auto"/>
        </w:rPr>
        <w:t>Measurement of soil carbon sequestration in agricultural systems</w:t>
      </w:r>
      <w:r>
        <w:rPr>
          <w:color w:val="auto"/>
        </w:rPr>
        <w:t>’ methodology, with no requirement to account for changes in living biomass or debris. However</w:t>
      </w:r>
      <w:r w:rsidR="005B6810">
        <w:rPr>
          <w:color w:val="auto"/>
        </w:rPr>
        <w:t>,</w:t>
      </w:r>
      <w:r>
        <w:rPr>
          <w:color w:val="auto"/>
        </w:rPr>
        <w:t xml:space="preserve"> emissions of other greenhouse gasses must be accounted for, that are associated with the imposed management change, such as N</w:t>
      </w:r>
      <w:r w:rsidRPr="005F0944">
        <w:rPr>
          <w:color w:val="auto"/>
          <w:vertAlign w:val="subscript"/>
        </w:rPr>
        <w:t>2</w:t>
      </w:r>
      <w:r>
        <w:rPr>
          <w:color w:val="auto"/>
        </w:rPr>
        <w:t>O release following fertiliser addition, and CH</w:t>
      </w:r>
      <w:r w:rsidRPr="005F0944">
        <w:rPr>
          <w:color w:val="auto"/>
          <w:vertAlign w:val="subscript"/>
        </w:rPr>
        <w:t>4</w:t>
      </w:r>
      <w:r>
        <w:rPr>
          <w:color w:val="auto"/>
        </w:rPr>
        <w:t xml:space="preserve"> emissions from any increase in animal stocking rates. Such holistic accounting is important. For example Meier et al. (2020) demonstrated that gains in SOC associated with the replacement of cropland by permanent pastures were offset by increased emissions from livestock, although Badgery et al. (2020a) as part of their broader study reported one site where the replacement of cropping with sheep grazing did not lead to a net increase in emissions. </w:t>
      </w:r>
    </w:p>
    <w:p w14:paraId="65102343" w14:textId="77777777" w:rsidR="00CA36FE" w:rsidRPr="0012776E" w:rsidRDefault="00CA36FE" w:rsidP="00CA36FE">
      <w:pPr>
        <w:pStyle w:val="Heading4"/>
        <w:keepNext w:val="0"/>
        <w:keepLines w:val="0"/>
        <w:widowControl w:val="0"/>
        <w:rPr>
          <w:color w:val="808080" w:themeColor="background1" w:themeShade="80"/>
        </w:rPr>
      </w:pPr>
      <w:r w:rsidRPr="007036FF">
        <w:rPr>
          <w:color w:val="008CAC" w:themeColor="accent2" w:themeTint="BF"/>
        </w:rPr>
        <w:t>Summary</w:t>
      </w:r>
    </w:p>
    <w:p w14:paraId="3725AEE3" w14:textId="77777777" w:rsidR="00CA36FE" w:rsidRDefault="00CA36FE" w:rsidP="00CA36FE">
      <w:pPr>
        <w:pStyle w:val="BodyText"/>
        <w:rPr>
          <w:color w:val="auto"/>
        </w:rPr>
      </w:pPr>
      <w:r>
        <w:rPr>
          <w:color w:val="auto"/>
        </w:rPr>
        <w:t>Given the range of potential responses of crop and pasture growth to climate change, it is difficult to generalise what the risks might be to reduced rates of organic matter input to the soil, with both positive and negative growth responses possible depending on circumstances. Because the choice of timing and species selection for crop establishment is under management control, and because pastures are herbaceous with a strong capacity to recover both vegetatively and from seed, there is potential for growth to be maintained over the short term. However</w:t>
      </w:r>
      <w:r w:rsidR="00D61394">
        <w:rPr>
          <w:color w:val="auto"/>
        </w:rPr>
        <w:t>,</w:t>
      </w:r>
      <w:r>
        <w:rPr>
          <w:color w:val="auto"/>
        </w:rPr>
        <w:t xml:space="preserve"> the long-term implications of a gradual change in climatic conditions on crop and pasture growth are uncertain, and in part are subject to adaptive management interventions such as shifts in the timing of crop establishment, and choice of crop species/cultivar. A review of the potential responses of SOC decomposition to climate change indicated a consistent prediction of increased rates of SOC loss under a range of factors, particularly temperature and rainfall. However</w:t>
      </w:r>
      <w:r w:rsidR="00CA2A2C">
        <w:rPr>
          <w:color w:val="auto"/>
        </w:rPr>
        <w:t>,</w:t>
      </w:r>
      <w:r>
        <w:rPr>
          <w:color w:val="auto"/>
        </w:rPr>
        <w:t xml:space="preserve"> disentangling the relative balance between organic matter input and decomposition loss is a difficult task empirically, and in most studies it is the net change in SOC that is reported. </w:t>
      </w:r>
    </w:p>
    <w:p w14:paraId="3BB3035F" w14:textId="4B85A6FC" w:rsidR="00CA36FE" w:rsidRPr="005F0944" w:rsidRDefault="00CA36FE" w:rsidP="00CA36FE">
      <w:pPr>
        <w:pStyle w:val="BodyText"/>
        <w:rPr>
          <w:color w:val="auto"/>
        </w:rPr>
      </w:pPr>
      <w:r>
        <w:rPr>
          <w:color w:val="auto"/>
        </w:rPr>
        <w:t xml:space="preserve">A number of modelling studies had suggested variability in climatic conditions and soil properties is the primary driver of variability in SOC, with management changes only playing a minor role (e.g. Rabbi et al. 2015; Robertson et al. 2016). Furthermore, the importance of understanding what SOC pool fractions are being modified was bought into sharp focus by Badgery et al. (2020a), discussed above. In that study the management changes that were implemented across 10 sites all resulted in an increase of the faster turnover POC pool. Because this pool is most vulnerable to loss </w:t>
      </w:r>
      <w:r>
        <w:rPr>
          <w:color w:val="auto"/>
        </w:rPr>
        <w:lastRenderedPageBreak/>
        <w:t>(</w:t>
      </w:r>
      <w:r w:rsidRPr="00E7557F">
        <w:rPr>
          <w:color w:val="auto"/>
        </w:rPr>
        <w:t>Viscarra-Rossel et al. 2019</w:t>
      </w:r>
      <w:r>
        <w:rPr>
          <w:color w:val="auto"/>
        </w:rPr>
        <w:t xml:space="preserve">), then the risks </w:t>
      </w:r>
      <w:r w:rsidR="000A4E87">
        <w:rPr>
          <w:color w:val="auto"/>
        </w:rPr>
        <w:t xml:space="preserve">to </w:t>
      </w:r>
      <w:r w:rsidR="000A4E87" w:rsidRPr="000A4E87">
        <w:rPr>
          <w:color w:val="auto"/>
        </w:rPr>
        <w:t>maintenance</w:t>
      </w:r>
      <w:r>
        <w:rPr>
          <w:color w:val="auto"/>
        </w:rPr>
        <w:t xml:space="preserve"> and/or </w:t>
      </w:r>
      <w:r w:rsidR="000A4E87">
        <w:rPr>
          <w:color w:val="auto"/>
        </w:rPr>
        <w:t>accumulation</w:t>
      </w:r>
      <w:r>
        <w:rPr>
          <w:color w:val="auto"/>
        </w:rPr>
        <w:t xml:space="preserve"> are significantly greater if it is this pool that increases the most following a change in management. This was borne out by the Badgery et al. (2020a) results that showed a complete reversal of all SOC gains, across all 10 sites, over a 16 year period, and where the majority of gains were in the POC pool. Moreover, because the pattern of change was similar across contrasting management interventions, this further supports the contention that it is climate and other non-management-related factors that are the primary drivers of SOC dynamics. The likelihoods of the various climatic changes can all be considered ‘likely’, and given the evidence that gains and losses of SOC are strongly affected by climate and other non-management related factors, and that direct observations based on activities consistent with the ERF methodology showed reversal under current climatic conditions, the consequences are considered ‘Moderate/Major’, yielding a risk rating of ‘Medium/High’.</w:t>
      </w:r>
    </w:p>
    <w:p w14:paraId="5D95233C" w14:textId="77777777" w:rsidR="00CA36FE" w:rsidRPr="00D31B25" w:rsidRDefault="00CA36FE" w:rsidP="00CA36FE">
      <w:pPr>
        <w:pStyle w:val="BodyText"/>
        <w:rPr>
          <w:color w:val="auto"/>
        </w:rPr>
      </w:pPr>
      <w:r>
        <w:rPr>
          <w:color w:val="auto"/>
        </w:rPr>
        <w:t xml:space="preserve">    </w:t>
      </w:r>
    </w:p>
    <w:p w14:paraId="3D7598D4" w14:textId="77777777" w:rsidR="00CA36FE" w:rsidRDefault="00CA36FE" w:rsidP="00CA36FE">
      <w:pPr>
        <w:pStyle w:val="BodyText"/>
        <w:rPr>
          <w:color w:val="auto"/>
        </w:rPr>
      </w:pPr>
    </w:p>
    <w:p w14:paraId="6374C34C" w14:textId="77777777" w:rsidR="00CA36FE" w:rsidRDefault="00CA36FE" w:rsidP="00CA36FE">
      <w:pPr>
        <w:rPr>
          <w:rFonts w:ascii="Calibri" w:eastAsia="Calibri" w:hAnsi="Calibri"/>
          <w:color w:val="808080" w:themeColor="background1" w:themeShade="80"/>
          <w:szCs w:val="22"/>
        </w:rPr>
      </w:pPr>
      <w:r>
        <w:rPr>
          <w:color w:val="808080" w:themeColor="background1" w:themeShade="80"/>
        </w:rPr>
        <w:br w:type="page"/>
      </w:r>
    </w:p>
    <w:p w14:paraId="117522FD" w14:textId="290DDBB5" w:rsidR="00CA36FE" w:rsidRPr="00351B86" w:rsidRDefault="00CA36FE" w:rsidP="00CA36FE">
      <w:pPr>
        <w:pStyle w:val="Caption"/>
        <w:rPr>
          <w:b w:val="0"/>
          <w:szCs w:val="20"/>
        </w:rPr>
      </w:pPr>
      <w:bookmarkStart w:id="169" w:name="_Toc52971071"/>
      <w:r>
        <w:lastRenderedPageBreak/>
        <w:t xml:space="preserve">Table </w:t>
      </w:r>
      <w:r>
        <w:fldChar w:fldCharType="begin"/>
      </w:r>
      <w:r>
        <w:instrText>SEQ Table \* ARABIC</w:instrText>
      </w:r>
      <w:r>
        <w:fldChar w:fldCharType="separate"/>
      </w:r>
      <w:r w:rsidR="00235F13">
        <w:rPr>
          <w:noProof/>
        </w:rPr>
        <w:t>16</w:t>
      </w:r>
      <w:r>
        <w:fldChar w:fldCharType="end"/>
      </w:r>
      <w:r>
        <w:t xml:space="preserve">. </w:t>
      </w:r>
      <w:r w:rsidRPr="00FC0E0D">
        <w:rPr>
          <w:b w:val="0"/>
          <w:bCs w:val="0"/>
        </w:rPr>
        <w:t xml:space="preserve">Risk assessment for </w:t>
      </w:r>
      <w:r>
        <w:rPr>
          <w:b w:val="0"/>
          <w:bCs w:val="0"/>
        </w:rPr>
        <w:t xml:space="preserve">the </w:t>
      </w:r>
      <w:r w:rsidRPr="002615A0">
        <w:rPr>
          <w:b w:val="0"/>
          <w:bCs w:val="0"/>
        </w:rPr>
        <w:t>Management of Agricultural Soils</w:t>
      </w:r>
      <w:r>
        <w:rPr>
          <w:b w:val="0"/>
          <w:bCs w:val="0"/>
        </w:rPr>
        <w:t xml:space="preserve"> activit</w:t>
      </w:r>
      <w:r w:rsidR="00787615">
        <w:rPr>
          <w:b w:val="0"/>
          <w:bCs w:val="0"/>
        </w:rPr>
        <w:t>ies</w:t>
      </w:r>
      <w:r w:rsidR="00BF2234">
        <w:rPr>
          <w:b w:val="0"/>
          <w:bCs w:val="0"/>
        </w:rPr>
        <w:t>.</w:t>
      </w:r>
      <w:bookmarkEnd w:id="169"/>
      <w:r w:rsidR="00BF2234">
        <w:rPr>
          <w:b w:val="0"/>
          <w:bCs w:val="0"/>
        </w:rPr>
        <w:t xml:space="preserve"> </w:t>
      </w:r>
    </w:p>
    <w:tbl>
      <w:tblPr>
        <w:tblStyle w:val="TableCSIRO"/>
        <w:tblW w:w="10060" w:type="dxa"/>
        <w:tblInd w:w="-14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6"/>
        <w:gridCol w:w="4242"/>
        <w:gridCol w:w="1276"/>
        <w:gridCol w:w="190"/>
        <w:gridCol w:w="1086"/>
        <w:gridCol w:w="1134"/>
        <w:gridCol w:w="1134"/>
        <w:gridCol w:w="347"/>
        <w:gridCol w:w="347"/>
        <w:gridCol w:w="298"/>
      </w:tblGrid>
      <w:tr w:rsidR="003014D3" w14:paraId="11B24E7F" w14:textId="77777777" w:rsidTr="004354E2">
        <w:trPr>
          <w:cnfStyle w:val="100000000000" w:firstRow="1" w:lastRow="0" w:firstColumn="0" w:lastColumn="0" w:oddVBand="0" w:evenVBand="0" w:oddHBand="0" w:evenHBand="0" w:firstRowFirstColumn="0" w:firstRowLastColumn="0" w:lastRowFirstColumn="0" w:lastRowLastColumn="0"/>
          <w:cantSplit/>
          <w:trHeight w:val="1392"/>
        </w:trPr>
        <w:tc>
          <w:tcPr>
            <w:cnfStyle w:val="001000000000" w:firstRow="0" w:lastRow="0" w:firstColumn="1" w:lastColumn="0" w:oddVBand="0" w:evenVBand="0" w:oddHBand="0" w:evenHBand="0" w:firstRowFirstColumn="0" w:firstRowLastColumn="0" w:lastRowFirstColumn="0" w:lastRowLastColumn="0"/>
            <w:tcW w:w="4248" w:type="dxa"/>
            <w:gridSpan w:val="2"/>
            <w:shd w:val="clear" w:color="auto" w:fill="FFFFFF" w:themeFill="background1"/>
            <w:tcMar>
              <w:top w:w="28" w:type="dxa"/>
              <w:left w:w="28" w:type="dxa"/>
              <w:bottom w:w="28" w:type="dxa"/>
              <w:right w:w="28" w:type="dxa"/>
            </w:tcMar>
            <w:vAlign w:val="center"/>
          </w:tcPr>
          <w:p w14:paraId="094604B7" w14:textId="77777777" w:rsidR="003014D3" w:rsidRDefault="003014D3" w:rsidP="004354E2">
            <w:pPr>
              <w:jc w:val="center"/>
            </w:pPr>
          </w:p>
          <w:p w14:paraId="5E2FA7E3" w14:textId="77777777" w:rsidR="003014D3" w:rsidRDefault="003014D3" w:rsidP="004354E2">
            <w:pPr>
              <w:jc w:val="center"/>
            </w:pPr>
          </w:p>
          <w:p w14:paraId="65488D46" w14:textId="77777777" w:rsidR="003014D3" w:rsidRDefault="003014D3" w:rsidP="004354E2">
            <w:pPr>
              <w:jc w:val="center"/>
            </w:pPr>
          </w:p>
          <w:p w14:paraId="2B60A028" w14:textId="77777777" w:rsidR="003014D3" w:rsidRDefault="003014D3" w:rsidP="004354E2">
            <w:pPr>
              <w:rPr>
                <w:b w:val="0"/>
                <w:bCs w:val="0"/>
              </w:rPr>
            </w:pPr>
          </w:p>
          <w:p w14:paraId="34ECDD52" w14:textId="77777777" w:rsidR="003014D3" w:rsidRPr="00867ED7" w:rsidRDefault="003014D3" w:rsidP="004354E2">
            <w:pPr>
              <w:rPr>
                <w:rFonts w:asciiTheme="minorHAnsi" w:hAnsiTheme="minorHAnsi" w:cstheme="minorHAnsi"/>
                <w:color w:val="000000" w:themeColor="text1"/>
                <w:sz w:val="18"/>
                <w:szCs w:val="18"/>
              </w:rPr>
            </w:pPr>
          </w:p>
        </w:tc>
        <w:tc>
          <w:tcPr>
            <w:tcW w:w="1276" w:type="dxa"/>
            <w:shd w:val="clear" w:color="auto" w:fill="FFFFFF" w:themeFill="background1"/>
          </w:tcPr>
          <w:p w14:paraId="7DF374DE" w14:textId="77777777" w:rsidR="003014D3" w:rsidRDefault="003014D3"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90" w:type="dxa"/>
            <w:shd w:val="clear" w:color="auto" w:fill="FFFFFF" w:themeFill="background1"/>
          </w:tcPr>
          <w:p w14:paraId="7FD75FEE" w14:textId="77777777" w:rsidR="003014D3" w:rsidRDefault="003014D3"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shd w:val="clear" w:color="auto" w:fill="FFFFFF" w:themeFill="background1"/>
            <w:tcMar>
              <w:top w:w="28" w:type="dxa"/>
              <w:left w:w="28" w:type="dxa"/>
              <w:bottom w:w="28" w:type="dxa"/>
              <w:right w:w="28" w:type="dxa"/>
            </w:tcMar>
            <w:vAlign w:val="center"/>
          </w:tcPr>
          <w:p w14:paraId="04883443" w14:textId="77777777" w:rsidR="003014D3" w:rsidRDefault="003014D3"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34" w:type="dxa"/>
            <w:shd w:val="clear" w:color="auto" w:fill="FFFFFF" w:themeFill="background1"/>
            <w:tcMar>
              <w:top w:w="28" w:type="dxa"/>
              <w:left w:w="28" w:type="dxa"/>
              <w:bottom w:w="28" w:type="dxa"/>
              <w:right w:w="28" w:type="dxa"/>
            </w:tcMar>
            <w:vAlign w:val="center"/>
          </w:tcPr>
          <w:p w14:paraId="7849991F" w14:textId="77777777" w:rsidR="003014D3" w:rsidRDefault="003014D3"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134" w:type="dxa"/>
            <w:shd w:val="clear" w:color="auto" w:fill="FFFFFF" w:themeFill="background1"/>
            <w:vAlign w:val="center"/>
          </w:tcPr>
          <w:p w14:paraId="3A842F9A" w14:textId="77777777" w:rsidR="003014D3" w:rsidRDefault="003014D3"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vMerge w:val="restart"/>
            <w:shd w:val="clear" w:color="auto" w:fill="FFFFFF" w:themeFill="background1"/>
            <w:textDirection w:val="btLr"/>
          </w:tcPr>
          <w:p w14:paraId="7C22EBCD" w14:textId="77777777" w:rsidR="003014D3" w:rsidRDefault="003014D3"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Portfolio-level risks?</w:t>
            </w:r>
          </w:p>
        </w:tc>
        <w:tc>
          <w:tcPr>
            <w:tcW w:w="347" w:type="dxa"/>
            <w:vMerge w:val="restart"/>
            <w:shd w:val="clear" w:color="auto" w:fill="FFFFFF" w:themeFill="background1"/>
            <w:textDirection w:val="btLr"/>
          </w:tcPr>
          <w:p w14:paraId="62BD14E7" w14:textId="77777777" w:rsidR="003014D3" w:rsidRDefault="003014D3"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accumulation</w:t>
            </w:r>
          </w:p>
        </w:tc>
        <w:tc>
          <w:tcPr>
            <w:tcW w:w="298" w:type="dxa"/>
            <w:vMerge w:val="restart"/>
            <w:shd w:val="clear" w:color="auto" w:fill="FFFFFF" w:themeFill="background1"/>
            <w:textDirection w:val="btLr"/>
          </w:tcPr>
          <w:p w14:paraId="0AD7BE75" w14:textId="77777777" w:rsidR="003014D3" w:rsidRDefault="003014D3" w:rsidP="004354E2">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to maintenance</w:t>
            </w:r>
          </w:p>
        </w:tc>
      </w:tr>
      <w:tr w:rsidR="003014D3" w:rsidRPr="002A6E7B" w14:paraId="129BD3A6" w14:textId="77777777" w:rsidTr="004354E2">
        <w:trPr>
          <w:gridBefore w:val="1"/>
          <w:cnfStyle w:val="000000100000" w:firstRow="0" w:lastRow="0" w:firstColumn="0" w:lastColumn="0" w:oddVBand="0" w:evenVBand="0" w:oddHBand="1" w:evenHBand="0" w:firstRowFirstColumn="0" w:firstRowLastColumn="0" w:lastRowFirstColumn="0" w:lastRowLastColumn="0"/>
          <w:wBefore w:w="6" w:type="dxa"/>
          <w:trHeight w:val="44"/>
        </w:trPr>
        <w:tc>
          <w:tcPr>
            <w:cnfStyle w:val="001000000000" w:firstRow="0" w:lastRow="0" w:firstColumn="1" w:lastColumn="0" w:oddVBand="0" w:evenVBand="0" w:oddHBand="0" w:evenHBand="0" w:firstRowFirstColumn="0" w:firstRowLastColumn="0" w:lastRowFirstColumn="0" w:lastRowLastColumn="0"/>
            <w:tcW w:w="4242" w:type="dxa"/>
            <w:tcBorders>
              <w:top w:val="nil"/>
              <w:bottom w:val="nil"/>
            </w:tcBorders>
            <w:shd w:val="clear" w:color="auto" w:fill="FFFFFF" w:themeFill="background1"/>
            <w:tcMar>
              <w:top w:w="28" w:type="dxa"/>
              <w:left w:w="28" w:type="dxa"/>
              <w:bottom w:w="28" w:type="dxa"/>
              <w:right w:w="28" w:type="dxa"/>
            </w:tcMar>
            <w:vAlign w:val="bottom"/>
          </w:tcPr>
          <w:p w14:paraId="007A1643" w14:textId="4613EAA5" w:rsidR="003014D3" w:rsidRPr="002A6E7B" w:rsidRDefault="003014D3" w:rsidP="004354E2">
            <w:pPr>
              <w:rPr>
                <w:rFonts w:asciiTheme="minorHAnsi" w:hAnsiTheme="minorHAnsi" w:cstheme="minorHAnsi"/>
                <w:color w:val="000000" w:themeColor="text1"/>
                <w:sz w:val="18"/>
                <w:szCs w:val="18"/>
              </w:rPr>
            </w:pPr>
            <w:r w:rsidRPr="003014D3">
              <w:rPr>
                <w:rFonts w:asciiTheme="minorHAnsi" w:hAnsiTheme="minorHAnsi" w:cstheme="minorHAnsi"/>
                <w:color w:val="000000" w:themeColor="text1"/>
                <w:sz w:val="18"/>
                <w:szCs w:val="18"/>
              </w:rPr>
              <w:t>Direct impacts via primary climate change variables</w:t>
            </w:r>
          </w:p>
        </w:tc>
        <w:tc>
          <w:tcPr>
            <w:tcW w:w="1276" w:type="dxa"/>
            <w:tcBorders>
              <w:top w:val="nil"/>
              <w:bottom w:val="nil"/>
            </w:tcBorders>
            <w:shd w:val="clear" w:color="auto" w:fill="FFFFFF" w:themeFill="background1"/>
            <w:vAlign w:val="bottom"/>
          </w:tcPr>
          <w:p w14:paraId="66B4BDB0" w14:textId="77777777" w:rsidR="003014D3" w:rsidRPr="002A6E7B" w:rsidRDefault="003014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Science c</w:t>
            </w:r>
            <w:r w:rsidRPr="002A6E7B">
              <w:rPr>
                <w:rFonts w:asciiTheme="minorHAnsi" w:hAnsiTheme="minorHAnsi" w:cstheme="minorHAnsi"/>
                <w:b/>
                <w:bCs/>
                <w:color w:val="000000" w:themeColor="text1"/>
                <w:sz w:val="18"/>
                <w:szCs w:val="18"/>
              </w:rPr>
              <w:t>onfidence</w:t>
            </w:r>
            <w:r>
              <w:rPr>
                <w:rFonts w:asciiTheme="minorHAnsi" w:hAnsiTheme="minorHAnsi" w:cstheme="minorHAnsi"/>
                <w:b/>
                <w:bCs/>
                <w:color w:val="000000" w:themeColor="text1"/>
                <w:sz w:val="18"/>
                <w:szCs w:val="18"/>
              </w:rPr>
              <w:t xml:space="preserve"> in projections</w:t>
            </w:r>
          </w:p>
        </w:tc>
        <w:tc>
          <w:tcPr>
            <w:tcW w:w="190" w:type="dxa"/>
            <w:tcBorders>
              <w:top w:val="nil"/>
              <w:bottom w:val="nil"/>
            </w:tcBorders>
            <w:shd w:val="clear" w:color="auto" w:fill="FFFFFF" w:themeFill="background1"/>
            <w:vAlign w:val="bottom"/>
          </w:tcPr>
          <w:p w14:paraId="3EDDEF5E" w14:textId="77777777" w:rsidR="003014D3" w:rsidRPr="002A6E7B" w:rsidRDefault="003014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86" w:type="dxa"/>
            <w:tcBorders>
              <w:top w:val="nil"/>
              <w:bottom w:val="nil"/>
            </w:tcBorders>
            <w:shd w:val="clear" w:color="auto" w:fill="FFFFFF" w:themeFill="background1"/>
            <w:tcMar>
              <w:top w:w="28" w:type="dxa"/>
              <w:left w:w="28" w:type="dxa"/>
              <w:bottom w:w="28" w:type="dxa"/>
              <w:right w:w="28" w:type="dxa"/>
            </w:tcMar>
            <w:vAlign w:val="bottom"/>
          </w:tcPr>
          <w:p w14:paraId="6334B3B3" w14:textId="77777777" w:rsidR="003014D3" w:rsidRPr="002A6E7B" w:rsidRDefault="003014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likelihood</w:t>
            </w:r>
          </w:p>
        </w:tc>
        <w:tc>
          <w:tcPr>
            <w:tcW w:w="1134" w:type="dxa"/>
            <w:tcBorders>
              <w:top w:val="nil"/>
              <w:bottom w:val="nil"/>
            </w:tcBorders>
            <w:shd w:val="clear" w:color="auto" w:fill="FFFFFF" w:themeFill="background1"/>
            <w:tcMar>
              <w:top w:w="28" w:type="dxa"/>
              <w:left w:w="28" w:type="dxa"/>
              <w:bottom w:w="28" w:type="dxa"/>
              <w:right w:w="28" w:type="dxa"/>
            </w:tcMar>
            <w:vAlign w:val="bottom"/>
          </w:tcPr>
          <w:p w14:paraId="77DECFF6" w14:textId="77777777" w:rsidR="003014D3" w:rsidRPr="002A6E7B" w:rsidRDefault="003014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Consequence</w:t>
            </w:r>
          </w:p>
        </w:tc>
        <w:tc>
          <w:tcPr>
            <w:tcW w:w="1134" w:type="dxa"/>
            <w:tcBorders>
              <w:top w:val="nil"/>
              <w:bottom w:val="nil"/>
            </w:tcBorders>
            <w:shd w:val="clear" w:color="auto" w:fill="FFFFFF" w:themeFill="background1"/>
            <w:vAlign w:val="bottom"/>
          </w:tcPr>
          <w:p w14:paraId="39DD0CD3" w14:textId="77777777" w:rsidR="003014D3" w:rsidRPr="002A6E7B" w:rsidRDefault="003014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r w:rsidRPr="002A6E7B">
              <w:rPr>
                <w:rFonts w:asciiTheme="minorHAnsi" w:hAnsiTheme="minorHAnsi" w:cstheme="minorHAnsi"/>
                <w:b/>
                <w:bCs/>
                <w:color w:val="000000" w:themeColor="text1"/>
                <w:sz w:val="18"/>
                <w:szCs w:val="18"/>
              </w:rPr>
              <w:t>Risk rating</w:t>
            </w:r>
          </w:p>
        </w:tc>
        <w:tc>
          <w:tcPr>
            <w:tcW w:w="347" w:type="dxa"/>
            <w:vMerge/>
            <w:tcBorders>
              <w:bottom w:val="nil"/>
            </w:tcBorders>
            <w:shd w:val="clear" w:color="auto" w:fill="FFFFFF" w:themeFill="background1"/>
            <w:vAlign w:val="bottom"/>
          </w:tcPr>
          <w:p w14:paraId="7041C940" w14:textId="77777777" w:rsidR="003014D3" w:rsidRPr="002A6E7B" w:rsidRDefault="003014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vMerge/>
            <w:tcBorders>
              <w:bottom w:val="nil"/>
            </w:tcBorders>
            <w:shd w:val="clear" w:color="auto" w:fill="FFFFFF" w:themeFill="background1"/>
            <w:vAlign w:val="bottom"/>
          </w:tcPr>
          <w:p w14:paraId="26D28AD9" w14:textId="77777777" w:rsidR="003014D3" w:rsidRPr="002A6E7B" w:rsidRDefault="003014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298" w:type="dxa"/>
            <w:vMerge/>
            <w:tcBorders>
              <w:bottom w:val="nil"/>
            </w:tcBorders>
            <w:shd w:val="clear" w:color="auto" w:fill="FFFFFF" w:themeFill="background1"/>
            <w:vAlign w:val="bottom"/>
          </w:tcPr>
          <w:p w14:paraId="76255E33" w14:textId="77777777" w:rsidR="003014D3" w:rsidRPr="002A6E7B" w:rsidRDefault="003014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14:paraId="63503258" w14:textId="77777777" w:rsidTr="005548E6">
        <w:trPr>
          <w:gridBefore w:val="1"/>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D062A9D" w14:textId="650CBB91" w:rsidR="000209C7" w:rsidRPr="004F363E" w:rsidRDefault="000209C7" w:rsidP="000209C7">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Heat-stress limiting plant growth and increasing mortality rates</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09DAC9E" w14:textId="3484895C" w:rsidR="000209C7" w:rsidRDefault="000209C7"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5BF3EC4F" w14:textId="77777777" w:rsidR="000209C7" w:rsidRDefault="000209C7"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7BD7468" w14:textId="5B966689" w:rsidR="000209C7" w:rsidRPr="004F363E" w:rsidRDefault="000209C7"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E7409A0" w14:textId="77777777" w:rsidR="000209C7" w:rsidRDefault="000209C7"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p w14:paraId="7A278E39" w14:textId="498CB8A7" w:rsidR="000209C7" w:rsidRPr="004F363E" w:rsidRDefault="000209C7"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Major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467830C4" w14:textId="77777777" w:rsidR="000209C7" w:rsidRPr="00E270B2" w:rsidRDefault="000209C7"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E270B2">
              <w:rPr>
                <w:rFonts w:asciiTheme="minorHAnsi" w:hAnsiTheme="minorHAnsi" w:cstheme="minorHAnsi"/>
                <w:color w:val="FFFFFF" w:themeColor="background1"/>
                <w:sz w:val="18"/>
                <w:szCs w:val="18"/>
              </w:rPr>
              <w:t>Medium/</w:t>
            </w:r>
          </w:p>
          <w:p w14:paraId="5A8815BE" w14:textId="0F81B6C3" w:rsidR="000209C7" w:rsidRPr="004F363E" w:rsidRDefault="000209C7"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E270B2">
              <w:rPr>
                <w:rFonts w:asciiTheme="minorHAnsi" w:hAnsiTheme="minorHAnsi" w:cstheme="minorHAnsi"/>
                <w:color w:val="FFFFFF" w:themeColor="background1"/>
                <w:sz w:val="18"/>
                <w:szCs w:val="18"/>
              </w:rPr>
              <w:t>High</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1B70FBD" w14:textId="77777777" w:rsidR="000209C7" w:rsidRDefault="000209C7"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6E386D9" w14:textId="5285A433" w:rsidR="000209C7" w:rsidRDefault="00E270B2"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1B90DB8" w14:textId="66568A29" w:rsidR="000209C7" w:rsidRDefault="00E270B2" w:rsidP="000209C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6DA6761B" w14:textId="77777777" w:rsidTr="005548E6">
        <w:trPr>
          <w:gridBefore w:val="1"/>
          <w:cnfStyle w:val="000000100000" w:firstRow="0" w:lastRow="0" w:firstColumn="0" w:lastColumn="0" w:oddVBand="0" w:evenVBand="0" w:oddHBand="1" w:evenHBand="0" w:firstRowFirstColumn="0" w:firstRowLastColumn="0" w:lastRowFirstColumn="0" w:lastRowLastColumn="0"/>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870A0BE" w14:textId="74054BE0" w:rsidR="00E270B2" w:rsidRPr="00150C86" w:rsidRDefault="00E270B2" w:rsidP="00E270B2">
            <w:pPr>
              <w:ind w:left="401"/>
              <w:rPr>
                <w:rFonts w:asciiTheme="minorHAnsi" w:hAnsiTheme="minorHAnsi" w:cstheme="minorHAnsi"/>
                <w:b w:val="0"/>
                <w:bCs w:val="0"/>
                <w:color w:val="000000" w:themeColor="text1"/>
                <w:sz w:val="18"/>
                <w:szCs w:val="18"/>
              </w:rPr>
            </w:pPr>
            <w:r w:rsidRPr="004F363E">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3D374E2" w14:textId="0A3CD4ED"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1237F678" w14:textId="77777777"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7F71085" w14:textId="5AC14803"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D890409" w14:textId="77777777"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p w14:paraId="2C417743" w14:textId="0C6CCB27"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Major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44BA50A3" w14:textId="77777777" w:rsidR="00E270B2" w:rsidRP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sidRPr="00E270B2">
              <w:rPr>
                <w:rFonts w:asciiTheme="minorHAnsi" w:hAnsiTheme="minorHAnsi" w:cstheme="minorHAnsi"/>
                <w:color w:val="FFFFFF" w:themeColor="background1"/>
                <w:sz w:val="18"/>
                <w:szCs w:val="18"/>
              </w:rPr>
              <w:t>Medium/</w:t>
            </w:r>
          </w:p>
          <w:p w14:paraId="668920FA" w14:textId="3AB46345"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E270B2">
              <w:rPr>
                <w:rFonts w:asciiTheme="minorHAnsi" w:hAnsiTheme="minorHAnsi" w:cstheme="minorHAnsi"/>
                <w:color w:val="FFFFFF" w:themeColor="background1"/>
                <w:sz w:val="18"/>
                <w:szCs w:val="18"/>
              </w:rPr>
              <w:t>High</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5C2F648" w14:textId="77777777"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36EEB5F" w14:textId="355110AE"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1484C5E" w14:textId="01F9A90C" w:rsidR="00E270B2" w:rsidRDefault="00E270B2" w:rsidP="00E270B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04481409" w14:textId="77777777" w:rsidTr="005548E6">
        <w:trPr>
          <w:gridBefore w:val="1"/>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A0F0618" w14:textId="585D9F50" w:rsidR="002F2EB2" w:rsidRPr="00150C86" w:rsidRDefault="002F2EB2" w:rsidP="002F2EB2">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D6996D2" w14:textId="1AB5B3C1"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66CBC76F" w14:textId="77777777"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2AEE2AA" w14:textId="47BDB7F9"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92EE9A4" w14:textId="77777777"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p w14:paraId="7A3A5877" w14:textId="07C61412"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Major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54FCA1B2" w14:textId="77777777" w:rsidR="002F2EB2" w:rsidRPr="00E270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E270B2">
              <w:rPr>
                <w:rFonts w:asciiTheme="minorHAnsi" w:hAnsiTheme="minorHAnsi" w:cstheme="minorHAnsi"/>
                <w:color w:val="FFFFFF" w:themeColor="background1"/>
                <w:sz w:val="18"/>
                <w:szCs w:val="18"/>
              </w:rPr>
              <w:t>Medium/</w:t>
            </w:r>
          </w:p>
          <w:p w14:paraId="2B60BCBA" w14:textId="7AD41B7A"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E270B2">
              <w:rPr>
                <w:rFonts w:asciiTheme="minorHAnsi" w:hAnsiTheme="minorHAnsi" w:cstheme="minorHAnsi"/>
                <w:color w:val="FFFFFF" w:themeColor="background1"/>
                <w:sz w:val="18"/>
                <w:szCs w:val="18"/>
              </w:rPr>
              <w:t>High</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934E9D6" w14:textId="77777777"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DFB8E69" w14:textId="362F1427"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693198C" w14:textId="4724E752" w:rsidR="002F2EB2" w:rsidRDefault="002F2EB2" w:rsidP="002F2E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1AD0F9EA" w14:textId="77777777" w:rsidTr="00741739">
        <w:trPr>
          <w:gridBefore w:val="1"/>
          <w:cnfStyle w:val="000000100000" w:firstRow="0" w:lastRow="0" w:firstColumn="0" w:lastColumn="0" w:oddVBand="0" w:evenVBand="0" w:oddHBand="1" w:evenHBand="0" w:firstRowFirstColumn="0" w:firstRowLastColumn="0" w:lastRowFirstColumn="0" w:lastRowLastColumn="0"/>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4D31597" w14:textId="2CEF2D69" w:rsidR="009F5960" w:rsidRPr="00150C86" w:rsidRDefault="009F5960" w:rsidP="009F5960">
            <w:pPr>
              <w:ind w:left="401"/>
              <w:rPr>
                <w:rFonts w:asciiTheme="minorHAnsi" w:hAnsiTheme="minorHAnsi" w:cstheme="minorHAnsi"/>
                <w:b w:val="0"/>
                <w:bCs w:val="0"/>
                <w:color w:val="000000" w:themeColor="text1"/>
                <w:sz w:val="18"/>
                <w:szCs w:val="18"/>
              </w:rPr>
            </w:pPr>
            <w:r w:rsidRPr="00150C86">
              <w:rPr>
                <w:rFonts w:asciiTheme="minorHAnsi" w:hAnsiTheme="minorHAnsi" w:cstheme="minorHAnsi"/>
                <w:b w:val="0"/>
                <w:bCs w:val="0"/>
                <w:color w:val="000000" w:themeColor="text1"/>
                <w:sz w:val="18"/>
                <w:szCs w:val="18"/>
              </w:rPr>
              <w:t>Changes in timing/occurrence of suitable conditions for tree and crop establishment</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0F00477" w14:textId="6EADCD30" w:rsidR="009F5960" w:rsidRDefault="009F5960" w:rsidP="009F59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22E8356E" w14:textId="77777777" w:rsidR="009F5960" w:rsidRDefault="009F5960" w:rsidP="009F59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1567B87" w14:textId="1CA5A58C" w:rsidR="009F5960" w:rsidRDefault="009F5960" w:rsidP="009F59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DCDB738" w14:textId="19CCB01F" w:rsidR="009F5960" w:rsidRDefault="009F5960" w:rsidP="009F59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Insignificant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47FABCA1" w14:textId="64AC4D32" w:rsidR="009F5960" w:rsidRDefault="00741739" w:rsidP="009F59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9234BCB" w14:textId="77777777" w:rsidR="009F5960" w:rsidRDefault="009F5960" w:rsidP="009F59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A1FACBF" w14:textId="35E6CCE8" w:rsidR="009F5960" w:rsidRDefault="009F5960" w:rsidP="009F59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C32FAEC" w14:textId="724FB5B2" w:rsidR="009F5960" w:rsidRDefault="009F5960" w:rsidP="009F596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1A01E9DF" w14:textId="77777777" w:rsidTr="00B71882">
        <w:trPr>
          <w:gridBefore w:val="1"/>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3DBEA0D" w14:textId="5E8ECE3F" w:rsidR="00B71882" w:rsidRPr="00150C86" w:rsidRDefault="00B71882" w:rsidP="00B71882">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Increased frost damage associated with increased dryness / reduced opportunities for frost hardening.</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6AEB96F" w14:textId="278B28AC"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480CA074" w14:textId="77777777"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77466C5" w14:textId="20A40389"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7976B3C" w14:textId="4F286953"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46F9A434" w14:textId="5C5D64BA"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21D3CB3" w14:textId="77777777"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6AE88C0" w14:textId="05EE09AB"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0C112FA" w14:textId="17F58D49"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5D0CFF8B" w14:textId="77777777" w:rsidTr="00B71882">
        <w:trPr>
          <w:gridBefore w:val="1"/>
          <w:cnfStyle w:val="000000100000" w:firstRow="0" w:lastRow="0" w:firstColumn="0" w:lastColumn="0" w:oddVBand="0" w:evenVBand="0" w:oddHBand="1" w:evenHBand="0" w:firstRowFirstColumn="0" w:firstRowLastColumn="0" w:lastRowFirstColumn="0" w:lastRowLastColumn="0"/>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367AB69" w14:textId="4239EAC8" w:rsidR="00B71882" w:rsidRPr="00150C86" w:rsidRDefault="00B71882" w:rsidP="00B71882">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Decreased frost days with implications for increased seed dormancy and reduced germination rates</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B27A600" w14:textId="42F0DC83" w:rsidR="00B71882" w:rsidRDefault="00B71882" w:rsidP="00B718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0B181316" w14:textId="77777777" w:rsidR="00B71882" w:rsidRDefault="00B71882" w:rsidP="00B718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5A0F89A" w14:textId="2D486FF9" w:rsidR="00B71882" w:rsidRDefault="00B71882" w:rsidP="00B718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B6DFBF7" w14:textId="4EFC69E4" w:rsidR="00B71882" w:rsidRDefault="00B71882" w:rsidP="00B718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456832A2" w14:textId="44771FC7" w:rsidR="00B71882" w:rsidRDefault="00B71882" w:rsidP="00B718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96B4D17" w14:textId="77777777" w:rsidR="00B71882" w:rsidRDefault="00B71882" w:rsidP="00B718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47935D6" w14:textId="290AE7DE" w:rsidR="00B71882" w:rsidRDefault="00B71882" w:rsidP="00B718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9131B59" w14:textId="226DE992" w:rsidR="00B71882" w:rsidRDefault="00B71882" w:rsidP="00B7188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53CCD3CB" w14:textId="77777777" w:rsidTr="005548E6">
        <w:trPr>
          <w:gridBefore w:val="1"/>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0B42267" w14:textId="4E29F451" w:rsidR="00B71882" w:rsidRPr="00150C86" w:rsidRDefault="00B71882" w:rsidP="00B71882">
            <w:pPr>
              <w:ind w:left="401"/>
              <w:rPr>
                <w:rFonts w:asciiTheme="minorHAnsi" w:hAnsiTheme="minorHAnsi" w:cstheme="minorHAnsi"/>
                <w:b w:val="0"/>
                <w:bCs w:val="0"/>
                <w:color w:val="000000" w:themeColor="text1"/>
                <w:sz w:val="18"/>
                <w:szCs w:val="18"/>
              </w:rPr>
            </w:pPr>
            <w:r w:rsidRPr="00FD2EE9">
              <w:rPr>
                <w:rFonts w:asciiTheme="minorHAnsi" w:hAnsiTheme="minorHAnsi" w:cstheme="minorHAnsi"/>
                <w:b w:val="0"/>
                <w:bCs w:val="0"/>
                <w:sz w:val="18"/>
                <w:szCs w:val="18"/>
              </w:rPr>
              <w:t>Changes to soil respiration and soil microbial processes</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9989360" w14:textId="3A8EB8F1"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3D5A8811" w14:textId="77777777"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522C4DF" w14:textId="67215520"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4CB8AF7" w14:textId="77777777"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p w14:paraId="31E790E7" w14:textId="0F9ECD25"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Major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5A30CCBF" w14:textId="77777777" w:rsidR="00B71882" w:rsidRPr="00E270B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E270B2">
              <w:rPr>
                <w:rFonts w:asciiTheme="minorHAnsi" w:hAnsiTheme="minorHAnsi" w:cstheme="minorHAnsi"/>
                <w:color w:val="FFFFFF" w:themeColor="background1"/>
                <w:sz w:val="18"/>
                <w:szCs w:val="18"/>
              </w:rPr>
              <w:t>Medium/</w:t>
            </w:r>
          </w:p>
          <w:p w14:paraId="1BAECB5B" w14:textId="1D2BA018"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E270B2">
              <w:rPr>
                <w:rFonts w:asciiTheme="minorHAnsi" w:hAnsiTheme="minorHAnsi" w:cstheme="minorHAnsi"/>
                <w:color w:val="FFFFFF" w:themeColor="background1"/>
                <w:sz w:val="18"/>
                <w:szCs w:val="18"/>
              </w:rPr>
              <w:t>High</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BBC28F1" w14:textId="77777777"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C7B78F3" w14:textId="2DA970FE"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7DBBC1F" w14:textId="5860838F" w:rsidR="00B71882" w:rsidRDefault="00B71882" w:rsidP="00B7188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372CF179" w14:textId="77777777" w:rsidTr="005548E6">
        <w:trPr>
          <w:gridBefore w:val="1"/>
          <w:cnfStyle w:val="000000100000" w:firstRow="0" w:lastRow="0" w:firstColumn="0" w:lastColumn="0" w:oddVBand="0" w:evenVBand="0" w:oddHBand="1" w:evenHBand="0" w:firstRowFirstColumn="0" w:firstRowLastColumn="0" w:lastRowFirstColumn="0" w:lastRowLastColumn="0"/>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E0AF78B" w14:textId="03B26735" w:rsidR="00824FA2" w:rsidRPr="00150C86" w:rsidRDefault="00824FA2" w:rsidP="00824FA2">
            <w:pPr>
              <w:ind w:left="401"/>
              <w:rPr>
                <w:rFonts w:asciiTheme="minorHAnsi" w:hAnsiTheme="minorHAnsi" w:cstheme="minorHAnsi"/>
                <w:b w:val="0"/>
                <w:bCs w:val="0"/>
                <w:color w:val="000000" w:themeColor="text1"/>
                <w:sz w:val="18"/>
                <w:szCs w:val="18"/>
              </w:rPr>
            </w:pPr>
            <w:r w:rsidRPr="004F363E">
              <w:rPr>
                <w:rFonts w:asciiTheme="minorHAnsi" w:hAnsiTheme="minorHAnsi" w:cstheme="minorHAnsi"/>
                <w:b w:val="0"/>
                <w:bCs w:val="0"/>
                <w:color w:val="000000" w:themeColor="text1"/>
                <w:sz w:val="18"/>
                <w:szCs w:val="18"/>
              </w:rPr>
              <w:t>Changes to timing/seasonality of crop growth.</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5C75BC7" w14:textId="6E2E0E14"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1C189153" w14:textId="77777777"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58BE12F" w14:textId="77DF0D73"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31ADC98" w14:textId="77777777"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Moderate/</w:t>
            </w:r>
          </w:p>
          <w:p w14:paraId="124AC595" w14:textId="288D796E"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Major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tcPr>
          <w:p w14:paraId="56782C01" w14:textId="77777777" w:rsidR="00824FA2" w:rsidRPr="00E270B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sidRPr="00E270B2">
              <w:rPr>
                <w:rFonts w:asciiTheme="minorHAnsi" w:hAnsiTheme="minorHAnsi" w:cstheme="minorHAnsi"/>
                <w:color w:val="FFFFFF" w:themeColor="background1"/>
                <w:sz w:val="18"/>
                <w:szCs w:val="18"/>
              </w:rPr>
              <w:t>Medium/</w:t>
            </w:r>
          </w:p>
          <w:p w14:paraId="598AA232" w14:textId="5B3D014C"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sidRPr="00E270B2">
              <w:rPr>
                <w:rFonts w:asciiTheme="minorHAnsi" w:hAnsiTheme="minorHAnsi" w:cstheme="minorHAnsi"/>
                <w:color w:val="FFFFFF" w:themeColor="background1"/>
                <w:sz w:val="18"/>
                <w:szCs w:val="18"/>
              </w:rPr>
              <w:t>High</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67D336D" w14:textId="77777777"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C2ABF93" w14:textId="4E679FC5"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F046896" w14:textId="78691644" w:rsidR="00824FA2" w:rsidRDefault="00824FA2" w:rsidP="00824FA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1AAAAD19" w14:textId="77777777" w:rsidTr="00CD58AC">
        <w:trPr>
          <w:gridBefore w:val="1"/>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31D82712" w14:textId="31F1CF05" w:rsidR="00CD58AC" w:rsidRPr="00150C86" w:rsidRDefault="00CD58AC" w:rsidP="00CD58AC">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C5FA9E4" w14:textId="249FB2F5" w:rsidR="00CD58AC" w:rsidRDefault="00CD58AC" w:rsidP="00CD58A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0D056D31" w14:textId="77777777" w:rsidR="00CD58AC" w:rsidRDefault="00CD58AC" w:rsidP="00CD58A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43AB0B7" w14:textId="1DA12710" w:rsidR="00CD58AC" w:rsidRDefault="00CD58AC" w:rsidP="00CD58A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A9A33FE" w14:textId="4A646448" w:rsidR="00CD58AC" w:rsidRDefault="00CD58AC" w:rsidP="00CD58A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08C99D79" w14:textId="08680556" w:rsidR="00CD58AC" w:rsidRDefault="00CD58AC" w:rsidP="00CD58A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39AAEAB9" w14:textId="77777777" w:rsidR="00CD58AC" w:rsidRDefault="00CD58AC" w:rsidP="00CD58A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CFB84C9" w14:textId="19A16C4B" w:rsidR="00CD58AC" w:rsidRDefault="00CD58AC" w:rsidP="00CD58A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821FB19" w14:textId="60C427A0" w:rsidR="00CD58AC" w:rsidRDefault="00CD58AC" w:rsidP="00CD58A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06DC330C" w14:textId="77777777" w:rsidTr="00A17F89">
        <w:trPr>
          <w:gridBefore w:val="1"/>
          <w:cnfStyle w:val="000000100000" w:firstRow="0" w:lastRow="0" w:firstColumn="0" w:lastColumn="0" w:oddVBand="0" w:evenVBand="0" w:oddHBand="1" w:evenHBand="0" w:firstRowFirstColumn="0" w:firstRowLastColumn="0" w:lastRowFirstColumn="0" w:lastRowLastColumn="0"/>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C86303B" w14:textId="3E6C40A0" w:rsidR="00A17F89" w:rsidRPr="00150C86" w:rsidRDefault="00A17F89" w:rsidP="00A17F89">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Flood-related s</w:t>
            </w:r>
            <w:r w:rsidRPr="004F363E">
              <w:rPr>
                <w:rFonts w:asciiTheme="minorHAnsi" w:hAnsiTheme="minorHAnsi" w:cstheme="minorHAnsi"/>
                <w:b w:val="0"/>
                <w:bCs w:val="0"/>
                <w:color w:val="000000" w:themeColor="text1"/>
                <w:sz w:val="18"/>
                <w:szCs w:val="18"/>
              </w:rPr>
              <w:t>oil erosion and deposition</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2F5362D" w14:textId="59F81037" w:rsidR="00A17F89" w:rsidRDefault="00A17F89" w:rsidP="00A17F8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High</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242C4806" w14:textId="77777777" w:rsidR="00A17F89" w:rsidRDefault="00A17F89" w:rsidP="00A17F8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1D3C254" w14:textId="1C9302DF" w:rsidR="00A17F89" w:rsidRDefault="00A17F89" w:rsidP="00A17F8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3D2FA8A" w14:textId="4EE1E646" w:rsidR="00A17F89" w:rsidRDefault="00A17F89" w:rsidP="00A17F8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0FE25ACD" w14:textId="4B4BED49" w:rsidR="00A17F89" w:rsidRDefault="00A17F89" w:rsidP="00A17F8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9C215B4" w14:textId="77777777" w:rsidR="00A17F89" w:rsidRDefault="00A17F89" w:rsidP="00A17F8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5C7932D" w14:textId="3ADAEBE7" w:rsidR="00A17F89" w:rsidRDefault="00A17F89" w:rsidP="00A17F8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465F7B1" w14:textId="7B98C359" w:rsidR="00A17F89" w:rsidRDefault="00A17F89" w:rsidP="00A17F8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rsidRPr="002A6E7B" w14:paraId="3E24FEED" w14:textId="77777777" w:rsidTr="004354E2">
        <w:trPr>
          <w:gridBefore w:val="1"/>
          <w:wBefore w:w="6" w:type="dxa"/>
          <w:trHeight w:val="29"/>
        </w:trPr>
        <w:tc>
          <w:tcPr>
            <w:cnfStyle w:val="001000000000" w:firstRow="0" w:lastRow="0" w:firstColumn="1" w:lastColumn="0" w:oddVBand="0" w:evenVBand="0" w:oddHBand="0" w:evenHBand="0" w:firstRowFirstColumn="0" w:firstRowLastColumn="0" w:lastRowFirstColumn="0" w:lastRowLastColumn="0"/>
            <w:tcW w:w="4242"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242BA482" w14:textId="40120C76" w:rsidR="00C66E3F" w:rsidRPr="002A6E7B" w:rsidRDefault="00C66E3F" w:rsidP="004354E2">
            <w:pPr>
              <w:ind w:left="117"/>
              <w:rPr>
                <w:rFonts w:asciiTheme="minorHAnsi" w:hAnsiTheme="minorHAnsi" w:cstheme="minorHAnsi"/>
                <w:color w:val="000000" w:themeColor="text1"/>
                <w:sz w:val="18"/>
                <w:szCs w:val="18"/>
              </w:rPr>
            </w:pPr>
            <w:r w:rsidRPr="00C66E3F">
              <w:rPr>
                <w:rFonts w:asciiTheme="minorHAnsi" w:hAnsiTheme="minorHAnsi" w:cstheme="minorHAnsi"/>
                <w:color w:val="000000" w:themeColor="text1"/>
                <w:sz w:val="18"/>
                <w:szCs w:val="18"/>
              </w:rPr>
              <w:t>Direct impacts via secondary climate change variables</w:t>
            </w:r>
          </w:p>
        </w:tc>
        <w:tc>
          <w:tcPr>
            <w:tcW w:w="1276"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3952CBC5" w14:textId="77777777" w:rsidR="00C66E3F" w:rsidRPr="002A6E7B" w:rsidRDefault="00C66E3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90" w:type="dxa"/>
            <w:tcBorders>
              <w:top w:val="nil"/>
              <w:left w:val="nil"/>
              <w:bottom w:val="nil"/>
              <w:right w:val="nil"/>
            </w:tcBorders>
            <w:shd w:val="clear" w:color="auto" w:fill="FFFFFF" w:themeFill="background1"/>
          </w:tcPr>
          <w:p w14:paraId="3860156A" w14:textId="77777777" w:rsidR="00C66E3F" w:rsidRPr="002A6E7B" w:rsidRDefault="00C66E3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086"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59225CF9" w14:textId="77777777" w:rsidR="00C66E3F" w:rsidRPr="002A6E7B" w:rsidRDefault="00C66E3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tcPr>
          <w:p w14:paraId="165591A7" w14:textId="77777777" w:rsidR="00C66E3F" w:rsidRPr="002A6E7B" w:rsidRDefault="00C66E3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6BC17B4C" w14:textId="77777777" w:rsidR="00C66E3F" w:rsidRPr="002A6E7B" w:rsidRDefault="00C66E3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78A40552" w14:textId="77777777" w:rsidR="00C66E3F" w:rsidRPr="002A6E7B" w:rsidRDefault="00C66E3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476D1E96" w14:textId="77777777" w:rsidR="00C66E3F" w:rsidRPr="002A6E7B" w:rsidRDefault="00C66E3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298"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403B4DD0" w14:textId="77777777" w:rsidR="00C66E3F" w:rsidRPr="002A6E7B" w:rsidRDefault="00C66E3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14:paraId="646C03F0" w14:textId="77777777" w:rsidTr="00D7086E">
        <w:trPr>
          <w:gridBefore w:val="1"/>
          <w:cnfStyle w:val="000000100000" w:firstRow="0" w:lastRow="0" w:firstColumn="0" w:lastColumn="0" w:oddVBand="0" w:evenVBand="0" w:oddHBand="1" w:evenHBand="0" w:firstRowFirstColumn="0" w:firstRowLastColumn="0" w:lastRowFirstColumn="0" w:lastRowLastColumn="0"/>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057013F" w14:textId="6CD14113" w:rsidR="00C66E3F" w:rsidRPr="00150C86" w:rsidRDefault="00C66E3F" w:rsidP="00C66E3F">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 xml:space="preserve">Drought-induced </w:t>
            </w:r>
            <w:r>
              <w:rPr>
                <w:rFonts w:asciiTheme="minorHAnsi" w:hAnsiTheme="minorHAnsi" w:cstheme="minorHAnsi"/>
                <w:b w:val="0"/>
                <w:bCs w:val="0"/>
                <w:color w:val="000000" w:themeColor="text1"/>
                <w:sz w:val="18"/>
                <w:szCs w:val="18"/>
              </w:rPr>
              <w:t xml:space="preserve">plant </w:t>
            </w:r>
            <w:r w:rsidRPr="000556A4">
              <w:rPr>
                <w:rFonts w:asciiTheme="minorHAnsi" w:hAnsiTheme="minorHAnsi" w:cstheme="minorHAnsi"/>
                <w:b w:val="0"/>
                <w:bCs w:val="0"/>
                <w:color w:val="000000" w:themeColor="text1"/>
                <w:sz w:val="18"/>
                <w:szCs w:val="18"/>
              </w:rPr>
              <w:t>mortality, with possibility of recruitment failure</w:t>
            </w:r>
            <w:r w:rsidRPr="004F363E">
              <w:rPr>
                <w:rFonts w:asciiTheme="minorHAnsi" w:hAnsiTheme="minorHAnsi" w:cstheme="minorHAnsi"/>
                <w:b w:val="0"/>
                <w:bCs w:val="0"/>
                <w:color w:val="000000" w:themeColor="text1"/>
                <w:sz w:val="18"/>
                <w:szCs w:val="18"/>
              </w:rPr>
              <w:t>.</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4D7B0DF" w14:textId="32BA5F86" w:rsidR="00C66E3F" w:rsidRDefault="00C66E3F" w:rsidP="00C66E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61A90C76" w14:textId="77777777" w:rsidR="00C66E3F" w:rsidRDefault="00C66E3F" w:rsidP="00C66E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D500693" w14:textId="32EF6E86" w:rsidR="00C66E3F" w:rsidRDefault="00C66E3F" w:rsidP="00C66E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About as likely as not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2190AF8" w14:textId="266FD22A" w:rsidR="00C66E3F" w:rsidRDefault="00C66E3F" w:rsidP="00C66E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Minor</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45C6B691" w14:textId="22ACAB2C" w:rsidR="00C66E3F" w:rsidRPr="00D7086E" w:rsidRDefault="00D7086E" w:rsidP="00C66E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7086E">
              <w:rPr>
                <w:rFonts w:asciiTheme="minorHAnsi" w:hAnsiTheme="minorHAnsi" w:cstheme="minorHAnsi"/>
                <w:sz w:val="18"/>
                <w:szCs w:val="18"/>
              </w:rPr>
              <w:t>Medium</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7356B6DC" w14:textId="77777777" w:rsidR="00C66E3F" w:rsidRDefault="00C66E3F" w:rsidP="00C66E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0B1FC1F" w14:textId="2E3CD317" w:rsidR="00C66E3F" w:rsidRDefault="00C66E3F" w:rsidP="00C66E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722282D" w14:textId="6E7AD884" w:rsidR="00C66E3F" w:rsidRDefault="00C66E3F" w:rsidP="00C66E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8D11AD" w14:paraId="582AFF21" w14:textId="77777777" w:rsidTr="00C66E3F">
        <w:trPr>
          <w:gridBefore w:val="1"/>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2CC9FD5E" w14:textId="4DD96BC8" w:rsidR="00C66E3F" w:rsidRPr="00150C86" w:rsidRDefault="00C66E3F" w:rsidP="00C66E3F">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C09B95E" w14:textId="2908C547"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7C192A27" w14:textId="77777777"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C7326A8" w14:textId="508504AA"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Likely</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89EEB0D" w14:textId="1A10DFBA"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Insignificant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23AC1A7B" w14:textId="1463A09D"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C80A279" w14:textId="77777777"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DE5C1DE" w14:textId="4D1569CC"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24B272F" w14:textId="49888AE1"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r w:rsidR="00C66E3F" w:rsidRPr="002A6E7B" w14:paraId="232686E9" w14:textId="77777777" w:rsidTr="004354E2">
        <w:trPr>
          <w:gridBefore w:val="1"/>
          <w:cnfStyle w:val="000000100000" w:firstRow="0" w:lastRow="0" w:firstColumn="0" w:lastColumn="0" w:oddVBand="0" w:evenVBand="0" w:oddHBand="1" w:evenHBand="0" w:firstRowFirstColumn="0" w:firstRowLastColumn="0" w:lastRowFirstColumn="0" w:lastRowLastColumn="0"/>
          <w:wBefore w:w="6" w:type="dxa"/>
          <w:trHeight w:val="29"/>
        </w:trPr>
        <w:tc>
          <w:tcPr>
            <w:cnfStyle w:val="001000000000" w:firstRow="0" w:lastRow="0" w:firstColumn="1" w:lastColumn="0" w:oddVBand="0" w:evenVBand="0" w:oddHBand="0" w:evenHBand="0" w:firstRowFirstColumn="0" w:firstRowLastColumn="0" w:lastRowFirstColumn="0" w:lastRowLastColumn="0"/>
            <w:tcW w:w="4242"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77A988AC" w14:textId="245DC1C6" w:rsidR="00C66E3F" w:rsidRPr="002A6E7B" w:rsidRDefault="00C66E3F" w:rsidP="004354E2">
            <w:pPr>
              <w:ind w:left="117"/>
              <w:rPr>
                <w:rFonts w:asciiTheme="minorHAnsi" w:hAnsiTheme="minorHAnsi" w:cstheme="minorHAnsi"/>
                <w:color w:val="000000" w:themeColor="text1"/>
                <w:sz w:val="18"/>
                <w:szCs w:val="18"/>
              </w:rPr>
            </w:pPr>
            <w:r w:rsidRPr="00C66E3F">
              <w:rPr>
                <w:rFonts w:asciiTheme="minorHAnsi" w:hAnsiTheme="minorHAnsi" w:cstheme="minorHAnsi"/>
                <w:color w:val="000000" w:themeColor="text1"/>
                <w:sz w:val="18"/>
                <w:szCs w:val="18"/>
              </w:rPr>
              <w:t>Indirect impacts via climate change impacts on weeds, pests and diseases</w:t>
            </w:r>
          </w:p>
        </w:tc>
        <w:tc>
          <w:tcPr>
            <w:tcW w:w="1276"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3DED2EC3" w14:textId="77777777" w:rsidR="00C66E3F" w:rsidRPr="002A6E7B" w:rsidRDefault="00C66E3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90" w:type="dxa"/>
            <w:tcBorders>
              <w:top w:val="nil"/>
              <w:bottom w:val="nil"/>
            </w:tcBorders>
            <w:shd w:val="clear" w:color="auto" w:fill="FFFFFF" w:themeFill="background1"/>
          </w:tcPr>
          <w:p w14:paraId="4F27C77B" w14:textId="77777777" w:rsidR="00C66E3F" w:rsidRPr="002A6E7B" w:rsidRDefault="00C66E3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086"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41C8EF4" w14:textId="77777777" w:rsidR="00C66E3F" w:rsidRPr="002A6E7B" w:rsidRDefault="00C66E3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tcPr>
          <w:p w14:paraId="16A4F53E" w14:textId="77777777" w:rsidR="00C66E3F" w:rsidRPr="002A6E7B" w:rsidRDefault="00C66E3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1134"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16113C1" w14:textId="77777777" w:rsidR="00C66E3F" w:rsidRPr="002A6E7B" w:rsidRDefault="00C66E3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43FB0DA" w14:textId="77777777" w:rsidR="00C66E3F" w:rsidRPr="002A6E7B" w:rsidRDefault="00C66E3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7"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6A705796" w14:textId="77777777" w:rsidR="00C66E3F" w:rsidRPr="002A6E7B" w:rsidRDefault="00C66E3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298"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72DCFEC3" w14:textId="77777777" w:rsidR="00C66E3F" w:rsidRPr="002A6E7B" w:rsidRDefault="00C66E3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8D11AD" w14:paraId="30DFDBCB" w14:textId="77777777" w:rsidTr="00C66E3F">
        <w:trPr>
          <w:gridBefore w:val="1"/>
          <w:wBefore w:w="6" w:type="dxa"/>
          <w:trHeight w:val="236"/>
        </w:trPr>
        <w:tc>
          <w:tcPr>
            <w:cnfStyle w:val="001000000000" w:firstRow="0" w:lastRow="0" w:firstColumn="1" w:lastColumn="0" w:oddVBand="0" w:evenVBand="0" w:oddHBand="0" w:evenHBand="0" w:firstRowFirstColumn="0" w:firstRowLastColumn="0" w:lastRowFirstColumn="0" w:lastRowLastColumn="0"/>
            <w:tcW w:w="4242"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46E876AA" w14:textId="6B9050CE" w:rsidR="00C66E3F" w:rsidRPr="00150C86" w:rsidRDefault="00C66E3F" w:rsidP="00C66E3F">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Extended range of pests/diseases; Increased over-wintering resulting in faster build-up in the growing season</w:t>
            </w:r>
          </w:p>
        </w:tc>
        <w:tc>
          <w:tcPr>
            <w:tcW w:w="127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F1D21EF" w14:textId="1A78CEF9"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90" w:type="dxa"/>
            <w:tcBorders>
              <w:top w:val="nil"/>
              <w:left w:val="single" w:sz="4" w:space="0" w:color="D9D9D9" w:themeColor="background1" w:themeShade="D9"/>
              <w:bottom w:val="nil"/>
              <w:right w:val="single" w:sz="4" w:space="0" w:color="D9D9D9" w:themeColor="background1" w:themeShade="D9"/>
            </w:tcBorders>
            <w:shd w:val="clear" w:color="auto" w:fill="FFFFFF" w:themeFill="background1"/>
          </w:tcPr>
          <w:p w14:paraId="7BABC748" w14:textId="77777777"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086"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808FFDC" w14:textId="27A8DBBC"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C4C4135" w14:textId="14027465"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1134"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746E877C" w14:textId="3D3809E7"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F509C34" w14:textId="77777777"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47"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2854FFB" w14:textId="29E0BA23"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c>
          <w:tcPr>
            <w:tcW w:w="298" w:type="dxa"/>
            <w:tcBorders>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F5A28E6" w14:textId="2D5194AD" w:rsidR="00C66E3F" w:rsidRDefault="00C66E3F" w:rsidP="00C66E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X</w:t>
            </w:r>
          </w:p>
        </w:tc>
      </w:tr>
    </w:tbl>
    <w:p w14:paraId="12BB9E36" w14:textId="77777777" w:rsidR="003014D3" w:rsidRDefault="003014D3" w:rsidP="003014D3">
      <w:pPr>
        <w:rPr>
          <w:rFonts w:ascii="Calibri" w:eastAsia="Calibri" w:hAnsi="Calibri"/>
          <w:color w:val="000000"/>
          <w:szCs w:val="22"/>
        </w:rPr>
      </w:pPr>
    </w:p>
    <w:p w14:paraId="7F9FB360" w14:textId="5C483597" w:rsidR="003014D3" w:rsidRDefault="003014D3">
      <w:pPr>
        <w:rPr>
          <w:rFonts w:asciiTheme="minorHAnsi" w:eastAsia="Calibri" w:hAnsiTheme="minorHAnsi" w:cstheme="minorHAnsi"/>
          <w:i/>
          <w:iCs/>
          <w:color w:val="000000"/>
        </w:rPr>
      </w:pPr>
    </w:p>
    <w:p w14:paraId="267074C6" w14:textId="77777777" w:rsidR="00185326" w:rsidRDefault="00185326" w:rsidP="00D43E50">
      <w:pPr>
        <w:pStyle w:val="BodyText"/>
        <w:rPr>
          <w:rFonts w:asciiTheme="minorHAnsi" w:hAnsiTheme="minorHAnsi" w:cstheme="minorHAnsi"/>
          <w:i/>
          <w:iCs/>
          <w:szCs w:val="24"/>
        </w:rPr>
      </w:pPr>
    </w:p>
    <w:p w14:paraId="1A810C5E" w14:textId="07EA6120" w:rsidR="2117D2E0" w:rsidRDefault="2117D2E0">
      <w:r>
        <w:br w:type="page"/>
      </w:r>
    </w:p>
    <w:p w14:paraId="4970D98F" w14:textId="77777777" w:rsidR="00797CAA" w:rsidRDefault="00797CAA" w:rsidP="00797CAA">
      <w:pPr>
        <w:pStyle w:val="Heading2"/>
      </w:pPr>
      <w:bookmarkStart w:id="170" w:name="_Toc52873094"/>
      <w:bookmarkStart w:id="171" w:name="_Toc53075125"/>
      <w:bookmarkStart w:id="172" w:name="_Hlk47956187"/>
      <w:r>
        <w:lastRenderedPageBreak/>
        <w:t>Long-term (2090) outlook</w:t>
      </w:r>
      <w:bookmarkEnd w:id="170"/>
      <w:bookmarkEnd w:id="171"/>
    </w:p>
    <w:p w14:paraId="32866757" w14:textId="77777777" w:rsidR="00797CAA" w:rsidRDefault="00797CAA" w:rsidP="00797CAA">
      <w:pPr>
        <w:pStyle w:val="BodyText"/>
      </w:pPr>
    </w:p>
    <w:p w14:paraId="3F787D35" w14:textId="1F664F94" w:rsidR="00CF0648" w:rsidRDefault="00CF0648" w:rsidP="001D1D46">
      <w:pPr>
        <w:pStyle w:val="BodyText"/>
      </w:pPr>
      <w:r>
        <w:t>The aim of this study was assess the potential impacts of climate change and associated disturbances on risks to sequestration in ERF projects, to approximately 2050, commensurate with the conclusion of a single crediting period from the present time. It is however instructive to look at how those risk factors might evolve towards the end of the century. Because this review was primarily qualitative, the relative importance of changes in the quantitative estimates of change between 2050 and 2090 are difficult to assess. For example</w:t>
      </w:r>
      <w:r w:rsidR="000F107B">
        <w:t>,</w:t>
      </w:r>
      <w:r>
        <w:t xml:space="preserve"> under the RCP4</w:t>
      </w:r>
      <w:r w:rsidR="00D5107E">
        <w:t>.</w:t>
      </w:r>
      <w:r>
        <w:t>5 scenario the change in continental mean annual temperature is expected to increase from approximately 1.0-1.5</w:t>
      </w:r>
      <w:r>
        <w:rPr>
          <w:rFonts w:ascii="Symbol" w:eastAsia="Symbol" w:hAnsi="Symbol" w:cs="Symbol"/>
        </w:rPr>
        <w:sym w:font="Symbol" w:char="F0B0"/>
      </w:r>
      <w:r>
        <w:t>C in 2050, to 1.3-2.0</w:t>
      </w:r>
      <w:r>
        <w:rPr>
          <w:rFonts w:ascii="Symbol" w:eastAsia="Symbol" w:hAnsi="Symbol" w:cs="Symbol"/>
        </w:rPr>
        <w:sym w:font="Symbol" w:char="F0B0"/>
      </w:r>
      <w:r>
        <w:t>C in 2090. Just how this increase will interact with other climate change factors (such as changes to rainfall) to affect, for example, plant growth rates or soil respiration, is difficult to quantify with</w:t>
      </w:r>
      <w:r w:rsidR="000A6B60">
        <w:t>out</w:t>
      </w:r>
      <w:r>
        <w:t xml:space="preserve"> the aid of process-based models, and more extensive analyses. </w:t>
      </w:r>
    </w:p>
    <w:p w14:paraId="0C682A6E" w14:textId="0F2F25F4" w:rsidR="00CF0648" w:rsidRDefault="00CF0648" w:rsidP="001D1D46">
      <w:pPr>
        <w:pStyle w:val="BodyText"/>
      </w:pPr>
      <w:r>
        <w:t xml:space="preserve">What is of interest in the context of this review is the consistency in the trends over the next approximately 100 years, and whether the conclusions based on the 2050 projections will generally hold for the end-of-century. </w:t>
      </w:r>
      <w:r w:rsidR="00691A37">
        <w:fldChar w:fldCharType="begin"/>
      </w:r>
      <w:r w:rsidR="00691A37">
        <w:instrText xml:space="preserve"> REF _Ref48684547 \h </w:instrText>
      </w:r>
      <w:r w:rsidR="001D1D46">
        <w:instrText xml:space="preserve"> \* MERGEFORMAT </w:instrText>
      </w:r>
      <w:r w:rsidR="00691A37">
        <w:fldChar w:fldCharType="separate"/>
      </w:r>
      <w:r w:rsidR="00235F13">
        <w:t xml:space="preserve">Table </w:t>
      </w:r>
      <w:r w:rsidR="00235F13">
        <w:rPr>
          <w:noProof/>
        </w:rPr>
        <w:t>17</w:t>
      </w:r>
      <w:r w:rsidR="00691A37">
        <w:fldChar w:fldCharType="end"/>
      </w:r>
      <w:r w:rsidR="00691A37">
        <w:t xml:space="preserve"> </w:t>
      </w:r>
      <w:r>
        <w:t xml:space="preserve">summarises the predicted trends in the 21 climate factors listed in </w:t>
      </w:r>
      <w:r w:rsidR="001D1D46">
        <w:t>Table 7</w:t>
      </w:r>
      <w:r>
        <w:t xml:space="preserve"> between 2050 and 2090. Red cells in the table indicate that the climate factor is projected to increase both in 2050 and in 2090, with a black up arrow indicating an intensification of the trend, and a red down arrow indicating a weakening of the trend. Blue cells in the table indicate that the climate factor is projected to decrease both in 2050 and in 2090, with a black up arrow indicating an intensification of the trend, and a red down arrow indicating a weakening of the trend. </w:t>
      </w:r>
      <w:r w:rsidRPr="00A378AE">
        <w:t>White cells indicate either no change relative to baseline, or a change in sign of the indicator</w:t>
      </w:r>
      <w:r>
        <w:t xml:space="preserve"> between 2050 and 2090. Across the 21 variables x 15 sub-clusters 21/315 or approximately 7% of cells in the table indicate a weakening in the trend, predominantly associated with changes in the projections of the wettest day. Approximately 10% (30/315) of cells in the table </w:t>
      </w:r>
      <w:r w:rsidRPr="00A378AE">
        <w:t>indicate either no change relative to baseline, or a change in sign of the indicator</w:t>
      </w:r>
      <w:r>
        <w:t xml:space="preserve"> between 2050 and 2090. The vast majority (84%) of climate factor x sub-cluster combinations therefore indicate a continuation and further intensification of current trends. This suggests the conclusions based on projections to year 2050 will be generally applicable towards the end of the century, although the actual consequences are difficult to determine given uncertainty in the </w:t>
      </w:r>
      <w:r w:rsidR="000A6B60">
        <w:t xml:space="preserve">model </w:t>
      </w:r>
      <w:r>
        <w:t xml:space="preserve">projections increases over time, and given the qualitative basis on which the 2050 conclusions were conducted. </w:t>
      </w:r>
    </w:p>
    <w:p w14:paraId="09572ACE" w14:textId="382F41B8" w:rsidR="00CF0648" w:rsidRDefault="00CF0648" w:rsidP="00797CAA">
      <w:pPr>
        <w:pStyle w:val="BodyText"/>
        <w:sectPr w:rsidR="00CF0648" w:rsidSect="002B2E7D">
          <w:headerReference w:type="even" r:id="rId81"/>
          <w:headerReference w:type="default" r:id="rId82"/>
          <w:headerReference w:type="first" r:id="rId83"/>
          <w:footerReference w:type="first" r:id="rId84"/>
          <w:pgSz w:w="11906" w:h="16838" w:code="9"/>
          <w:pgMar w:top="1134" w:right="1134" w:bottom="1134" w:left="1134" w:header="510" w:footer="624" w:gutter="0"/>
          <w:cols w:space="850"/>
          <w:docGrid w:linePitch="360"/>
        </w:sectPr>
      </w:pPr>
    </w:p>
    <w:p w14:paraId="7011CADE" w14:textId="5C0B7C60" w:rsidR="00797CAA" w:rsidRDefault="00797CAA" w:rsidP="00797CAA">
      <w:pPr>
        <w:pStyle w:val="Caption"/>
        <w:spacing w:after="60"/>
      </w:pPr>
      <w:bookmarkStart w:id="173" w:name="_Ref48684547"/>
      <w:bookmarkStart w:id="174" w:name="_Toc52971072"/>
      <w:r>
        <w:lastRenderedPageBreak/>
        <w:t xml:space="preserve">Table </w:t>
      </w:r>
      <w:r>
        <w:fldChar w:fldCharType="begin"/>
      </w:r>
      <w:r>
        <w:instrText>SEQ Table \* ARABIC</w:instrText>
      </w:r>
      <w:r>
        <w:fldChar w:fldCharType="separate"/>
      </w:r>
      <w:r w:rsidR="00235F13">
        <w:rPr>
          <w:noProof/>
        </w:rPr>
        <w:t>17</w:t>
      </w:r>
      <w:r>
        <w:fldChar w:fldCharType="end"/>
      </w:r>
      <w:bookmarkEnd w:id="173"/>
      <w:r w:rsidRPr="0021349E">
        <w:rPr>
          <w:b w:val="0"/>
          <w:bCs w:val="0"/>
        </w:rPr>
        <w:t>.</w:t>
      </w:r>
      <w:r>
        <w:rPr>
          <w:b w:val="0"/>
          <w:bCs w:val="0"/>
        </w:rPr>
        <w:t xml:space="preserve"> Climate Indicator comparison of 2050 and 2090 projections relative to the baseline years 1986-2005 (median projected change across global circulation models)</w:t>
      </w:r>
      <w:r w:rsidRPr="003F4218">
        <w:t>.</w:t>
      </w:r>
      <w:r w:rsidRPr="00BF72AB">
        <w:rPr>
          <w:b w:val="0"/>
          <w:bCs w:val="0"/>
        </w:rPr>
        <w:t xml:space="preserve"> Red cells indicate</w:t>
      </w:r>
      <w:r>
        <w:rPr>
          <w:b w:val="0"/>
          <w:bCs w:val="0"/>
        </w:rPr>
        <w:t xml:space="preserve"> a predicted increase in the indicator</w:t>
      </w:r>
      <w:r w:rsidRPr="00BF72AB">
        <w:rPr>
          <w:b w:val="0"/>
          <w:bCs w:val="0"/>
        </w:rPr>
        <w:t xml:space="preserve"> </w:t>
      </w:r>
      <w:r>
        <w:rPr>
          <w:b w:val="0"/>
          <w:bCs w:val="0"/>
        </w:rPr>
        <w:t>for both 2050 and 2090 relative to baseline. Blue</w:t>
      </w:r>
      <w:r w:rsidRPr="00BF72AB">
        <w:rPr>
          <w:b w:val="0"/>
          <w:bCs w:val="0"/>
        </w:rPr>
        <w:t xml:space="preserve"> cells indicate</w:t>
      </w:r>
      <w:r>
        <w:rPr>
          <w:b w:val="0"/>
          <w:bCs w:val="0"/>
        </w:rPr>
        <w:t xml:space="preserve"> a predicted decrease in the indicator</w:t>
      </w:r>
      <w:r w:rsidRPr="00BF72AB">
        <w:rPr>
          <w:b w:val="0"/>
          <w:bCs w:val="0"/>
        </w:rPr>
        <w:t xml:space="preserve"> </w:t>
      </w:r>
      <w:r>
        <w:rPr>
          <w:b w:val="0"/>
          <w:bCs w:val="0"/>
        </w:rPr>
        <w:t>for both 2050 and 2090 relative to baseline. White cells indicate either no change relative to baseline, or a change in sign of the indicator. Up arrows indicate a strengthening of the trend between 2050 and 2090. Down arrows indicate a weakening of the trend between 2050 and 2090.  * = data unavailable.</w:t>
      </w:r>
      <w:bookmarkEnd w:id="174"/>
    </w:p>
    <w:p w14:paraId="75A0A307" w14:textId="77777777" w:rsidR="00797CAA" w:rsidRDefault="00797CAA" w:rsidP="00797CAA">
      <w:pPr>
        <w:rPr>
          <w:b/>
          <w:bCs/>
        </w:rPr>
      </w:pPr>
    </w:p>
    <w:tbl>
      <w:tblPr>
        <w:tblStyle w:val="TableCSIRO"/>
        <w:tblW w:w="13765" w:type="dxa"/>
        <w:tblLayout w:type="fixed"/>
        <w:tblLook w:val="04A0" w:firstRow="1" w:lastRow="0" w:firstColumn="1" w:lastColumn="0" w:noHBand="0" w:noVBand="1"/>
      </w:tblPr>
      <w:tblGrid>
        <w:gridCol w:w="3072"/>
        <w:gridCol w:w="618"/>
        <w:gridCol w:w="664"/>
        <w:gridCol w:w="665"/>
        <w:gridCol w:w="664"/>
        <w:gridCol w:w="648"/>
        <w:gridCol w:w="648"/>
        <w:gridCol w:w="648"/>
        <w:gridCol w:w="633"/>
        <w:gridCol w:w="633"/>
        <w:gridCol w:w="720"/>
        <w:gridCol w:w="692"/>
        <w:gridCol w:w="692"/>
        <w:gridCol w:w="692"/>
        <w:gridCol w:w="692"/>
        <w:gridCol w:w="692"/>
        <w:gridCol w:w="692"/>
      </w:tblGrid>
      <w:tr w:rsidR="00797CAA" w:rsidRPr="00B556AC" w14:paraId="4C944A0E" w14:textId="77777777" w:rsidTr="007E4E8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3072" w:type="dxa"/>
          </w:tcPr>
          <w:p w14:paraId="2E9B3177" w14:textId="77777777" w:rsidR="00797CAA" w:rsidRDefault="00797CAA" w:rsidP="007E4E86">
            <w:pPr>
              <w:rPr>
                <w:rFonts w:asciiTheme="minorHAnsi" w:hAnsiTheme="minorHAnsi"/>
                <w:sz w:val="20"/>
                <w:szCs w:val="20"/>
              </w:rPr>
            </w:pPr>
            <w:r w:rsidRPr="00B556AC">
              <w:rPr>
                <w:rFonts w:asciiTheme="minorHAnsi" w:hAnsiTheme="minorHAnsi"/>
                <w:b w:val="0"/>
                <w:bCs w:val="0"/>
                <w:sz w:val="20"/>
                <w:szCs w:val="20"/>
              </w:rPr>
              <w:t>Climate change factor</w:t>
            </w:r>
          </w:p>
          <w:p w14:paraId="12C567B1" w14:textId="77777777" w:rsidR="00797CAA" w:rsidRDefault="00797CAA" w:rsidP="007E4E86">
            <w:pPr>
              <w:rPr>
                <w:rFonts w:asciiTheme="minorHAnsi" w:hAnsiTheme="minorHAnsi"/>
                <w:sz w:val="20"/>
                <w:szCs w:val="20"/>
              </w:rPr>
            </w:pPr>
          </w:p>
          <w:p w14:paraId="3A27B363" w14:textId="77777777" w:rsidR="00797CAA" w:rsidRDefault="00797CAA" w:rsidP="007E4E86">
            <w:pPr>
              <w:rPr>
                <w:rFonts w:asciiTheme="minorHAnsi" w:hAnsiTheme="minorHAnsi"/>
                <w:sz w:val="20"/>
                <w:szCs w:val="20"/>
              </w:rPr>
            </w:pPr>
          </w:p>
          <w:p w14:paraId="2019BEC0" w14:textId="77777777" w:rsidR="00797CAA" w:rsidRDefault="00797CAA" w:rsidP="007E4E86">
            <w:pPr>
              <w:rPr>
                <w:rFonts w:asciiTheme="minorHAnsi" w:hAnsiTheme="minorHAnsi"/>
                <w:sz w:val="20"/>
                <w:szCs w:val="20"/>
              </w:rPr>
            </w:pPr>
          </w:p>
          <w:p w14:paraId="16B780CD" w14:textId="77777777" w:rsidR="00797CAA" w:rsidRDefault="00797CAA" w:rsidP="007E4E86">
            <w:pPr>
              <w:rPr>
                <w:rFonts w:asciiTheme="minorHAnsi" w:hAnsiTheme="minorHAnsi"/>
                <w:sz w:val="20"/>
                <w:szCs w:val="20"/>
              </w:rPr>
            </w:pPr>
          </w:p>
          <w:p w14:paraId="18D50307" w14:textId="77777777" w:rsidR="00797CAA" w:rsidRDefault="00797CAA" w:rsidP="007E4E86">
            <w:pPr>
              <w:rPr>
                <w:rFonts w:asciiTheme="minorHAnsi" w:hAnsiTheme="minorHAnsi"/>
                <w:sz w:val="20"/>
                <w:szCs w:val="20"/>
              </w:rPr>
            </w:pPr>
          </w:p>
          <w:p w14:paraId="3EE1F31E" w14:textId="77777777" w:rsidR="00797CAA" w:rsidRPr="00B556AC" w:rsidRDefault="00797CAA" w:rsidP="007E4E86">
            <w:pPr>
              <w:rPr>
                <w:rFonts w:asciiTheme="minorHAnsi" w:hAnsiTheme="minorHAnsi"/>
                <w:b w:val="0"/>
                <w:bCs w:val="0"/>
                <w:sz w:val="20"/>
                <w:szCs w:val="20"/>
              </w:rPr>
            </w:pPr>
          </w:p>
        </w:tc>
        <w:tc>
          <w:tcPr>
            <w:tcW w:w="618" w:type="dxa"/>
          </w:tcPr>
          <w:p w14:paraId="7D389BFD" w14:textId="77777777" w:rsidR="00797CAA" w:rsidRPr="00B556AC" w:rsidRDefault="00797CAA" w:rsidP="007E4E86">
            <w:pP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0"/>
                <w:szCs w:val="20"/>
              </w:rPr>
            </w:pPr>
          </w:p>
        </w:tc>
        <w:tc>
          <w:tcPr>
            <w:tcW w:w="664" w:type="dxa"/>
            <w:textDirection w:val="btLr"/>
          </w:tcPr>
          <w:p w14:paraId="7FC52DCB"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Monsoonal North (West)</w:t>
            </w:r>
          </w:p>
        </w:tc>
        <w:tc>
          <w:tcPr>
            <w:tcW w:w="665" w:type="dxa"/>
            <w:textDirection w:val="btLr"/>
          </w:tcPr>
          <w:p w14:paraId="4A7AD2BC"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Monsoonal North (East)</w:t>
            </w:r>
          </w:p>
        </w:tc>
        <w:tc>
          <w:tcPr>
            <w:tcW w:w="664" w:type="dxa"/>
            <w:textDirection w:val="btLr"/>
          </w:tcPr>
          <w:p w14:paraId="64F3583A"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Wet Tropics</w:t>
            </w:r>
          </w:p>
        </w:tc>
        <w:tc>
          <w:tcPr>
            <w:tcW w:w="648" w:type="dxa"/>
            <w:textDirection w:val="btLr"/>
          </w:tcPr>
          <w:p w14:paraId="668C926B"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Rangelands (North)</w:t>
            </w:r>
          </w:p>
        </w:tc>
        <w:tc>
          <w:tcPr>
            <w:tcW w:w="648" w:type="dxa"/>
            <w:textDirection w:val="btLr"/>
          </w:tcPr>
          <w:p w14:paraId="39D9FB8C"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Rangelands (South)</w:t>
            </w:r>
          </w:p>
        </w:tc>
        <w:tc>
          <w:tcPr>
            <w:tcW w:w="648" w:type="dxa"/>
            <w:textDirection w:val="btLr"/>
          </w:tcPr>
          <w:p w14:paraId="7A93FA2E"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Central Slopes</w:t>
            </w:r>
          </w:p>
        </w:tc>
        <w:tc>
          <w:tcPr>
            <w:tcW w:w="633" w:type="dxa"/>
            <w:textDirection w:val="btLr"/>
          </w:tcPr>
          <w:p w14:paraId="19F1AC20"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East Coast (North)</w:t>
            </w:r>
          </w:p>
        </w:tc>
        <w:tc>
          <w:tcPr>
            <w:tcW w:w="633" w:type="dxa"/>
            <w:textDirection w:val="btLr"/>
          </w:tcPr>
          <w:p w14:paraId="67651360"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East Coast (South)</w:t>
            </w:r>
          </w:p>
        </w:tc>
        <w:tc>
          <w:tcPr>
            <w:tcW w:w="720" w:type="dxa"/>
            <w:textDirection w:val="btLr"/>
          </w:tcPr>
          <w:p w14:paraId="2BA53C38"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and South Western Flatlands (West)</w:t>
            </w:r>
          </w:p>
        </w:tc>
        <w:tc>
          <w:tcPr>
            <w:tcW w:w="692" w:type="dxa"/>
            <w:textDirection w:val="btLr"/>
          </w:tcPr>
          <w:p w14:paraId="7D03EADC"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and South Western Flatlands (East)</w:t>
            </w:r>
          </w:p>
        </w:tc>
        <w:tc>
          <w:tcPr>
            <w:tcW w:w="692" w:type="dxa"/>
            <w:textDirection w:val="btLr"/>
          </w:tcPr>
          <w:p w14:paraId="1A55F4CF"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Murray Basin</w:t>
            </w:r>
          </w:p>
        </w:tc>
        <w:tc>
          <w:tcPr>
            <w:tcW w:w="692" w:type="dxa"/>
            <w:textDirection w:val="btLr"/>
          </w:tcPr>
          <w:p w14:paraId="6E9D587A"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Slopes (Vic/NSW East)</w:t>
            </w:r>
          </w:p>
        </w:tc>
        <w:tc>
          <w:tcPr>
            <w:tcW w:w="692" w:type="dxa"/>
            <w:textDirection w:val="btLr"/>
          </w:tcPr>
          <w:p w14:paraId="255831C4"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Slopes (Vic West)</w:t>
            </w:r>
          </w:p>
        </w:tc>
        <w:tc>
          <w:tcPr>
            <w:tcW w:w="692" w:type="dxa"/>
            <w:textDirection w:val="btLr"/>
          </w:tcPr>
          <w:p w14:paraId="4379DFFB"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Slopes (Tas West)</w:t>
            </w:r>
          </w:p>
        </w:tc>
        <w:tc>
          <w:tcPr>
            <w:tcW w:w="692" w:type="dxa"/>
            <w:textDirection w:val="btLr"/>
          </w:tcPr>
          <w:p w14:paraId="3592675E"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Slopes (Tas East)</w:t>
            </w:r>
          </w:p>
        </w:tc>
      </w:tr>
      <w:tr w:rsidR="008D11AD" w:rsidRPr="00B556AC" w14:paraId="49389F6F"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6FE9CACF"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Mean temperature change</w:t>
            </w:r>
            <w:r>
              <w:rPr>
                <w:rFonts w:ascii="Calibri" w:hAnsi="Calibri" w:cs="Calibri"/>
                <w:b w:val="0"/>
                <w:bCs w:val="0"/>
                <w:color w:val="000000" w:themeColor="text2"/>
                <w:sz w:val="20"/>
                <w:szCs w:val="20"/>
              </w:rPr>
              <w:t xml:space="preserve"> </w:t>
            </w:r>
          </w:p>
          <w:p w14:paraId="77164B3A" w14:textId="77777777" w:rsidR="00151EB2" w:rsidRPr="00E92E6B" w:rsidRDefault="00151EB2" w:rsidP="00151EB2">
            <w:pPr>
              <w:rPr>
                <w:rFonts w:asciiTheme="minorHAnsi" w:hAnsiTheme="minorHAnsi" w:cs="Calibri"/>
                <w:b w:val="0"/>
                <w:bCs w:val="0"/>
                <w:sz w:val="16"/>
                <w:szCs w:val="16"/>
              </w:rPr>
            </w:pPr>
            <w:r w:rsidRPr="00E92E6B">
              <w:rPr>
                <w:rFonts w:ascii="Calibri" w:hAnsi="Calibri" w:cs="Calibri"/>
                <w:b w:val="0"/>
                <w:bCs w:val="0"/>
                <w:color w:val="000000" w:themeColor="text2"/>
                <w:sz w:val="16"/>
                <w:szCs w:val="16"/>
              </w:rPr>
              <w:t>(</w:t>
            </w:r>
            <w:r w:rsidRPr="00E92E6B">
              <w:rPr>
                <w:rFonts w:ascii="Symbol" w:eastAsia="Symbol" w:hAnsi="Symbol" w:cs="Symbol"/>
                <w:b w:val="0"/>
                <w:bCs w:val="0"/>
                <w:color w:val="000000" w:themeColor="text2"/>
                <w:sz w:val="16"/>
                <w:szCs w:val="16"/>
              </w:rPr>
              <w:t></w:t>
            </w:r>
            <w:r w:rsidRPr="00E92E6B">
              <w:rPr>
                <w:rFonts w:ascii="Calibri" w:hAnsi="Calibri" w:cs="Calibri"/>
                <w:b w:val="0"/>
                <w:bCs w:val="0"/>
                <w:color w:val="000000" w:themeColor="text2"/>
                <w:sz w:val="16"/>
                <w:szCs w:val="16"/>
              </w:rPr>
              <w:t>C)</w:t>
            </w:r>
          </w:p>
        </w:tc>
        <w:tc>
          <w:tcPr>
            <w:tcW w:w="618" w:type="dxa"/>
            <w:shd w:val="clear" w:color="auto" w:fill="FFFFFF" w:themeFill="background1"/>
          </w:tcPr>
          <w:p w14:paraId="2D50DCCB"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123320CE"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2090</w:t>
            </w:r>
          </w:p>
        </w:tc>
        <w:tc>
          <w:tcPr>
            <w:tcW w:w="664" w:type="dxa"/>
            <w:tcBorders>
              <w:bottom w:val="nil"/>
            </w:tcBorders>
            <w:shd w:val="clear" w:color="auto" w:fill="FFEBEB"/>
          </w:tcPr>
          <w:p w14:paraId="4E7E3622" w14:textId="1C478241"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65" w:type="dxa"/>
            <w:tcBorders>
              <w:bottom w:val="nil"/>
            </w:tcBorders>
            <w:shd w:val="clear" w:color="auto" w:fill="FFEBEB"/>
          </w:tcPr>
          <w:p w14:paraId="5AEF9223" w14:textId="4455E071"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1.9</w:t>
            </w:r>
            <w:r w:rsidRPr="00E92E6B">
              <w:rPr>
                <w:rFonts w:asciiTheme="minorHAnsi" w:eastAsia="Wingdings 3" w:hAnsiTheme="minorHAnsi" w:cstheme="minorHAnsi"/>
                <w:sz w:val="16"/>
                <w:szCs w:val="16"/>
              </w:rPr>
              <w:sym w:font="Wingdings 3" w:char="F0C7"/>
            </w:r>
          </w:p>
        </w:tc>
        <w:tc>
          <w:tcPr>
            <w:tcW w:w="664" w:type="dxa"/>
            <w:tcBorders>
              <w:bottom w:val="nil"/>
            </w:tcBorders>
            <w:shd w:val="clear" w:color="auto" w:fill="FFEBEB"/>
          </w:tcPr>
          <w:p w14:paraId="33C6361C" w14:textId="0D978ED9"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5616B181" w14:textId="360317D5"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2.1</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3FA479D4" w14:textId="78DC5790"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23E29D4C" w14:textId="147BDA5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2.1</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47B939EF" w14:textId="702C2FDC"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27F0710C" w14:textId="0DB9B63E"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720" w:type="dxa"/>
            <w:tcBorders>
              <w:bottom w:val="nil"/>
            </w:tcBorders>
            <w:shd w:val="clear" w:color="auto" w:fill="FFEBEB"/>
          </w:tcPr>
          <w:p w14:paraId="4E2DB06D" w14:textId="5FEF3490"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49D621FC" w14:textId="4B1F53B6"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1.5</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36E298F7" w14:textId="75917E6F"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2E12FC18" w14:textId="12F13A4C"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295DFFAF" w14:textId="454D4D53"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1.5</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1626A3AF" w14:textId="2446EA7D"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0.9</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63623282" w14:textId="0F2945F0"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r>
      <w:tr w:rsidR="008D11AD" w:rsidRPr="00B556AC" w14:paraId="75E5EE26" w14:textId="77777777" w:rsidTr="007E4E86">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1C4948FB"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Maximum temperature change</w:t>
            </w:r>
          </w:p>
          <w:p w14:paraId="42818EFD" w14:textId="77777777" w:rsidR="00151EB2" w:rsidRPr="00B556AC" w:rsidRDefault="00151EB2" w:rsidP="00151EB2">
            <w:pPr>
              <w:rPr>
                <w:rFonts w:asciiTheme="minorHAnsi" w:hAnsiTheme="minorHAnsi" w:cs="Calibri"/>
                <w:b w:val="0"/>
                <w:bCs w:val="0"/>
                <w:sz w:val="20"/>
                <w:szCs w:val="20"/>
              </w:rPr>
            </w:pPr>
            <w:r w:rsidRPr="00E92E6B">
              <w:rPr>
                <w:rFonts w:ascii="Calibri" w:hAnsi="Calibri" w:cs="Calibri"/>
                <w:b w:val="0"/>
                <w:bCs w:val="0"/>
                <w:color w:val="000000" w:themeColor="text2"/>
                <w:sz w:val="16"/>
                <w:szCs w:val="16"/>
              </w:rPr>
              <w:t>(</w:t>
            </w:r>
            <w:r w:rsidRPr="00E92E6B">
              <w:rPr>
                <w:rFonts w:ascii="Symbol" w:eastAsia="Symbol" w:hAnsi="Symbol" w:cs="Symbol"/>
                <w:b w:val="0"/>
                <w:bCs w:val="0"/>
                <w:color w:val="000000" w:themeColor="text2"/>
                <w:sz w:val="16"/>
                <w:szCs w:val="16"/>
              </w:rPr>
              <w:t></w:t>
            </w:r>
            <w:r w:rsidRPr="00E92E6B">
              <w:rPr>
                <w:rFonts w:ascii="Calibri" w:hAnsi="Calibri" w:cs="Calibri"/>
                <w:b w:val="0"/>
                <w:bCs w:val="0"/>
                <w:color w:val="000000" w:themeColor="text2"/>
                <w:sz w:val="16"/>
                <w:szCs w:val="16"/>
              </w:rPr>
              <w:t>C)</w:t>
            </w:r>
          </w:p>
        </w:tc>
        <w:tc>
          <w:tcPr>
            <w:tcW w:w="618" w:type="dxa"/>
            <w:shd w:val="clear" w:color="auto" w:fill="FFFFFF" w:themeFill="background1"/>
          </w:tcPr>
          <w:p w14:paraId="7F575686"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549F51FB"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2090</w:t>
            </w:r>
          </w:p>
        </w:tc>
        <w:tc>
          <w:tcPr>
            <w:tcW w:w="664" w:type="dxa"/>
            <w:tcBorders>
              <w:top w:val="nil"/>
              <w:bottom w:val="nil"/>
            </w:tcBorders>
            <w:shd w:val="clear" w:color="auto" w:fill="FFEBEB"/>
          </w:tcPr>
          <w:p w14:paraId="7F18FB66" w14:textId="10C9CA87"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65" w:type="dxa"/>
            <w:tcBorders>
              <w:top w:val="nil"/>
              <w:bottom w:val="nil"/>
            </w:tcBorders>
            <w:shd w:val="clear" w:color="auto" w:fill="FFEBEB"/>
          </w:tcPr>
          <w:p w14:paraId="7C716380" w14:textId="36B23ED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64" w:type="dxa"/>
            <w:tcBorders>
              <w:top w:val="nil"/>
              <w:bottom w:val="nil"/>
            </w:tcBorders>
            <w:shd w:val="clear" w:color="auto" w:fill="FFEBEB"/>
          </w:tcPr>
          <w:p w14:paraId="250311A0" w14:textId="1584AEE2"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01C7DECD" w14:textId="114FFDC4"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1.6</w:t>
            </w:r>
            <w:r w:rsidRPr="00E92E6B">
              <w:rPr>
                <w:rFonts w:ascii="Arial" w:hAnsi="Arial" w:cs="Arial"/>
                <w:color w:val="000000"/>
                <w:sz w:val="16"/>
                <w:szCs w:val="16"/>
              </w:rPr>
              <w:br/>
              <w:t>2.3</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6BBB105F" w14:textId="2358755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1.6</w:t>
            </w:r>
            <w:r w:rsidRPr="00E92E6B">
              <w:rPr>
                <w:rFonts w:ascii="Arial" w:hAnsi="Arial" w:cs="Arial"/>
                <w:color w:val="000000"/>
                <w:sz w:val="16"/>
                <w:szCs w:val="16"/>
              </w:rPr>
              <w:br/>
              <w:t>2.2</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02700BAC" w14:textId="457405DA"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2.2</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1F7C72F8" w14:textId="26F06B03"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1.9</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04535164" w14:textId="4D60EE88"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720" w:type="dxa"/>
            <w:tcBorders>
              <w:top w:val="nil"/>
              <w:bottom w:val="nil"/>
            </w:tcBorders>
            <w:shd w:val="clear" w:color="auto" w:fill="FFEBEB"/>
          </w:tcPr>
          <w:p w14:paraId="0B6623C7" w14:textId="485108D5"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6877307A" w14:textId="346E346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3F8BB873" w14:textId="5110E777"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6E2FDE7A" w14:textId="7B675F93"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3D76F232" w14:textId="403CCDBE"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17363604" w14:textId="619DCD04"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0.9</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15C306BB" w14:textId="087971D5"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1.5</w:t>
            </w:r>
            <w:r w:rsidRPr="00E92E6B">
              <w:rPr>
                <w:rFonts w:asciiTheme="minorHAnsi" w:eastAsia="Wingdings 3" w:hAnsiTheme="minorHAnsi" w:cstheme="minorHAnsi"/>
                <w:sz w:val="16"/>
                <w:szCs w:val="16"/>
              </w:rPr>
              <w:sym w:font="Wingdings 3" w:char="F0C7"/>
            </w:r>
          </w:p>
        </w:tc>
      </w:tr>
      <w:tr w:rsidR="008D11AD" w:rsidRPr="00B556AC" w14:paraId="2CDC7380"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10EE2D2E"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Minimum temperature change</w:t>
            </w:r>
          </w:p>
          <w:p w14:paraId="1C47FD7A" w14:textId="77777777" w:rsidR="00151EB2" w:rsidRPr="00B556AC" w:rsidRDefault="00151EB2" w:rsidP="00151EB2">
            <w:pPr>
              <w:rPr>
                <w:rFonts w:asciiTheme="minorHAnsi" w:hAnsiTheme="minorHAnsi" w:cs="Calibri"/>
                <w:b w:val="0"/>
                <w:bCs w:val="0"/>
                <w:sz w:val="20"/>
                <w:szCs w:val="20"/>
              </w:rPr>
            </w:pPr>
            <w:r w:rsidRPr="00E92E6B">
              <w:rPr>
                <w:rFonts w:ascii="Calibri" w:hAnsi="Calibri" w:cs="Calibri"/>
                <w:b w:val="0"/>
                <w:bCs w:val="0"/>
                <w:color w:val="000000" w:themeColor="text2"/>
                <w:sz w:val="16"/>
                <w:szCs w:val="16"/>
              </w:rPr>
              <w:t>(</w:t>
            </w:r>
            <w:r w:rsidRPr="00E92E6B">
              <w:rPr>
                <w:rFonts w:ascii="Symbol" w:eastAsia="Symbol" w:hAnsi="Symbol" w:cs="Symbol"/>
                <w:b w:val="0"/>
                <w:bCs w:val="0"/>
                <w:color w:val="000000" w:themeColor="text2"/>
                <w:sz w:val="16"/>
                <w:szCs w:val="16"/>
              </w:rPr>
              <w:t></w:t>
            </w:r>
            <w:r w:rsidRPr="00E92E6B">
              <w:rPr>
                <w:rFonts w:ascii="Calibri" w:hAnsi="Calibri" w:cs="Calibri"/>
                <w:b w:val="0"/>
                <w:bCs w:val="0"/>
                <w:color w:val="000000" w:themeColor="text2"/>
                <w:sz w:val="16"/>
                <w:szCs w:val="16"/>
              </w:rPr>
              <w:t>C)</w:t>
            </w:r>
          </w:p>
        </w:tc>
        <w:tc>
          <w:tcPr>
            <w:tcW w:w="618" w:type="dxa"/>
            <w:shd w:val="clear" w:color="auto" w:fill="FFFFFF" w:themeFill="background1"/>
          </w:tcPr>
          <w:p w14:paraId="10D3FAE7"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2F4D31A2"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2090</w:t>
            </w:r>
          </w:p>
        </w:tc>
        <w:tc>
          <w:tcPr>
            <w:tcW w:w="664" w:type="dxa"/>
            <w:tcBorders>
              <w:top w:val="nil"/>
              <w:bottom w:val="nil"/>
            </w:tcBorders>
            <w:shd w:val="clear" w:color="auto" w:fill="FFEBEB"/>
          </w:tcPr>
          <w:p w14:paraId="3F75D2CB" w14:textId="3978386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1.9</w:t>
            </w:r>
            <w:r w:rsidRPr="00E92E6B">
              <w:rPr>
                <w:rFonts w:asciiTheme="minorHAnsi" w:eastAsia="Wingdings 3" w:hAnsiTheme="minorHAnsi" w:cstheme="minorHAnsi"/>
                <w:sz w:val="16"/>
                <w:szCs w:val="16"/>
              </w:rPr>
              <w:sym w:font="Wingdings 3" w:char="F0C7"/>
            </w:r>
          </w:p>
        </w:tc>
        <w:tc>
          <w:tcPr>
            <w:tcW w:w="665" w:type="dxa"/>
            <w:tcBorders>
              <w:top w:val="nil"/>
              <w:bottom w:val="nil"/>
            </w:tcBorders>
            <w:shd w:val="clear" w:color="auto" w:fill="FFEBEB"/>
          </w:tcPr>
          <w:p w14:paraId="26247F67" w14:textId="4EEC7E4A"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1.9</w:t>
            </w:r>
            <w:r w:rsidRPr="00E92E6B">
              <w:rPr>
                <w:rFonts w:asciiTheme="minorHAnsi" w:eastAsia="Wingdings 3" w:hAnsiTheme="minorHAnsi" w:cstheme="minorHAnsi"/>
                <w:sz w:val="16"/>
                <w:szCs w:val="16"/>
              </w:rPr>
              <w:sym w:font="Wingdings 3" w:char="F0C7"/>
            </w:r>
          </w:p>
        </w:tc>
        <w:tc>
          <w:tcPr>
            <w:tcW w:w="664" w:type="dxa"/>
            <w:tcBorders>
              <w:top w:val="nil"/>
              <w:bottom w:val="nil"/>
            </w:tcBorders>
            <w:shd w:val="clear" w:color="auto" w:fill="FFEBEB"/>
          </w:tcPr>
          <w:p w14:paraId="61385B19" w14:textId="1135BFA5"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4A0BAF44" w14:textId="377E318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3D4F8DBC" w14:textId="2935FABE"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2FFD2A75" w14:textId="53FA1EDB"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1.9</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1E529715" w14:textId="3D8571BE"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617ACC88" w14:textId="3AFD0510"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720" w:type="dxa"/>
            <w:tcBorders>
              <w:top w:val="nil"/>
              <w:bottom w:val="nil"/>
            </w:tcBorders>
            <w:shd w:val="clear" w:color="auto" w:fill="FFEBEB"/>
          </w:tcPr>
          <w:p w14:paraId="3F055752" w14:textId="0B8BE688"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4AF3BD6E" w14:textId="559969B3"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03B6FA3C" w14:textId="2D17AC4D"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1DAA7809" w14:textId="4688890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2FCBB980" w14:textId="6653DB42"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3598413C" w14:textId="7C528DEF"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0.9</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2D0B7D8E" w14:textId="7B38519E"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r>
      <w:tr w:rsidR="008D11AD" w:rsidRPr="00B556AC" w14:paraId="5CE1CACC" w14:textId="77777777" w:rsidTr="007E4E86">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2047B0D8"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Precipitation change</w:t>
            </w:r>
          </w:p>
          <w:p w14:paraId="795822E9" w14:textId="77777777" w:rsidR="00151EB2" w:rsidRPr="00E92E6B" w:rsidRDefault="00151EB2" w:rsidP="00151EB2">
            <w:pPr>
              <w:rPr>
                <w:rFonts w:asciiTheme="minorHAnsi" w:hAnsiTheme="minorHAnsi" w:cs="Calibri"/>
                <w:b w:val="0"/>
                <w:bCs w:val="0"/>
                <w:sz w:val="16"/>
                <w:szCs w:val="16"/>
              </w:rPr>
            </w:pPr>
            <w:r w:rsidRPr="00E92E6B">
              <w:rPr>
                <w:rFonts w:asciiTheme="minorHAnsi" w:hAnsiTheme="minorHAnsi" w:cs="Calibri"/>
                <w:b w:val="0"/>
                <w:bCs w:val="0"/>
                <w:sz w:val="16"/>
                <w:szCs w:val="16"/>
              </w:rPr>
              <w:t>(%)</w:t>
            </w:r>
          </w:p>
        </w:tc>
        <w:tc>
          <w:tcPr>
            <w:tcW w:w="618" w:type="dxa"/>
            <w:shd w:val="clear" w:color="auto" w:fill="FFFFFF" w:themeFill="background1"/>
          </w:tcPr>
          <w:p w14:paraId="454039AF"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4BF1BDEC"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2090</w:t>
            </w:r>
          </w:p>
        </w:tc>
        <w:tc>
          <w:tcPr>
            <w:tcW w:w="664" w:type="dxa"/>
            <w:tcBorders>
              <w:top w:val="nil"/>
              <w:bottom w:val="nil"/>
            </w:tcBorders>
            <w:shd w:val="clear" w:color="auto" w:fill="FFFFFF" w:themeFill="background1"/>
          </w:tcPr>
          <w:p w14:paraId="140FEE4A" w14:textId="28A85475"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-0.7</w:t>
            </w:r>
          </w:p>
        </w:tc>
        <w:tc>
          <w:tcPr>
            <w:tcW w:w="665" w:type="dxa"/>
            <w:tcBorders>
              <w:top w:val="nil"/>
              <w:bottom w:val="nil"/>
            </w:tcBorders>
            <w:shd w:val="clear" w:color="auto" w:fill="E5FAFF"/>
          </w:tcPr>
          <w:p w14:paraId="42354168" w14:textId="558A3364"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-4.3</w:t>
            </w:r>
            <w:r w:rsidRPr="00E92E6B">
              <w:rPr>
                <w:rFonts w:asciiTheme="minorHAnsi" w:eastAsia="Wingdings 3" w:hAnsiTheme="minorHAnsi" w:cstheme="minorHAnsi"/>
                <w:sz w:val="16"/>
                <w:szCs w:val="16"/>
              </w:rPr>
              <w:sym w:font="Wingdings 3" w:char="F0C7"/>
            </w:r>
          </w:p>
        </w:tc>
        <w:tc>
          <w:tcPr>
            <w:tcW w:w="664" w:type="dxa"/>
            <w:tcBorders>
              <w:top w:val="nil"/>
              <w:bottom w:val="nil"/>
            </w:tcBorders>
            <w:shd w:val="clear" w:color="auto" w:fill="FFFFFF" w:themeFill="background1"/>
          </w:tcPr>
          <w:p w14:paraId="101B1949" w14:textId="54B5657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0.7</w:t>
            </w:r>
            <w:r w:rsidRPr="00E92E6B">
              <w:rPr>
                <w:rFonts w:ascii="Arial" w:hAnsi="Arial" w:cs="Arial"/>
                <w:color w:val="000000"/>
                <w:sz w:val="16"/>
                <w:szCs w:val="16"/>
              </w:rPr>
              <w:br/>
              <w:t>-1.6</w:t>
            </w:r>
          </w:p>
        </w:tc>
        <w:tc>
          <w:tcPr>
            <w:tcW w:w="648" w:type="dxa"/>
            <w:tcBorders>
              <w:top w:val="nil"/>
              <w:bottom w:val="nil"/>
            </w:tcBorders>
            <w:shd w:val="clear" w:color="auto" w:fill="E5FAFF"/>
          </w:tcPr>
          <w:p w14:paraId="7AA5CB93" w14:textId="25A0403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-4.6</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E5FAFF"/>
          </w:tcPr>
          <w:p w14:paraId="457FC03C" w14:textId="03BDA3DC"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-3.8</w:t>
            </w:r>
            <w:r w:rsidRPr="00E92E6B">
              <w:rPr>
                <w:rFonts w:ascii="Arial" w:hAnsi="Arial" w:cs="Arial"/>
                <w:color w:val="000000"/>
                <w:sz w:val="16"/>
                <w:szCs w:val="16"/>
              </w:rPr>
              <w:br/>
              <w:t>-4.8</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FFFF" w:themeFill="background1"/>
          </w:tcPr>
          <w:p w14:paraId="50FEA51F" w14:textId="4F00E3DB"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-4.2</w:t>
            </w:r>
          </w:p>
        </w:tc>
        <w:tc>
          <w:tcPr>
            <w:tcW w:w="633" w:type="dxa"/>
            <w:tcBorders>
              <w:top w:val="nil"/>
              <w:bottom w:val="nil"/>
            </w:tcBorders>
            <w:shd w:val="clear" w:color="auto" w:fill="E5FAFF"/>
          </w:tcPr>
          <w:p w14:paraId="5411829B" w14:textId="5191AFDE"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-2.0</w:t>
            </w:r>
            <w:r w:rsidRPr="00E92E6B">
              <w:rPr>
                <w:rFonts w:ascii="Arial" w:hAnsi="Arial" w:cs="Arial"/>
                <w:color w:val="000000"/>
                <w:sz w:val="16"/>
                <w:szCs w:val="16"/>
              </w:rPr>
              <w:br/>
              <w:t>-8.6</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FFFF" w:themeFill="background1"/>
          </w:tcPr>
          <w:p w14:paraId="3ECC672D" w14:textId="0011C141"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-2.3</w:t>
            </w:r>
          </w:p>
        </w:tc>
        <w:tc>
          <w:tcPr>
            <w:tcW w:w="720" w:type="dxa"/>
            <w:tcBorders>
              <w:top w:val="nil"/>
              <w:bottom w:val="nil"/>
            </w:tcBorders>
            <w:shd w:val="clear" w:color="auto" w:fill="E5FAFF"/>
          </w:tcPr>
          <w:p w14:paraId="429EEE48" w14:textId="718181F9"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-8.7</w:t>
            </w:r>
            <w:r w:rsidRPr="00E92E6B">
              <w:rPr>
                <w:rFonts w:ascii="Arial" w:hAnsi="Arial" w:cs="Arial"/>
                <w:color w:val="000000"/>
                <w:sz w:val="16"/>
                <w:szCs w:val="16"/>
              </w:rPr>
              <w:br/>
              <w:t>-11.5</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66281E30" w14:textId="6A8F684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-4.2</w:t>
            </w:r>
            <w:r w:rsidRPr="00E92E6B">
              <w:rPr>
                <w:rFonts w:ascii="Arial" w:hAnsi="Arial" w:cs="Arial"/>
                <w:color w:val="000000"/>
                <w:sz w:val="16"/>
                <w:szCs w:val="16"/>
              </w:rPr>
              <w:br/>
              <w:t>-6.7</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2C1B1611" w14:textId="35316FB1"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-5.7</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262A62F8" w14:textId="61E7FA54"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-0.7</w:t>
            </w:r>
            <w:r w:rsidRPr="00E92E6B">
              <w:rPr>
                <w:rFonts w:ascii="Arial" w:hAnsi="Arial" w:cs="Arial"/>
                <w:color w:val="000000"/>
                <w:sz w:val="16"/>
                <w:szCs w:val="16"/>
              </w:rPr>
              <w:br/>
              <w:t>-5.0</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432380F0" w14:textId="66DD9E7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-3.3</w:t>
            </w:r>
            <w:r w:rsidRPr="00E92E6B">
              <w:rPr>
                <w:rFonts w:ascii="Arial" w:hAnsi="Arial" w:cs="Arial"/>
                <w:color w:val="000000"/>
                <w:sz w:val="16"/>
                <w:szCs w:val="16"/>
              </w:rPr>
              <w:br/>
              <w:t>-7.2</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44163D8C" w14:textId="6E9E7B02"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2443ECD7" w14:textId="050CB35B"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-1.8</w:t>
            </w:r>
            <w:r w:rsidRPr="00E92E6B">
              <w:rPr>
                <w:rFonts w:ascii="Arial" w:hAnsi="Arial" w:cs="Arial"/>
                <w:color w:val="000000"/>
                <w:sz w:val="16"/>
                <w:szCs w:val="16"/>
              </w:rPr>
              <w:br/>
              <w:t>-0.8</w:t>
            </w:r>
            <w:r w:rsidRPr="00E92E6B">
              <w:rPr>
                <w:rFonts w:ascii="Wingdings 3" w:eastAsia="Wingdings 3" w:hAnsi="Wingdings 3" w:cs="Wingdings 3"/>
                <w:color w:val="FF0000"/>
                <w:sz w:val="16"/>
                <w:szCs w:val="16"/>
              </w:rPr>
              <w:sym w:font="Wingdings 3" w:char="F0C8"/>
            </w:r>
          </w:p>
        </w:tc>
      </w:tr>
      <w:tr w:rsidR="000651DF" w:rsidRPr="00B556AC" w14:paraId="2E800F8D"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tcBorders>
              <w:bottom w:val="nil"/>
            </w:tcBorders>
            <w:shd w:val="clear" w:color="auto" w:fill="FFFFFF" w:themeFill="background1"/>
            <w:vAlign w:val="bottom"/>
          </w:tcPr>
          <w:p w14:paraId="5D2DD404"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Shortwave radiation change</w:t>
            </w:r>
          </w:p>
          <w:p w14:paraId="422B8A79" w14:textId="77777777" w:rsidR="00151EB2" w:rsidRPr="00B556AC" w:rsidRDefault="00151EB2" w:rsidP="00151EB2">
            <w:pPr>
              <w:rPr>
                <w:rFonts w:asciiTheme="minorHAnsi" w:hAnsiTheme="minorHAnsi" w:cs="Calibri"/>
                <w:b w:val="0"/>
                <w:bCs w:val="0"/>
                <w:sz w:val="20"/>
                <w:szCs w:val="20"/>
              </w:rPr>
            </w:pPr>
            <w:r w:rsidRPr="00E92E6B">
              <w:rPr>
                <w:rFonts w:asciiTheme="minorHAnsi" w:hAnsiTheme="minorHAnsi" w:cs="Calibri"/>
                <w:b w:val="0"/>
                <w:bCs w:val="0"/>
                <w:sz w:val="16"/>
                <w:szCs w:val="16"/>
              </w:rPr>
              <w:t>(%)</w:t>
            </w:r>
          </w:p>
        </w:tc>
        <w:tc>
          <w:tcPr>
            <w:tcW w:w="618" w:type="dxa"/>
            <w:tcBorders>
              <w:bottom w:val="nil"/>
            </w:tcBorders>
            <w:shd w:val="clear" w:color="auto" w:fill="FFFFFF" w:themeFill="background1"/>
          </w:tcPr>
          <w:p w14:paraId="1B6C28D0"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1F6679C6"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2090</w:t>
            </w:r>
          </w:p>
        </w:tc>
        <w:tc>
          <w:tcPr>
            <w:tcW w:w="664" w:type="dxa"/>
            <w:tcBorders>
              <w:bottom w:val="nil"/>
            </w:tcBorders>
            <w:shd w:val="clear" w:color="auto" w:fill="E5FAFF"/>
          </w:tcPr>
          <w:p w14:paraId="395A5BF9" w14:textId="42DDA830"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-0.2</w:t>
            </w:r>
          </w:p>
        </w:tc>
        <w:tc>
          <w:tcPr>
            <w:tcW w:w="665" w:type="dxa"/>
            <w:tcBorders>
              <w:top w:val="nil"/>
              <w:bottom w:val="nil"/>
            </w:tcBorders>
            <w:shd w:val="clear" w:color="auto" w:fill="FFEBEB"/>
          </w:tcPr>
          <w:p w14:paraId="5A873E64" w14:textId="691DB06F"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0.2</w:t>
            </w:r>
            <w:r w:rsidRPr="00E92E6B">
              <w:rPr>
                <w:rFonts w:asciiTheme="minorHAnsi" w:eastAsia="Wingdings 3" w:hAnsiTheme="minorHAnsi" w:cstheme="minorHAnsi"/>
                <w:sz w:val="16"/>
                <w:szCs w:val="16"/>
              </w:rPr>
              <w:sym w:font="Wingdings 3" w:char="F0C7"/>
            </w:r>
          </w:p>
        </w:tc>
        <w:tc>
          <w:tcPr>
            <w:tcW w:w="664" w:type="dxa"/>
            <w:tcBorders>
              <w:bottom w:val="nil"/>
            </w:tcBorders>
            <w:shd w:val="clear" w:color="auto" w:fill="FFEBEB"/>
          </w:tcPr>
          <w:p w14:paraId="1171617D" w14:textId="1E2D36D9"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0.1</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FFFF" w:themeFill="background1"/>
          </w:tcPr>
          <w:p w14:paraId="45B5C61C" w14:textId="0DC0400A"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0.0</w:t>
            </w:r>
          </w:p>
        </w:tc>
        <w:tc>
          <w:tcPr>
            <w:tcW w:w="648" w:type="dxa"/>
            <w:tcBorders>
              <w:top w:val="nil"/>
              <w:bottom w:val="nil"/>
            </w:tcBorders>
            <w:shd w:val="clear" w:color="auto" w:fill="FFEBEB"/>
          </w:tcPr>
          <w:p w14:paraId="697E07DF" w14:textId="04687D15"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0.4</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2300DED7" w14:textId="28222E8F"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73719600" w14:textId="1B853C1F"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1.1</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67946B2B" w14:textId="4226048C"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1.5</w:t>
            </w:r>
            <w:r w:rsidRPr="00E92E6B">
              <w:rPr>
                <w:rFonts w:asciiTheme="minorHAnsi" w:eastAsia="Wingdings 3" w:hAnsiTheme="minorHAnsi" w:cstheme="minorHAnsi"/>
                <w:sz w:val="16"/>
                <w:szCs w:val="16"/>
              </w:rPr>
              <w:sym w:font="Wingdings 3" w:char="F0C7"/>
            </w:r>
          </w:p>
        </w:tc>
        <w:tc>
          <w:tcPr>
            <w:tcW w:w="720" w:type="dxa"/>
            <w:tcBorders>
              <w:top w:val="nil"/>
              <w:bottom w:val="nil"/>
            </w:tcBorders>
            <w:shd w:val="clear" w:color="auto" w:fill="FFEBEB"/>
          </w:tcPr>
          <w:p w14:paraId="43E0437C" w14:textId="76248A50"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1.0</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0D89D759" w14:textId="58ECC0A9"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0.7</w:t>
            </w:r>
            <w:r w:rsidRPr="00E92E6B">
              <w:rPr>
                <w:rFonts w:ascii="Arial" w:hAnsi="Arial" w:cs="Arial"/>
                <w:color w:val="000000"/>
                <w:sz w:val="16"/>
                <w:szCs w:val="16"/>
              </w:rPr>
              <w:br/>
              <w:t>1.1</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7C172900" w14:textId="020ABD05"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1.5</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1F8CE3A2" w14:textId="786901E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2.2</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7B05706D" w14:textId="587FCE5B"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1AB6F6BE" w14:textId="6F98E5B4"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78249549" w14:textId="3DFED18B"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r>
      <w:tr w:rsidR="008D11AD" w:rsidRPr="00B556AC" w14:paraId="2D66F8F3" w14:textId="77777777" w:rsidTr="007E4E86">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01E15BC9" w14:textId="77777777" w:rsidR="00151EB2" w:rsidRPr="003D0B5C"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Potential-evapotranspiration change</w:t>
            </w:r>
            <w:r>
              <w:rPr>
                <w:rFonts w:ascii="Calibri" w:hAnsi="Calibri" w:cs="Calibri"/>
                <w:b w:val="0"/>
                <w:bCs w:val="0"/>
                <w:color w:val="000000" w:themeColor="text2"/>
                <w:sz w:val="20"/>
                <w:szCs w:val="20"/>
              </w:rPr>
              <w:t xml:space="preserve"> </w:t>
            </w:r>
            <w:r w:rsidRPr="00E92E6B">
              <w:rPr>
                <w:rFonts w:asciiTheme="minorHAnsi" w:hAnsiTheme="minorHAnsi" w:cs="Calibri"/>
                <w:b w:val="0"/>
                <w:bCs w:val="0"/>
                <w:sz w:val="16"/>
                <w:szCs w:val="16"/>
              </w:rPr>
              <w:t>(%)</w:t>
            </w:r>
          </w:p>
        </w:tc>
        <w:tc>
          <w:tcPr>
            <w:tcW w:w="618" w:type="dxa"/>
            <w:shd w:val="clear" w:color="auto" w:fill="FFFFFF" w:themeFill="background1"/>
          </w:tcPr>
          <w:p w14:paraId="3D8ACD0A"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10E8DA1F"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1A4D33">
              <w:rPr>
                <w:rFonts w:asciiTheme="minorHAnsi" w:hAnsiTheme="minorHAnsi" w:cstheme="minorHAnsi"/>
                <w:sz w:val="18"/>
                <w:szCs w:val="18"/>
              </w:rPr>
              <w:t>2090</w:t>
            </w:r>
          </w:p>
        </w:tc>
        <w:tc>
          <w:tcPr>
            <w:tcW w:w="664" w:type="dxa"/>
            <w:tcBorders>
              <w:bottom w:val="nil"/>
            </w:tcBorders>
            <w:shd w:val="clear" w:color="auto" w:fill="FFEBEB"/>
          </w:tcPr>
          <w:p w14:paraId="50048771" w14:textId="2FAC04E5"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4.3</w:t>
            </w:r>
            <w:r w:rsidRPr="00E92E6B">
              <w:rPr>
                <w:rFonts w:ascii="Arial" w:hAnsi="Arial" w:cs="Arial"/>
                <w:color w:val="000000"/>
                <w:sz w:val="16"/>
                <w:szCs w:val="16"/>
              </w:rPr>
              <w:br/>
              <w:t>6.8</w:t>
            </w:r>
            <w:r w:rsidRPr="00E92E6B">
              <w:rPr>
                <w:rFonts w:asciiTheme="minorHAnsi" w:eastAsia="Wingdings 3" w:hAnsiTheme="minorHAnsi" w:cstheme="minorHAnsi"/>
                <w:sz w:val="16"/>
                <w:szCs w:val="16"/>
              </w:rPr>
              <w:sym w:font="Wingdings 3" w:char="F0C7"/>
            </w:r>
          </w:p>
        </w:tc>
        <w:tc>
          <w:tcPr>
            <w:tcW w:w="665" w:type="dxa"/>
            <w:tcBorders>
              <w:bottom w:val="nil"/>
            </w:tcBorders>
            <w:shd w:val="clear" w:color="auto" w:fill="FFEBEB"/>
          </w:tcPr>
          <w:p w14:paraId="58CCCC05" w14:textId="61097072"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4.2</w:t>
            </w:r>
            <w:r w:rsidRPr="00E92E6B">
              <w:rPr>
                <w:rFonts w:ascii="Arial" w:hAnsi="Arial" w:cs="Arial"/>
                <w:color w:val="000000"/>
                <w:sz w:val="16"/>
                <w:szCs w:val="16"/>
              </w:rPr>
              <w:br/>
              <w:t>6.4</w:t>
            </w:r>
            <w:r w:rsidRPr="00E92E6B">
              <w:rPr>
                <w:rFonts w:asciiTheme="minorHAnsi" w:eastAsia="Wingdings 3" w:hAnsiTheme="minorHAnsi" w:cstheme="minorHAnsi"/>
                <w:sz w:val="16"/>
                <w:szCs w:val="16"/>
              </w:rPr>
              <w:sym w:font="Wingdings 3" w:char="F0C7"/>
            </w:r>
          </w:p>
        </w:tc>
        <w:tc>
          <w:tcPr>
            <w:tcW w:w="664" w:type="dxa"/>
            <w:tcBorders>
              <w:bottom w:val="nil"/>
            </w:tcBorders>
            <w:shd w:val="clear" w:color="auto" w:fill="FFEBEB"/>
          </w:tcPr>
          <w:p w14:paraId="43BBD114" w14:textId="1E2D566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3.7</w:t>
            </w:r>
            <w:r w:rsidRPr="00E92E6B">
              <w:rPr>
                <w:rFonts w:ascii="Arial" w:hAnsi="Arial" w:cs="Arial"/>
                <w:color w:val="000000"/>
                <w:sz w:val="16"/>
                <w:szCs w:val="16"/>
              </w:rPr>
              <w:br/>
              <w:t>5.1</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1750D05F" w14:textId="1A7B1962"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4.5</w:t>
            </w:r>
            <w:r w:rsidRPr="00E92E6B">
              <w:rPr>
                <w:rFonts w:ascii="Arial" w:hAnsi="Arial" w:cs="Arial"/>
                <w:color w:val="000000"/>
                <w:sz w:val="16"/>
                <w:szCs w:val="16"/>
              </w:rPr>
              <w:br/>
              <w:t>5.1</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125699C4" w14:textId="5B17C32C"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3.8</w:t>
            </w:r>
            <w:r w:rsidRPr="00E92E6B">
              <w:rPr>
                <w:rFonts w:ascii="Arial" w:hAnsi="Arial" w:cs="Arial"/>
                <w:color w:val="000000"/>
                <w:sz w:val="16"/>
                <w:szCs w:val="16"/>
              </w:rPr>
              <w:br/>
              <w:t>4.7</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1F55B219" w14:textId="65396EF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4.9</w:t>
            </w:r>
            <w:r w:rsidRPr="00E92E6B">
              <w:rPr>
                <w:rFonts w:ascii="Arial" w:hAnsi="Arial" w:cs="Arial"/>
                <w:color w:val="000000"/>
                <w:sz w:val="16"/>
                <w:szCs w:val="16"/>
              </w:rPr>
              <w:br/>
              <w:t>6.8</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359E1DE8" w14:textId="30A3C09C"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4.4</w:t>
            </w:r>
            <w:r w:rsidRPr="00E92E6B">
              <w:rPr>
                <w:rFonts w:ascii="Arial" w:hAnsi="Arial" w:cs="Arial"/>
                <w:color w:val="000000"/>
                <w:sz w:val="16"/>
                <w:szCs w:val="16"/>
              </w:rPr>
              <w:br/>
              <w:t>7.4</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0DEE294C" w14:textId="28F2F668"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5.4</w:t>
            </w:r>
            <w:r w:rsidRPr="00E92E6B">
              <w:rPr>
                <w:rFonts w:ascii="Arial" w:hAnsi="Arial" w:cs="Arial"/>
                <w:color w:val="000000"/>
                <w:sz w:val="16"/>
                <w:szCs w:val="16"/>
              </w:rPr>
              <w:br/>
              <w:t>7.8</w:t>
            </w:r>
            <w:r w:rsidRPr="00E92E6B">
              <w:rPr>
                <w:rFonts w:asciiTheme="minorHAnsi" w:eastAsia="Wingdings 3" w:hAnsiTheme="minorHAnsi" w:cstheme="minorHAnsi"/>
                <w:sz w:val="16"/>
                <w:szCs w:val="16"/>
              </w:rPr>
              <w:sym w:font="Wingdings 3" w:char="F0C7"/>
            </w:r>
          </w:p>
        </w:tc>
        <w:tc>
          <w:tcPr>
            <w:tcW w:w="720" w:type="dxa"/>
            <w:tcBorders>
              <w:bottom w:val="nil"/>
            </w:tcBorders>
            <w:shd w:val="clear" w:color="auto" w:fill="FFEBEB"/>
          </w:tcPr>
          <w:p w14:paraId="04B2FE30" w14:textId="3C3A6B1C"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3.9</w:t>
            </w:r>
            <w:r w:rsidRPr="00E92E6B">
              <w:rPr>
                <w:rFonts w:ascii="Arial" w:hAnsi="Arial" w:cs="Arial"/>
                <w:color w:val="000000"/>
                <w:sz w:val="16"/>
                <w:szCs w:val="16"/>
              </w:rPr>
              <w:br/>
              <w:t>5.4</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61CE260B" w14:textId="351AC3D6"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3.8</w:t>
            </w:r>
            <w:r w:rsidRPr="00E92E6B">
              <w:rPr>
                <w:rFonts w:ascii="Arial" w:hAnsi="Arial" w:cs="Arial"/>
                <w:color w:val="000000"/>
                <w:sz w:val="16"/>
                <w:szCs w:val="16"/>
              </w:rPr>
              <w:br/>
              <w:t>5.1</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3C964D16" w14:textId="142E786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4.2</w:t>
            </w:r>
            <w:r w:rsidRPr="00E92E6B">
              <w:rPr>
                <w:rFonts w:ascii="Arial" w:hAnsi="Arial" w:cs="Arial"/>
                <w:color w:val="000000"/>
                <w:sz w:val="16"/>
                <w:szCs w:val="16"/>
              </w:rPr>
              <w:br/>
              <w:t>5.4</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6D181DB4" w14:textId="2A93E9FC"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4.8</w:t>
            </w:r>
            <w:r w:rsidRPr="00E92E6B">
              <w:rPr>
                <w:rFonts w:ascii="Arial" w:hAnsi="Arial" w:cs="Arial"/>
                <w:color w:val="000000"/>
                <w:sz w:val="16"/>
                <w:szCs w:val="16"/>
              </w:rPr>
              <w:br/>
              <w:t>7.5</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513884FD" w14:textId="7860DCB8"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4.5</w:t>
            </w:r>
            <w:r w:rsidRPr="00E92E6B">
              <w:rPr>
                <w:rFonts w:ascii="Arial" w:hAnsi="Arial" w:cs="Arial"/>
                <w:color w:val="000000"/>
                <w:sz w:val="16"/>
                <w:szCs w:val="16"/>
              </w:rPr>
              <w:br/>
              <w:t>6.5</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0052CED5" w14:textId="288CC751"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4.2</w:t>
            </w:r>
            <w:r w:rsidRPr="00E92E6B">
              <w:rPr>
                <w:rFonts w:ascii="Arial" w:hAnsi="Arial" w:cs="Arial"/>
                <w:color w:val="000000"/>
                <w:sz w:val="16"/>
                <w:szCs w:val="16"/>
              </w:rPr>
              <w:br/>
              <w:t>5.6</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03D56A98" w14:textId="634C76FE"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4.8</w:t>
            </w:r>
            <w:r w:rsidRPr="00E92E6B">
              <w:rPr>
                <w:rFonts w:ascii="Arial" w:hAnsi="Arial" w:cs="Arial"/>
                <w:color w:val="000000"/>
                <w:sz w:val="16"/>
                <w:szCs w:val="16"/>
              </w:rPr>
              <w:br/>
              <w:t>6.4</w:t>
            </w:r>
            <w:r w:rsidRPr="00E92E6B">
              <w:rPr>
                <w:rFonts w:asciiTheme="minorHAnsi" w:eastAsia="Wingdings 3" w:hAnsiTheme="minorHAnsi" w:cstheme="minorHAnsi"/>
                <w:sz w:val="16"/>
                <w:szCs w:val="16"/>
              </w:rPr>
              <w:sym w:font="Wingdings 3" w:char="F0C7"/>
            </w:r>
          </w:p>
        </w:tc>
      </w:tr>
      <w:tr w:rsidR="008D11AD" w:rsidRPr="00B556AC" w14:paraId="1918A283"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tcBorders>
              <w:bottom w:val="nil"/>
            </w:tcBorders>
            <w:shd w:val="clear" w:color="auto" w:fill="FFFFFF" w:themeFill="background1"/>
            <w:vAlign w:val="bottom"/>
          </w:tcPr>
          <w:p w14:paraId="62695F2C"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Windspeed change</w:t>
            </w:r>
          </w:p>
          <w:p w14:paraId="7F750D49" w14:textId="77777777" w:rsidR="00151EB2" w:rsidRPr="00B556AC" w:rsidRDefault="00151EB2" w:rsidP="00151EB2">
            <w:pPr>
              <w:rPr>
                <w:rFonts w:asciiTheme="minorHAnsi" w:hAnsiTheme="minorHAnsi" w:cs="Calibri"/>
                <w:b w:val="0"/>
                <w:bCs w:val="0"/>
                <w:sz w:val="20"/>
                <w:szCs w:val="20"/>
              </w:rPr>
            </w:pPr>
            <w:r w:rsidRPr="00E92E6B">
              <w:rPr>
                <w:rFonts w:asciiTheme="minorHAnsi" w:hAnsiTheme="minorHAnsi" w:cs="Calibri"/>
                <w:b w:val="0"/>
                <w:bCs w:val="0"/>
                <w:sz w:val="16"/>
                <w:szCs w:val="16"/>
              </w:rPr>
              <w:t>(%)</w:t>
            </w:r>
          </w:p>
        </w:tc>
        <w:tc>
          <w:tcPr>
            <w:tcW w:w="618" w:type="dxa"/>
            <w:tcBorders>
              <w:bottom w:val="nil"/>
            </w:tcBorders>
            <w:shd w:val="clear" w:color="auto" w:fill="FFFFFF" w:themeFill="background1"/>
          </w:tcPr>
          <w:p w14:paraId="488B9A10"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2EA22B0F"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8"/>
                <w:szCs w:val="18"/>
              </w:rPr>
            </w:pPr>
            <w:r w:rsidRPr="001A4D33">
              <w:rPr>
                <w:rFonts w:asciiTheme="minorHAnsi" w:hAnsiTheme="minorHAnsi" w:cstheme="minorHAnsi"/>
                <w:sz w:val="18"/>
                <w:szCs w:val="18"/>
              </w:rPr>
              <w:t>2090</w:t>
            </w:r>
          </w:p>
        </w:tc>
        <w:tc>
          <w:tcPr>
            <w:tcW w:w="664" w:type="dxa"/>
            <w:tcBorders>
              <w:top w:val="nil"/>
              <w:bottom w:val="nil"/>
            </w:tcBorders>
            <w:shd w:val="clear" w:color="auto" w:fill="E5FAFF"/>
          </w:tcPr>
          <w:p w14:paraId="1E5AB0B9" w14:textId="7FBAAEF8"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-0.9</w:t>
            </w:r>
            <w:r w:rsidRPr="00E92E6B">
              <w:rPr>
                <w:rFonts w:asciiTheme="minorHAnsi" w:eastAsia="Wingdings 3" w:hAnsiTheme="minorHAnsi" w:cstheme="minorHAnsi"/>
                <w:sz w:val="16"/>
                <w:szCs w:val="16"/>
              </w:rPr>
              <w:sym w:font="Wingdings 3" w:char="F0C7"/>
            </w:r>
          </w:p>
        </w:tc>
        <w:tc>
          <w:tcPr>
            <w:tcW w:w="665" w:type="dxa"/>
            <w:tcBorders>
              <w:top w:val="nil"/>
              <w:bottom w:val="nil"/>
            </w:tcBorders>
            <w:shd w:val="clear" w:color="auto" w:fill="FFEBEB"/>
          </w:tcPr>
          <w:p w14:paraId="183A6D9F" w14:textId="5E53A162"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0.5</w:t>
            </w:r>
            <w:r w:rsidRPr="00E92E6B">
              <w:rPr>
                <w:rFonts w:asciiTheme="minorHAnsi" w:eastAsia="Wingdings 3" w:hAnsiTheme="minorHAnsi" w:cstheme="minorHAnsi"/>
                <w:sz w:val="16"/>
                <w:szCs w:val="16"/>
              </w:rPr>
              <w:sym w:font="Wingdings 3" w:char="F0C7"/>
            </w:r>
          </w:p>
        </w:tc>
        <w:tc>
          <w:tcPr>
            <w:tcW w:w="664" w:type="dxa"/>
            <w:tcBorders>
              <w:top w:val="nil"/>
              <w:bottom w:val="nil"/>
            </w:tcBorders>
            <w:shd w:val="clear" w:color="auto" w:fill="FFEBEB"/>
          </w:tcPr>
          <w:p w14:paraId="148C1A05" w14:textId="7B02E04B"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1.0</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E5FAFF"/>
          </w:tcPr>
          <w:p w14:paraId="5DCF0091" w14:textId="5D4C1C99"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-0.5</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FFFF" w:themeFill="background1"/>
          </w:tcPr>
          <w:p w14:paraId="695590D7" w14:textId="1FF9BB08"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-0.4</w:t>
            </w:r>
          </w:p>
        </w:tc>
        <w:tc>
          <w:tcPr>
            <w:tcW w:w="648" w:type="dxa"/>
            <w:tcBorders>
              <w:top w:val="nil"/>
              <w:bottom w:val="nil"/>
            </w:tcBorders>
            <w:shd w:val="clear" w:color="auto" w:fill="E5FAFF"/>
          </w:tcPr>
          <w:p w14:paraId="12A283F7" w14:textId="02881313"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FFFF" w:themeFill="background1"/>
          </w:tcPr>
          <w:p w14:paraId="7FAD57DE" w14:textId="5D225086"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0.5</w:t>
            </w:r>
          </w:p>
        </w:tc>
        <w:tc>
          <w:tcPr>
            <w:tcW w:w="633" w:type="dxa"/>
            <w:tcBorders>
              <w:top w:val="nil"/>
              <w:bottom w:val="nil"/>
            </w:tcBorders>
            <w:shd w:val="clear" w:color="auto" w:fill="E5FAFF"/>
          </w:tcPr>
          <w:p w14:paraId="3810E83E" w14:textId="029955E2"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-1.0</w:t>
            </w:r>
            <w:r w:rsidRPr="00E92E6B">
              <w:rPr>
                <w:rFonts w:ascii="Wingdings 3" w:eastAsia="Wingdings 3" w:hAnsi="Wingdings 3" w:cs="Wingdings 3"/>
                <w:color w:val="FF0000"/>
                <w:sz w:val="16"/>
                <w:szCs w:val="16"/>
              </w:rPr>
              <w:sym w:font="Wingdings 3" w:char="F0C8"/>
            </w:r>
          </w:p>
        </w:tc>
        <w:tc>
          <w:tcPr>
            <w:tcW w:w="720" w:type="dxa"/>
            <w:tcBorders>
              <w:top w:val="nil"/>
              <w:bottom w:val="nil"/>
            </w:tcBorders>
            <w:shd w:val="clear" w:color="auto" w:fill="E5FAFF"/>
          </w:tcPr>
          <w:p w14:paraId="7BAA7174" w14:textId="0DE0A7A2"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-0.3</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54CF74A9" w14:textId="4ECDF3A0"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35BB6B9C" w14:textId="2A216ED5"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-0.8</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721C0EF1" w14:textId="719F40F3"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-0.6</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E5FAFF"/>
          </w:tcPr>
          <w:p w14:paraId="39763A7F" w14:textId="5571F7F8"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-0.7</w:t>
            </w:r>
            <w:r w:rsidRPr="00E92E6B">
              <w:rPr>
                <w:rFonts w:ascii="Arial" w:hAnsi="Arial" w:cs="Arial"/>
                <w:color w:val="000000"/>
                <w:sz w:val="16"/>
                <w:szCs w:val="16"/>
              </w:rPr>
              <w:br/>
              <w:t>-1.1</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07AEF939" w14:textId="6F555DF2"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0.2</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5E9BC670" w14:textId="1CB5C121"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0.2</w:t>
            </w:r>
            <w:r w:rsidRPr="00E92E6B">
              <w:rPr>
                <w:rFonts w:ascii="Wingdings 3" w:eastAsia="Wingdings 3" w:hAnsi="Wingdings 3" w:cs="Wingdings 3"/>
                <w:color w:val="FF0000"/>
                <w:sz w:val="16"/>
                <w:szCs w:val="16"/>
              </w:rPr>
              <w:sym w:font="Wingdings 3" w:char="F0C8"/>
            </w:r>
          </w:p>
        </w:tc>
      </w:tr>
      <w:tr w:rsidR="008D11AD" w:rsidRPr="00B556AC" w14:paraId="65F5282C" w14:textId="77777777" w:rsidTr="007E4E86">
        <w:tc>
          <w:tcPr>
            <w:cnfStyle w:val="001000000000" w:firstRow="0" w:lastRow="0" w:firstColumn="1" w:lastColumn="0" w:oddVBand="0" w:evenVBand="0" w:oddHBand="0" w:evenHBand="0" w:firstRowFirstColumn="0" w:firstRowLastColumn="0" w:lastRowFirstColumn="0" w:lastRowLastColumn="0"/>
            <w:tcW w:w="3072" w:type="dxa"/>
            <w:tcBorders>
              <w:bottom w:val="single" w:sz="4" w:space="0" w:color="auto"/>
            </w:tcBorders>
            <w:shd w:val="clear" w:color="auto" w:fill="FFFFFF" w:themeFill="background1"/>
            <w:vAlign w:val="bottom"/>
          </w:tcPr>
          <w:p w14:paraId="611F3DAD"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Relative humidity change</w:t>
            </w:r>
          </w:p>
          <w:p w14:paraId="068DF7A2" w14:textId="77777777" w:rsidR="00151EB2" w:rsidRPr="00B556AC" w:rsidRDefault="00151EB2" w:rsidP="00151EB2">
            <w:pPr>
              <w:rPr>
                <w:rFonts w:asciiTheme="minorHAnsi" w:hAnsiTheme="minorHAnsi" w:cs="Calibri"/>
                <w:b w:val="0"/>
                <w:bCs w:val="0"/>
                <w:sz w:val="20"/>
                <w:szCs w:val="20"/>
              </w:rPr>
            </w:pPr>
            <w:r w:rsidRPr="00E92E6B">
              <w:rPr>
                <w:rFonts w:asciiTheme="minorHAnsi" w:hAnsiTheme="minorHAnsi" w:cs="Calibri"/>
                <w:b w:val="0"/>
                <w:bCs w:val="0"/>
                <w:sz w:val="16"/>
                <w:szCs w:val="16"/>
              </w:rPr>
              <w:t>(%)</w:t>
            </w:r>
          </w:p>
        </w:tc>
        <w:tc>
          <w:tcPr>
            <w:tcW w:w="618" w:type="dxa"/>
            <w:tcBorders>
              <w:bottom w:val="single" w:sz="4" w:space="0" w:color="auto"/>
            </w:tcBorders>
            <w:shd w:val="clear" w:color="auto" w:fill="FFFFFF" w:themeFill="background1"/>
          </w:tcPr>
          <w:p w14:paraId="0F61B6E7"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32B28679"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2090</w:t>
            </w:r>
          </w:p>
        </w:tc>
        <w:tc>
          <w:tcPr>
            <w:tcW w:w="664" w:type="dxa"/>
            <w:tcBorders>
              <w:bottom w:val="single" w:sz="4" w:space="0" w:color="auto"/>
            </w:tcBorders>
            <w:shd w:val="clear" w:color="auto" w:fill="E5FAFF"/>
          </w:tcPr>
          <w:p w14:paraId="05DD9F89" w14:textId="4CC90C44"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665" w:type="dxa"/>
            <w:tcBorders>
              <w:bottom w:val="single" w:sz="4" w:space="0" w:color="auto"/>
            </w:tcBorders>
            <w:shd w:val="clear" w:color="auto" w:fill="FFFFFF" w:themeFill="background1"/>
          </w:tcPr>
          <w:p w14:paraId="223DFA80" w14:textId="0B3C8274"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-0.8</w:t>
            </w:r>
          </w:p>
        </w:tc>
        <w:tc>
          <w:tcPr>
            <w:tcW w:w="664" w:type="dxa"/>
            <w:tcBorders>
              <w:bottom w:val="single" w:sz="4" w:space="0" w:color="auto"/>
            </w:tcBorders>
            <w:shd w:val="clear" w:color="auto" w:fill="FFFFFF" w:themeFill="background1"/>
          </w:tcPr>
          <w:p w14:paraId="3EBFCF06" w14:textId="6A3BC017"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0.0</w:t>
            </w:r>
          </w:p>
        </w:tc>
        <w:tc>
          <w:tcPr>
            <w:tcW w:w="648" w:type="dxa"/>
            <w:tcBorders>
              <w:bottom w:val="single" w:sz="4" w:space="0" w:color="auto"/>
            </w:tcBorders>
            <w:shd w:val="clear" w:color="auto" w:fill="E5FAFF"/>
          </w:tcPr>
          <w:p w14:paraId="5F7600CE" w14:textId="2704C5DF"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-1.1</w:t>
            </w:r>
            <w:r w:rsidRPr="00E92E6B">
              <w:rPr>
                <w:rFonts w:asciiTheme="minorHAnsi" w:eastAsia="Wingdings 3" w:hAnsiTheme="minorHAnsi" w:cstheme="minorHAnsi"/>
                <w:sz w:val="16"/>
                <w:szCs w:val="16"/>
              </w:rPr>
              <w:sym w:font="Wingdings 3" w:char="F0C7"/>
            </w:r>
          </w:p>
        </w:tc>
        <w:tc>
          <w:tcPr>
            <w:tcW w:w="648" w:type="dxa"/>
            <w:tcBorders>
              <w:bottom w:val="single" w:sz="4" w:space="0" w:color="auto"/>
            </w:tcBorders>
            <w:shd w:val="clear" w:color="auto" w:fill="E5FAFF"/>
          </w:tcPr>
          <w:p w14:paraId="4D09C0B1" w14:textId="7B890645"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48" w:type="dxa"/>
            <w:tcBorders>
              <w:bottom w:val="single" w:sz="4" w:space="0" w:color="auto"/>
            </w:tcBorders>
            <w:shd w:val="clear" w:color="auto" w:fill="E5FAFF"/>
          </w:tcPr>
          <w:p w14:paraId="0A3228AF" w14:textId="0B573BA1"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-0.7</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33" w:type="dxa"/>
            <w:tcBorders>
              <w:bottom w:val="single" w:sz="4" w:space="0" w:color="auto"/>
            </w:tcBorders>
            <w:shd w:val="clear" w:color="auto" w:fill="FFFFFF" w:themeFill="background1"/>
          </w:tcPr>
          <w:p w14:paraId="414F8802" w14:textId="4010C50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-0.9</w:t>
            </w:r>
          </w:p>
        </w:tc>
        <w:tc>
          <w:tcPr>
            <w:tcW w:w="633" w:type="dxa"/>
            <w:tcBorders>
              <w:bottom w:val="single" w:sz="4" w:space="0" w:color="auto"/>
            </w:tcBorders>
            <w:shd w:val="clear" w:color="auto" w:fill="E5FAFF"/>
          </w:tcPr>
          <w:p w14:paraId="232184AD" w14:textId="003F3091"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-1.0</w:t>
            </w:r>
            <w:r w:rsidRPr="00E92E6B">
              <w:rPr>
                <w:rFonts w:asciiTheme="minorHAnsi" w:eastAsia="Wingdings 3" w:hAnsiTheme="minorHAnsi" w:cstheme="minorHAnsi"/>
                <w:sz w:val="16"/>
                <w:szCs w:val="16"/>
              </w:rPr>
              <w:sym w:font="Wingdings 3" w:char="F0C7"/>
            </w:r>
          </w:p>
        </w:tc>
        <w:tc>
          <w:tcPr>
            <w:tcW w:w="720" w:type="dxa"/>
            <w:tcBorders>
              <w:bottom w:val="single" w:sz="4" w:space="0" w:color="auto"/>
            </w:tcBorders>
            <w:shd w:val="clear" w:color="auto" w:fill="E5FAFF"/>
          </w:tcPr>
          <w:p w14:paraId="57EBB36B" w14:textId="3ABEB24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-0.9</w:t>
            </w:r>
            <w:r w:rsidRPr="00E92E6B">
              <w:rPr>
                <w:rFonts w:ascii="Arial" w:hAnsi="Arial" w:cs="Arial"/>
                <w:color w:val="000000"/>
                <w:sz w:val="16"/>
                <w:szCs w:val="16"/>
              </w:rPr>
              <w:br/>
              <w:t>-1.2</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E5FAFF"/>
          </w:tcPr>
          <w:p w14:paraId="084EF028" w14:textId="457045BB"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-0.8</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E5FAFF"/>
          </w:tcPr>
          <w:p w14:paraId="575FF1AA" w14:textId="6C31F93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-0.8</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E5FAFF"/>
          </w:tcPr>
          <w:p w14:paraId="16C6FD5F" w14:textId="58956D4B"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-1.1</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E5FAFF"/>
          </w:tcPr>
          <w:p w14:paraId="6AF2ED97" w14:textId="3876289F"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-0.9</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FFFF" w:themeFill="background1"/>
          </w:tcPr>
          <w:p w14:paraId="0491B005" w14:textId="504CF3CF"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-0.4</w:t>
            </w:r>
          </w:p>
        </w:tc>
        <w:tc>
          <w:tcPr>
            <w:tcW w:w="692" w:type="dxa"/>
            <w:tcBorders>
              <w:bottom w:val="single" w:sz="4" w:space="0" w:color="auto"/>
            </w:tcBorders>
            <w:shd w:val="clear" w:color="auto" w:fill="E5FAFF"/>
          </w:tcPr>
          <w:p w14:paraId="641A7486" w14:textId="2599A2E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-0.5</w:t>
            </w:r>
            <w:r w:rsidRPr="00E92E6B">
              <w:rPr>
                <w:rFonts w:asciiTheme="minorHAnsi" w:eastAsia="Wingdings 3" w:hAnsiTheme="minorHAnsi" w:cstheme="minorHAnsi"/>
                <w:sz w:val="16"/>
                <w:szCs w:val="16"/>
              </w:rPr>
              <w:sym w:font="Wingdings 3" w:char="F0C7"/>
            </w:r>
          </w:p>
        </w:tc>
      </w:tr>
      <w:tr w:rsidR="008D11AD" w:rsidRPr="00E92E6B" w14:paraId="414902CF" w14:textId="77777777" w:rsidTr="007E4E86">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3072" w:type="dxa"/>
            <w:tcBorders>
              <w:top w:val="single" w:sz="4" w:space="0" w:color="auto"/>
            </w:tcBorders>
            <w:shd w:val="clear" w:color="auto" w:fill="FFFFFF" w:themeFill="background1"/>
            <w:vAlign w:val="bottom"/>
          </w:tcPr>
          <w:p w14:paraId="0913049E" w14:textId="77777777" w:rsidR="00151EB2" w:rsidRPr="00E92E6B" w:rsidRDefault="00151EB2" w:rsidP="00151EB2">
            <w:pPr>
              <w:rPr>
                <w:rFonts w:ascii="Calibri" w:hAnsi="Calibri" w:cs="Calibri"/>
                <w:color w:val="000000" w:themeColor="text2"/>
                <w:sz w:val="2"/>
                <w:szCs w:val="2"/>
              </w:rPr>
            </w:pPr>
          </w:p>
        </w:tc>
        <w:tc>
          <w:tcPr>
            <w:tcW w:w="618" w:type="dxa"/>
            <w:tcBorders>
              <w:top w:val="single" w:sz="4" w:space="0" w:color="auto"/>
            </w:tcBorders>
            <w:shd w:val="clear" w:color="auto" w:fill="FFFFFF" w:themeFill="background1"/>
          </w:tcPr>
          <w:p w14:paraId="39A4D2B4"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64" w:type="dxa"/>
            <w:tcBorders>
              <w:top w:val="single" w:sz="4" w:space="0" w:color="auto"/>
              <w:bottom w:val="nil"/>
            </w:tcBorders>
            <w:shd w:val="clear" w:color="auto" w:fill="FFFFFF" w:themeFill="background1"/>
            <w:vAlign w:val="bottom"/>
          </w:tcPr>
          <w:p w14:paraId="03340ACD"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65" w:type="dxa"/>
            <w:tcBorders>
              <w:top w:val="single" w:sz="4" w:space="0" w:color="auto"/>
              <w:bottom w:val="nil"/>
            </w:tcBorders>
            <w:shd w:val="clear" w:color="auto" w:fill="FFFFFF" w:themeFill="background1"/>
          </w:tcPr>
          <w:p w14:paraId="7E8F11EB"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64" w:type="dxa"/>
            <w:tcBorders>
              <w:top w:val="single" w:sz="4" w:space="0" w:color="auto"/>
              <w:bottom w:val="nil"/>
            </w:tcBorders>
            <w:shd w:val="clear" w:color="auto" w:fill="FFFFFF" w:themeFill="background1"/>
          </w:tcPr>
          <w:p w14:paraId="51AF4E19"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48" w:type="dxa"/>
            <w:tcBorders>
              <w:top w:val="single" w:sz="4" w:space="0" w:color="auto"/>
              <w:bottom w:val="nil"/>
            </w:tcBorders>
            <w:shd w:val="clear" w:color="auto" w:fill="FFFFFF" w:themeFill="background1"/>
          </w:tcPr>
          <w:p w14:paraId="4D53EAE0"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48" w:type="dxa"/>
            <w:tcBorders>
              <w:top w:val="single" w:sz="4" w:space="0" w:color="auto"/>
              <w:bottom w:val="nil"/>
            </w:tcBorders>
            <w:shd w:val="clear" w:color="auto" w:fill="FFFFFF" w:themeFill="background1"/>
          </w:tcPr>
          <w:p w14:paraId="27666C64"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48" w:type="dxa"/>
            <w:tcBorders>
              <w:top w:val="single" w:sz="4" w:space="0" w:color="auto"/>
              <w:bottom w:val="nil"/>
            </w:tcBorders>
            <w:shd w:val="clear" w:color="auto" w:fill="FFFFFF" w:themeFill="background1"/>
          </w:tcPr>
          <w:p w14:paraId="1F590A14"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33" w:type="dxa"/>
            <w:tcBorders>
              <w:top w:val="single" w:sz="4" w:space="0" w:color="auto"/>
              <w:bottom w:val="nil"/>
            </w:tcBorders>
            <w:shd w:val="clear" w:color="auto" w:fill="FFFFFF" w:themeFill="background1"/>
          </w:tcPr>
          <w:p w14:paraId="35E45B43"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33" w:type="dxa"/>
            <w:tcBorders>
              <w:top w:val="single" w:sz="4" w:space="0" w:color="auto"/>
              <w:bottom w:val="nil"/>
            </w:tcBorders>
            <w:shd w:val="clear" w:color="auto" w:fill="FFFFFF" w:themeFill="background1"/>
          </w:tcPr>
          <w:p w14:paraId="148DE372"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720" w:type="dxa"/>
            <w:tcBorders>
              <w:top w:val="single" w:sz="4" w:space="0" w:color="auto"/>
              <w:bottom w:val="nil"/>
            </w:tcBorders>
            <w:shd w:val="clear" w:color="auto" w:fill="FFFFFF" w:themeFill="background1"/>
          </w:tcPr>
          <w:p w14:paraId="225B588B"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92" w:type="dxa"/>
            <w:tcBorders>
              <w:top w:val="single" w:sz="4" w:space="0" w:color="auto"/>
              <w:bottom w:val="nil"/>
            </w:tcBorders>
            <w:shd w:val="clear" w:color="auto" w:fill="FFFFFF" w:themeFill="background1"/>
          </w:tcPr>
          <w:p w14:paraId="256094F4"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92" w:type="dxa"/>
            <w:tcBorders>
              <w:top w:val="single" w:sz="4" w:space="0" w:color="auto"/>
              <w:bottom w:val="nil"/>
            </w:tcBorders>
            <w:shd w:val="clear" w:color="auto" w:fill="FFFFFF" w:themeFill="background1"/>
          </w:tcPr>
          <w:p w14:paraId="053F20EC"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92" w:type="dxa"/>
            <w:tcBorders>
              <w:top w:val="single" w:sz="4" w:space="0" w:color="auto"/>
              <w:bottom w:val="nil"/>
            </w:tcBorders>
            <w:shd w:val="clear" w:color="auto" w:fill="FFFFFF" w:themeFill="background1"/>
          </w:tcPr>
          <w:p w14:paraId="61DEADC3"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92" w:type="dxa"/>
            <w:tcBorders>
              <w:top w:val="single" w:sz="4" w:space="0" w:color="auto"/>
              <w:bottom w:val="nil"/>
            </w:tcBorders>
            <w:shd w:val="clear" w:color="auto" w:fill="FFFFFF" w:themeFill="background1"/>
          </w:tcPr>
          <w:p w14:paraId="36BCFC3D"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92" w:type="dxa"/>
            <w:tcBorders>
              <w:top w:val="single" w:sz="4" w:space="0" w:color="auto"/>
              <w:bottom w:val="nil"/>
            </w:tcBorders>
            <w:shd w:val="clear" w:color="auto" w:fill="FFFFFF" w:themeFill="background1"/>
          </w:tcPr>
          <w:p w14:paraId="0B25874E"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92" w:type="dxa"/>
            <w:tcBorders>
              <w:top w:val="single" w:sz="4" w:space="0" w:color="auto"/>
              <w:bottom w:val="nil"/>
            </w:tcBorders>
            <w:shd w:val="clear" w:color="auto" w:fill="FFFFFF" w:themeFill="background1"/>
          </w:tcPr>
          <w:p w14:paraId="39C47854" w14:textId="77777777"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r>
      <w:tr w:rsidR="008D11AD" w:rsidRPr="00B556AC" w14:paraId="2C03256A" w14:textId="77777777" w:rsidTr="007E4E86">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28FDA64D"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Coldest night change</w:t>
            </w:r>
          </w:p>
          <w:p w14:paraId="25E1AF6A" w14:textId="77777777" w:rsidR="00151EB2" w:rsidRPr="00B556AC" w:rsidRDefault="00151EB2" w:rsidP="00151EB2">
            <w:pPr>
              <w:rPr>
                <w:rFonts w:asciiTheme="minorHAnsi" w:hAnsiTheme="minorHAnsi" w:cs="Calibri"/>
                <w:b w:val="0"/>
                <w:bCs w:val="0"/>
                <w:sz w:val="20"/>
                <w:szCs w:val="20"/>
              </w:rPr>
            </w:pPr>
            <w:r w:rsidRPr="00E92E6B">
              <w:rPr>
                <w:rFonts w:ascii="Calibri" w:hAnsi="Calibri" w:cs="Calibri"/>
                <w:b w:val="0"/>
                <w:bCs w:val="0"/>
                <w:color w:val="000000" w:themeColor="text2"/>
                <w:sz w:val="16"/>
                <w:szCs w:val="16"/>
              </w:rPr>
              <w:t>(</w:t>
            </w:r>
            <w:r w:rsidRPr="00E92E6B">
              <w:rPr>
                <w:rFonts w:ascii="Symbol" w:eastAsia="Symbol" w:hAnsi="Symbol" w:cs="Symbol"/>
                <w:b w:val="0"/>
                <w:bCs w:val="0"/>
                <w:color w:val="000000" w:themeColor="text2"/>
                <w:sz w:val="16"/>
                <w:szCs w:val="16"/>
              </w:rPr>
              <w:t></w:t>
            </w:r>
            <w:r w:rsidRPr="00E92E6B">
              <w:rPr>
                <w:rFonts w:ascii="Calibri" w:hAnsi="Calibri" w:cs="Calibri"/>
                <w:b w:val="0"/>
                <w:bCs w:val="0"/>
                <w:color w:val="000000" w:themeColor="text2"/>
                <w:sz w:val="16"/>
                <w:szCs w:val="16"/>
              </w:rPr>
              <w:t>C)</w:t>
            </w:r>
          </w:p>
        </w:tc>
        <w:tc>
          <w:tcPr>
            <w:tcW w:w="618" w:type="dxa"/>
            <w:shd w:val="clear" w:color="auto" w:fill="FFFFFF" w:themeFill="background1"/>
          </w:tcPr>
          <w:p w14:paraId="5E134E5F"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25B27CB0"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1A4D33">
              <w:rPr>
                <w:rFonts w:asciiTheme="minorHAnsi" w:hAnsiTheme="minorHAnsi" w:cstheme="minorHAnsi"/>
                <w:sz w:val="18"/>
                <w:szCs w:val="18"/>
              </w:rPr>
              <w:t>2090</w:t>
            </w:r>
          </w:p>
        </w:tc>
        <w:tc>
          <w:tcPr>
            <w:tcW w:w="664" w:type="dxa"/>
            <w:tcBorders>
              <w:bottom w:val="nil"/>
            </w:tcBorders>
            <w:shd w:val="clear" w:color="auto" w:fill="FFEBEB"/>
          </w:tcPr>
          <w:p w14:paraId="4B662E2C" w14:textId="79C5041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2.3</w:t>
            </w:r>
            <w:r w:rsidRPr="00E92E6B">
              <w:rPr>
                <w:rFonts w:asciiTheme="minorHAnsi" w:eastAsia="Wingdings 3" w:hAnsiTheme="minorHAnsi" w:cstheme="minorHAnsi"/>
                <w:sz w:val="16"/>
                <w:szCs w:val="16"/>
              </w:rPr>
              <w:sym w:font="Wingdings 3" w:char="F0C7"/>
            </w:r>
          </w:p>
        </w:tc>
        <w:tc>
          <w:tcPr>
            <w:tcW w:w="665" w:type="dxa"/>
            <w:tcBorders>
              <w:bottom w:val="nil"/>
            </w:tcBorders>
            <w:shd w:val="clear" w:color="auto" w:fill="FFEBEB"/>
          </w:tcPr>
          <w:p w14:paraId="2A063DB4" w14:textId="105532F6"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2.3</w:t>
            </w:r>
            <w:r w:rsidRPr="00E92E6B">
              <w:rPr>
                <w:rFonts w:asciiTheme="minorHAnsi" w:eastAsia="Wingdings 3" w:hAnsiTheme="minorHAnsi" w:cstheme="minorHAnsi"/>
                <w:sz w:val="16"/>
                <w:szCs w:val="16"/>
              </w:rPr>
              <w:sym w:font="Wingdings 3" w:char="F0C7"/>
            </w:r>
          </w:p>
        </w:tc>
        <w:tc>
          <w:tcPr>
            <w:tcW w:w="664" w:type="dxa"/>
            <w:tcBorders>
              <w:bottom w:val="nil"/>
            </w:tcBorders>
            <w:shd w:val="clear" w:color="auto" w:fill="FFEBEB"/>
          </w:tcPr>
          <w:p w14:paraId="4C79F590" w14:textId="5E59E245"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7DCE609D" w14:textId="72B5519D"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715D55ED" w14:textId="3DF94C38"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24B65EB5" w14:textId="7FF54FFB"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1.6</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035C181B" w14:textId="0167B269"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7F1568D2" w14:textId="2512571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1.5</w:t>
            </w:r>
            <w:r w:rsidRPr="00E92E6B">
              <w:rPr>
                <w:rFonts w:asciiTheme="minorHAnsi" w:eastAsia="Wingdings 3" w:hAnsiTheme="minorHAnsi" w:cstheme="minorHAnsi"/>
                <w:sz w:val="16"/>
                <w:szCs w:val="16"/>
              </w:rPr>
              <w:sym w:font="Wingdings 3" w:char="F0C7"/>
            </w:r>
          </w:p>
        </w:tc>
        <w:tc>
          <w:tcPr>
            <w:tcW w:w="720" w:type="dxa"/>
            <w:tcBorders>
              <w:bottom w:val="nil"/>
            </w:tcBorders>
            <w:shd w:val="clear" w:color="auto" w:fill="FFEBEB"/>
          </w:tcPr>
          <w:p w14:paraId="73633626" w14:textId="3E515CEB"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0.9</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4021455E" w14:textId="40F8312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576F00D6" w14:textId="5D30AF7A"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1.2</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587FFBD7" w14:textId="467DE228"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40ED48BD" w14:textId="21893125"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6A0C4822" w14:textId="570DB852"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1.3</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74383982" w14:textId="7318AA02"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r>
      <w:tr w:rsidR="008D11AD" w:rsidRPr="00B556AC" w14:paraId="75A2F4DA"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0FBF30A6"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Hottest day change</w:t>
            </w:r>
          </w:p>
          <w:p w14:paraId="34B9FB51" w14:textId="77777777" w:rsidR="00151EB2" w:rsidRPr="00B556AC" w:rsidRDefault="00151EB2" w:rsidP="00151EB2">
            <w:pPr>
              <w:rPr>
                <w:rFonts w:asciiTheme="minorHAnsi" w:hAnsiTheme="minorHAnsi" w:cs="Calibri"/>
                <w:b w:val="0"/>
                <w:bCs w:val="0"/>
                <w:sz w:val="20"/>
                <w:szCs w:val="20"/>
              </w:rPr>
            </w:pPr>
            <w:r w:rsidRPr="00E92E6B">
              <w:rPr>
                <w:rFonts w:ascii="Calibri" w:hAnsi="Calibri" w:cs="Calibri"/>
                <w:b w:val="0"/>
                <w:bCs w:val="0"/>
                <w:color w:val="000000" w:themeColor="text2"/>
                <w:sz w:val="16"/>
                <w:szCs w:val="16"/>
              </w:rPr>
              <w:t>(</w:t>
            </w:r>
            <w:r w:rsidRPr="00E92E6B">
              <w:rPr>
                <w:rFonts w:ascii="Symbol" w:eastAsia="Symbol" w:hAnsi="Symbol" w:cs="Symbol"/>
                <w:b w:val="0"/>
                <w:bCs w:val="0"/>
                <w:color w:val="000000" w:themeColor="text2"/>
                <w:sz w:val="16"/>
                <w:szCs w:val="16"/>
              </w:rPr>
              <w:t></w:t>
            </w:r>
            <w:r w:rsidRPr="00E92E6B">
              <w:rPr>
                <w:rFonts w:ascii="Calibri" w:hAnsi="Calibri" w:cs="Calibri"/>
                <w:b w:val="0"/>
                <w:bCs w:val="0"/>
                <w:color w:val="000000" w:themeColor="text2"/>
                <w:sz w:val="16"/>
                <w:szCs w:val="16"/>
              </w:rPr>
              <w:t>C)</w:t>
            </w:r>
          </w:p>
        </w:tc>
        <w:tc>
          <w:tcPr>
            <w:tcW w:w="618" w:type="dxa"/>
            <w:shd w:val="clear" w:color="auto" w:fill="FFFFFF" w:themeFill="background1"/>
          </w:tcPr>
          <w:p w14:paraId="5DEB0FF1"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1DCF6F43"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8"/>
                <w:szCs w:val="18"/>
              </w:rPr>
            </w:pPr>
            <w:r w:rsidRPr="001A4D33">
              <w:rPr>
                <w:rFonts w:asciiTheme="minorHAnsi" w:hAnsiTheme="minorHAnsi" w:cstheme="minorHAnsi"/>
                <w:sz w:val="18"/>
                <w:szCs w:val="18"/>
              </w:rPr>
              <w:t>2090</w:t>
            </w:r>
          </w:p>
        </w:tc>
        <w:tc>
          <w:tcPr>
            <w:tcW w:w="664" w:type="dxa"/>
            <w:tcBorders>
              <w:bottom w:val="nil"/>
            </w:tcBorders>
            <w:shd w:val="clear" w:color="auto" w:fill="FFEBEB"/>
          </w:tcPr>
          <w:p w14:paraId="39EC2798" w14:textId="50CB020A"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65" w:type="dxa"/>
            <w:tcBorders>
              <w:bottom w:val="nil"/>
            </w:tcBorders>
            <w:shd w:val="clear" w:color="auto" w:fill="FFEBEB"/>
          </w:tcPr>
          <w:p w14:paraId="33B7CC49" w14:textId="5F91ED4F"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2.1</w:t>
            </w:r>
            <w:r w:rsidRPr="00E92E6B">
              <w:rPr>
                <w:rFonts w:asciiTheme="minorHAnsi" w:eastAsia="Wingdings 3" w:hAnsiTheme="minorHAnsi" w:cstheme="minorHAnsi"/>
                <w:sz w:val="16"/>
                <w:szCs w:val="16"/>
              </w:rPr>
              <w:sym w:font="Wingdings 3" w:char="F0C7"/>
            </w:r>
          </w:p>
        </w:tc>
        <w:tc>
          <w:tcPr>
            <w:tcW w:w="664" w:type="dxa"/>
            <w:tcBorders>
              <w:bottom w:val="nil"/>
            </w:tcBorders>
            <w:shd w:val="clear" w:color="auto" w:fill="FFEBEB"/>
          </w:tcPr>
          <w:p w14:paraId="2D24CCBC" w14:textId="355569D9"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77CF1552" w14:textId="7D32A341"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2.5</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5E71E080" w14:textId="1F3100B1"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2.6</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51BE7620" w14:textId="7778A085"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2.4</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12C68B7C" w14:textId="13720AF6"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1.9</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65E1D010" w14:textId="4731CF55"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1.8</w:t>
            </w:r>
            <w:r w:rsidRPr="00E92E6B">
              <w:rPr>
                <w:rFonts w:ascii="Arial" w:hAnsi="Arial" w:cs="Arial"/>
                <w:color w:val="000000"/>
                <w:sz w:val="16"/>
                <w:szCs w:val="16"/>
              </w:rPr>
              <w:br/>
              <w:t>2.3</w:t>
            </w:r>
            <w:r w:rsidRPr="00E92E6B">
              <w:rPr>
                <w:rFonts w:asciiTheme="minorHAnsi" w:eastAsia="Wingdings 3" w:hAnsiTheme="minorHAnsi" w:cstheme="minorHAnsi"/>
                <w:sz w:val="16"/>
                <w:szCs w:val="16"/>
              </w:rPr>
              <w:sym w:font="Wingdings 3" w:char="F0C7"/>
            </w:r>
          </w:p>
        </w:tc>
        <w:tc>
          <w:tcPr>
            <w:tcW w:w="720" w:type="dxa"/>
            <w:tcBorders>
              <w:bottom w:val="nil"/>
            </w:tcBorders>
            <w:shd w:val="clear" w:color="auto" w:fill="FFEBEB"/>
          </w:tcPr>
          <w:p w14:paraId="22F7E29C" w14:textId="5F21ACEF"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1ABD4A9F" w14:textId="17E92902"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2.0</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6AE48855" w14:textId="5F2096AC"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2.4</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5C4F0529" w14:textId="5D0FC981"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1.8</w:t>
            </w:r>
            <w:r w:rsidRPr="00E92E6B">
              <w:rPr>
                <w:rFonts w:ascii="Arial" w:hAnsi="Arial" w:cs="Arial"/>
                <w:color w:val="000000"/>
                <w:sz w:val="16"/>
                <w:szCs w:val="16"/>
              </w:rPr>
              <w:br/>
              <w:t>2.5</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5E85DF78" w14:textId="6EACA6F8"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w:t>
            </w:r>
            <w:r w:rsidRPr="00E92E6B">
              <w:rPr>
                <w:rFonts w:ascii="Arial" w:hAnsi="Arial" w:cs="Arial"/>
                <w:color w:val="000000"/>
                <w:sz w:val="16"/>
                <w:szCs w:val="16"/>
              </w:rPr>
              <w:br/>
              <w:t>1.9</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50DAD5CF" w14:textId="22F20138"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76495085" w14:textId="7188B9B6"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1.8</w:t>
            </w:r>
            <w:r w:rsidRPr="00E92E6B">
              <w:rPr>
                <w:rFonts w:asciiTheme="minorHAnsi" w:eastAsia="Wingdings 3" w:hAnsiTheme="minorHAnsi" w:cstheme="minorHAnsi"/>
                <w:sz w:val="16"/>
                <w:szCs w:val="16"/>
              </w:rPr>
              <w:sym w:font="Wingdings 3" w:char="F0C7"/>
            </w:r>
          </w:p>
        </w:tc>
      </w:tr>
      <w:tr w:rsidR="008D11AD" w:rsidRPr="00B556AC" w14:paraId="1B53D1B1" w14:textId="77777777" w:rsidTr="007E4E86">
        <w:tc>
          <w:tcPr>
            <w:cnfStyle w:val="001000000000" w:firstRow="0" w:lastRow="0" w:firstColumn="1" w:lastColumn="0" w:oddVBand="0" w:evenVBand="0" w:oddHBand="0" w:evenHBand="0" w:firstRowFirstColumn="0" w:firstRowLastColumn="0" w:lastRowFirstColumn="0" w:lastRowLastColumn="0"/>
            <w:tcW w:w="3072" w:type="dxa"/>
            <w:tcBorders>
              <w:bottom w:val="nil"/>
            </w:tcBorders>
            <w:shd w:val="clear" w:color="auto" w:fill="FFFFFF" w:themeFill="background1"/>
            <w:vAlign w:val="bottom"/>
          </w:tcPr>
          <w:p w14:paraId="079836D3"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Wettest day change</w:t>
            </w:r>
          </w:p>
          <w:p w14:paraId="757BF838" w14:textId="77777777" w:rsidR="00151EB2" w:rsidRPr="00B556AC" w:rsidRDefault="00151EB2" w:rsidP="00151EB2">
            <w:pPr>
              <w:rPr>
                <w:rFonts w:asciiTheme="minorHAnsi" w:hAnsiTheme="minorHAnsi" w:cs="Calibri"/>
                <w:b w:val="0"/>
                <w:bCs w:val="0"/>
                <w:sz w:val="20"/>
                <w:szCs w:val="20"/>
              </w:rPr>
            </w:pPr>
            <w:r w:rsidRPr="00E92E6B">
              <w:rPr>
                <w:rFonts w:asciiTheme="minorHAnsi" w:hAnsiTheme="minorHAnsi" w:cs="Calibri"/>
                <w:b w:val="0"/>
                <w:bCs w:val="0"/>
                <w:sz w:val="16"/>
                <w:szCs w:val="16"/>
              </w:rPr>
              <w:t>(%)</w:t>
            </w:r>
          </w:p>
        </w:tc>
        <w:tc>
          <w:tcPr>
            <w:tcW w:w="618" w:type="dxa"/>
            <w:tcBorders>
              <w:bottom w:val="nil"/>
            </w:tcBorders>
            <w:shd w:val="clear" w:color="auto" w:fill="FFFFFF" w:themeFill="background1"/>
          </w:tcPr>
          <w:p w14:paraId="2FEE65B2"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67C02020" w14:textId="77777777" w:rsidR="00151EB2" w:rsidRPr="001A4D33"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1A4D33">
              <w:rPr>
                <w:rFonts w:asciiTheme="minorHAnsi" w:hAnsiTheme="minorHAnsi" w:cstheme="minorHAnsi"/>
                <w:sz w:val="18"/>
                <w:szCs w:val="18"/>
              </w:rPr>
              <w:t>2090</w:t>
            </w:r>
          </w:p>
        </w:tc>
        <w:tc>
          <w:tcPr>
            <w:tcW w:w="664" w:type="dxa"/>
            <w:tcBorders>
              <w:top w:val="nil"/>
              <w:bottom w:val="nil"/>
            </w:tcBorders>
            <w:shd w:val="clear" w:color="auto" w:fill="FFEBEB"/>
          </w:tcPr>
          <w:p w14:paraId="509D49E2" w14:textId="0CB125B3"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7.9</w:t>
            </w:r>
            <w:r w:rsidRPr="00E92E6B">
              <w:rPr>
                <w:rFonts w:ascii="Arial" w:hAnsi="Arial" w:cs="Arial"/>
                <w:color w:val="000000"/>
                <w:sz w:val="16"/>
                <w:szCs w:val="16"/>
              </w:rPr>
              <w:br/>
              <w:t>12.2</w:t>
            </w:r>
            <w:r w:rsidRPr="00E92E6B">
              <w:rPr>
                <w:rFonts w:asciiTheme="minorHAnsi" w:eastAsia="Wingdings 3" w:hAnsiTheme="minorHAnsi" w:cstheme="minorHAnsi"/>
                <w:sz w:val="16"/>
                <w:szCs w:val="16"/>
              </w:rPr>
              <w:sym w:font="Wingdings 3" w:char="F0C7"/>
            </w:r>
          </w:p>
        </w:tc>
        <w:tc>
          <w:tcPr>
            <w:tcW w:w="665" w:type="dxa"/>
            <w:tcBorders>
              <w:top w:val="nil"/>
              <w:bottom w:val="nil"/>
            </w:tcBorders>
            <w:shd w:val="clear" w:color="auto" w:fill="FFEBEB"/>
          </w:tcPr>
          <w:p w14:paraId="3D285046" w14:textId="2F375383"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9.6</w:t>
            </w:r>
            <w:r w:rsidRPr="00E92E6B">
              <w:rPr>
                <w:rFonts w:ascii="Arial" w:hAnsi="Arial" w:cs="Arial"/>
                <w:color w:val="000000"/>
                <w:sz w:val="16"/>
                <w:szCs w:val="16"/>
              </w:rPr>
              <w:br/>
              <w:t>7.1</w:t>
            </w:r>
            <w:r w:rsidRPr="00E92E6B">
              <w:rPr>
                <w:rFonts w:ascii="Wingdings 3" w:eastAsia="Wingdings 3" w:hAnsi="Wingdings 3" w:cs="Wingdings 3"/>
                <w:color w:val="FF0000"/>
                <w:sz w:val="16"/>
                <w:szCs w:val="16"/>
              </w:rPr>
              <w:sym w:font="Wingdings 3" w:char="F0C8"/>
            </w:r>
          </w:p>
        </w:tc>
        <w:tc>
          <w:tcPr>
            <w:tcW w:w="664" w:type="dxa"/>
            <w:tcBorders>
              <w:top w:val="nil"/>
              <w:bottom w:val="nil"/>
            </w:tcBorders>
            <w:shd w:val="clear" w:color="auto" w:fill="FFEBEB"/>
          </w:tcPr>
          <w:p w14:paraId="4E9C59DB" w14:textId="1F6D63F1"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10.8</w:t>
            </w:r>
            <w:r w:rsidRPr="00E92E6B">
              <w:rPr>
                <w:rFonts w:ascii="Arial" w:hAnsi="Arial" w:cs="Arial"/>
                <w:color w:val="000000"/>
                <w:sz w:val="16"/>
                <w:szCs w:val="16"/>
              </w:rPr>
              <w:br/>
              <w:t>11.6</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5F300AE3" w14:textId="07AF7BDF"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3.5</w:t>
            </w:r>
            <w:r w:rsidRPr="00E92E6B">
              <w:rPr>
                <w:rFonts w:ascii="Arial" w:hAnsi="Arial" w:cs="Arial"/>
                <w:color w:val="000000"/>
                <w:sz w:val="16"/>
                <w:szCs w:val="16"/>
              </w:rPr>
              <w:br/>
              <w:t>3.3</w:t>
            </w:r>
            <w:r w:rsidRPr="00E92E6B">
              <w:rPr>
                <w:rFonts w:ascii="Wingdings 3" w:eastAsia="Wingdings 3" w:hAnsi="Wingdings 3" w:cs="Wingdings 3"/>
                <w:color w:val="FF0000"/>
                <w:sz w:val="16"/>
                <w:szCs w:val="16"/>
              </w:rPr>
              <w:sym w:font="Wingdings 3" w:char="F0C8"/>
            </w:r>
          </w:p>
        </w:tc>
        <w:tc>
          <w:tcPr>
            <w:tcW w:w="648" w:type="dxa"/>
            <w:tcBorders>
              <w:top w:val="nil"/>
              <w:bottom w:val="nil"/>
            </w:tcBorders>
            <w:shd w:val="clear" w:color="auto" w:fill="FFEBEB"/>
          </w:tcPr>
          <w:p w14:paraId="511E889F" w14:textId="312FABF6"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2.8</w:t>
            </w:r>
            <w:r w:rsidRPr="00E92E6B">
              <w:rPr>
                <w:rFonts w:ascii="Arial" w:hAnsi="Arial" w:cs="Arial"/>
                <w:color w:val="000000"/>
                <w:sz w:val="16"/>
                <w:szCs w:val="16"/>
              </w:rPr>
              <w:br/>
              <w:t>5.3</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1B6C13A8" w14:textId="3DE4300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6.3</w:t>
            </w:r>
            <w:r w:rsidRPr="00E92E6B">
              <w:rPr>
                <w:rFonts w:ascii="Arial" w:hAnsi="Arial" w:cs="Arial"/>
                <w:color w:val="000000"/>
                <w:sz w:val="16"/>
                <w:szCs w:val="16"/>
              </w:rPr>
              <w:br/>
              <w:t>8.7</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1C3AC9FB" w14:textId="372BC8D4"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166373A2" w14:textId="76240E20"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4.4</w:t>
            </w:r>
            <w:r w:rsidRPr="00E92E6B">
              <w:rPr>
                <w:rFonts w:ascii="Arial" w:hAnsi="Arial" w:cs="Arial"/>
                <w:color w:val="000000"/>
                <w:sz w:val="16"/>
                <w:szCs w:val="16"/>
              </w:rPr>
              <w:br/>
              <w:t>7.2</w:t>
            </w:r>
            <w:r w:rsidRPr="00E92E6B">
              <w:rPr>
                <w:rFonts w:asciiTheme="minorHAnsi" w:eastAsia="Wingdings 3" w:hAnsiTheme="minorHAnsi" w:cstheme="minorHAnsi"/>
                <w:sz w:val="16"/>
                <w:szCs w:val="16"/>
              </w:rPr>
              <w:sym w:font="Wingdings 3" w:char="F0C7"/>
            </w:r>
          </w:p>
        </w:tc>
        <w:tc>
          <w:tcPr>
            <w:tcW w:w="720" w:type="dxa"/>
            <w:tcBorders>
              <w:top w:val="nil"/>
              <w:bottom w:val="nil"/>
            </w:tcBorders>
            <w:shd w:val="clear" w:color="auto" w:fill="FFEBEB"/>
          </w:tcPr>
          <w:p w14:paraId="0057D257" w14:textId="64063AD1"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3.6</w:t>
            </w:r>
            <w:r w:rsidRPr="00E92E6B">
              <w:rPr>
                <w:rFonts w:ascii="Arial" w:hAnsi="Arial" w:cs="Arial"/>
                <w:color w:val="000000"/>
                <w:sz w:val="16"/>
                <w:szCs w:val="16"/>
              </w:rPr>
              <w:br/>
              <w:t>6.2</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442D07D5" w14:textId="73D11165"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5.4</w:t>
            </w:r>
            <w:r w:rsidRPr="00E92E6B">
              <w:rPr>
                <w:rFonts w:ascii="Arial" w:hAnsi="Arial" w:cs="Arial"/>
                <w:color w:val="000000"/>
                <w:sz w:val="16"/>
                <w:szCs w:val="16"/>
              </w:rPr>
              <w:br/>
              <w:t>6.9</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0E924103" w14:textId="1580A00C"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7.1</w:t>
            </w:r>
            <w:r w:rsidRPr="00E92E6B">
              <w:rPr>
                <w:rFonts w:ascii="Arial" w:hAnsi="Arial" w:cs="Arial"/>
                <w:color w:val="000000"/>
                <w:sz w:val="16"/>
                <w:szCs w:val="16"/>
              </w:rPr>
              <w:br/>
              <w:t>4.5</w:t>
            </w:r>
            <w:r w:rsidRPr="00E92E6B">
              <w:rPr>
                <w:rFonts w:ascii="Wingdings 3" w:eastAsia="Wingdings 3" w:hAnsi="Wingdings 3" w:cs="Wingdings 3"/>
                <w:color w:val="FF0000"/>
                <w:sz w:val="16"/>
                <w:szCs w:val="16"/>
              </w:rPr>
              <w:sym w:font="Wingdings 3" w:char="F0C8"/>
            </w:r>
          </w:p>
        </w:tc>
        <w:tc>
          <w:tcPr>
            <w:tcW w:w="692" w:type="dxa"/>
            <w:tcBorders>
              <w:top w:val="nil"/>
              <w:bottom w:val="nil"/>
            </w:tcBorders>
            <w:shd w:val="clear" w:color="auto" w:fill="FFEBEB"/>
          </w:tcPr>
          <w:p w14:paraId="1BD4CEA8" w14:textId="4FECB4F4"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5.5</w:t>
            </w:r>
            <w:r w:rsidRPr="00E92E6B">
              <w:rPr>
                <w:rFonts w:ascii="Arial" w:hAnsi="Arial" w:cs="Arial"/>
                <w:color w:val="000000"/>
                <w:sz w:val="16"/>
                <w:szCs w:val="16"/>
              </w:rPr>
              <w:br/>
              <w:t>4.2</w:t>
            </w:r>
            <w:r w:rsidRPr="00E92E6B">
              <w:rPr>
                <w:rFonts w:ascii="Wingdings 3" w:eastAsia="Wingdings 3" w:hAnsi="Wingdings 3" w:cs="Wingdings 3"/>
                <w:color w:val="FF0000"/>
                <w:sz w:val="16"/>
                <w:szCs w:val="16"/>
              </w:rPr>
              <w:sym w:font="Wingdings 3" w:char="F0C8"/>
            </w:r>
          </w:p>
        </w:tc>
        <w:tc>
          <w:tcPr>
            <w:tcW w:w="692" w:type="dxa"/>
            <w:tcBorders>
              <w:top w:val="nil"/>
              <w:bottom w:val="nil"/>
            </w:tcBorders>
            <w:shd w:val="clear" w:color="auto" w:fill="FFEBEB"/>
          </w:tcPr>
          <w:p w14:paraId="4E08D035" w14:textId="2257ED29"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11.2</w:t>
            </w:r>
            <w:r w:rsidRPr="00E92E6B">
              <w:rPr>
                <w:rFonts w:ascii="Arial" w:hAnsi="Arial" w:cs="Arial"/>
                <w:color w:val="000000"/>
                <w:sz w:val="16"/>
                <w:szCs w:val="16"/>
              </w:rPr>
              <w:br/>
              <w:t>7.6</w:t>
            </w:r>
            <w:r w:rsidRPr="00E92E6B">
              <w:rPr>
                <w:rFonts w:ascii="Wingdings 3" w:eastAsia="Wingdings 3" w:hAnsi="Wingdings 3" w:cs="Wingdings 3"/>
                <w:color w:val="FF0000"/>
                <w:sz w:val="16"/>
                <w:szCs w:val="16"/>
              </w:rPr>
              <w:sym w:font="Wingdings 3" w:char="F0C8"/>
            </w:r>
          </w:p>
        </w:tc>
        <w:tc>
          <w:tcPr>
            <w:tcW w:w="692" w:type="dxa"/>
            <w:tcBorders>
              <w:top w:val="nil"/>
              <w:bottom w:val="nil"/>
            </w:tcBorders>
            <w:shd w:val="clear" w:color="auto" w:fill="FFEBEB"/>
          </w:tcPr>
          <w:p w14:paraId="43285E8A" w14:textId="710B5AEC"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4.6</w:t>
            </w:r>
            <w:r w:rsidRPr="00E92E6B">
              <w:rPr>
                <w:rFonts w:ascii="Arial" w:hAnsi="Arial" w:cs="Arial"/>
                <w:color w:val="000000"/>
                <w:sz w:val="16"/>
                <w:szCs w:val="16"/>
              </w:rPr>
              <w:br/>
              <w:t>8.2</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7EBFB370" w14:textId="719ECAEF" w:rsidR="00151EB2" w:rsidRPr="00E92E6B" w:rsidRDefault="00151EB2" w:rsidP="00151EB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7.5</w:t>
            </w:r>
            <w:r w:rsidRPr="00E92E6B">
              <w:rPr>
                <w:rFonts w:ascii="Arial" w:hAnsi="Arial" w:cs="Arial"/>
                <w:color w:val="000000"/>
                <w:sz w:val="16"/>
                <w:szCs w:val="16"/>
              </w:rPr>
              <w:br/>
              <w:t>6.5</w:t>
            </w:r>
            <w:r w:rsidRPr="00E92E6B">
              <w:rPr>
                <w:rFonts w:ascii="Wingdings 3" w:eastAsia="Wingdings 3" w:hAnsi="Wingdings 3" w:cs="Wingdings 3"/>
                <w:color w:val="FF0000"/>
                <w:sz w:val="16"/>
                <w:szCs w:val="16"/>
              </w:rPr>
              <w:sym w:font="Wingdings 3" w:char="F0C8"/>
            </w:r>
          </w:p>
        </w:tc>
      </w:tr>
      <w:tr w:rsidR="008D11AD" w:rsidRPr="00B556AC" w14:paraId="78F8873E"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tcBorders>
              <w:bottom w:val="single" w:sz="4" w:space="0" w:color="auto"/>
            </w:tcBorders>
            <w:shd w:val="clear" w:color="auto" w:fill="FFFFFF" w:themeFill="background1"/>
            <w:vAlign w:val="bottom"/>
          </w:tcPr>
          <w:p w14:paraId="79A02C78" w14:textId="77777777" w:rsidR="00151EB2" w:rsidRDefault="00151EB2" w:rsidP="00151EB2">
            <w:pPr>
              <w:rPr>
                <w:rFonts w:ascii="Calibri" w:hAnsi="Calibri" w:cs="Calibri"/>
                <w:color w:val="000000" w:themeColor="text2"/>
                <w:sz w:val="20"/>
                <w:szCs w:val="20"/>
              </w:rPr>
            </w:pPr>
            <w:r w:rsidRPr="4C93E165">
              <w:rPr>
                <w:rFonts w:ascii="Calibri" w:hAnsi="Calibri" w:cs="Calibri"/>
                <w:b w:val="0"/>
                <w:bCs w:val="0"/>
                <w:color w:val="000000" w:themeColor="text2"/>
                <w:sz w:val="20"/>
                <w:szCs w:val="20"/>
              </w:rPr>
              <w:t>Wettest 1-in-20 year change</w:t>
            </w:r>
          </w:p>
          <w:p w14:paraId="10D6E824" w14:textId="77777777" w:rsidR="00151EB2" w:rsidRPr="00B556AC" w:rsidRDefault="00151EB2" w:rsidP="00151EB2">
            <w:pPr>
              <w:rPr>
                <w:rFonts w:asciiTheme="minorHAnsi" w:hAnsiTheme="minorHAnsi" w:cs="Calibri"/>
                <w:b w:val="0"/>
                <w:bCs w:val="0"/>
                <w:sz w:val="20"/>
                <w:szCs w:val="20"/>
              </w:rPr>
            </w:pPr>
            <w:r w:rsidRPr="00E92E6B">
              <w:rPr>
                <w:rFonts w:asciiTheme="minorHAnsi" w:hAnsiTheme="minorHAnsi" w:cs="Calibri"/>
                <w:b w:val="0"/>
                <w:bCs w:val="0"/>
                <w:sz w:val="16"/>
                <w:szCs w:val="16"/>
              </w:rPr>
              <w:t>(%)</w:t>
            </w:r>
          </w:p>
        </w:tc>
        <w:tc>
          <w:tcPr>
            <w:tcW w:w="618" w:type="dxa"/>
            <w:tcBorders>
              <w:bottom w:val="single" w:sz="4" w:space="0" w:color="auto"/>
            </w:tcBorders>
            <w:shd w:val="clear" w:color="auto" w:fill="FFFFFF" w:themeFill="background1"/>
          </w:tcPr>
          <w:p w14:paraId="1F9459F6"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194C04A4" w14:textId="77777777" w:rsidR="00151EB2" w:rsidRPr="001A4D33"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8"/>
                <w:szCs w:val="18"/>
              </w:rPr>
            </w:pPr>
            <w:r w:rsidRPr="001A4D33">
              <w:rPr>
                <w:rFonts w:asciiTheme="minorHAnsi" w:hAnsiTheme="minorHAnsi" w:cstheme="minorHAnsi"/>
                <w:sz w:val="18"/>
                <w:szCs w:val="18"/>
              </w:rPr>
              <w:t>2090</w:t>
            </w:r>
          </w:p>
        </w:tc>
        <w:tc>
          <w:tcPr>
            <w:tcW w:w="664" w:type="dxa"/>
            <w:tcBorders>
              <w:bottom w:val="single" w:sz="4" w:space="0" w:color="auto"/>
            </w:tcBorders>
            <w:shd w:val="clear" w:color="auto" w:fill="FFEBEB"/>
          </w:tcPr>
          <w:p w14:paraId="145ACBFE" w14:textId="5F7F1DCE"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9.0</w:t>
            </w:r>
            <w:r w:rsidRPr="00E92E6B">
              <w:rPr>
                <w:rFonts w:ascii="Arial" w:hAnsi="Arial" w:cs="Arial"/>
                <w:color w:val="000000"/>
                <w:sz w:val="16"/>
                <w:szCs w:val="16"/>
              </w:rPr>
              <w:br/>
              <w:t>13.9</w:t>
            </w:r>
            <w:r w:rsidRPr="00E92E6B">
              <w:rPr>
                <w:rFonts w:asciiTheme="minorHAnsi" w:eastAsia="Wingdings 3" w:hAnsiTheme="minorHAnsi" w:cstheme="minorHAnsi"/>
                <w:sz w:val="16"/>
                <w:szCs w:val="16"/>
              </w:rPr>
              <w:sym w:font="Wingdings 3" w:char="F0C7"/>
            </w:r>
          </w:p>
        </w:tc>
        <w:tc>
          <w:tcPr>
            <w:tcW w:w="665" w:type="dxa"/>
            <w:tcBorders>
              <w:bottom w:val="single" w:sz="4" w:space="0" w:color="auto"/>
            </w:tcBorders>
            <w:shd w:val="clear" w:color="auto" w:fill="FFEBEB"/>
          </w:tcPr>
          <w:p w14:paraId="7A507C87" w14:textId="71553010"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11.7</w:t>
            </w:r>
            <w:r w:rsidRPr="00E92E6B">
              <w:rPr>
                <w:rFonts w:ascii="Arial" w:hAnsi="Arial" w:cs="Arial"/>
                <w:color w:val="000000"/>
                <w:sz w:val="16"/>
                <w:szCs w:val="16"/>
              </w:rPr>
              <w:br/>
              <w:t>10.0</w:t>
            </w:r>
            <w:r w:rsidRPr="00E92E6B">
              <w:rPr>
                <w:rFonts w:ascii="Wingdings 3" w:eastAsia="Wingdings 3" w:hAnsi="Wingdings 3" w:cs="Wingdings 3"/>
                <w:color w:val="FF0000"/>
                <w:sz w:val="16"/>
                <w:szCs w:val="16"/>
              </w:rPr>
              <w:sym w:font="Wingdings 3" w:char="F0C8"/>
            </w:r>
          </w:p>
        </w:tc>
        <w:tc>
          <w:tcPr>
            <w:tcW w:w="664" w:type="dxa"/>
            <w:tcBorders>
              <w:bottom w:val="single" w:sz="4" w:space="0" w:color="auto"/>
            </w:tcBorders>
            <w:shd w:val="clear" w:color="auto" w:fill="FFEBEB"/>
          </w:tcPr>
          <w:p w14:paraId="7CC63C27" w14:textId="6880F02E"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17.0</w:t>
            </w:r>
            <w:r w:rsidRPr="00E92E6B">
              <w:rPr>
                <w:rFonts w:ascii="Arial" w:hAnsi="Arial" w:cs="Arial"/>
                <w:color w:val="000000"/>
                <w:sz w:val="16"/>
                <w:szCs w:val="16"/>
              </w:rPr>
              <w:br/>
              <w:t>10.6</w:t>
            </w:r>
            <w:r w:rsidRPr="00E92E6B">
              <w:rPr>
                <w:rFonts w:ascii="Wingdings 3" w:eastAsia="Wingdings 3" w:hAnsi="Wingdings 3" w:cs="Wingdings 3"/>
                <w:color w:val="FF0000"/>
                <w:sz w:val="16"/>
                <w:szCs w:val="16"/>
              </w:rPr>
              <w:sym w:font="Wingdings 3" w:char="F0C8"/>
            </w:r>
          </w:p>
        </w:tc>
        <w:tc>
          <w:tcPr>
            <w:tcW w:w="648" w:type="dxa"/>
            <w:tcBorders>
              <w:bottom w:val="single" w:sz="4" w:space="0" w:color="auto"/>
            </w:tcBorders>
            <w:shd w:val="clear" w:color="auto" w:fill="FFEBEB"/>
          </w:tcPr>
          <w:p w14:paraId="5BFEA0C6" w14:textId="3385E87E"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6.8</w:t>
            </w:r>
            <w:r w:rsidRPr="00E92E6B">
              <w:rPr>
                <w:rFonts w:ascii="Arial" w:hAnsi="Arial" w:cs="Arial"/>
                <w:color w:val="000000"/>
                <w:sz w:val="16"/>
                <w:szCs w:val="16"/>
              </w:rPr>
              <w:br/>
              <w:t>10.7</w:t>
            </w:r>
            <w:r w:rsidRPr="00E92E6B">
              <w:rPr>
                <w:rFonts w:asciiTheme="minorHAnsi" w:eastAsia="Wingdings 3" w:hAnsiTheme="minorHAnsi" w:cstheme="minorHAnsi"/>
                <w:sz w:val="16"/>
                <w:szCs w:val="16"/>
              </w:rPr>
              <w:sym w:font="Wingdings 3" w:char="F0C7"/>
            </w:r>
          </w:p>
        </w:tc>
        <w:tc>
          <w:tcPr>
            <w:tcW w:w="648" w:type="dxa"/>
            <w:tcBorders>
              <w:bottom w:val="single" w:sz="4" w:space="0" w:color="auto"/>
            </w:tcBorders>
            <w:shd w:val="clear" w:color="auto" w:fill="FFEBEB"/>
          </w:tcPr>
          <w:p w14:paraId="526AA877" w14:textId="10ED1156"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6.6</w:t>
            </w:r>
            <w:r w:rsidRPr="00E92E6B">
              <w:rPr>
                <w:rFonts w:ascii="Arial" w:hAnsi="Arial" w:cs="Arial"/>
                <w:color w:val="000000"/>
                <w:sz w:val="16"/>
                <w:szCs w:val="16"/>
              </w:rPr>
              <w:br/>
              <w:t>8.6</w:t>
            </w:r>
            <w:r w:rsidRPr="00E92E6B">
              <w:rPr>
                <w:rFonts w:asciiTheme="minorHAnsi" w:eastAsia="Wingdings 3" w:hAnsiTheme="minorHAnsi" w:cstheme="minorHAnsi"/>
                <w:sz w:val="16"/>
                <w:szCs w:val="16"/>
              </w:rPr>
              <w:sym w:font="Wingdings 3" w:char="F0C7"/>
            </w:r>
          </w:p>
        </w:tc>
        <w:tc>
          <w:tcPr>
            <w:tcW w:w="648" w:type="dxa"/>
            <w:tcBorders>
              <w:bottom w:val="single" w:sz="4" w:space="0" w:color="auto"/>
            </w:tcBorders>
            <w:shd w:val="clear" w:color="auto" w:fill="FFEBEB"/>
          </w:tcPr>
          <w:p w14:paraId="60CDC395" w14:textId="3DEE80F3"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13.6</w:t>
            </w:r>
            <w:r w:rsidRPr="00E92E6B">
              <w:rPr>
                <w:rFonts w:ascii="Arial" w:hAnsi="Arial" w:cs="Arial"/>
                <w:color w:val="000000"/>
                <w:sz w:val="16"/>
                <w:szCs w:val="16"/>
              </w:rPr>
              <w:br/>
              <w:t>18.1</w:t>
            </w:r>
            <w:r w:rsidRPr="00E92E6B">
              <w:rPr>
                <w:rFonts w:asciiTheme="minorHAnsi" w:eastAsia="Wingdings 3" w:hAnsiTheme="minorHAnsi" w:cstheme="minorHAnsi"/>
                <w:sz w:val="16"/>
                <w:szCs w:val="16"/>
              </w:rPr>
              <w:sym w:font="Wingdings 3" w:char="F0C7"/>
            </w:r>
          </w:p>
        </w:tc>
        <w:tc>
          <w:tcPr>
            <w:tcW w:w="633" w:type="dxa"/>
            <w:tcBorders>
              <w:bottom w:val="single" w:sz="4" w:space="0" w:color="auto"/>
            </w:tcBorders>
            <w:shd w:val="clear" w:color="auto" w:fill="FFEBEB"/>
          </w:tcPr>
          <w:p w14:paraId="50D5099D" w14:textId="7DF1A5AD"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9.0</w:t>
            </w:r>
            <w:r w:rsidRPr="00E92E6B">
              <w:rPr>
                <w:rFonts w:ascii="Arial" w:hAnsi="Arial" w:cs="Arial"/>
                <w:color w:val="000000"/>
                <w:sz w:val="16"/>
                <w:szCs w:val="16"/>
              </w:rPr>
              <w:br/>
              <w:t>8.6</w:t>
            </w:r>
            <w:r w:rsidRPr="00E92E6B">
              <w:rPr>
                <w:rFonts w:ascii="Wingdings 3" w:eastAsia="Wingdings 3" w:hAnsi="Wingdings 3" w:cs="Wingdings 3"/>
                <w:color w:val="FF0000"/>
                <w:sz w:val="16"/>
                <w:szCs w:val="16"/>
              </w:rPr>
              <w:sym w:font="Wingdings 3" w:char="F0C8"/>
            </w:r>
          </w:p>
        </w:tc>
        <w:tc>
          <w:tcPr>
            <w:tcW w:w="633" w:type="dxa"/>
            <w:tcBorders>
              <w:bottom w:val="single" w:sz="4" w:space="0" w:color="auto"/>
            </w:tcBorders>
            <w:shd w:val="clear" w:color="auto" w:fill="FFEBEB"/>
          </w:tcPr>
          <w:p w14:paraId="17DEA7C0" w14:textId="20FB6348"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9.8</w:t>
            </w:r>
            <w:r w:rsidRPr="00E92E6B">
              <w:rPr>
                <w:rFonts w:ascii="Arial" w:hAnsi="Arial" w:cs="Arial"/>
                <w:color w:val="000000"/>
                <w:sz w:val="16"/>
                <w:szCs w:val="16"/>
              </w:rPr>
              <w:br/>
              <w:t>15.8</w:t>
            </w:r>
            <w:r w:rsidRPr="00E92E6B">
              <w:rPr>
                <w:rFonts w:asciiTheme="minorHAnsi" w:eastAsia="Wingdings 3" w:hAnsiTheme="minorHAnsi" w:cstheme="minorHAnsi"/>
                <w:sz w:val="16"/>
                <w:szCs w:val="16"/>
              </w:rPr>
              <w:sym w:font="Wingdings 3" w:char="F0C7"/>
            </w:r>
          </w:p>
        </w:tc>
        <w:tc>
          <w:tcPr>
            <w:tcW w:w="720" w:type="dxa"/>
            <w:tcBorders>
              <w:bottom w:val="single" w:sz="4" w:space="0" w:color="auto"/>
            </w:tcBorders>
            <w:shd w:val="clear" w:color="auto" w:fill="FFEBEB"/>
          </w:tcPr>
          <w:p w14:paraId="53D630D0" w14:textId="4EDAA12A"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8.5</w:t>
            </w:r>
            <w:r w:rsidRPr="00E92E6B">
              <w:rPr>
                <w:rFonts w:ascii="Arial" w:hAnsi="Arial" w:cs="Arial"/>
                <w:color w:val="000000"/>
                <w:sz w:val="16"/>
                <w:szCs w:val="16"/>
              </w:rPr>
              <w:br/>
              <w:t>9.7</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EBEB"/>
          </w:tcPr>
          <w:p w14:paraId="5B1B8104" w14:textId="3833DFD6"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11.8</w:t>
            </w:r>
            <w:r w:rsidRPr="00E92E6B">
              <w:rPr>
                <w:rFonts w:ascii="Arial" w:hAnsi="Arial" w:cs="Arial"/>
                <w:color w:val="000000"/>
                <w:sz w:val="16"/>
                <w:szCs w:val="16"/>
              </w:rPr>
              <w:br/>
              <w:t>9.1</w:t>
            </w:r>
            <w:r w:rsidRPr="00E92E6B">
              <w:rPr>
                <w:rFonts w:ascii="Wingdings 3" w:eastAsia="Wingdings 3" w:hAnsi="Wingdings 3" w:cs="Wingdings 3"/>
                <w:color w:val="FF0000"/>
                <w:sz w:val="16"/>
                <w:szCs w:val="16"/>
              </w:rPr>
              <w:sym w:font="Wingdings 3" w:char="F0C8"/>
            </w:r>
          </w:p>
        </w:tc>
        <w:tc>
          <w:tcPr>
            <w:tcW w:w="692" w:type="dxa"/>
            <w:tcBorders>
              <w:bottom w:val="single" w:sz="4" w:space="0" w:color="auto"/>
            </w:tcBorders>
            <w:shd w:val="clear" w:color="auto" w:fill="FFEBEB"/>
          </w:tcPr>
          <w:p w14:paraId="49314E0B" w14:textId="6FD0DD09"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8.8</w:t>
            </w:r>
            <w:r w:rsidRPr="00E92E6B">
              <w:rPr>
                <w:rFonts w:ascii="Arial" w:hAnsi="Arial" w:cs="Arial"/>
                <w:color w:val="000000"/>
                <w:sz w:val="16"/>
                <w:szCs w:val="16"/>
              </w:rPr>
              <w:br/>
              <w:t>7.4</w:t>
            </w:r>
            <w:r w:rsidRPr="00E92E6B">
              <w:rPr>
                <w:rFonts w:ascii="Wingdings 3" w:eastAsia="Wingdings 3" w:hAnsi="Wingdings 3" w:cs="Wingdings 3"/>
                <w:color w:val="FF0000"/>
                <w:sz w:val="16"/>
                <w:szCs w:val="16"/>
              </w:rPr>
              <w:sym w:font="Wingdings 3" w:char="F0C8"/>
            </w:r>
          </w:p>
        </w:tc>
        <w:tc>
          <w:tcPr>
            <w:tcW w:w="692" w:type="dxa"/>
            <w:tcBorders>
              <w:bottom w:val="single" w:sz="4" w:space="0" w:color="auto"/>
            </w:tcBorders>
            <w:shd w:val="clear" w:color="auto" w:fill="FFEBEB"/>
          </w:tcPr>
          <w:p w14:paraId="038BE2CD" w14:textId="6F5EC866"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8.0</w:t>
            </w:r>
            <w:r w:rsidRPr="00E92E6B">
              <w:rPr>
                <w:rFonts w:ascii="Arial" w:hAnsi="Arial" w:cs="Arial"/>
                <w:color w:val="000000"/>
                <w:sz w:val="16"/>
                <w:szCs w:val="16"/>
              </w:rPr>
              <w:br/>
              <w:t>4.9</w:t>
            </w:r>
            <w:r w:rsidRPr="00E92E6B">
              <w:rPr>
                <w:rFonts w:ascii="Wingdings 3" w:eastAsia="Wingdings 3" w:hAnsi="Wingdings 3" w:cs="Wingdings 3"/>
                <w:color w:val="FF0000"/>
                <w:sz w:val="16"/>
                <w:szCs w:val="16"/>
              </w:rPr>
              <w:sym w:font="Wingdings 3" w:char="F0C8"/>
            </w:r>
          </w:p>
        </w:tc>
        <w:tc>
          <w:tcPr>
            <w:tcW w:w="692" w:type="dxa"/>
            <w:tcBorders>
              <w:bottom w:val="single" w:sz="4" w:space="0" w:color="auto"/>
            </w:tcBorders>
            <w:shd w:val="clear" w:color="auto" w:fill="FFEBEB"/>
          </w:tcPr>
          <w:p w14:paraId="28888E0B" w14:textId="45D11624"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12.1</w:t>
            </w:r>
            <w:r w:rsidRPr="00E92E6B">
              <w:rPr>
                <w:rFonts w:ascii="Arial" w:hAnsi="Arial" w:cs="Arial"/>
                <w:color w:val="000000"/>
                <w:sz w:val="16"/>
                <w:szCs w:val="16"/>
              </w:rPr>
              <w:br/>
              <w:t>14.6</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EBEB"/>
          </w:tcPr>
          <w:p w14:paraId="19BDFEFC" w14:textId="3E69F52C"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11.1</w:t>
            </w:r>
            <w:r w:rsidRPr="00E92E6B">
              <w:rPr>
                <w:rFonts w:ascii="Arial" w:hAnsi="Arial" w:cs="Arial"/>
                <w:color w:val="000000"/>
                <w:sz w:val="16"/>
                <w:szCs w:val="16"/>
              </w:rPr>
              <w:br/>
              <w:t>11.0</w:t>
            </w:r>
            <w:r w:rsidRPr="00E92E6B">
              <w:rPr>
                <w:rFonts w:ascii="Wingdings 3" w:eastAsia="Wingdings 3" w:hAnsi="Wingdings 3" w:cs="Wingdings 3"/>
                <w:color w:val="FF0000"/>
                <w:sz w:val="16"/>
                <w:szCs w:val="16"/>
              </w:rPr>
              <w:sym w:font="Wingdings 3" w:char="F0C8"/>
            </w:r>
          </w:p>
        </w:tc>
        <w:tc>
          <w:tcPr>
            <w:tcW w:w="692" w:type="dxa"/>
            <w:tcBorders>
              <w:bottom w:val="single" w:sz="4" w:space="0" w:color="auto"/>
            </w:tcBorders>
            <w:shd w:val="clear" w:color="auto" w:fill="FFEBEB"/>
          </w:tcPr>
          <w:p w14:paraId="28EBCBDC" w14:textId="5AA1BF73" w:rsidR="00151EB2" w:rsidRPr="00E92E6B" w:rsidRDefault="00151EB2" w:rsidP="00151EB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6.5</w:t>
            </w:r>
            <w:r w:rsidRPr="00E92E6B">
              <w:rPr>
                <w:rFonts w:ascii="Arial" w:hAnsi="Arial" w:cs="Arial"/>
                <w:color w:val="000000"/>
                <w:sz w:val="16"/>
                <w:szCs w:val="16"/>
              </w:rPr>
              <w:br/>
              <w:t>6.1</w:t>
            </w:r>
            <w:r w:rsidRPr="00E92E6B">
              <w:rPr>
                <w:rFonts w:ascii="Wingdings 3" w:eastAsia="Wingdings 3" w:hAnsi="Wingdings 3" w:cs="Wingdings 3"/>
                <w:color w:val="FF0000"/>
                <w:sz w:val="16"/>
                <w:szCs w:val="16"/>
              </w:rPr>
              <w:sym w:font="Wingdings 3" w:char="F0C8"/>
            </w:r>
          </w:p>
        </w:tc>
      </w:tr>
    </w:tbl>
    <w:p w14:paraId="71694AEF" w14:textId="77777777" w:rsidR="00797CAA" w:rsidRDefault="00797CAA" w:rsidP="00797CAA">
      <w:pPr>
        <w:rPr>
          <w:b/>
          <w:bCs/>
        </w:rPr>
      </w:pPr>
      <w:r>
        <w:rPr>
          <w:b/>
          <w:bCs/>
        </w:rPr>
        <w:br w:type="page"/>
      </w:r>
    </w:p>
    <w:p w14:paraId="6F6CA4F0" w14:textId="55C63054" w:rsidR="00797CAA" w:rsidRPr="00BF72AB" w:rsidRDefault="00797CAA" w:rsidP="00797CAA">
      <w:pPr>
        <w:rPr>
          <w:rFonts w:asciiTheme="minorHAnsi" w:hAnsiTheme="minorHAnsi" w:cstheme="minorHAnsi"/>
          <w:sz w:val="20"/>
          <w:szCs w:val="20"/>
        </w:rPr>
      </w:pPr>
      <w:r w:rsidRPr="00BF72AB">
        <w:rPr>
          <w:rFonts w:asciiTheme="minorHAnsi" w:hAnsiTheme="minorHAnsi" w:cstheme="minorHAnsi"/>
          <w:sz w:val="20"/>
          <w:szCs w:val="20"/>
        </w:rPr>
        <w:lastRenderedPageBreak/>
        <w:t xml:space="preserve">Table </w:t>
      </w:r>
      <w:r w:rsidR="00691A37">
        <w:rPr>
          <w:rFonts w:asciiTheme="minorHAnsi" w:hAnsiTheme="minorHAnsi" w:cstheme="minorHAnsi"/>
          <w:sz w:val="20"/>
          <w:szCs w:val="20"/>
        </w:rPr>
        <w:t>1</w:t>
      </w:r>
      <w:r w:rsidR="005E1028">
        <w:rPr>
          <w:rFonts w:asciiTheme="minorHAnsi" w:hAnsiTheme="minorHAnsi" w:cstheme="minorHAnsi"/>
          <w:sz w:val="20"/>
          <w:szCs w:val="20"/>
        </w:rPr>
        <w:t>7</w:t>
      </w:r>
      <w:r w:rsidRPr="00BF72AB">
        <w:rPr>
          <w:rFonts w:asciiTheme="minorHAnsi" w:hAnsiTheme="minorHAnsi" w:cstheme="minorHAnsi"/>
          <w:sz w:val="20"/>
          <w:szCs w:val="20"/>
        </w:rPr>
        <w:t>. Continued.</w:t>
      </w:r>
    </w:p>
    <w:p w14:paraId="36007D9B" w14:textId="77777777" w:rsidR="00797CAA" w:rsidRPr="00BF72AB" w:rsidRDefault="00797CAA" w:rsidP="00797CAA">
      <w:pPr>
        <w:rPr>
          <w:rFonts w:asciiTheme="minorHAnsi" w:hAnsiTheme="minorHAnsi" w:cstheme="minorHAnsi"/>
          <w:sz w:val="20"/>
          <w:szCs w:val="20"/>
        </w:rPr>
      </w:pPr>
    </w:p>
    <w:tbl>
      <w:tblPr>
        <w:tblStyle w:val="TableCSIRO"/>
        <w:tblW w:w="13765" w:type="dxa"/>
        <w:tblLayout w:type="fixed"/>
        <w:tblLook w:val="04A0" w:firstRow="1" w:lastRow="0" w:firstColumn="1" w:lastColumn="0" w:noHBand="0" w:noVBand="1"/>
      </w:tblPr>
      <w:tblGrid>
        <w:gridCol w:w="3072"/>
        <w:gridCol w:w="618"/>
        <w:gridCol w:w="664"/>
        <w:gridCol w:w="665"/>
        <w:gridCol w:w="664"/>
        <w:gridCol w:w="648"/>
        <w:gridCol w:w="648"/>
        <w:gridCol w:w="648"/>
        <w:gridCol w:w="633"/>
        <w:gridCol w:w="633"/>
        <w:gridCol w:w="720"/>
        <w:gridCol w:w="692"/>
        <w:gridCol w:w="692"/>
        <w:gridCol w:w="692"/>
        <w:gridCol w:w="692"/>
        <w:gridCol w:w="692"/>
        <w:gridCol w:w="692"/>
      </w:tblGrid>
      <w:tr w:rsidR="00797CAA" w:rsidRPr="00B556AC" w14:paraId="3EA89C5C" w14:textId="77777777" w:rsidTr="007E4E8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3072" w:type="dxa"/>
          </w:tcPr>
          <w:p w14:paraId="4BDF64DF" w14:textId="77777777" w:rsidR="00797CAA" w:rsidRDefault="00797CAA" w:rsidP="007E4E86">
            <w:pPr>
              <w:rPr>
                <w:rFonts w:asciiTheme="minorHAnsi" w:hAnsiTheme="minorHAnsi"/>
                <w:sz w:val="20"/>
                <w:szCs w:val="20"/>
              </w:rPr>
            </w:pPr>
            <w:r w:rsidRPr="00B556AC">
              <w:rPr>
                <w:rFonts w:asciiTheme="minorHAnsi" w:hAnsiTheme="minorHAnsi"/>
                <w:b w:val="0"/>
                <w:bCs w:val="0"/>
                <w:sz w:val="20"/>
                <w:szCs w:val="20"/>
              </w:rPr>
              <w:t>Climate change factor</w:t>
            </w:r>
          </w:p>
          <w:p w14:paraId="542D9661" w14:textId="77777777" w:rsidR="00797CAA" w:rsidRDefault="00797CAA" w:rsidP="007E4E86">
            <w:pPr>
              <w:rPr>
                <w:rFonts w:asciiTheme="minorHAnsi" w:hAnsiTheme="minorHAnsi"/>
                <w:sz w:val="20"/>
                <w:szCs w:val="20"/>
              </w:rPr>
            </w:pPr>
          </w:p>
          <w:p w14:paraId="73EED922" w14:textId="77777777" w:rsidR="00797CAA" w:rsidRDefault="00797CAA" w:rsidP="007E4E86">
            <w:pPr>
              <w:rPr>
                <w:rFonts w:asciiTheme="minorHAnsi" w:hAnsiTheme="minorHAnsi"/>
                <w:sz w:val="20"/>
                <w:szCs w:val="20"/>
              </w:rPr>
            </w:pPr>
          </w:p>
          <w:p w14:paraId="2D0CDBA6" w14:textId="77777777" w:rsidR="00797CAA" w:rsidRDefault="00797CAA" w:rsidP="007E4E86">
            <w:pPr>
              <w:rPr>
                <w:rFonts w:asciiTheme="minorHAnsi" w:hAnsiTheme="minorHAnsi"/>
                <w:sz w:val="20"/>
                <w:szCs w:val="20"/>
              </w:rPr>
            </w:pPr>
          </w:p>
          <w:p w14:paraId="6153312A" w14:textId="77777777" w:rsidR="00797CAA" w:rsidRDefault="00797CAA" w:rsidP="007E4E86">
            <w:pPr>
              <w:rPr>
                <w:rFonts w:asciiTheme="minorHAnsi" w:hAnsiTheme="minorHAnsi"/>
                <w:sz w:val="20"/>
                <w:szCs w:val="20"/>
              </w:rPr>
            </w:pPr>
          </w:p>
          <w:p w14:paraId="4F920B7F" w14:textId="77777777" w:rsidR="00797CAA" w:rsidRDefault="00797CAA" w:rsidP="007E4E86">
            <w:pPr>
              <w:rPr>
                <w:rFonts w:asciiTheme="minorHAnsi" w:hAnsiTheme="minorHAnsi"/>
                <w:sz w:val="20"/>
                <w:szCs w:val="20"/>
              </w:rPr>
            </w:pPr>
          </w:p>
          <w:p w14:paraId="30CFEEEA" w14:textId="77777777" w:rsidR="00797CAA" w:rsidRPr="00B556AC" w:rsidRDefault="00797CAA" w:rsidP="007E4E86">
            <w:pPr>
              <w:rPr>
                <w:rFonts w:asciiTheme="minorHAnsi" w:hAnsiTheme="minorHAnsi"/>
                <w:b w:val="0"/>
                <w:bCs w:val="0"/>
                <w:sz w:val="20"/>
                <w:szCs w:val="20"/>
              </w:rPr>
            </w:pPr>
          </w:p>
        </w:tc>
        <w:tc>
          <w:tcPr>
            <w:tcW w:w="618" w:type="dxa"/>
          </w:tcPr>
          <w:p w14:paraId="340D5070" w14:textId="77777777" w:rsidR="00797CAA" w:rsidRPr="00B556AC" w:rsidRDefault="00797CAA" w:rsidP="007E4E86">
            <w:pP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20"/>
                <w:szCs w:val="20"/>
              </w:rPr>
            </w:pPr>
          </w:p>
        </w:tc>
        <w:tc>
          <w:tcPr>
            <w:tcW w:w="664" w:type="dxa"/>
            <w:textDirection w:val="btLr"/>
          </w:tcPr>
          <w:p w14:paraId="7DD3B2D3"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Monsoonal North (West)</w:t>
            </w:r>
          </w:p>
        </w:tc>
        <w:tc>
          <w:tcPr>
            <w:tcW w:w="665" w:type="dxa"/>
            <w:textDirection w:val="btLr"/>
          </w:tcPr>
          <w:p w14:paraId="3D803633"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Monsoonal North (East)</w:t>
            </w:r>
          </w:p>
        </w:tc>
        <w:tc>
          <w:tcPr>
            <w:tcW w:w="664" w:type="dxa"/>
            <w:textDirection w:val="btLr"/>
          </w:tcPr>
          <w:p w14:paraId="7AAC0B94"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Wet Tropics</w:t>
            </w:r>
          </w:p>
        </w:tc>
        <w:tc>
          <w:tcPr>
            <w:tcW w:w="648" w:type="dxa"/>
            <w:textDirection w:val="btLr"/>
          </w:tcPr>
          <w:p w14:paraId="354530CA"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Rangelands (North)</w:t>
            </w:r>
          </w:p>
        </w:tc>
        <w:tc>
          <w:tcPr>
            <w:tcW w:w="648" w:type="dxa"/>
            <w:textDirection w:val="btLr"/>
          </w:tcPr>
          <w:p w14:paraId="3A6D9152"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Rangelands (South)</w:t>
            </w:r>
          </w:p>
        </w:tc>
        <w:tc>
          <w:tcPr>
            <w:tcW w:w="648" w:type="dxa"/>
            <w:textDirection w:val="btLr"/>
          </w:tcPr>
          <w:p w14:paraId="186CCBC3"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Central Slopes</w:t>
            </w:r>
          </w:p>
        </w:tc>
        <w:tc>
          <w:tcPr>
            <w:tcW w:w="633" w:type="dxa"/>
            <w:textDirection w:val="btLr"/>
          </w:tcPr>
          <w:p w14:paraId="20D1AA92"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East Coast (North)</w:t>
            </w:r>
          </w:p>
        </w:tc>
        <w:tc>
          <w:tcPr>
            <w:tcW w:w="633" w:type="dxa"/>
            <w:textDirection w:val="btLr"/>
          </w:tcPr>
          <w:p w14:paraId="26895565"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East Coast (South)</w:t>
            </w:r>
          </w:p>
        </w:tc>
        <w:tc>
          <w:tcPr>
            <w:tcW w:w="720" w:type="dxa"/>
            <w:textDirection w:val="btLr"/>
          </w:tcPr>
          <w:p w14:paraId="7D9DB990"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and South Western Flatlands (West)</w:t>
            </w:r>
          </w:p>
        </w:tc>
        <w:tc>
          <w:tcPr>
            <w:tcW w:w="692" w:type="dxa"/>
            <w:textDirection w:val="btLr"/>
          </w:tcPr>
          <w:p w14:paraId="26E4BA28"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and South Western Flatlands (East)</w:t>
            </w:r>
          </w:p>
        </w:tc>
        <w:tc>
          <w:tcPr>
            <w:tcW w:w="692" w:type="dxa"/>
            <w:textDirection w:val="btLr"/>
          </w:tcPr>
          <w:p w14:paraId="2FC6594A"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Murray Basin</w:t>
            </w:r>
          </w:p>
        </w:tc>
        <w:tc>
          <w:tcPr>
            <w:tcW w:w="692" w:type="dxa"/>
            <w:textDirection w:val="btLr"/>
          </w:tcPr>
          <w:p w14:paraId="675C2DAB"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Slopes (Vic/NSW East)</w:t>
            </w:r>
          </w:p>
        </w:tc>
        <w:tc>
          <w:tcPr>
            <w:tcW w:w="692" w:type="dxa"/>
            <w:textDirection w:val="btLr"/>
          </w:tcPr>
          <w:p w14:paraId="5650E564"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Slopes (Vic West)</w:t>
            </w:r>
          </w:p>
        </w:tc>
        <w:tc>
          <w:tcPr>
            <w:tcW w:w="692" w:type="dxa"/>
            <w:textDirection w:val="btLr"/>
          </w:tcPr>
          <w:p w14:paraId="787D1939"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Slopes (Tas West)</w:t>
            </w:r>
          </w:p>
        </w:tc>
        <w:tc>
          <w:tcPr>
            <w:tcW w:w="692" w:type="dxa"/>
            <w:textDirection w:val="btLr"/>
          </w:tcPr>
          <w:p w14:paraId="723D8F1F" w14:textId="77777777" w:rsidR="00797CAA" w:rsidRPr="00AC6D4B" w:rsidRDefault="00797CAA" w:rsidP="007E4E8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sz w:val="16"/>
                <w:szCs w:val="16"/>
              </w:rPr>
            </w:pPr>
            <w:r w:rsidRPr="00AC6D4B">
              <w:rPr>
                <w:rFonts w:ascii="Arial" w:hAnsi="Arial" w:cs="Arial"/>
                <w:b w:val="0"/>
                <w:bCs w:val="0"/>
                <w:sz w:val="16"/>
                <w:szCs w:val="16"/>
              </w:rPr>
              <w:t>Southern Slopes (Tas East)</w:t>
            </w:r>
          </w:p>
        </w:tc>
      </w:tr>
      <w:tr w:rsidR="008D11AD" w:rsidRPr="00B556AC" w14:paraId="4906CBAF"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65835840" w14:textId="77777777" w:rsidR="00716350" w:rsidRPr="00B556AC" w:rsidRDefault="00716350" w:rsidP="00716350">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Change in number of days/year below 0 degrees</w:t>
            </w:r>
            <w:r>
              <w:rPr>
                <w:rFonts w:ascii="Calibri" w:hAnsi="Calibri" w:cs="Calibri"/>
                <w:b w:val="0"/>
                <w:bCs w:val="0"/>
                <w:color w:val="000000" w:themeColor="text2"/>
                <w:sz w:val="20"/>
                <w:szCs w:val="20"/>
              </w:rPr>
              <w:t xml:space="preserve"> </w:t>
            </w:r>
            <w:r w:rsidRPr="00E92E6B">
              <w:rPr>
                <w:rFonts w:asciiTheme="minorHAnsi" w:hAnsiTheme="minorHAnsi" w:cs="Calibri"/>
                <w:b w:val="0"/>
                <w:bCs w:val="0"/>
                <w:sz w:val="16"/>
                <w:szCs w:val="16"/>
              </w:rPr>
              <w:t>(</w:t>
            </w:r>
            <w:r>
              <w:rPr>
                <w:rFonts w:asciiTheme="minorHAnsi" w:hAnsiTheme="minorHAnsi" w:cs="Calibri"/>
                <w:b w:val="0"/>
                <w:bCs w:val="0"/>
                <w:sz w:val="16"/>
                <w:szCs w:val="16"/>
              </w:rPr>
              <w:t>days</w:t>
            </w:r>
            <w:r w:rsidRPr="00E92E6B">
              <w:rPr>
                <w:rFonts w:asciiTheme="minorHAnsi" w:hAnsiTheme="minorHAnsi" w:cs="Calibri"/>
                <w:b w:val="0"/>
                <w:bCs w:val="0"/>
                <w:sz w:val="16"/>
                <w:szCs w:val="16"/>
              </w:rPr>
              <w:t>)</w:t>
            </w:r>
          </w:p>
        </w:tc>
        <w:tc>
          <w:tcPr>
            <w:tcW w:w="618" w:type="dxa"/>
            <w:shd w:val="clear" w:color="auto" w:fill="FFFFFF" w:themeFill="background1"/>
          </w:tcPr>
          <w:p w14:paraId="7ADD7F7D" w14:textId="77777777" w:rsidR="00716350" w:rsidRPr="001A4D33"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1E70E25C" w14:textId="77777777" w:rsidR="00716350" w:rsidRPr="00B556AC"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bottom w:val="nil"/>
            </w:tcBorders>
            <w:shd w:val="clear" w:color="auto" w:fill="FFFFFF" w:themeFill="background1"/>
          </w:tcPr>
          <w:p w14:paraId="6BA8B850" w14:textId="77AADD2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w:t>
            </w:r>
            <w:r w:rsidRPr="00E92E6B">
              <w:rPr>
                <w:rFonts w:ascii="Arial" w:hAnsi="Arial" w:cs="Arial"/>
                <w:color w:val="000000"/>
                <w:sz w:val="16"/>
                <w:szCs w:val="16"/>
              </w:rPr>
              <w:br/>
              <w:t>0</w:t>
            </w:r>
          </w:p>
        </w:tc>
        <w:tc>
          <w:tcPr>
            <w:tcW w:w="665" w:type="dxa"/>
            <w:tcBorders>
              <w:bottom w:val="nil"/>
            </w:tcBorders>
            <w:shd w:val="clear" w:color="auto" w:fill="FFFFFF" w:themeFill="background1"/>
          </w:tcPr>
          <w:p w14:paraId="42B3CD8C" w14:textId="36B954D9"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w:t>
            </w:r>
            <w:r w:rsidRPr="00E92E6B">
              <w:rPr>
                <w:rFonts w:ascii="Arial" w:hAnsi="Arial" w:cs="Arial"/>
                <w:color w:val="000000"/>
                <w:sz w:val="16"/>
                <w:szCs w:val="16"/>
              </w:rPr>
              <w:br/>
              <w:t>0</w:t>
            </w:r>
          </w:p>
        </w:tc>
        <w:tc>
          <w:tcPr>
            <w:tcW w:w="664" w:type="dxa"/>
            <w:tcBorders>
              <w:bottom w:val="nil"/>
            </w:tcBorders>
            <w:shd w:val="clear" w:color="auto" w:fill="FFFFFF" w:themeFill="background1"/>
          </w:tcPr>
          <w:p w14:paraId="06E150B3" w14:textId="2C2B3D05"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w:t>
            </w:r>
            <w:r w:rsidRPr="00E92E6B">
              <w:rPr>
                <w:rFonts w:ascii="Arial" w:hAnsi="Arial" w:cs="Arial"/>
                <w:color w:val="000000"/>
                <w:sz w:val="16"/>
                <w:szCs w:val="16"/>
              </w:rPr>
              <w:br/>
              <w:t>0</w:t>
            </w:r>
          </w:p>
        </w:tc>
        <w:tc>
          <w:tcPr>
            <w:tcW w:w="648" w:type="dxa"/>
            <w:tcBorders>
              <w:bottom w:val="nil"/>
            </w:tcBorders>
            <w:shd w:val="clear" w:color="auto" w:fill="E5FAFF"/>
          </w:tcPr>
          <w:p w14:paraId="0CE19888" w14:textId="10DF77AC"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-0.2</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E5FAFF"/>
          </w:tcPr>
          <w:p w14:paraId="45A5410B" w14:textId="322ECA81"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w:t>
            </w:r>
            <w:r w:rsidRPr="00E92E6B">
              <w:rPr>
                <w:rFonts w:ascii="Arial" w:hAnsi="Arial" w:cs="Arial"/>
                <w:color w:val="000000"/>
                <w:sz w:val="16"/>
                <w:szCs w:val="16"/>
              </w:rPr>
              <w:br/>
              <w:t>-1.2</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E5FAFF"/>
          </w:tcPr>
          <w:p w14:paraId="6FBD2034" w14:textId="63F5A1C9"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-6.9</w:t>
            </w:r>
            <w:r w:rsidRPr="00E92E6B">
              <w:rPr>
                <w:rFonts w:ascii="Arial" w:hAnsi="Arial" w:cs="Arial"/>
                <w:color w:val="000000"/>
                <w:sz w:val="16"/>
                <w:szCs w:val="16"/>
              </w:rPr>
              <w:br/>
              <w:t>-9.7</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E5FAFF"/>
          </w:tcPr>
          <w:p w14:paraId="45896998" w14:textId="509F6492"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33" w:type="dxa"/>
            <w:tcBorders>
              <w:bottom w:val="nil"/>
            </w:tcBorders>
            <w:shd w:val="clear" w:color="auto" w:fill="E5FAFF"/>
          </w:tcPr>
          <w:p w14:paraId="43A4CC0D" w14:textId="36B78483"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-0.2</w:t>
            </w:r>
          </w:p>
        </w:tc>
        <w:tc>
          <w:tcPr>
            <w:tcW w:w="720" w:type="dxa"/>
            <w:tcBorders>
              <w:bottom w:val="nil"/>
            </w:tcBorders>
            <w:shd w:val="clear" w:color="auto" w:fill="E5FAFF"/>
          </w:tcPr>
          <w:p w14:paraId="2434F4C7" w14:textId="34AB782C"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92" w:type="dxa"/>
            <w:tcBorders>
              <w:bottom w:val="nil"/>
            </w:tcBorders>
            <w:shd w:val="clear" w:color="auto" w:fill="E5FAFF"/>
          </w:tcPr>
          <w:p w14:paraId="1E9F38E8" w14:textId="4B9553D8"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-0.7</w:t>
            </w:r>
            <w:r w:rsidRPr="00E92E6B">
              <w:rPr>
                <w:rFonts w:ascii="Arial" w:hAnsi="Arial" w:cs="Arial"/>
                <w:color w:val="000000"/>
                <w:sz w:val="16"/>
                <w:szCs w:val="16"/>
              </w:rPr>
              <w:br/>
              <w:t>-0.7</w:t>
            </w:r>
          </w:p>
        </w:tc>
        <w:tc>
          <w:tcPr>
            <w:tcW w:w="692" w:type="dxa"/>
            <w:tcBorders>
              <w:bottom w:val="nil"/>
            </w:tcBorders>
            <w:shd w:val="clear" w:color="auto" w:fill="E5FAFF"/>
          </w:tcPr>
          <w:p w14:paraId="5D56E21D" w14:textId="364F54DF"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-4.9</w:t>
            </w:r>
            <w:r w:rsidRPr="00E92E6B">
              <w:rPr>
                <w:rFonts w:ascii="Arial" w:hAnsi="Arial" w:cs="Arial"/>
                <w:color w:val="000000"/>
                <w:sz w:val="16"/>
                <w:szCs w:val="16"/>
              </w:rPr>
              <w:br/>
              <w:t>-6.3</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FFFF" w:themeFill="background1"/>
          </w:tcPr>
          <w:p w14:paraId="692D5776" w14:textId="3656536D"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0.0</w:t>
            </w:r>
          </w:p>
        </w:tc>
        <w:tc>
          <w:tcPr>
            <w:tcW w:w="692" w:type="dxa"/>
            <w:tcBorders>
              <w:bottom w:val="nil"/>
            </w:tcBorders>
            <w:shd w:val="clear" w:color="auto" w:fill="E5FAFF"/>
          </w:tcPr>
          <w:p w14:paraId="0B813D69" w14:textId="19CBAEDD"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-0.2</w:t>
            </w:r>
          </w:p>
        </w:tc>
        <w:tc>
          <w:tcPr>
            <w:tcW w:w="692" w:type="dxa"/>
            <w:tcBorders>
              <w:bottom w:val="nil"/>
            </w:tcBorders>
            <w:shd w:val="clear" w:color="auto" w:fill="E5FAFF"/>
          </w:tcPr>
          <w:p w14:paraId="781D9C10" w14:textId="3E1EE882"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-1.3</w:t>
            </w:r>
            <w:r w:rsidRPr="00E92E6B">
              <w:rPr>
                <w:rFonts w:ascii="Arial" w:hAnsi="Arial" w:cs="Arial"/>
                <w:color w:val="000000"/>
                <w:sz w:val="16"/>
                <w:szCs w:val="16"/>
              </w:rPr>
              <w:br/>
              <w:t>-1.4</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E5FAFF"/>
          </w:tcPr>
          <w:p w14:paraId="22F9177D" w14:textId="6FB3C0F8"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-3.8</w:t>
            </w:r>
            <w:r w:rsidRPr="00E92E6B">
              <w:rPr>
                <w:rFonts w:ascii="Arial" w:hAnsi="Arial" w:cs="Arial"/>
                <w:color w:val="000000"/>
                <w:sz w:val="16"/>
                <w:szCs w:val="16"/>
              </w:rPr>
              <w:br/>
              <w:t>-3.7</w:t>
            </w:r>
            <w:r w:rsidRPr="00E92E6B">
              <w:rPr>
                <w:rFonts w:ascii="Wingdings 3" w:eastAsia="Wingdings 3" w:hAnsi="Wingdings 3" w:cs="Wingdings 3"/>
                <w:color w:val="FF0000"/>
                <w:sz w:val="16"/>
                <w:szCs w:val="16"/>
              </w:rPr>
              <w:sym w:font="Wingdings 3" w:char="F0C8"/>
            </w:r>
          </w:p>
        </w:tc>
      </w:tr>
      <w:tr w:rsidR="008D11AD" w:rsidRPr="00B556AC" w14:paraId="544495B0" w14:textId="77777777" w:rsidTr="007E4E86">
        <w:tc>
          <w:tcPr>
            <w:cnfStyle w:val="001000000000" w:firstRow="0" w:lastRow="0" w:firstColumn="1" w:lastColumn="0" w:oddVBand="0" w:evenVBand="0" w:oddHBand="0" w:evenHBand="0" w:firstRowFirstColumn="0" w:firstRowLastColumn="0" w:lastRowFirstColumn="0" w:lastRowLastColumn="0"/>
            <w:tcW w:w="3072" w:type="dxa"/>
            <w:shd w:val="clear" w:color="auto" w:fill="FFFFFF" w:themeFill="background1"/>
            <w:vAlign w:val="bottom"/>
          </w:tcPr>
          <w:p w14:paraId="24C0D809" w14:textId="77777777" w:rsidR="00716350" w:rsidRPr="00B556AC" w:rsidRDefault="00716350" w:rsidP="00716350">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Change in number of days/year above 35 degrees</w:t>
            </w:r>
            <w:r>
              <w:rPr>
                <w:rFonts w:ascii="Calibri" w:hAnsi="Calibri" w:cs="Calibri"/>
                <w:b w:val="0"/>
                <w:bCs w:val="0"/>
                <w:color w:val="000000" w:themeColor="text2"/>
                <w:sz w:val="20"/>
                <w:szCs w:val="20"/>
              </w:rPr>
              <w:t xml:space="preserve"> </w:t>
            </w:r>
            <w:r w:rsidRPr="00E92E6B">
              <w:rPr>
                <w:rFonts w:asciiTheme="minorHAnsi" w:hAnsiTheme="minorHAnsi" w:cs="Calibri"/>
                <w:b w:val="0"/>
                <w:bCs w:val="0"/>
                <w:sz w:val="16"/>
                <w:szCs w:val="16"/>
              </w:rPr>
              <w:t>(</w:t>
            </w:r>
            <w:r>
              <w:rPr>
                <w:rFonts w:asciiTheme="minorHAnsi" w:hAnsiTheme="minorHAnsi" w:cs="Calibri"/>
                <w:b w:val="0"/>
                <w:bCs w:val="0"/>
                <w:sz w:val="16"/>
                <w:szCs w:val="16"/>
              </w:rPr>
              <w:t>days</w:t>
            </w:r>
            <w:r w:rsidRPr="00E92E6B">
              <w:rPr>
                <w:rFonts w:asciiTheme="minorHAnsi" w:hAnsiTheme="minorHAnsi" w:cs="Calibri"/>
                <w:b w:val="0"/>
                <w:bCs w:val="0"/>
                <w:sz w:val="16"/>
                <w:szCs w:val="16"/>
              </w:rPr>
              <w:t>)</w:t>
            </w:r>
          </w:p>
        </w:tc>
        <w:tc>
          <w:tcPr>
            <w:tcW w:w="618" w:type="dxa"/>
            <w:shd w:val="clear" w:color="auto" w:fill="FFFFFF" w:themeFill="background1"/>
          </w:tcPr>
          <w:p w14:paraId="152C947C" w14:textId="77777777" w:rsidR="00716350" w:rsidRPr="001A4D33"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6A4909E6" w14:textId="77777777" w:rsidR="00716350" w:rsidRPr="00B556AC"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bottom w:val="nil"/>
            </w:tcBorders>
            <w:shd w:val="clear" w:color="auto" w:fill="FFEBEB"/>
          </w:tcPr>
          <w:p w14:paraId="0F0DA6E2" w14:textId="15A34C0D"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49.3</w:t>
            </w:r>
            <w:r w:rsidRPr="00E92E6B">
              <w:rPr>
                <w:rFonts w:ascii="Arial" w:hAnsi="Arial" w:cs="Arial"/>
                <w:color w:val="000000"/>
                <w:sz w:val="16"/>
                <w:szCs w:val="16"/>
              </w:rPr>
              <w:br/>
              <w:t>71.9</w:t>
            </w:r>
            <w:r w:rsidRPr="00E92E6B">
              <w:rPr>
                <w:rFonts w:asciiTheme="minorHAnsi" w:eastAsia="Wingdings 3" w:hAnsiTheme="minorHAnsi" w:cstheme="minorHAnsi"/>
                <w:sz w:val="16"/>
                <w:szCs w:val="16"/>
              </w:rPr>
              <w:sym w:font="Wingdings 3" w:char="F0C7"/>
            </w:r>
          </w:p>
        </w:tc>
        <w:tc>
          <w:tcPr>
            <w:tcW w:w="665" w:type="dxa"/>
            <w:tcBorders>
              <w:bottom w:val="nil"/>
            </w:tcBorders>
            <w:shd w:val="clear" w:color="auto" w:fill="FFEBEB"/>
          </w:tcPr>
          <w:p w14:paraId="19C7D5EA" w14:textId="5E6B788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36.7</w:t>
            </w:r>
            <w:r w:rsidRPr="00E92E6B">
              <w:rPr>
                <w:rFonts w:ascii="Arial" w:hAnsi="Arial" w:cs="Arial"/>
                <w:color w:val="000000"/>
                <w:sz w:val="16"/>
                <w:szCs w:val="16"/>
              </w:rPr>
              <w:br/>
              <w:t>56.6</w:t>
            </w:r>
            <w:r w:rsidRPr="00E92E6B">
              <w:rPr>
                <w:rFonts w:asciiTheme="minorHAnsi" w:eastAsia="Wingdings 3" w:hAnsiTheme="minorHAnsi" w:cstheme="minorHAnsi"/>
                <w:sz w:val="16"/>
                <w:szCs w:val="16"/>
              </w:rPr>
              <w:sym w:font="Wingdings 3" w:char="F0C7"/>
            </w:r>
          </w:p>
        </w:tc>
        <w:tc>
          <w:tcPr>
            <w:tcW w:w="664" w:type="dxa"/>
            <w:tcBorders>
              <w:bottom w:val="nil"/>
            </w:tcBorders>
            <w:shd w:val="clear" w:color="auto" w:fill="FFEBEB"/>
          </w:tcPr>
          <w:p w14:paraId="2266331F" w14:textId="68C9B3B3"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5.3</w:t>
            </w:r>
            <w:r w:rsidRPr="00E92E6B">
              <w:rPr>
                <w:rFonts w:ascii="Arial" w:hAnsi="Arial" w:cs="Arial"/>
                <w:color w:val="000000"/>
                <w:sz w:val="16"/>
                <w:szCs w:val="16"/>
              </w:rPr>
              <w:br/>
              <w:t>9.0</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45C4002E" w14:textId="1D6F861A"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29.8</w:t>
            </w:r>
            <w:r w:rsidRPr="00E92E6B">
              <w:rPr>
                <w:rFonts w:ascii="Arial" w:hAnsi="Arial" w:cs="Arial"/>
                <w:color w:val="000000"/>
                <w:sz w:val="16"/>
                <w:szCs w:val="16"/>
              </w:rPr>
              <w:br/>
              <w:t>45.0</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0B47CF56" w14:textId="53F4F584"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16.2</w:t>
            </w:r>
            <w:r w:rsidRPr="00E92E6B">
              <w:rPr>
                <w:rFonts w:ascii="Arial" w:hAnsi="Arial" w:cs="Arial"/>
                <w:color w:val="000000"/>
                <w:sz w:val="16"/>
                <w:szCs w:val="16"/>
              </w:rPr>
              <w:br/>
              <w:t>24.0</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5CE9DBED" w14:textId="5FA21A94"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15.2</w:t>
            </w:r>
            <w:r w:rsidRPr="00E92E6B">
              <w:rPr>
                <w:rFonts w:ascii="Arial" w:hAnsi="Arial" w:cs="Arial"/>
                <w:color w:val="000000"/>
                <w:sz w:val="16"/>
                <w:szCs w:val="16"/>
              </w:rPr>
              <w:br/>
              <w:t>24.6</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12A6EA18" w14:textId="5393BEA7"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11.9</w:t>
            </w:r>
            <w:r w:rsidRPr="00E92E6B">
              <w:rPr>
                <w:rFonts w:ascii="Arial" w:hAnsi="Arial" w:cs="Arial"/>
                <w:color w:val="000000"/>
                <w:sz w:val="16"/>
                <w:szCs w:val="16"/>
              </w:rPr>
              <w:br/>
              <w:t>20.3</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286F49C7" w14:textId="0BB9574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2.8</w:t>
            </w:r>
            <w:r w:rsidRPr="00E92E6B">
              <w:rPr>
                <w:rFonts w:ascii="Arial" w:hAnsi="Arial" w:cs="Arial"/>
                <w:color w:val="000000"/>
                <w:sz w:val="16"/>
                <w:szCs w:val="16"/>
              </w:rPr>
              <w:br/>
              <w:t>5.7</w:t>
            </w:r>
            <w:r w:rsidRPr="00E92E6B">
              <w:rPr>
                <w:rFonts w:asciiTheme="minorHAnsi" w:eastAsia="Wingdings 3" w:hAnsiTheme="minorHAnsi" w:cstheme="minorHAnsi"/>
                <w:sz w:val="16"/>
                <w:szCs w:val="16"/>
              </w:rPr>
              <w:sym w:font="Wingdings 3" w:char="F0C7"/>
            </w:r>
          </w:p>
        </w:tc>
        <w:tc>
          <w:tcPr>
            <w:tcW w:w="720" w:type="dxa"/>
            <w:tcBorders>
              <w:top w:val="nil"/>
              <w:bottom w:val="nil"/>
            </w:tcBorders>
            <w:shd w:val="clear" w:color="auto" w:fill="FFEBEB"/>
          </w:tcPr>
          <w:p w14:paraId="506E0D77" w14:textId="61DF11D1"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10.6</w:t>
            </w:r>
            <w:r w:rsidRPr="00E92E6B">
              <w:rPr>
                <w:rFonts w:ascii="Arial" w:hAnsi="Arial" w:cs="Arial"/>
                <w:color w:val="000000"/>
                <w:sz w:val="16"/>
                <w:szCs w:val="16"/>
              </w:rPr>
              <w:br/>
              <w:t>14.3</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29077496" w14:textId="3FA524BD"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7.5</w:t>
            </w:r>
            <w:r w:rsidRPr="00E92E6B">
              <w:rPr>
                <w:rFonts w:ascii="Arial" w:hAnsi="Arial" w:cs="Arial"/>
                <w:color w:val="000000"/>
                <w:sz w:val="16"/>
                <w:szCs w:val="16"/>
              </w:rPr>
              <w:br/>
              <w:t>12.5</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1E10569E" w14:textId="53451DEA"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10.4</w:t>
            </w:r>
            <w:r w:rsidRPr="00E92E6B">
              <w:rPr>
                <w:rFonts w:ascii="Arial" w:hAnsi="Arial" w:cs="Arial"/>
                <w:color w:val="000000"/>
                <w:sz w:val="16"/>
                <w:szCs w:val="16"/>
              </w:rPr>
              <w:br/>
              <w:t>17.1</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73D7A0BF" w14:textId="26FD6F77"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2.1</w:t>
            </w:r>
            <w:r w:rsidRPr="00E92E6B">
              <w:rPr>
                <w:rFonts w:ascii="Arial" w:hAnsi="Arial" w:cs="Arial"/>
                <w:color w:val="000000"/>
                <w:sz w:val="16"/>
                <w:szCs w:val="16"/>
              </w:rPr>
              <w:br/>
              <w:t>3.0</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323EA5D1" w14:textId="0AA88F07"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3.7</w:t>
            </w:r>
            <w:r w:rsidRPr="00E92E6B">
              <w:rPr>
                <w:rFonts w:ascii="Arial" w:hAnsi="Arial" w:cs="Arial"/>
                <w:color w:val="000000"/>
                <w:sz w:val="16"/>
                <w:szCs w:val="16"/>
              </w:rPr>
              <w:br/>
              <w:t>6.0</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FFFF" w:themeFill="background1"/>
          </w:tcPr>
          <w:p w14:paraId="286C0218" w14:textId="7A329B97"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0.0</w:t>
            </w:r>
          </w:p>
        </w:tc>
        <w:tc>
          <w:tcPr>
            <w:tcW w:w="692" w:type="dxa"/>
            <w:tcBorders>
              <w:top w:val="nil"/>
              <w:bottom w:val="nil"/>
            </w:tcBorders>
            <w:shd w:val="clear" w:color="auto" w:fill="FFEBEB"/>
          </w:tcPr>
          <w:p w14:paraId="52990AEA" w14:textId="3198DDA6"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1.0</w:t>
            </w:r>
            <w:r w:rsidRPr="00E92E6B">
              <w:rPr>
                <w:rFonts w:asciiTheme="minorHAnsi" w:eastAsia="Wingdings 3" w:hAnsiTheme="minorHAnsi" w:cstheme="minorHAnsi"/>
                <w:sz w:val="16"/>
                <w:szCs w:val="16"/>
              </w:rPr>
              <w:sym w:font="Wingdings 3" w:char="F0C7"/>
            </w:r>
          </w:p>
        </w:tc>
      </w:tr>
      <w:tr w:rsidR="000651DF" w:rsidRPr="00B556AC" w14:paraId="58E7BA8B"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tcBorders>
              <w:bottom w:val="nil"/>
            </w:tcBorders>
            <w:shd w:val="clear" w:color="auto" w:fill="FFFFFF" w:themeFill="background1"/>
            <w:vAlign w:val="bottom"/>
          </w:tcPr>
          <w:p w14:paraId="662F633E" w14:textId="77777777" w:rsidR="00716350" w:rsidRPr="00B556AC" w:rsidRDefault="00716350" w:rsidP="00716350">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Change in days/year &gt; 99.9</w:t>
            </w:r>
            <w:r w:rsidRPr="007B0273">
              <w:rPr>
                <w:rFonts w:ascii="Calibri" w:hAnsi="Calibri" w:cs="Calibri"/>
                <w:b w:val="0"/>
                <w:color w:val="000000" w:themeColor="text2"/>
                <w:sz w:val="20"/>
                <w:szCs w:val="20"/>
                <w:vertAlign w:val="superscript"/>
              </w:rPr>
              <w:t>th</w:t>
            </w:r>
            <w:r w:rsidRPr="4C93E165">
              <w:rPr>
                <w:rFonts w:ascii="Calibri" w:hAnsi="Calibri" w:cs="Calibri"/>
                <w:b w:val="0"/>
                <w:bCs w:val="0"/>
                <w:color w:val="000000" w:themeColor="text2"/>
                <w:sz w:val="20"/>
                <w:szCs w:val="20"/>
              </w:rPr>
              <w:t xml:space="preserve"> percentile rainfall</w:t>
            </w:r>
            <w:r>
              <w:rPr>
                <w:rFonts w:ascii="Calibri" w:hAnsi="Calibri" w:cs="Calibri"/>
                <w:b w:val="0"/>
                <w:bCs w:val="0"/>
                <w:color w:val="000000" w:themeColor="text2"/>
                <w:sz w:val="20"/>
                <w:szCs w:val="20"/>
              </w:rPr>
              <w:t xml:space="preserve"> </w:t>
            </w:r>
            <w:r w:rsidRPr="00E92E6B">
              <w:rPr>
                <w:rFonts w:asciiTheme="minorHAnsi" w:hAnsiTheme="minorHAnsi" w:cs="Calibri"/>
                <w:b w:val="0"/>
                <w:bCs w:val="0"/>
                <w:sz w:val="16"/>
                <w:szCs w:val="16"/>
              </w:rPr>
              <w:t>(</w:t>
            </w:r>
            <w:r>
              <w:rPr>
                <w:rFonts w:asciiTheme="minorHAnsi" w:hAnsiTheme="minorHAnsi" w:cs="Calibri"/>
                <w:b w:val="0"/>
                <w:bCs w:val="0"/>
                <w:sz w:val="16"/>
                <w:szCs w:val="16"/>
              </w:rPr>
              <w:t>days</w:t>
            </w:r>
            <w:r w:rsidRPr="00E92E6B">
              <w:rPr>
                <w:rFonts w:asciiTheme="minorHAnsi" w:hAnsiTheme="minorHAnsi" w:cs="Calibri"/>
                <w:b w:val="0"/>
                <w:bCs w:val="0"/>
                <w:sz w:val="16"/>
                <w:szCs w:val="16"/>
              </w:rPr>
              <w:t>)</w:t>
            </w:r>
          </w:p>
        </w:tc>
        <w:tc>
          <w:tcPr>
            <w:tcW w:w="618" w:type="dxa"/>
            <w:tcBorders>
              <w:bottom w:val="nil"/>
            </w:tcBorders>
            <w:shd w:val="clear" w:color="auto" w:fill="FFFFFF" w:themeFill="background1"/>
          </w:tcPr>
          <w:p w14:paraId="42FF275A" w14:textId="77777777" w:rsidR="00716350" w:rsidRPr="001A4D33"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51957BC4" w14:textId="77777777" w:rsidR="00716350" w:rsidRPr="00B556AC"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top w:val="nil"/>
              <w:bottom w:val="nil"/>
            </w:tcBorders>
            <w:shd w:val="clear" w:color="auto" w:fill="FFEBEB"/>
          </w:tcPr>
          <w:p w14:paraId="6EB9E066" w14:textId="3F6F382E"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0.3</w:t>
            </w:r>
            <w:r w:rsidRPr="00E92E6B">
              <w:rPr>
                <w:rFonts w:asciiTheme="minorHAnsi" w:eastAsia="Wingdings 3" w:hAnsiTheme="minorHAnsi" w:cstheme="minorHAnsi"/>
                <w:sz w:val="16"/>
                <w:szCs w:val="16"/>
              </w:rPr>
              <w:sym w:font="Wingdings 3" w:char="F0C7"/>
            </w:r>
          </w:p>
        </w:tc>
        <w:tc>
          <w:tcPr>
            <w:tcW w:w="665" w:type="dxa"/>
            <w:tcBorders>
              <w:top w:val="nil"/>
              <w:bottom w:val="nil"/>
            </w:tcBorders>
            <w:shd w:val="clear" w:color="auto" w:fill="FFEBEB"/>
          </w:tcPr>
          <w:p w14:paraId="6BE28CDB" w14:textId="0FE28B48"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0.3</w:t>
            </w:r>
          </w:p>
        </w:tc>
        <w:tc>
          <w:tcPr>
            <w:tcW w:w="664" w:type="dxa"/>
            <w:tcBorders>
              <w:top w:val="nil"/>
              <w:bottom w:val="nil"/>
            </w:tcBorders>
            <w:shd w:val="clear" w:color="auto" w:fill="FFEBEB"/>
          </w:tcPr>
          <w:p w14:paraId="6D42ABA9" w14:textId="5D29EAFD"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0.4</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31C06735" w14:textId="35481C1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0.1</w:t>
            </w:r>
            <w:r w:rsidRPr="00E92E6B">
              <w:rPr>
                <w:rFonts w:ascii="Wingdings 3" w:eastAsia="Wingdings 3" w:hAnsi="Wingdings 3" w:cs="Wingdings 3"/>
                <w:color w:val="FF0000"/>
                <w:sz w:val="16"/>
                <w:szCs w:val="16"/>
              </w:rPr>
              <w:sym w:font="Wingdings 3" w:char="F0C8"/>
            </w:r>
          </w:p>
        </w:tc>
        <w:tc>
          <w:tcPr>
            <w:tcW w:w="648" w:type="dxa"/>
            <w:tcBorders>
              <w:top w:val="nil"/>
              <w:bottom w:val="nil"/>
            </w:tcBorders>
            <w:shd w:val="clear" w:color="auto" w:fill="FFEBEB"/>
          </w:tcPr>
          <w:p w14:paraId="3D443CFD" w14:textId="51A606EE"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48" w:type="dxa"/>
            <w:tcBorders>
              <w:top w:val="nil"/>
              <w:bottom w:val="nil"/>
            </w:tcBorders>
            <w:shd w:val="clear" w:color="auto" w:fill="FFEBEB"/>
          </w:tcPr>
          <w:p w14:paraId="7DE47C7D" w14:textId="5874D5FF"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0.2</w:t>
            </w:r>
          </w:p>
        </w:tc>
        <w:tc>
          <w:tcPr>
            <w:tcW w:w="633" w:type="dxa"/>
            <w:tcBorders>
              <w:top w:val="nil"/>
              <w:bottom w:val="nil"/>
            </w:tcBorders>
            <w:shd w:val="clear" w:color="auto" w:fill="FFEBEB"/>
          </w:tcPr>
          <w:p w14:paraId="4188CBA9" w14:textId="30F9C7A4"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33" w:type="dxa"/>
            <w:tcBorders>
              <w:top w:val="nil"/>
              <w:bottom w:val="nil"/>
            </w:tcBorders>
            <w:shd w:val="clear" w:color="auto" w:fill="FFEBEB"/>
          </w:tcPr>
          <w:p w14:paraId="37F9DCCD" w14:textId="583131F8"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720" w:type="dxa"/>
            <w:tcBorders>
              <w:top w:val="nil"/>
              <w:bottom w:val="nil"/>
            </w:tcBorders>
            <w:shd w:val="clear" w:color="auto" w:fill="FFEBEB"/>
          </w:tcPr>
          <w:p w14:paraId="0798661D" w14:textId="08242C4B"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92" w:type="dxa"/>
            <w:tcBorders>
              <w:top w:val="nil"/>
              <w:bottom w:val="nil"/>
            </w:tcBorders>
            <w:shd w:val="clear" w:color="auto" w:fill="FFEBEB"/>
          </w:tcPr>
          <w:p w14:paraId="7C921E81" w14:textId="6C6BD1BD"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0.1</w:t>
            </w:r>
            <w:r w:rsidRPr="00E92E6B">
              <w:rPr>
                <w:rFonts w:ascii="Wingdings 3" w:eastAsia="Wingdings 3" w:hAnsi="Wingdings 3" w:cs="Wingdings 3"/>
                <w:color w:val="FF0000"/>
                <w:sz w:val="16"/>
                <w:szCs w:val="16"/>
              </w:rPr>
              <w:sym w:font="Wingdings 3" w:char="F0C8"/>
            </w:r>
          </w:p>
        </w:tc>
        <w:tc>
          <w:tcPr>
            <w:tcW w:w="692" w:type="dxa"/>
            <w:tcBorders>
              <w:top w:val="nil"/>
              <w:bottom w:val="nil"/>
            </w:tcBorders>
            <w:shd w:val="clear" w:color="auto" w:fill="FFEBEB"/>
          </w:tcPr>
          <w:p w14:paraId="0CA92F01" w14:textId="4467D1FF"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0.2</w:t>
            </w:r>
            <w:r w:rsidRPr="00E92E6B">
              <w:rPr>
                <w:rFonts w:ascii="Wingdings 3" w:eastAsia="Wingdings 3" w:hAnsi="Wingdings 3" w:cs="Wingdings 3"/>
                <w:color w:val="FF0000"/>
                <w:sz w:val="16"/>
                <w:szCs w:val="16"/>
              </w:rPr>
              <w:sym w:font="Wingdings 3" w:char="F0C8"/>
            </w:r>
          </w:p>
        </w:tc>
        <w:tc>
          <w:tcPr>
            <w:tcW w:w="692" w:type="dxa"/>
            <w:tcBorders>
              <w:top w:val="nil"/>
              <w:bottom w:val="nil"/>
            </w:tcBorders>
            <w:shd w:val="clear" w:color="auto" w:fill="FFEBEB"/>
          </w:tcPr>
          <w:p w14:paraId="517D01D1" w14:textId="5CA7EE4C"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92" w:type="dxa"/>
            <w:tcBorders>
              <w:top w:val="nil"/>
              <w:bottom w:val="nil"/>
            </w:tcBorders>
            <w:shd w:val="clear" w:color="auto" w:fill="FFEBEB"/>
          </w:tcPr>
          <w:p w14:paraId="43BBA191" w14:textId="5D249F6D"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0.3</w:t>
            </w:r>
          </w:p>
        </w:tc>
        <w:tc>
          <w:tcPr>
            <w:tcW w:w="692" w:type="dxa"/>
            <w:tcBorders>
              <w:bottom w:val="nil"/>
            </w:tcBorders>
            <w:shd w:val="clear" w:color="auto" w:fill="FFEBEB"/>
          </w:tcPr>
          <w:p w14:paraId="10320E12" w14:textId="158507FC"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0.5</w:t>
            </w:r>
          </w:p>
        </w:tc>
        <w:tc>
          <w:tcPr>
            <w:tcW w:w="692" w:type="dxa"/>
            <w:tcBorders>
              <w:top w:val="nil"/>
              <w:bottom w:val="nil"/>
            </w:tcBorders>
            <w:shd w:val="clear" w:color="auto" w:fill="FFEBEB"/>
          </w:tcPr>
          <w:p w14:paraId="6B528C92" w14:textId="4EA4B21C"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0.2</w:t>
            </w:r>
          </w:p>
        </w:tc>
      </w:tr>
      <w:tr w:rsidR="008D11AD" w:rsidRPr="00B556AC" w14:paraId="33999D3B" w14:textId="77777777" w:rsidTr="007E4E86">
        <w:tc>
          <w:tcPr>
            <w:cnfStyle w:val="001000000000" w:firstRow="0" w:lastRow="0" w:firstColumn="1" w:lastColumn="0" w:oddVBand="0" w:evenVBand="0" w:oddHBand="0" w:evenHBand="0" w:firstRowFirstColumn="0" w:firstRowLastColumn="0" w:lastRowFirstColumn="0" w:lastRowLastColumn="0"/>
            <w:tcW w:w="3072" w:type="dxa"/>
            <w:tcBorders>
              <w:bottom w:val="single" w:sz="4" w:space="0" w:color="auto"/>
            </w:tcBorders>
            <w:shd w:val="clear" w:color="auto" w:fill="FFFFFF" w:themeFill="background1"/>
            <w:vAlign w:val="bottom"/>
          </w:tcPr>
          <w:p w14:paraId="4CEC49ED" w14:textId="77777777" w:rsidR="00716350" w:rsidRPr="00B556AC" w:rsidRDefault="00716350" w:rsidP="00716350">
            <w:pPr>
              <w:rPr>
                <w:rFonts w:asciiTheme="minorHAnsi" w:hAnsiTheme="minorHAnsi" w:cs="Calibri"/>
                <w:b w:val="0"/>
                <w:bCs w:val="0"/>
                <w:sz w:val="20"/>
                <w:szCs w:val="20"/>
              </w:rPr>
            </w:pPr>
            <w:r w:rsidRPr="4C93E165">
              <w:rPr>
                <w:rFonts w:ascii="Calibri" w:hAnsi="Calibri" w:cs="Calibri"/>
                <w:b w:val="0"/>
                <w:bCs w:val="0"/>
                <w:color w:val="000000" w:themeColor="text2"/>
                <w:sz w:val="20"/>
                <w:szCs w:val="20"/>
              </w:rPr>
              <w:t xml:space="preserve">Change in number months/year  </w:t>
            </w:r>
            <w:r>
              <w:rPr>
                <w:rFonts w:ascii="Calibri" w:hAnsi="Calibri" w:cs="Calibri"/>
                <w:b w:val="0"/>
                <w:bCs w:val="0"/>
                <w:color w:val="000000" w:themeColor="text2"/>
                <w:sz w:val="20"/>
                <w:szCs w:val="20"/>
              </w:rPr>
              <w:t>&lt;</w:t>
            </w:r>
            <w:r w:rsidRPr="4C93E165">
              <w:rPr>
                <w:rFonts w:ascii="Calibri" w:hAnsi="Calibri" w:cs="Calibri"/>
                <w:b w:val="0"/>
                <w:bCs w:val="0"/>
                <w:color w:val="000000" w:themeColor="text2"/>
                <w:sz w:val="20"/>
                <w:szCs w:val="20"/>
              </w:rPr>
              <w:t>10</w:t>
            </w:r>
            <w:r w:rsidRPr="007B0273">
              <w:rPr>
                <w:rFonts w:ascii="Calibri" w:hAnsi="Calibri" w:cs="Calibri"/>
                <w:b w:val="0"/>
                <w:color w:val="000000" w:themeColor="text2"/>
                <w:sz w:val="20"/>
                <w:szCs w:val="20"/>
                <w:vertAlign w:val="superscript"/>
              </w:rPr>
              <w:t>th</w:t>
            </w:r>
            <w:r w:rsidRPr="4C93E165">
              <w:rPr>
                <w:rFonts w:ascii="Calibri" w:hAnsi="Calibri" w:cs="Calibri"/>
                <w:b w:val="0"/>
                <w:bCs w:val="0"/>
                <w:color w:val="000000" w:themeColor="text2"/>
                <w:sz w:val="20"/>
                <w:szCs w:val="20"/>
              </w:rPr>
              <w:t xml:space="preserve"> percentile rainfall</w:t>
            </w:r>
            <w:r>
              <w:rPr>
                <w:rFonts w:ascii="Calibri" w:hAnsi="Calibri" w:cs="Calibri"/>
                <w:b w:val="0"/>
                <w:bCs w:val="0"/>
                <w:color w:val="000000" w:themeColor="text2"/>
                <w:sz w:val="20"/>
                <w:szCs w:val="20"/>
              </w:rPr>
              <w:t xml:space="preserve"> </w:t>
            </w:r>
            <w:r w:rsidRPr="00E92E6B">
              <w:rPr>
                <w:rFonts w:asciiTheme="minorHAnsi" w:hAnsiTheme="minorHAnsi" w:cs="Calibri"/>
                <w:b w:val="0"/>
                <w:bCs w:val="0"/>
                <w:sz w:val="16"/>
                <w:szCs w:val="16"/>
              </w:rPr>
              <w:t>(</w:t>
            </w:r>
            <w:r>
              <w:rPr>
                <w:rFonts w:asciiTheme="minorHAnsi" w:hAnsiTheme="minorHAnsi" w:cs="Calibri"/>
                <w:b w:val="0"/>
                <w:bCs w:val="0"/>
                <w:sz w:val="16"/>
                <w:szCs w:val="16"/>
              </w:rPr>
              <w:t>days</w:t>
            </w:r>
            <w:r w:rsidRPr="00E92E6B">
              <w:rPr>
                <w:rFonts w:asciiTheme="minorHAnsi" w:hAnsiTheme="minorHAnsi" w:cs="Calibri"/>
                <w:b w:val="0"/>
                <w:bCs w:val="0"/>
                <w:sz w:val="16"/>
                <w:szCs w:val="16"/>
              </w:rPr>
              <w:t>)</w:t>
            </w:r>
          </w:p>
        </w:tc>
        <w:tc>
          <w:tcPr>
            <w:tcW w:w="618" w:type="dxa"/>
            <w:tcBorders>
              <w:bottom w:val="single" w:sz="4" w:space="0" w:color="auto"/>
            </w:tcBorders>
            <w:shd w:val="clear" w:color="auto" w:fill="FFFFFF" w:themeFill="background1"/>
          </w:tcPr>
          <w:p w14:paraId="1FDCE45D" w14:textId="77777777" w:rsidR="00716350" w:rsidRPr="001A4D33"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78318066" w14:textId="77777777" w:rsidR="00716350" w:rsidRPr="00B556AC"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bottom w:val="single" w:sz="4" w:space="0" w:color="auto"/>
            </w:tcBorders>
            <w:shd w:val="clear" w:color="auto" w:fill="FFFFFF" w:themeFill="background1"/>
          </w:tcPr>
          <w:p w14:paraId="1E17C73C" w14:textId="1DEB5550"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0.0</w:t>
            </w:r>
          </w:p>
        </w:tc>
        <w:tc>
          <w:tcPr>
            <w:tcW w:w="665" w:type="dxa"/>
            <w:tcBorders>
              <w:bottom w:val="single" w:sz="4" w:space="0" w:color="auto"/>
            </w:tcBorders>
            <w:shd w:val="clear" w:color="auto" w:fill="FFFFFF" w:themeFill="background1"/>
          </w:tcPr>
          <w:p w14:paraId="11431E25" w14:textId="4871B6BF"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0.0</w:t>
            </w:r>
          </w:p>
        </w:tc>
        <w:tc>
          <w:tcPr>
            <w:tcW w:w="664" w:type="dxa"/>
            <w:tcBorders>
              <w:bottom w:val="single" w:sz="4" w:space="0" w:color="auto"/>
            </w:tcBorders>
            <w:shd w:val="clear" w:color="auto" w:fill="FFEBEB"/>
          </w:tcPr>
          <w:p w14:paraId="56E820A5" w14:textId="4040D80D"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0.2</w:t>
            </w:r>
            <w:r w:rsidRPr="00E92E6B">
              <w:rPr>
                <w:rFonts w:asciiTheme="minorHAnsi" w:eastAsia="Wingdings 3" w:hAnsiTheme="minorHAnsi" w:cstheme="minorHAnsi"/>
                <w:sz w:val="16"/>
                <w:szCs w:val="16"/>
              </w:rPr>
              <w:sym w:font="Wingdings 3" w:char="F0C7"/>
            </w:r>
          </w:p>
        </w:tc>
        <w:tc>
          <w:tcPr>
            <w:tcW w:w="648" w:type="dxa"/>
            <w:tcBorders>
              <w:bottom w:val="single" w:sz="4" w:space="0" w:color="auto"/>
            </w:tcBorders>
            <w:shd w:val="clear" w:color="auto" w:fill="FFFFFF" w:themeFill="background1"/>
          </w:tcPr>
          <w:p w14:paraId="2239446B" w14:textId="1DAD48A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0.0</w:t>
            </w:r>
          </w:p>
        </w:tc>
        <w:tc>
          <w:tcPr>
            <w:tcW w:w="648" w:type="dxa"/>
            <w:tcBorders>
              <w:bottom w:val="single" w:sz="4" w:space="0" w:color="auto"/>
            </w:tcBorders>
            <w:shd w:val="clear" w:color="auto" w:fill="FFEBEB"/>
          </w:tcPr>
          <w:p w14:paraId="0A02749F" w14:textId="0DC20D96"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48" w:type="dxa"/>
            <w:tcBorders>
              <w:bottom w:val="single" w:sz="4" w:space="0" w:color="auto"/>
            </w:tcBorders>
            <w:shd w:val="clear" w:color="auto" w:fill="FFEBEB"/>
          </w:tcPr>
          <w:p w14:paraId="1B40B0A3" w14:textId="758533C7"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0.2</w:t>
            </w:r>
            <w:r w:rsidRPr="00E92E6B">
              <w:rPr>
                <w:rFonts w:asciiTheme="minorHAnsi" w:eastAsia="Wingdings 3" w:hAnsiTheme="minorHAnsi" w:cstheme="minorHAnsi"/>
                <w:sz w:val="16"/>
                <w:szCs w:val="16"/>
              </w:rPr>
              <w:sym w:font="Wingdings 3" w:char="F0C7"/>
            </w:r>
          </w:p>
        </w:tc>
        <w:tc>
          <w:tcPr>
            <w:tcW w:w="633" w:type="dxa"/>
            <w:tcBorders>
              <w:bottom w:val="single" w:sz="4" w:space="0" w:color="auto"/>
            </w:tcBorders>
            <w:shd w:val="clear" w:color="auto" w:fill="FFEBEB"/>
          </w:tcPr>
          <w:p w14:paraId="1BC50B86" w14:textId="7C83C0FC"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0.2</w:t>
            </w:r>
          </w:p>
        </w:tc>
        <w:tc>
          <w:tcPr>
            <w:tcW w:w="633" w:type="dxa"/>
            <w:tcBorders>
              <w:bottom w:val="single" w:sz="4" w:space="0" w:color="auto"/>
            </w:tcBorders>
            <w:shd w:val="clear" w:color="auto" w:fill="FFEBEB"/>
          </w:tcPr>
          <w:p w14:paraId="7157D0E5" w14:textId="4EF1C0BC"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0.2</w:t>
            </w:r>
            <w:r w:rsidRPr="00E92E6B">
              <w:rPr>
                <w:rFonts w:asciiTheme="minorHAnsi" w:eastAsia="Wingdings 3" w:hAnsiTheme="minorHAnsi" w:cstheme="minorHAnsi"/>
                <w:sz w:val="16"/>
                <w:szCs w:val="16"/>
              </w:rPr>
              <w:sym w:font="Wingdings 3" w:char="F0C7"/>
            </w:r>
          </w:p>
        </w:tc>
        <w:tc>
          <w:tcPr>
            <w:tcW w:w="720" w:type="dxa"/>
            <w:tcBorders>
              <w:bottom w:val="single" w:sz="4" w:space="0" w:color="auto"/>
            </w:tcBorders>
            <w:shd w:val="clear" w:color="auto" w:fill="FFEBEB"/>
          </w:tcPr>
          <w:p w14:paraId="50F5CA64" w14:textId="459B27D4"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0.6</w:t>
            </w:r>
          </w:p>
        </w:tc>
        <w:tc>
          <w:tcPr>
            <w:tcW w:w="692" w:type="dxa"/>
            <w:tcBorders>
              <w:bottom w:val="single" w:sz="4" w:space="0" w:color="auto"/>
            </w:tcBorders>
            <w:shd w:val="clear" w:color="auto" w:fill="FFEBEB"/>
          </w:tcPr>
          <w:p w14:paraId="00623912" w14:textId="6479937B"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0.2</w:t>
            </w:r>
          </w:p>
        </w:tc>
        <w:tc>
          <w:tcPr>
            <w:tcW w:w="692" w:type="dxa"/>
            <w:tcBorders>
              <w:bottom w:val="single" w:sz="4" w:space="0" w:color="auto"/>
            </w:tcBorders>
            <w:shd w:val="clear" w:color="auto" w:fill="FFEBEB"/>
          </w:tcPr>
          <w:p w14:paraId="533419BD" w14:textId="6E17E31B"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92" w:type="dxa"/>
            <w:tcBorders>
              <w:bottom w:val="single" w:sz="4" w:space="0" w:color="auto"/>
            </w:tcBorders>
            <w:shd w:val="clear" w:color="auto" w:fill="FFEBEB"/>
          </w:tcPr>
          <w:p w14:paraId="10CC5C54" w14:textId="65903C2B"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0.2</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EBEB"/>
          </w:tcPr>
          <w:p w14:paraId="0AFEBD43" w14:textId="4CF339DB"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0.2</w:t>
            </w:r>
          </w:p>
        </w:tc>
        <w:tc>
          <w:tcPr>
            <w:tcW w:w="692" w:type="dxa"/>
            <w:tcBorders>
              <w:bottom w:val="single" w:sz="4" w:space="0" w:color="auto"/>
            </w:tcBorders>
            <w:shd w:val="clear" w:color="auto" w:fill="FFEBEB"/>
          </w:tcPr>
          <w:p w14:paraId="69AF7666" w14:textId="4888F38A"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c>
          <w:tcPr>
            <w:tcW w:w="692" w:type="dxa"/>
            <w:tcBorders>
              <w:bottom w:val="single" w:sz="4" w:space="0" w:color="auto"/>
            </w:tcBorders>
            <w:shd w:val="clear" w:color="auto" w:fill="FFEBEB"/>
          </w:tcPr>
          <w:p w14:paraId="0B5E16B4" w14:textId="4EDEBB0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0.1</w:t>
            </w:r>
          </w:p>
        </w:tc>
      </w:tr>
      <w:tr w:rsidR="000651DF" w:rsidRPr="001A4D33" w14:paraId="165BD8DB" w14:textId="77777777" w:rsidTr="007E4E86">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3072" w:type="dxa"/>
            <w:tcBorders>
              <w:top w:val="single" w:sz="4" w:space="0" w:color="auto"/>
            </w:tcBorders>
            <w:shd w:val="clear" w:color="auto" w:fill="FFFFFF" w:themeFill="background1"/>
            <w:vAlign w:val="bottom"/>
          </w:tcPr>
          <w:p w14:paraId="2731AFDC" w14:textId="77777777" w:rsidR="00716350" w:rsidRPr="001A4D33" w:rsidRDefault="00716350" w:rsidP="00716350">
            <w:pPr>
              <w:rPr>
                <w:rFonts w:ascii="Calibri" w:hAnsi="Calibri" w:cs="Calibri"/>
                <w:color w:val="000000"/>
                <w:sz w:val="2"/>
                <w:szCs w:val="2"/>
              </w:rPr>
            </w:pPr>
          </w:p>
        </w:tc>
        <w:tc>
          <w:tcPr>
            <w:tcW w:w="618" w:type="dxa"/>
            <w:tcBorders>
              <w:top w:val="single" w:sz="4" w:space="0" w:color="auto"/>
            </w:tcBorders>
            <w:shd w:val="clear" w:color="auto" w:fill="FFFFFF" w:themeFill="background1"/>
          </w:tcPr>
          <w:p w14:paraId="38345314" w14:textId="77777777" w:rsidR="00716350" w:rsidRPr="001A4D33"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
                <w:szCs w:val="2"/>
              </w:rPr>
            </w:pPr>
          </w:p>
        </w:tc>
        <w:tc>
          <w:tcPr>
            <w:tcW w:w="664" w:type="dxa"/>
            <w:tcBorders>
              <w:top w:val="single" w:sz="4" w:space="0" w:color="auto"/>
              <w:bottom w:val="nil"/>
            </w:tcBorders>
            <w:shd w:val="clear" w:color="auto" w:fill="FFFFFF" w:themeFill="background1"/>
            <w:vAlign w:val="bottom"/>
          </w:tcPr>
          <w:p w14:paraId="4A63FD08"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65" w:type="dxa"/>
            <w:tcBorders>
              <w:top w:val="single" w:sz="4" w:space="0" w:color="auto"/>
              <w:bottom w:val="nil"/>
            </w:tcBorders>
            <w:shd w:val="clear" w:color="auto" w:fill="FFFFFF" w:themeFill="background1"/>
          </w:tcPr>
          <w:p w14:paraId="78EF02C8"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64" w:type="dxa"/>
            <w:tcBorders>
              <w:top w:val="single" w:sz="4" w:space="0" w:color="auto"/>
              <w:bottom w:val="nil"/>
            </w:tcBorders>
            <w:shd w:val="clear" w:color="auto" w:fill="FFFFFF" w:themeFill="background1"/>
          </w:tcPr>
          <w:p w14:paraId="044A9B8F"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48" w:type="dxa"/>
            <w:tcBorders>
              <w:top w:val="single" w:sz="4" w:space="0" w:color="auto"/>
              <w:bottom w:val="nil"/>
            </w:tcBorders>
            <w:shd w:val="clear" w:color="auto" w:fill="FFFFFF" w:themeFill="background1"/>
          </w:tcPr>
          <w:p w14:paraId="3D3E7BD1"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48" w:type="dxa"/>
            <w:tcBorders>
              <w:top w:val="single" w:sz="4" w:space="0" w:color="auto"/>
              <w:bottom w:val="nil"/>
            </w:tcBorders>
            <w:shd w:val="clear" w:color="auto" w:fill="FFFFFF" w:themeFill="background1"/>
          </w:tcPr>
          <w:p w14:paraId="2120C39D"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48" w:type="dxa"/>
            <w:tcBorders>
              <w:top w:val="single" w:sz="4" w:space="0" w:color="auto"/>
              <w:bottom w:val="nil"/>
            </w:tcBorders>
            <w:shd w:val="clear" w:color="auto" w:fill="FFFFFF" w:themeFill="background1"/>
          </w:tcPr>
          <w:p w14:paraId="00FD2AD7"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33" w:type="dxa"/>
            <w:tcBorders>
              <w:top w:val="single" w:sz="4" w:space="0" w:color="auto"/>
              <w:bottom w:val="nil"/>
            </w:tcBorders>
            <w:shd w:val="clear" w:color="auto" w:fill="FFFFFF" w:themeFill="background1"/>
          </w:tcPr>
          <w:p w14:paraId="0B61348E"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33" w:type="dxa"/>
            <w:tcBorders>
              <w:top w:val="single" w:sz="4" w:space="0" w:color="auto"/>
              <w:bottom w:val="nil"/>
            </w:tcBorders>
            <w:shd w:val="clear" w:color="auto" w:fill="FFFFFF" w:themeFill="background1"/>
          </w:tcPr>
          <w:p w14:paraId="2B29D2C7"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720" w:type="dxa"/>
            <w:tcBorders>
              <w:top w:val="single" w:sz="4" w:space="0" w:color="auto"/>
              <w:bottom w:val="nil"/>
            </w:tcBorders>
            <w:shd w:val="clear" w:color="auto" w:fill="FFFFFF" w:themeFill="background1"/>
          </w:tcPr>
          <w:p w14:paraId="7E87DB31"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92" w:type="dxa"/>
            <w:tcBorders>
              <w:top w:val="single" w:sz="4" w:space="0" w:color="auto"/>
              <w:bottom w:val="nil"/>
            </w:tcBorders>
            <w:shd w:val="clear" w:color="auto" w:fill="FFFFFF" w:themeFill="background1"/>
          </w:tcPr>
          <w:p w14:paraId="3CF0E684"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92" w:type="dxa"/>
            <w:tcBorders>
              <w:top w:val="single" w:sz="4" w:space="0" w:color="auto"/>
              <w:bottom w:val="nil"/>
            </w:tcBorders>
            <w:shd w:val="clear" w:color="auto" w:fill="FFFFFF" w:themeFill="background1"/>
          </w:tcPr>
          <w:p w14:paraId="00C833FE"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92" w:type="dxa"/>
            <w:tcBorders>
              <w:top w:val="single" w:sz="4" w:space="0" w:color="auto"/>
              <w:bottom w:val="nil"/>
            </w:tcBorders>
            <w:shd w:val="clear" w:color="auto" w:fill="FFFFFF" w:themeFill="background1"/>
          </w:tcPr>
          <w:p w14:paraId="1B7F492E"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92" w:type="dxa"/>
            <w:tcBorders>
              <w:top w:val="single" w:sz="4" w:space="0" w:color="auto"/>
              <w:bottom w:val="nil"/>
            </w:tcBorders>
            <w:shd w:val="clear" w:color="auto" w:fill="FFFFFF" w:themeFill="background1"/>
          </w:tcPr>
          <w:p w14:paraId="7D271C23"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92" w:type="dxa"/>
            <w:tcBorders>
              <w:top w:val="single" w:sz="4" w:space="0" w:color="auto"/>
            </w:tcBorders>
            <w:shd w:val="clear" w:color="auto" w:fill="FFFFFF" w:themeFill="background1"/>
          </w:tcPr>
          <w:p w14:paraId="606F596B"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692" w:type="dxa"/>
            <w:tcBorders>
              <w:top w:val="single" w:sz="4" w:space="0" w:color="auto"/>
              <w:bottom w:val="nil"/>
            </w:tcBorders>
            <w:shd w:val="clear" w:color="auto" w:fill="FFFFFF" w:themeFill="background1"/>
          </w:tcPr>
          <w:p w14:paraId="2AC65948" w14:textId="7777777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r>
      <w:tr w:rsidR="008D11AD" w:rsidRPr="00B556AC" w14:paraId="4D8FA42B" w14:textId="77777777" w:rsidTr="007E4E86">
        <w:tc>
          <w:tcPr>
            <w:cnfStyle w:val="001000000000" w:firstRow="0" w:lastRow="0" w:firstColumn="1" w:lastColumn="0" w:oddVBand="0" w:evenVBand="0" w:oddHBand="0" w:evenHBand="0" w:firstRowFirstColumn="0" w:firstRowLastColumn="0" w:lastRowFirstColumn="0" w:lastRowLastColumn="0"/>
            <w:tcW w:w="3072" w:type="dxa"/>
            <w:tcBorders>
              <w:bottom w:val="nil"/>
            </w:tcBorders>
            <w:shd w:val="clear" w:color="auto" w:fill="FFFFFF" w:themeFill="background1"/>
            <w:vAlign w:val="bottom"/>
          </w:tcPr>
          <w:p w14:paraId="5C9AF7CA" w14:textId="77777777" w:rsidR="00716350" w:rsidRPr="00B556AC" w:rsidRDefault="00716350" w:rsidP="00716350">
            <w:pPr>
              <w:rPr>
                <w:rFonts w:asciiTheme="minorHAnsi" w:hAnsiTheme="minorHAnsi" w:cs="Calibri"/>
                <w:b w:val="0"/>
                <w:bCs w:val="0"/>
                <w:sz w:val="20"/>
                <w:szCs w:val="20"/>
              </w:rPr>
            </w:pPr>
            <w:r w:rsidRPr="00B556AC">
              <w:rPr>
                <w:rFonts w:ascii="Calibri" w:hAnsi="Calibri" w:cs="Calibri"/>
                <w:b w:val="0"/>
                <w:bCs w:val="0"/>
                <w:color w:val="000000"/>
                <w:sz w:val="20"/>
                <w:szCs w:val="20"/>
              </w:rPr>
              <w:t>Change in annual average cumulative forest fire dan</w:t>
            </w:r>
            <w:r>
              <w:rPr>
                <w:rFonts w:ascii="Calibri" w:hAnsi="Calibri" w:cs="Calibri"/>
                <w:b w:val="0"/>
                <w:bCs w:val="0"/>
                <w:color w:val="000000"/>
                <w:sz w:val="20"/>
                <w:szCs w:val="20"/>
              </w:rPr>
              <w:t>g</w:t>
            </w:r>
            <w:r w:rsidRPr="00B556AC">
              <w:rPr>
                <w:rFonts w:ascii="Calibri" w:hAnsi="Calibri" w:cs="Calibri"/>
                <w:b w:val="0"/>
                <w:bCs w:val="0"/>
                <w:color w:val="000000"/>
                <w:sz w:val="20"/>
                <w:szCs w:val="20"/>
              </w:rPr>
              <w:t>er index</w:t>
            </w:r>
          </w:p>
        </w:tc>
        <w:tc>
          <w:tcPr>
            <w:tcW w:w="618" w:type="dxa"/>
            <w:tcBorders>
              <w:bottom w:val="nil"/>
            </w:tcBorders>
            <w:shd w:val="clear" w:color="auto" w:fill="FFFFFF" w:themeFill="background1"/>
          </w:tcPr>
          <w:p w14:paraId="4020DCFF" w14:textId="77777777" w:rsidR="00716350" w:rsidRPr="001A4D33"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47CAE998" w14:textId="77777777" w:rsidR="00716350" w:rsidRPr="00B556AC"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bottom w:val="nil"/>
            </w:tcBorders>
            <w:shd w:val="clear" w:color="auto" w:fill="FFEBEB"/>
          </w:tcPr>
          <w:p w14:paraId="4E704695" w14:textId="65F04C15"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57</w:t>
            </w:r>
            <w:r w:rsidRPr="00E92E6B">
              <w:rPr>
                <w:rFonts w:ascii="Arial" w:hAnsi="Arial" w:cs="Arial"/>
                <w:color w:val="000000"/>
                <w:sz w:val="16"/>
                <w:szCs w:val="16"/>
              </w:rPr>
              <w:br/>
              <w:t>210</w:t>
            </w:r>
            <w:r w:rsidRPr="00E92E6B">
              <w:rPr>
                <w:rFonts w:asciiTheme="minorHAnsi" w:eastAsia="Wingdings 3" w:hAnsiTheme="minorHAnsi" w:cstheme="minorHAnsi"/>
                <w:sz w:val="16"/>
                <w:szCs w:val="16"/>
              </w:rPr>
              <w:sym w:font="Wingdings 3" w:char="F0C7"/>
            </w:r>
          </w:p>
        </w:tc>
        <w:tc>
          <w:tcPr>
            <w:tcW w:w="665" w:type="dxa"/>
            <w:tcBorders>
              <w:bottom w:val="nil"/>
            </w:tcBorders>
            <w:shd w:val="clear" w:color="auto" w:fill="FFEBEB"/>
          </w:tcPr>
          <w:p w14:paraId="44509E37" w14:textId="7B303B7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w:t>
            </w:r>
            <w:r w:rsidRPr="00E92E6B">
              <w:rPr>
                <w:rFonts w:ascii="Arial" w:hAnsi="Arial" w:cs="Arial"/>
                <w:color w:val="000000"/>
                <w:sz w:val="16"/>
                <w:szCs w:val="16"/>
              </w:rPr>
              <w:br/>
              <w:t>440</w:t>
            </w:r>
            <w:r w:rsidRPr="00E92E6B">
              <w:rPr>
                <w:rFonts w:asciiTheme="minorHAnsi" w:eastAsia="Wingdings 3" w:hAnsiTheme="minorHAnsi" w:cstheme="minorHAnsi"/>
                <w:sz w:val="16"/>
                <w:szCs w:val="16"/>
              </w:rPr>
              <w:sym w:font="Wingdings 3" w:char="F0C7"/>
            </w:r>
          </w:p>
        </w:tc>
        <w:tc>
          <w:tcPr>
            <w:tcW w:w="664" w:type="dxa"/>
            <w:tcBorders>
              <w:bottom w:val="nil"/>
            </w:tcBorders>
            <w:shd w:val="clear" w:color="auto" w:fill="FFEBEB"/>
          </w:tcPr>
          <w:p w14:paraId="63D286E2" w14:textId="6915FAAD"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38</w:t>
            </w:r>
            <w:r w:rsidRPr="00E92E6B">
              <w:rPr>
                <w:rFonts w:ascii="Arial" w:hAnsi="Arial" w:cs="Arial"/>
                <w:color w:val="000000"/>
                <w:sz w:val="16"/>
                <w:szCs w:val="16"/>
              </w:rPr>
              <w:br/>
              <w:t>81</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1E8D8351" w14:textId="013CC703"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469</w:t>
            </w:r>
            <w:r w:rsidRPr="00E92E6B">
              <w:rPr>
                <w:rFonts w:ascii="Arial" w:hAnsi="Arial" w:cs="Arial"/>
                <w:color w:val="000000"/>
                <w:sz w:val="16"/>
                <w:szCs w:val="16"/>
              </w:rPr>
              <w:br/>
              <w:t>617</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35F36D87" w14:textId="31450F77"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625</w:t>
            </w:r>
            <w:r w:rsidRPr="00E92E6B">
              <w:rPr>
                <w:rFonts w:ascii="Arial" w:hAnsi="Arial" w:cs="Arial"/>
                <w:color w:val="000000"/>
                <w:sz w:val="16"/>
                <w:szCs w:val="16"/>
              </w:rPr>
              <w:br/>
              <w:t>823</w:t>
            </w:r>
            <w:r w:rsidRPr="00E92E6B">
              <w:rPr>
                <w:rFonts w:asciiTheme="minorHAnsi" w:eastAsia="Wingdings 3" w:hAnsiTheme="minorHAnsi" w:cstheme="minorHAnsi"/>
                <w:sz w:val="16"/>
                <w:szCs w:val="16"/>
              </w:rPr>
              <w:sym w:font="Wingdings 3" w:char="F0C7"/>
            </w:r>
          </w:p>
        </w:tc>
        <w:tc>
          <w:tcPr>
            <w:tcW w:w="648" w:type="dxa"/>
            <w:tcBorders>
              <w:bottom w:val="nil"/>
            </w:tcBorders>
            <w:shd w:val="clear" w:color="auto" w:fill="FFEBEB"/>
          </w:tcPr>
          <w:p w14:paraId="56BDA93C" w14:textId="5D8264E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339</w:t>
            </w:r>
            <w:r w:rsidRPr="00E92E6B">
              <w:rPr>
                <w:rFonts w:ascii="Arial" w:hAnsi="Arial" w:cs="Arial"/>
                <w:color w:val="000000"/>
                <w:sz w:val="16"/>
                <w:szCs w:val="16"/>
              </w:rPr>
              <w:br/>
              <w:t>631</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451250CB" w14:textId="59FD6A4D"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145</w:t>
            </w:r>
            <w:r w:rsidRPr="00E92E6B">
              <w:rPr>
                <w:rFonts w:ascii="Arial" w:hAnsi="Arial" w:cs="Arial"/>
                <w:color w:val="000000"/>
                <w:sz w:val="16"/>
                <w:szCs w:val="16"/>
              </w:rPr>
              <w:br/>
              <w:t>267</w:t>
            </w:r>
            <w:r w:rsidRPr="00E92E6B">
              <w:rPr>
                <w:rFonts w:asciiTheme="minorHAnsi" w:eastAsia="Wingdings 3" w:hAnsiTheme="minorHAnsi" w:cstheme="minorHAnsi"/>
                <w:sz w:val="16"/>
                <w:szCs w:val="16"/>
              </w:rPr>
              <w:sym w:font="Wingdings 3" w:char="F0C7"/>
            </w:r>
          </w:p>
        </w:tc>
        <w:tc>
          <w:tcPr>
            <w:tcW w:w="633" w:type="dxa"/>
            <w:tcBorders>
              <w:bottom w:val="nil"/>
            </w:tcBorders>
            <w:shd w:val="clear" w:color="auto" w:fill="FFEBEB"/>
          </w:tcPr>
          <w:p w14:paraId="6AB24819" w14:textId="680DE18F"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107</w:t>
            </w:r>
            <w:r w:rsidRPr="00E92E6B">
              <w:rPr>
                <w:rFonts w:ascii="Arial" w:hAnsi="Arial" w:cs="Arial"/>
                <w:color w:val="000000"/>
                <w:sz w:val="16"/>
                <w:szCs w:val="16"/>
              </w:rPr>
              <w:br/>
              <w:t>258</w:t>
            </w:r>
            <w:r w:rsidRPr="00E92E6B">
              <w:rPr>
                <w:rFonts w:asciiTheme="minorHAnsi" w:eastAsia="Wingdings 3" w:hAnsiTheme="minorHAnsi" w:cstheme="minorHAnsi"/>
                <w:sz w:val="16"/>
                <w:szCs w:val="16"/>
              </w:rPr>
              <w:sym w:font="Wingdings 3" w:char="F0C7"/>
            </w:r>
          </w:p>
        </w:tc>
        <w:tc>
          <w:tcPr>
            <w:tcW w:w="720" w:type="dxa"/>
            <w:tcBorders>
              <w:bottom w:val="nil"/>
            </w:tcBorders>
            <w:shd w:val="clear" w:color="auto" w:fill="FFEBEB"/>
          </w:tcPr>
          <w:p w14:paraId="5484C471" w14:textId="60D1EC8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248</w:t>
            </w:r>
            <w:r w:rsidRPr="00E92E6B">
              <w:rPr>
                <w:rFonts w:ascii="Arial" w:hAnsi="Arial" w:cs="Arial"/>
                <w:color w:val="000000"/>
                <w:sz w:val="16"/>
                <w:szCs w:val="16"/>
              </w:rPr>
              <w:br/>
              <w:t>370</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04710955" w14:textId="7CA7D323"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303</w:t>
            </w:r>
            <w:r w:rsidRPr="00E92E6B">
              <w:rPr>
                <w:rFonts w:ascii="Arial" w:hAnsi="Arial" w:cs="Arial"/>
                <w:color w:val="000000"/>
                <w:sz w:val="16"/>
                <w:szCs w:val="16"/>
              </w:rPr>
              <w:br/>
              <w:t>442</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7F7FB307" w14:textId="582BCA27"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288</w:t>
            </w:r>
            <w:r w:rsidRPr="00E92E6B">
              <w:rPr>
                <w:rFonts w:ascii="Arial" w:hAnsi="Arial" w:cs="Arial"/>
                <w:color w:val="000000"/>
                <w:sz w:val="16"/>
                <w:szCs w:val="16"/>
              </w:rPr>
              <w:br/>
              <w:t>471</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610419BD" w14:textId="7E98E1EF"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75</w:t>
            </w:r>
            <w:r w:rsidRPr="00E92E6B">
              <w:rPr>
                <w:rFonts w:ascii="Arial" w:hAnsi="Arial" w:cs="Arial"/>
                <w:color w:val="000000"/>
                <w:sz w:val="16"/>
                <w:szCs w:val="16"/>
              </w:rPr>
              <w:br/>
              <w:t>203</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755C4DC9" w14:textId="5E1AD28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320</w:t>
            </w:r>
            <w:r w:rsidRPr="00E92E6B">
              <w:rPr>
                <w:rFonts w:ascii="Arial" w:hAnsi="Arial" w:cs="Arial"/>
                <w:color w:val="000000"/>
                <w:sz w:val="16"/>
                <w:szCs w:val="16"/>
              </w:rPr>
              <w:br/>
              <w:t>396</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FFFF" w:themeFill="background1"/>
          </w:tcPr>
          <w:p w14:paraId="712107F6" w14:textId="466A8C5F" w:rsidR="00716350" w:rsidRPr="00E92E6B" w:rsidRDefault="00716350" w:rsidP="0071635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w:t>
            </w:r>
            <w:r w:rsidRPr="00E92E6B">
              <w:rPr>
                <w:rFonts w:ascii="Arial" w:hAnsi="Arial" w:cs="Arial"/>
                <w:color w:val="000000"/>
                <w:sz w:val="16"/>
                <w:szCs w:val="16"/>
              </w:rPr>
              <w:br/>
            </w:r>
          </w:p>
        </w:tc>
        <w:tc>
          <w:tcPr>
            <w:tcW w:w="692" w:type="dxa"/>
            <w:tcBorders>
              <w:bottom w:val="nil"/>
            </w:tcBorders>
            <w:shd w:val="clear" w:color="auto" w:fill="FFEBEB"/>
          </w:tcPr>
          <w:p w14:paraId="1B3B5098" w14:textId="62BFFB44"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50</w:t>
            </w:r>
            <w:r w:rsidRPr="00E92E6B">
              <w:rPr>
                <w:rFonts w:ascii="Arial" w:hAnsi="Arial" w:cs="Arial"/>
                <w:color w:val="000000"/>
                <w:sz w:val="16"/>
                <w:szCs w:val="16"/>
              </w:rPr>
              <w:br/>
              <w:t>130</w:t>
            </w:r>
            <w:r w:rsidRPr="00E92E6B">
              <w:rPr>
                <w:rFonts w:asciiTheme="minorHAnsi" w:eastAsia="Wingdings 3" w:hAnsiTheme="minorHAnsi" w:cstheme="minorHAnsi"/>
                <w:sz w:val="16"/>
                <w:szCs w:val="16"/>
              </w:rPr>
              <w:sym w:font="Wingdings 3" w:char="F0C7"/>
            </w:r>
          </w:p>
        </w:tc>
      </w:tr>
      <w:tr w:rsidR="008D11AD" w:rsidRPr="00B556AC" w14:paraId="1BE336A3" w14:textId="77777777" w:rsidTr="007E4E86">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072" w:type="dxa"/>
            <w:tcBorders>
              <w:bottom w:val="single" w:sz="4" w:space="0" w:color="auto"/>
            </w:tcBorders>
            <w:shd w:val="clear" w:color="auto" w:fill="FFFFFF" w:themeFill="background1"/>
            <w:vAlign w:val="bottom"/>
          </w:tcPr>
          <w:p w14:paraId="1A99F45E" w14:textId="77777777" w:rsidR="00716350" w:rsidRPr="00B556AC" w:rsidRDefault="00716350" w:rsidP="00716350">
            <w:pPr>
              <w:rPr>
                <w:rFonts w:asciiTheme="minorHAnsi" w:hAnsiTheme="minorHAnsi" w:cs="Calibri"/>
                <w:b w:val="0"/>
                <w:bCs w:val="0"/>
                <w:sz w:val="20"/>
                <w:szCs w:val="20"/>
              </w:rPr>
            </w:pPr>
            <w:r w:rsidRPr="00B556AC">
              <w:rPr>
                <w:rFonts w:ascii="Calibri" w:hAnsi="Calibri" w:cs="Calibri"/>
                <w:b w:val="0"/>
                <w:bCs w:val="0"/>
                <w:color w:val="000000"/>
                <w:sz w:val="20"/>
                <w:szCs w:val="20"/>
              </w:rPr>
              <w:t xml:space="preserve">Change in number days/year </w:t>
            </w:r>
            <w:r>
              <w:rPr>
                <w:rFonts w:ascii="Calibri" w:hAnsi="Calibri" w:cs="Calibri"/>
                <w:b w:val="0"/>
                <w:bCs w:val="0"/>
                <w:color w:val="000000"/>
                <w:sz w:val="20"/>
                <w:szCs w:val="20"/>
              </w:rPr>
              <w:t xml:space="preserve">with </w:t>
            </w:r>
            <w:r w:rsidRPr="00B556AC">
              <w:rPr>
                <w:rFonts w:ascii="Calibri" w:hAnsi="Calibri" w:cs="Calibri"/>
                <w:b w:val="0"/>
                <w:bCs w:val="0"/>
                <w:color w:val="000000"/>
                <w:sz w:val="20"/>
                <w:szCs w:val="20"/>
              </w:rPr>
              <w:t>FFDI &gt; High</w:t>
            </w:r>
            <w:r>
              <w:rPr>
                <w:rFonts w:ascii="Calibri" w:hAnsi="Calibri" w:cs="Calibri"/>
                <w:b w:val="0"/>
                <w:bCs w:val="0"/>
                <w:color w:val="000000"/>
                <w:sz w:val="20"/>
                <w:szCs w:val="20"/>
              </w:rPr>
              <w:t xml:space="preserve"> </w:t>
            </w:r>
            <w:r w:rsidRPr="00E92E6B">
              <w:rPr>
                <w:rFonts w:ascii="Calibri" w:hAnsi="Calibri" w:cs="Calibri"/>
                <w:b w:val="0"/>
                <w:bCs w:val="0"/>
                <w:color w:val="000000"/>
                <w:sz w:val="16"/>
                <w:szCs w:val="16"/>
              </w:rPr>
              <w:t>(days)</w:t>
            </w:r>
          </w:p>
        </w:tc>
        <w:tc>
          <w:tcPr>
            <w:tcW w:w="618" w:type="dxa"/>
            <w:tcBorders>
              <w:bottom w:val="single" w:sz="4" w:space="0" w:color="auto"/>
            </w:tcBorders>
            <w:shd w:val="clear" w:color="auto" w:fill="FFFFFF" w:themeFill="background1"/>
          </w:tcPr>
          <w:p w14:paraId="1F407F76" w14:textId="77777777" w:rsidR="00716350" w:rsidRPr="001A4D33"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08668605" w14:textId="77777777" w:rsidR="00716350" w:rsidRPr="00B556AC"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bottom w:val="single" w:sz="4" w:space="0" w:color="auto"/>
            </w:tcBorders>
            <w:shd w:val="clear" w:color="auto" w:fill="FFEBEB"/>
          </w:tcPr>
          <w:p w14:paraId="6030317A" w14:textId="6CBBD071"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3.6</w:t>
            </w:r>
            <w:r w:rsidRPr="00E92E6B">
              <w:rPr>
                <w:rFonts w:ascii="Arial" w:hAnsi="Arial" w:cs="Arial"/>
                <w:color w:val="000000"/>
                <w:sz w:val="16"/>
                <w:szCs w:val="16"/>
              </w:rPr>
              <w:br/>
              <w:t>9.4</w:t>
            </w:r>
            <w:r w:rsidRPr="00E92E6B">
              <w:rPr>
                <w:rFonts w:asciiTheme="minorHAnsi" w:eastAsia="Wingdings 3" w:hAnsiTheme="minorHAnsi" w:cstheme="minorHAnsi"/>
                <w:sz w:val="16"/>
                <w:szCs w:val="16"/>
              </w:rPr>
              <w:sym w:font="Wingdings 3" w:char="F0C7"/>
            </w:r>
          </w:p>
        </w:tc>
        <w:tc>
          <w:tcPr>
            <w:tcW w:w="665" w:type="dxa"/>
            <w:tcBorders>
              <w:bottom w:val="single" w:sz="4" w:space="0" w:color="auto"/>
            </w:tcBorders>
            <w:shd w:val="clear" w:color="auto" w:fill="FFEBEB"/>
          </w:tcPr>
          <w:p w14:paraId="33E6EFFC" w14:textId="1D29415D"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4.3</w:t>
            </w:r>
            <w:r w:rsidRPr="00E92E6B">
              <w:rPr>
                <w:rFonts w:ascii="Arial" w:hAnsi="Arial" w:cs="Arial"/>
                <w:color w:val="000000"/>
                <w:sz w:val="16"/>
                <w:szCs w:val="16"/>
              </w:rPr>
              <w:br/>
              <w:t>31.0</w:t>
            </w:r>
            <w:r w:rsidRPr="00E92E6B">
              <w:rPr>
                <w:rFonts w:asciiTheme="minorHAnsi" w:eastAsia="Wingdings 3" w:hAnsiTheme="minorHAnsi" w:cstheme="minorHAnsi"/>
                <w:sz w:val="16"/>
                <w:szCs w:val="16"/>
              </w:rPr>
              <w:sym w:font="Wingdings 3" w:char="F0C7"/>
            </w:r>
          </w:p>
        </w:tc>
        <w:tc>
          <w:tcPr>
            <w:tcW w:w="664" w:type="dxa"/>
            <w:tcBorders>
              <w:bottom w:val="single" w:sz="4" w:space="0" w:color="auto"/>
            </w:tcBorders>
            <w:shd w:val="clear" w:color="auto" w:fill="FFEBEB"/>
          </w:tcPr>
          <w:p w14:paraId="3D916825" w14:textId="44FA721C"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2.6</w:t>
            </w:r>
            <w:r w:rsidRPr="00E92E6B">
              <w:rPr>
                <w:rFonts w:ascii="Arial" w:hAnsi="Arial" w:cs="Arial"/>
                <w:color w:val="000000"/>
                <w:sz w:val="16"/>
                <w:szCs w:val="16"/>
              </w:rPr>
              <w:br/>
              <w:t>3.0</w:t>
            </w:r>
            <w:r w:rsidRPr="00E92E6B">
              <w:rPr>
                <w:rFonts w:asciiTheme="minorHAnsi" w:eastAsia="Wingdings 3" w:hAnsiTheme="minorHAnsi" w:cstheme="minorHAnsi"/>
                <w:sz w:val="16"/>
                <w:szCs w:val="16"/>
              </w:rPr>
              <w:sym w:font="Wingdings 3" w:char="F0C7"/>
            </w:r>
          </w:p>
        </w:tc>
        <w:tc>
          <w:tcPr>
            <w:tcW w:w="648" w:type="dxa"/>
            <w:tcBorders>
              <w:bottom w:val="single" w:sz="4" w:space="0" w:color="auto"/>
            </w:tcBorders>
            <w:shd w:val="clear" w:color="auto" w:fill="FFEBEB"/>
          </w:tcPr>
          <w:p w14:paraId="0E5525DE" w14:textId="15E2569C"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9.5</w:t>
            </w:r>
            <w:r w:rsidRPr="00E92E6B">
              <w:rPr>
                <w:rFonts w:ascii="Arial" w:hAnsi="Arial" w:cs="Arial"/>
                <w:color w:val="000000"/>
                <w:sz w:val="16"/>
                <w:szCs w:val="16"/>
              </w:rPr>
              <w:br/>
              <w:t>13.3</w:t>
            </w:r>
            <w:r w:rsidRPr="00E92E6B">
              <w:rPr>
                <w:rFonts w:asciiTheme="minorHAnsi" w:eastAsia="Wingdings 3" w:hAnsiTheme="minorHAnsi" w:cstheme="minorHAnsi"/>
                <w:sz w:val="16"/>
                <w:szCs w:val="16"/>
              </w:rPr>
              <w:sym w:font="Wingdings 3" w:char="F0C7"/>
            </w:r>
          </w:p>
        </w:tc>
        <w:tc>
          <w:tcPr>
            <w:tcW w:w="648" w:type="dxa"/>
            <w:tcBorders>
              <w:bottom w:val="single" w:sz="4" w:space="0" w:color="auto"/>
            </w:tcBorders>
            <w:shd w:val="clear" w:color="auto" w:fill="FFEBEB"/>
          </w:tcPr>
          <w:p w14:paraId="739A61A1" w14:textId="43B854B8"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18.5</w:t>
            </w:r>
            <w:r w:rsidRPr="00E92E6B">
              <w:rPr>
                <w:rFonts w:ascii="Arial" w:hAnsi="Arial" w:cs="Arial"/>
                <w:color w:val="000000"/>
                <w:sz w:val="16"/>
                <w:szCs w:val="16"/>
              </w:rPr>
              <w:br/>
              <w:t>23.2</w:t>
            </w:r>
            <w:r w:rsidRPr="00E92E6B">
              <w:rPr>
                <w:rFonts w:asciiTheme="minorHAnsi" w:eastAsia="Wingdings 3" w:hAnsiTheme="minorHAnsi" w:cstheme="minorHAnsi"/>
                <w:sz w:val="16"/>
                <w:szCs w:val="16"/>
              </w:rPr>
              <w:sym w:font="Wingdings 3" w:char="F0C7"/>
            </w:r>
          </w:p>
        </w:tc>
        <w:tc>
          <w:tcPr>
            <w:tcW w:w="648" w:type="dxa"/>
            <w:tcBorders>
              <w:bottom w:val="single" w:sz="4" w:space="0" w:color="auto"/>
            </w:tcBorders>
            <w:shd w:val="clear" w:color="auto" w:fill="FFEBEB"/>
          </w:tcPr>
          <w:p w14:paraId="04A04F3C" w14:textId="66A1FAFC"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17.7</w:t>
            </w:r>
            <w:r w:rsidRPr="00E92E6B">
              <w:rPr>
                <w:rFonts w:ascii="Arial" w:hAnsi="Arial" w:cs="Arial"/>
                <w:color w:val="000000"/>
                <w:sz w:val="16"/>
                <w:szCs w:val="16"/>
              </w:rPr>
              <w:br/>
              <w:t>28.0</w:t>
            </w:r>
            <w:r w:rsidRPr="00E92E6B">
              <w:rPr>
                <w:rFonts w:asciiTheme="minorHAnsi" w:eastAsia="Wingdings 3" w:hAnsiTheme="minorHAnsi" w:cstheme="minorHAnsi"/>
                <w:sz w:val="16"/>
                <w:szCs w:val="16"/>
              </w:rPr>
              <w:sym w:font="Wingdings 3" w:char="F0C7"/>
            </w:r>
          </w:p>
        </w:tc>
        <w:tc>
          <w:tcPr>
            <w:tcW w:w="633" w:type="dxa"/>
            <w:tcBorders>
              <w:bottom w:val="single" w:sz="4" w:space="0" w:color="auto"/>
            </w:tcBorders>
            <w:shd w:val="clear" w:color="auto" w:fill="FFEBEB"/>
          </w:tcPr>
          <w:p w14:paraId="150C5A16" w14:textId="34FE476D"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7.1</w:t>
            </w:r>
            <w:r w:rsidRPr="00E92E6B">
              <w:rPr>
                <w:rFonts w:ascii="Arial" w:hAnsi="Arial" w:cs="Arial"/>
                <w:color w:val="000000"/>
                <w:sz w:val="16"/>
                <w:szCs w:val="16"/>
              </w:rPr>
              <w:br/>
              <w:t>15.5</w:t>
            </w:r>
            <w:r w:rsidRPr="00E92E6B">
              <w:rPr>
                <w:rFonts w:asciiTheme="minorHAnsi" w:eastAsia="Wingdings 3" w:hAnsiTheme="minorHAnsi" w:cstheme="minorHAnsi"/>
                <w:sz w:val="16"/>
                <w:szCs w:val="16"/>
              </w:rPr>
              <w:sym w:font="Wingdings 3" w:char="F0C7"/>
            </w:r>
          </w:p>
        </w:tc>
        <w:tc>
          <w:tcPr>
            <w:tcW w:w="633" w:type="dxa"/>
            <w:tcBorders>
              <w:bottom w:val="single" w:sz="4" w:space="0" w:color="auto"/>
            </w:tcBorders>
            <w:shd w:val="clear" w:color="auto" w:fill="FFEBEB"/>
          </w:tcPr>
          <w:p w14:paraId="15E8B4B1" w14:textId="159D9093"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5.8</w:t>
            </w:r>
            <w:r w:rsidRPr="00E92E6B">
              <w:rPr>
                <w:rFonts w:ascii="Arial" w:hAnsi="Arial" w:cs="Arial"/>
                <w:color w:val="000000"/>
                <w:sz w:val="16"/>
                <w:szCs w:val="16"/>
              </w:rPr>
              <w:br/>
              <w:t>8.0</w:t>
            </w:r>
            <w:r w:rsidRPr="00E92E6B">
              <w:rPr>
                <w:rFonts w:asciiTheme="minorHAnsi" w:eastAsia="Wingdings 3" w:hAnsiTheme="minorHAnsi" w:cstheme="minorHAnsi"/>
                <w:sz w:val="16"/>
                <w:szCs w:val="16"/>
              </w:rPr>
              <w:sym w:font="Wingdings 3" w:char="F0C7"/>
            </w:r>
          </w:p>
        </w:tc>
        <w:tc>
          <w:tcPr>
            <w:tcW w:w="720" w:type="dxa"/>
            <w:tcBorders>
              <w:bottom w:val="single" w:sz="4" w:space="0" w:color="auto"/>
            </w:tcBorders>
            <w:shd w:val="clear" w:color="auto" w:fill="FFEBEB"/>
          </w:tcPr>
          <w:p w14:paraId="1B68B4B5" w14:textId="5ACFE703"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7.5</w:t>
            </w:r>
            <w:r w:rsidRPr="00E92E6B">
              <w:rPr>
                <w:rFonts w:ascii="Arial" w:hAnsi="Arial" w:cs="Arial"/>
                <w:color w:val="000000"/>
                <w:sz w:val="16"/>
                <w:szCs w:val="16"/>
              </w:rPr>
              <w:br/>
              <w:t>12.8</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EBEB"/>
          </w:tcPr>
          <w:p w14:paraId="1AE94565" w14:textId="0E02E0E4"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11.8</w:t>
            </w:r>
            <w:r w:rsidRPr="00E92E6B">
              <w:rPr>
                <w:rFonts w:ascii="Arial" w:hAnsi="Arial" w:cs="Arial"/>
                <w:color w:val="000000"/>
                <w:sz w:val="16"/>
                <w:szCs w:val="16"/>
              </w:rPr>
              <w:br/>
              <w:t>14.1</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EBEB"/>
          </w:tcPr>
          <w:p w14:paraId="0217EBAB" w14:textId="32ABE5DE"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10.3</w:t>
            </w:r>
            <w:r w:rsidRPr="00E92E6B">
              <w:rPr>
                <w:rFonts w:ascii="Arial" w:hAnsi="Arial" w:cs="Arial"/>
                <w:color w:val="000000"/>
                <w:sz w:val="16"/>
                <w:szCs w:val="16"/>
              </w:rPr>
              <w:br/>
              <w:t>15.1</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EBEB"/>
          </w:tcPr>
          <w:p w14:paraId="6AB8A688" w14:textId="5D3A18A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3.2</w:t>
            </w:r>
            <w:r w:rsidRPr="00E92E6B">
              <w:rPr>
                <w:rFonts w:ascii="Arial" w:hAnsi="Arial" w:cs="Arial"/>
                <w:color w:val="000000"/>
                <w:sz w:val="16"/>
                <w:szCs w:val="16"/>
              </w:rPr>
              <w:br/>
              <w:t>7.2</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EBEB"/>
          </w:tcPr>
          <w:p w14:paraId="48D99E14" w14:textId="17C1EA85"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10.7</w:t>
            </w:r>
            <w:r w:rsidRPr="00E92E6B">
              <w:rPr>
                <w:rFonts w:ascii="Arial" w:hAnsi="Arial" w:cs="Arial"/>
                <w:color w:val="000000"/>
                <w:sz w:val="16"/>
                <w:szCs w:val="16"/>
              </w:rPr>
              <w:br/>
              <w:t>13.4</w:t>
            </w:r>
            <w:r w:rsidRPr="00E92E6B">
              <w:rPr>
                <w:rFonts w:asciiTheme="minorHAnsi" w:eastAsia="Wingdings 3" w:hAnsiTheme="minorHAnsi" w:cstheme="minorHAnsi"/>
                <w:sz w:val="16"/>
                <w:szCs w:val="16"/>
              </w:rPr>
              <w:sym w:font="Wingdings 3" w:char="F0C7"/>
            </w:r>
          </w:p>
        </w:tc>
        <w:tc>
          <w:tcPr>
            <w:tcW w:w="692" w:type="dxa"/>
            <w:tcBorders>
              <w:bottom w:val="single" w:sz="4" w:space="0" w:color="auto"/>
            </w:tcBorders>
            <w:shd w:val="clear" w:color="auto" w:fill="FFFFFF" w:themeFill="background1"/>
          </w:tcPr>
          <w:p w14:paraId="5F923A9B" w14:textId="355BAF81" w:rsidR="00716350" w:rsidRPr="00E92E6B" w:rsidRDefault="00716350" w:rsidP="0071635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w:t>
            </w:r>
            <w:r w:rsidRPr="00E92E6B">
              <w:rPr>
                <w:rFonts w:ascii="Arial" w:hAnsi="Arial" w:cs="Arial"/>
                <w:color w:val="000000"/>
                <w:sz w:val="16"/>
                <w:szCs w:val="16"/>
              </w:rPr>
              <w:br/>
            </w:r>
          </w:p>
        </w:tc>
        <w:tc>
          <w:tcPr>
            <w:tcW w:w="692" w:type="dxa"/>
            <w:tcBorders>
              <w:bottom w:val="single" w:sz="4" w:space="0" w:color="auto"/>
            </w:tcBorders>
            <w:shd w:val="clear" w:color="auto" w:fill="FFEBEB"/>
          </w:tcPr>
          <w:p w14:paraId="07DF483E" w14:textId="6251EE45"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4.2</w:t>
            </w:r>
            <w:r w:rsidRPr="00E92E6B">
              <w:rPr>
                <w:rFonts w:asciiTheme="minorHAnsi" w:eastAsia="Wingdings 3" w:hAnsiTheme="minorHAnsi" w:cstheme="minorHAnsi"/>
                <w:sz w:val="16"/>
                <w:szCs w:val="16"/>
              </w:rPr>
              <w:sym w:font="Wingdings 3" w:char="F0C7"/>
            </w:r>
          </w:p>
        </w:tc>
      </w:tr>
      <w:tr w:rsidR="008D11AD" w:rsidRPr="00B556AC" w14:paraId="498B20C7" w14:textId="77777777" w:rsidTr="007E4E86">
        <w:tc>
          <w:tcPr>
            <w:cnfStyle w:val="001000000000" w:firstRow="0" w:lastRow="0" w:firstColumn="1" w:lastColumn="0" w:oddVBand="0" w:evenVBand="0" w:oddHBand="0" w:evenHBand="0" w:firstRowFirstColumn="0" w:firstRowLastColumn="0" w:lastRowFirstColumn="0" w:lastRowLastColumn="0"/>
            <w:tcW w:w="3072" w:type="dxa"/>
            <w:tcBorders>
              <w:top w:val="single" w:sz="4" w:space="0" w:color="auto"/>
            </w:tcBorders>
            <w:shd w:val="clear" w:color="auto" w:fill="FFFFFF" w:themeFill="background1"/>
            <w:vAlign w:val="bottom"/>
          </w:tcPr>
          <w:p w14:paraId="76B3C2F5" w14:textId="77777777" w:rsidR="00716350" w:rsidRDefault="00716350" w:rsidP="00716350">
            <w:pPr>
              <w:rPr>
                <w:rFonts w:ascii="Calibri" w:hAnsi="Calibri" w:cs="Calibri"/>
                <w:color w:val="000000"/>
                <w:sz w:val="20"/>
                <w:szCs w:val="20"/>
              </w:rPr>
            </w:pPr>
            <w:r w:rsidRPr="00E10417">
              <w:rPr>
                <w:rFonts w:ascii="Calibri" w:hAnsi="Calibri" w:cs="Calibri"/>
                <w:b w:val="0"/>
                <w:bCs w:val="0"/>
                <w:color w:val="000000"/>
                <w:sz w:val="20"/>
                <w:szCs w:val="20"/>
              </w:rPr>
              <w:t>Change in time in drought</w:t>
            </w:r>
          </w:p>
          <w:p w14:paraId="694B3699" w14:textId="77777777" w:rsidR="00716350" w:rsidRPr="00E10417" w:rsidRDefault="00716350" w:rsidP="00716350">
            <w:pPr>
              <w:rPr>
                <w:rFonts w:ascii="Calibri" w:hAnsi="Calibri" w:cs="Calibri"/>
                <w:b w:val="0"/>
                <w:bCs w:val="0"/>
                <w:color w:val="000000"/>
                <w:sz w:val="20"/>
                <w:szCs w:val="20"/>
              </w:rPr>
            </w:pPr>
            <w:r w:rsidRPr="00E92E6B">
              <w:rPr>
                <w:rFonts w:asciiTheme="minorHAnsi" w:hAnsiTheme="minorHAnsi" w:cs="Calibri"/>
                <w:b w:val="0"/>
                <w:bCs w:val="0"/>
                <w:sz w:val="16"/>
                <w:szCs w:val="16"/>
              </w:rPr>
              <w:t>(%)</w:t>
            </w:r>
          </w:p>
        </w:tc>
        <w:tc>
          <w:tcPr>
            <w:tcW w:w="618" w:type="dxa"/>
            <w:tcBorders>
              <w:top w:val="single" w:sz="4" w:space="0" w:color="auto"/>
            </w:tcBorders>
            <w:shd w:val="clear" w:color="auto" w:fill="FFFFFF" w:themeFill="background1"/>
          </w:tcPr>
          <w:p w14:paraId="057A86B1" w14:textId="77777777" w:rsidR="00716350" w:rsidRPr="001A4D33"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488DF87C" w14:textId="77777777" w:rsidR="00716350" w:rsidRPr="00B556AC"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top w:val="single" w:sz="4" w:space="0" w:color="auto"/>
              <w:bottom w:val="nil"/>
            </w:tcBorders>
            <w:shd w:val="clear" w:color="auto" w:fill="FFFFFF" w:themeFill="background1"/>
          </w:tcPr>
          <w:p w14:paraId="09829221" w14:textId="259A9A63"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-0.8</w:t>
            </w:r>
            <w:r w:rsidRPr="00E92E6B">
              <w:rPr>
                <w:rFonts w:ascii="Arial" w:hAnsi="Arial" w:cs="Arial"/>
                <w:color w:val="000000"/>
                <w:sz w:val="16"/>
                <w:szCs w:val="16"/>
              </w:rPr>
              <w:br/>
              <w:t>7.6</w:t>
            </w:r>
          </w:p>
        </w:tc>
        <w:tc>
          <w:tcPr>
            <w:tcW w:w="665" w:type="dxa"/>
            <w:tcBorders>
              <w:top w:val="single" w:sz="4" w:space="0" w:color="auto"/>
              <w:bottom w:val="nil"/>
            </w:tcBorders>
            <w:shd w:val="clear" w:color="auto" w:fill="FFFFFF" w:themeFill="background1"/>
          </w:tcPr>
          <w:p w14:paraId="712CB0BC" w14:textId="1AC2ED24"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-0.8</w:t>
            </w:r>
            <w:r w:rsidRPr="00E92E6B">
              <w:rPr>
                <w:rFonts w:ascii="Arial" w:hAnsi="Arial" w:cs="Arial"/>
                <w:color w:val="000000"/>
                <w:sz w:val="16"/>
                <w:szCs w:val="16"/>
              </w:rPr>
              <w:br/>
              <w:t>7.6</w:t>
            </w:r>
          </w:p>
        </w:tc>
        <w:tc>
          <w:tcPr>
            <w:tcW w:w="664" w:type="dxa"/>
            <w:tcBorders>
              <w:top w:val="single" w:sz="4" w:space="0" w:color="auto"/>
              <w:bottom w:val="nil"/>
            </w:tcBorders>
            <w:shd w:val="clear" w:color="auto" w:fill="FFEBEB"/>
          </w:tcPr>
          <w:p w14:paraId="5A8517B4" w14:textId="5E5E30DC"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5.1</w:t>
            </w:r>
            <w:r w:rsidRPr="00E92E6B">
              <w:rPr>
                <w:rFonts w:asciiTheme="minorHAnsi" w:eastAsia="Wingdings 3" w:hAnsiTheme="minorHAnsi" w:cstheme="minorHAnsi"/>
                <w:sz w:val="16"/>
                <w:szCs w:val="16"/>
              </w:rPr>
              <w:sym w:font="Wingdings 3" w:char="F0C7"/>
            </w:r>
          </w:p>
        </w:tc>
        <w:tc>
          <w:tcPr>
            <w:tcW w:w="648" w:type="dxa"/>
            <w:tcBorders>
              <w:top w:val="single" w:sz="4" w:space="0" w:color="auto"/>
              <w:bottom w:val="nil"/>
            </w:tcBorders>
            <w:shd w:val="clear" w:color="auto" w:fill="FFEBEB"/>
          </w:tcPr>
          <w:p w14:paraId="3EEB3486" w14:textId="3DCD72BF"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3.9</w:t>
            </w:r>
            <w:r w:rsidRPr="00E92E6B">
              <w:rPr>
                <w:rFonts w:ascii="Arial" w:hAnsi="Arial" w:cs="Arial"/>
                <w:color w:val="000000"/>
                <w:sz w:val="16"/>
                <w:szCs w:val="16"/>
              </w:rPr>
              <w:br/>
              <w:t>10.5</w:t>
            </w:r>
            <w:r w:rsidRPr="00E92E6B">
              <w:rPr>
                <w:rFonts w:asciiTheme="minorHAnsi" w:eastAsia="Wingdings 3" w:hAnsiTheme="minorHAnsi" w:cstheme="minorHAnsi"/>
                <w:sz w:val="16"/>
                <w:szCs w:val="16"/>
              </w:rPr>
              <w:sym w:font="Wingdings 3" w:char="F0C7"/>
            </w:r>
          </w:p>
        </w:tc>
        <w:tc>
          <w:tcPr>
            <w:tcW w:w="648" w:type="dxa"/>
            <w:tcBorders>
              <w:top w:val="single" w:sz="4" w:space="0" w:color="auto"/>
              <w:bottom w:val="nil"/>
            </w:tcBorders>
            <w:shd w:val="clear" w:color="auto" w:fill="FFEBEB"/>
          </w:tcPr>
          <w:p w14:paraId="604AD43E" w14:textId="6380AF23"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3.9</w:t>
            </w:r>
            <w:r w:rsidRPr="00E92E6B">
              <w:rPr>
                <w:rFonts w:ascii="Arial" w:hAnsi="Arial" w:cs="Arial"/>
                <w:color w:val="000000"/>
                <w:sz w:val="16"/>
                <w:szCs w:val="16"/>
              </w:rPr>
              <w:br/>
              <w:t>10.5</w:t>
            </w:r>
            <w:r w:rsidRPr="00E92E6B">
              <w:rPr>
                <w:rFonts w:asciiTheme="minorHAnsi" w:eastAsia="Wingdings 3" w:hAnsiTheme="minorHAnsi" w:cstheme="minorHAnsi"/>
                <w:sz w:val="16"/>
                <w:szCs w:val="16"/>
              </w:rPr>
              <w:sym w:font="Wingdings 3" w:char="F0C7"/>
            </w:r>
          </w:p>
        </w:tc>
        <w:tc>
          <w:tcPr>
            <w:tcW w:w="648" w:type="dxa"/>
            <w:tcBorders>
              <w:top w:val="single" w:sz="4" w:space="0" w:color="auto"/>
              <w:bottom w:val="nil"/>
            </w:tcBorders>
            <w:shd w:val="clear" w:color="auto" w:fill="FFEBEB"/>
          </w:tcPr>
          <w:p w14:paraId="31BD2704" w14:textId="5389AC5C"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0.5</w:t>
            </w:r>
            <w:r w:rsidRPr="00E92E6B">
              <w:rPr>
                <w:rFonts w:ascii="Arial" w:hAnsi="Arial" w:cs="Arial"/>
                <w:color w:val="000000"/>
                <w:sz w:val="16"/>
                <w:szCs w:val="16"/>
              </w:rPr>
              <w:br/>
              <w:t>11.0</w:t>
            </w:r>
            <w:r w:rsidRPr="00E92E6B">
              <w:rPr>
                <w:rFonts w:asciiTheme="minorHAnsi" w:eastAsia="Wingdings 3" w:hAnsiTheme="minorHAnsi" w:cstheme="minorHAnsi"/>
                <w:sz w:val="16"/>
                <w:szCs w:val="16"/>
              </w:rPr>
              <w:sym w:font="Wingdings 3" w:char="F0C7"/>
            </w:r>
          </w:p>
        </w:tc>
        <w:tc>
          <w:tcPr>
            <w:tcW w:w="633" w:type="dxa"/>
            <w:tcBorders>
              <w:top w:val="single" w:sz="4" w:space="0" w:color="auto"/>
              <w:bottom w:val="nil"/>
            </w:tcBorders>
            <w:shd w:val="clear" w:color="auto" w:fill="FFEBEB"/>
          </w:tcPr>
          <w:p w14:paraId="408E8BC9" w14:textId="77A55806"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13.2</w:t>
            </w:r>
            <w:r w:rsidRPr="00E92E6B">
              <w:rPr>
                <w:rFonts w:asciiTheme="minorHAnsi" w:eastAsia="Wingdings 3" w:hAnsiTheme="minorHAnsi" w:cstheme="minorHAnsi"/>
                <w:sz w:val="16"/>
                <w:szCs w:val="16"/>
              </w:rPr>
              <w:sym w:font="Wingdings 3" w:char="F0C7"/>
            </w:r>
          </w:p>
        </w:tc>
        <w:tc>
          <w:tcPr>
            <w:tcW w:w="633" w:type="dxa"/>
            <w:tcBorders>
              <w:top w:val="single" w:sz="4" w:space="0" w:color="auto"/>
              <w:bottom w:val="nil"/>
            </w:tcBorders>
            <w:shd w:val="clear" w:color="auto" w:fill="FFEBEB"/>
          </w:tcPr>
          <w:p w14:paraId="379574DD" w14:textId="2B2A1AEF"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13.2</w:t>
            </w:r>
            <w:r w:rsidRPr="00E92E6B">
              <w:rPr>
                <w:rFonts w:asciiTheme="minorHAnsi" w:eastAsia="Wingdings 3" w:hAnsiTheme="minorHAnsi" w:cstheme="minorHAnsi"/>
                <w:sz w:val="16"/>
                <w:szCs w:val="16"/>
              </w:rPr>
              <w:sym w:font="Wingdings 3" w:char="F0C7"/>
            </w:r>
          </w:p>
        </w:tc>
        <w:tc>
          <w:tcPr>
            <w:tcW w:w="720" w:type="dxa"/>
            <w:tcBorders>
              <w:top w:val="single" w:sz="4" w:space="0" w:color="auto"/>
              <w:bottom w:val="nil"/>
            </w:tcBorders>
            <w:shd w:val="clear" w:color="auto" w:fill="FFEBEB"/>
          </w:tcPr>
          <w:p w14:paraId="7BB109C3" w14:textId="137EA0E0"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21.0</w:t>
            </w:r>
            <w:r w:rsidRPr="00E92E6B">
              <w:rPr>
                <w:rFonts w:ascii="Arial" w:hAnsi="Arial" w:cs="Arial"/>
                <w:color w:val="000000"/>
                <w:sz w:val="16"/>
                <w:szCs w:val="16"/>
              </w:rPr>
              <w:br/>
              <w:t>27.5</w:t>
            </w:r>
            <w:r w:rsidRPr="00E92E6B">
              <w:rPr>
                <w:rFonts w:asciiTheme="minorHAnsi" w:eastAsia="Wingdings 3" w:hAnsiTheme="minorHAnsi" w:cstheme="minorHAnsi"/>
                <w:sz w:val="16"/>
                <w:szCs w:val="16"/>
              </w:rPr>
              <w:sym w:font="Wingdings 3" w:char="F0C7"/>
            </w:r>
          </w:p>
        </w:tc>
        <w:tc>
          <w:tcPr>
            <w:tcW w:w="692" w:type="dxa"/>
            <w:tcBorders>
              <w:top w:val="single" w:sz="4" w:space="0" w:color="auto"/>
              <w:bottom w:val="nil"/>
            </w:tcBorders>
            <w:shd w:val="clear" w:color="auto" w:fill="FFEBEB"/>
          </w:tcPr>
          <w:p w14:paraId="51D088FB" w14:textId="02A5BC1F"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8.6.0</w:t>
            </w:r>
            <w:r w:rsidRPr="00E92E6B">
              <w:rPr>
                <w:rFonts w:ascii="Arial" w:hAnsi="Arial" w:cs="Arial"/>
                <w:color w:val="000000"/>
                <w:sz w:val="16"/>
                <w:szCs w:val="16"/>
              </w:rPr>
              <w:br/>
              <w:t>18.5</w:t>
            </w:r>
            <w:r w:rsidRPr="00E92E6B">
              <w:rPr>
                <w:rFonts w:asciiTheme="minorHAnsi" w:eastAsia="Wingdings 3" w:hAnsiTheme="minorHAnsi" w:cstheme="minorHAnsi"/>
                <w:sz w:val="16"/>
                <w:szCs w:val="16"/>
              </w:rPr>
              <w:sym w:font="Wingdings 3" w:char="F0C7"/>
            </w:r>
          </w:p>
        </w:tc>
        <w:tc>
          <w:tcPr>
            <w:tcW w:w="692" w:type="dxa"/>
            <w:tcBorders>
              <w:top w:val="single" w:sz="4" w:space="0" w:color="auto"/>
              <w:bottom w:val="nil"/>
            </w:tcBorders>
            <w:shd w:val="clear" w:color="auto" w:fill="FFEBEB"/>
          </w:tcPr>
          <w:p w14:paraId="4823EADC" w14:textId="39612217"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0.1</w:t>
            </w:r>
            <w:r w:rsidRPr="00E92E6B">
              <w:rPr>
                <w:rFonts w:ascii="Arial" w:hAnsi="Arial" w:cs="Arial"/>
                <w:color w:val="000000"/>
                <w:sz w:val="16"/>
                <w:szCs w:val="16"/>
              </w:rPr>
              <w:br/>
              <w:t>14.2</w:t>
            </w:r>
            <w:r w:rsidRPr="00E92E6B">
              <w:rPr>
                <w:rFonts w:asciiTheme="minorHAnsi" w:eastAsia="Wingdings 3" w:hAnsiTheme="minorHAnsi" w:cstheme="minorHAnsi"/>
                <w:sz w:val="16"/>
                <w:szCs w:val="16"/>
              </w:rPr>
              <w:sym w:font="Wingdings 3" w:char="F0C7"/>
            </w:r>
          </w:p>
        </w:tc>
        <w:tc>
          <w:tcPr>
            <w:tcW w:w="692" w:type="dxa"/>
            <w:tcBorders>
              <w:top w:val="single" w:sz="4" w:space="0" w:color="auto"/>
              <w:bottom w:val="nil"/>
            </w:tcBorders>
            <w:shd w:val="clear" w:color="auto" w:fill="FFFFFF" w:themeFill="background1"/>
          </w:tcPr>
          <w:p w14:paraId="24F5E66C" w14:textId="7D497676"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9.8</w:t>
            </w:r>
          </w:p>
        </w:tc>
        <w:tc>
          <w:tcPr>
            <w:tcW w:w="692" w:type="dxa"/>
            <w:tcBorders>
              <w:top w:val="single" w:sz="4" w:space="0" w:color="auto"/>
              <w:bottom w:val="nil"/>
            </w:tcBorders>
            <w:shd w:val="clear" w:color="auto" w:fill="FFFFFF" w:themeFill="background1"/>
          </w:tcPr>
          <w:p w14:paraId="08957150" w14:textId="27346649"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9.8</w:t>
            </w:r>
          </w:p>
        </w:tc>
        <w:tc>
          <w:tcPr>
            <w:tcW w:w="692" w:type="dxa"/>
            <w:tcBorders>
              <w:top w:val="single" w:sz="4" w:space="0" w:color="auto"/>
              <w:bottom w:val="nil"/>
            </w:tcBorders>
            <w:shd w:val="clear" w:color="auto" w:fill="FFFFFF" w:themeFill="background1"/>
          </w:tcPr>
          <w:p w14:paraId="6828C6C1" w14:textId="0AD142BF"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9.8</w:t>
            </w:r>
          </w:p>
        </w:tc>
        <w:tc>
          <w:tcPr>
            <w:tcW w:w="692" w:type="dxa"/>
            <w:tcBorders>
              <w:top w:val="single" w:sz="4" w:space="0" w:color="auto"/>
              <w:bottom w:val="nil"/>
            </w:tcBorders>
            <w:shd w:val="clear" w:color="auto" w:fill="FFFFFF" w:themeFill="background1"/>
          </w:tcPr>
          <w:p w14:paraId="7F5DB8E5" w14:textId="554F6CDC"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-1.7</w:t>
            </w:r>
            <w:r w:rsidRPr="00E92E6B">
              <w:rPr>
                <w:rFonts w:ascii="Arial" w:hAnsi="Arial" w:cs="Arial"/>
                <w:color w:val="000000"/>
                <w:sz w:val="16"/>
                <w:szCs w:val="16"/>
              </w:rPr>
              <w:br/>
              <w:t>9.8</w:t>
            </w:r>
          </w:p>
        </w:tc>
      </w:tr>
      <w:tr w:rsidR="000651DF" w:rsidRPr="00B556AC" w14:paraId="501FA42B" w14:textId="77777777" w:rsidTr="007E4E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2" w:type="dxa"/>
            <w:tcBorders>
              <w:bottom w:val="nil"/>
            </w:tcBorders>
            <w:shd w:val="clear" w:color="auto" w:fill="FFFFFF" w:themeFill="background1"/>
            <w:vAlign w:val="bottom"/>
          </w:tcPr>
          <w:p w14:paraId="7975483C" w14:textId="77777777" w:rsidR="00716350" w:rsidRPr="0001437C" w:rsidRDefault="00716350" w:rsidP="00716350">
            <w:pPr>
              <w:rPr>
                <w:rFonts w:ascii="Calibri" w:hAnsi="Calibri" w:cs="Calibri"/>
                <w:b w:val="0"/>
                <w:bCs w:val="0"/>
                <w:color w:val="000000"/>
                <w:sz w:val="20"/>
                <w:szCs w:val="20"/>
              </w:rPr>
            </w:pPr>
            <w:r w:rsidRPr="0001437C">
              <w:rPr>
                <w:rFonts w:ascii="Calibri" w:hAnsi="Calibri" w:cs="Calibri"/>
                <w:b w:val="0"/>
                <w:bCs w:val="0"/>
                <w:color w:val="000000"/>
                <w:sz w:val="20"/>
                <w:szCs w:val="20"/>
              </w:rPr>
              <w:t>Change in extreme drought frequency</w:t>
            </w:r>
            <w:r>
              <w:rPr>
                <w:rFonts w:ascii="Calibri" w:hAnsi="Calibri" w:cs="Calibri"/>
                <w:b w:val="0"/>
                <w:bCs w:val="0"/>
                <w:color w:val="000000"/>
                <w:sz w:val="20"/>
                <w:szCs w:val="20"/>
              </w:rPr>
              <w:t xml:space="preserve"> </w:t>
            </w:r>
            <w:r w:rsidRPr="00E92E6B">
              <w:rPr>
                <w:rFonts w:asciiTheme="minorHAnsi" w:hAnsiTheme="minorHAnsi" w:cs="Calibri"/>
                <w:b w:val="0"/>
                <w:bCs w:val="0"/>
                <w:sz w:val="16"/>
                <w:szCs w:val="16"/>
              </w:rPr>
              <w:t>(</w:t>
            </w:r>
            <w:r>
              <w:rPr>
                <w:rFonts w:asciiTheme="minorHAnsi" w:hAnsiTheme="minorHAnsi" w:cs="Calibri"/>
                <w:b w:val="0"/>
                <w:bCs w:val="0"/>
                <w:sz w:val="16"/>
                <w:szCs w:val="16"/>
              </w:rPr>
              <w:t>droughts/20 years</w:t>
            </w:r>
            <w:r w:rsidRPr="00E92E6B">
              <w:rPr>
                <w:rFonts w:asciiTheme="minorHAnsi" w:hAnsiTheme="minorHAnsi" w:cs="Calibri"/>
                <w:b w:val="0"/>
                <w:bCs w:val="0"/>
                <w:sz w:val="16"/>
                <w:szCs w:val="16"/>
              </w:rPr>
              <w:t>)</w:t>
            </w:r>
          </w:p>
        </w:tc>
        <w:tc>
          <w:tcPr>
            <w:tcW w:w="618" w:type="dxa"/>
            <w:tcBorders>
              <w:bottom w:val="nil"/>
            </w:tcBorders>
            <w:shd w:val="clear" w:color="auto" w:fill="FFFFFF" w:themeFill="background1"/>
          </w:tcPr>
          <w:p w14:paraId="23610CC0" w14:textId="77777777" w:rsidR="00716350" w:rsidRPr="001A4D33"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5D32EB67" w14:textId="77777777" w:rsidR="00716350" w:rsidRPr="00B556AC"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bottom w:val="nil"/>
            </w:tcBorders>
            <w:shd w:val="clear" w:color="auto" w:fill="FFEBEB"/>
          </w:tcPr>
          <w:p w14:paraId="057DBD77" w14:textId="7E2E327E"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665" w:type="dxa"/>
            <w:tcBorders>
              <w:bottom w:val="nil"/>
            </w:tcBorders>
            <w:shd w:val="clear" w:color="auto" w:fill="FFEBEB"/>
          </w:tcPr>
          <w:p w14:paraId="43DA390D" w14:textId="2DF19542"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664" w:type="dxa"/>
            <w:tcBorders>
              <w:top w:val="nil"/>
              <w:bottom w:val="nil"/>
            </w:tcBorders>
            <w:shd w:val="clear" w:color="auto" w:fill="FFEBEB"/>
          </w:tcPr>
          <w:p w14:paraId="25CB71C1" w14:textId="6A42F412"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0.7</w:t>
            </w:r>
            <w:r w:rsidRPr="00E92E6B">
              <w:rPr>
                <w:rFonts w:ascii="Arial" w:hAnsi="Arial" w:cs="Arial"/>
                <w:color w:val="000000"/>
                <w:sz w:val="16"/>
                <w:szCs w:val="16"/>
              </w:rPr>
              <w:br/>
              <w:t>0.4</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08D7BE47" w14:textId="2B357D42"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57AB5001" w14:textId="00298D13"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648" w:type="dxa"/>
            <w:tcBorders>
              <w:top w:val="nil"/>
              <w:bottom w:val="nil"/>
            </w:tcBorders>
            <w:shd w:val="clear" w:color="auto" w:fill="FFEBEB"/>
          </w:tcPr>
          <w:p w14:paraId="622928A1" w14:textId="40923CC8"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0.3</w:t>
            </w:r>
            <w:r w:rsidRPr="00E92E6B">
              <w:rPr>
                <w:rFonts w:ascii="Arial" w:hAnsi="Arial" w:cs="Arial"/>
                <w:color w:val="000000"/>
                <w:sz w:val="16"/>
                <w:szCs w:val="16"/>
              </w:rPr>
              <w:br/>
              <w:t>0.6</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60088267" w14:textId="40C96D63"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633" w:type="dxa"/>
            <w:tcBorders>
              <w:top w:val="nil"/>
              <w:bottom w:val="nil"/>
            </w:tcBorders>
            <w:shd w:val="clear" w:color="auto" w:fill="FFEBEB"/>
          </w:tcPr>
          <w:p w14:paraId="417F820F" w14:textId="785DA6C9"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0.7</w:t>
            </w:r>
            <w:r w:rsidRPr="00E92E6B">
              <w:rPr>
                <w:rFonts w:asciiTheme="minorHAnsi" w:eastAsia="Wingdings 3" w:hAnsiTheme="minorHAnsi" w:cstheme="minorHAnsi"/>
                <w:sz w:val="16"/>
                <w:szCs w:val="16"/>
              </w:rPr>
              <w:sym w:font="Wingdings 3" w:char="F0C7"/>
            </w:r>
          </w:p>
        </w:tc>
        <w:tc>
          <w:tcPr>
            <w:tcW w:w="720" w:type="dxa"/>
            <w:tcBorders>
              <w:top w:val="nil"/>
              <w:bottom w:val="nil"/>
            </w:tcBorders>
            <w:shd w:val="clear" w:color="auto" w:fill="FFEBEB"/>
          </w:tcPr>
          <w:p w14:paraId="53AD4EB7" w14:textId="60FE838D"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3AB1B772" w14:textId="4F9F45AE"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1.5</w:t>
            </w:r>
            <w:r w:rsidRPr="00E92E6B">
              <w:rPr>
                <w:rFonts w:ascii="Arial" w:hAnsi="Arial" w:cs="Arial"/>
                <w:color w:val="000000"/>
                <w:sz w:val="16"/>
                <w:szCs w:val="16"/>
              </w:rPr>
              <w:br/>
              <w:t>1.7</w:t>
            </w:r>
            <w:r w:rsidRPr="00E92E6B">
              <w:rPr>
                <w:rFonts w:asciiTheme="minorHAnsi" w:eastAsia="Wingdings 3" w:hAnsiTheme="minorHAnsi" w:cstheme="minorHAnsi"/>
                <w:sz w:val="16"/>
                <w:szCs w:val="16"/>
              </w:rPr>
              <w:sym w:font="Wingdings 3" w:char="F0C7"/>
            </w:r>
          </w:p>
        </w:tc>
        <w:tc>
          <w:tcPr>
            <w:tcW w:w="692" w:type="dxa"/>
            <w:tcBorders>
              <w:top w:val="nil"/>
              <w:bottom w:val="nil"/>
            </w:tcBorders>
            <w:shd w:val="clear" w:color="auto" w:fill="FFEBEB"/>
          </w:tcPr>
          <w:p w14:paraId="4ED758A5" w14:textId="53C0F182"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0.0</w:t>
            </w:r>
            <w:r w:rsidRPr="00E92E6B">
              <w:rPr>
                <w:rFonts w:ascii="Arial" w:hAnsi="Arial" w:cs="Arial"/>
                <w:color w:val="000000"/>
                <w:sz w:val="16"/>
                <w:szCs w:val="16"/>
              </w:rPr>
              <w:br/>
              <w:t>0.8</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36708FAD" w14:textId="453E1EB4"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0.8</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1744C29B" w14:textId="7BF6532F"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0.8</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43EA7738" w14:textId="04CFC0A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0.8</w:t>
            </w:r>
            <w:r w:rsidRPr="00E92E6B">
              <w:rPr>
                <w:rFonts w:asciiTheme="minorHAnsi" w:eastAsia="Wingdings 3" w:hAnsiTheme="minorHAnsi" w:cstheme="minorHAnsi"/>
                <w:sz w:val="16"/>
                <w:szCs w:val="16"/>
              </w:rPr>
              <w:sym w:font="Wingdings 3" w:char="F0C7"/>
            </w:r>
          </w:p>
        </w:tc>
        <w:tc>
          <w:tcPr>
            <w:tcW w:w="692" w:type="dxa"/>
            <w:tcBorders>
              <w:bottom w:val="nil"/>
            </w:tcBorders>
            <w:shd w:val="clear" w:color="auto" w:fill="FFEBEB"/>
          </w:tcPr>
          <w:p w14:paraId="14EC810E" w14:textId="775AE4F7" w:rsidR="00716350" w:rsidRPr="00E92E6B" w:rsidRDefault="00716350" w:rsidP="0071635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0.6</w:t>
            </w:r>
            <w:r w:rsidRPr="00E92E6B">
              <w:rPr>
                <w:rFonts w:ascii="Arial" w:hAnsi="Arial" w:cs="Arial"/>
                <w:color w:val="000000"/>
                <w:sz w:val="16"/>
                <w:szCs w:val="16"/>
              </w:rPr>
              <w:br/>
              <w:t>0.8</w:t>
            </w:r>
            <w:r w:rsidRPr="00E92E6B">
              <w:rPr>
                <w:rFonts w:asciiTheme="minorHAnsi" w:eastAsia="Wingdings 3" w:hAnsiTheme="minorHAnsi" w:cstheme="minorHAnsi"/>
                <w:sz w:val="16"/>
                <w:szCs w:val="16"/>
              </w:rPr>
              <w:sym w:font="Wingdings 3" w:char="F0C7"/>
            </w:r>
          </w:p>
        </w:tc>
      </w:tr>
      <w:tr w:rsidR="008D11AD" w:rsidRPr="00B556AC" w14:paraId="2747803C" w14:textId="77777777" w:rsidTr="007E4E86">
        <w:tc>
          <w:tcPr>
            <w:cnfStyle w:val="001000000000" w:firstRow="0" w:lastRow="0" w:firstColumn="1" w:lastColumn="0" w:oddVBand="0" w:evenVBand="0" w:oddHBand="0" w:evenHBand="0" w:firstRowFirstColumn="0" w:firstRowLastColumn="0" w:lastRowFirstColumn="0" w:lastRowLastColumn="0"/>
            <w:tcW w:w="3072" w:type="dxa"/>
            <w:tcBorders>
              <w:bottom w:val="single" w:sz="4" w:space="0" w:color="auto"/>
            </w:tcBorders>
            <w:shd w:val="clear" w:color="auto" w:fill="FFFFFF" w:themeFill="background1"/>
            <w:vAlign w:val="bottom"/>
          </w:tcPr>
          <w:p w14:paraId="68E9D44B" w14:textId="77777777" w:rsidR="00716350" w:rsidRPr="0001437C" w:rsidRDefault="00716350" w:rsidP="00716350">
            <w:pPr>
              <w:rPr>
                <w:rFonts w:ascii="Calibri" w:hAnsi="Calibri" w:cs="Calibri"/>
                <w:b w:val="0"/>
                <w:bCs w:val="0"/>
                <w:color w:val="000000"/>
                <w:sz w:val="20"/>
                <w:szCs w:val="20"/>
              </w:rPr>
            </w:pPr>
            <w:r w:rsidRPr="0001437C">
              <w:rPr>
                <w:rFonts w:ascii="Calibri" w:hAnsi="Calibri" w:cs="Calibri"/>
                <w:b w:val="0"/>
                <w:bCs w:val="0"/>
                <w:color w:val="000000"/>
                <w:sz w:val="20"/>
                <w:szCs w:val="20"/>
              </w:rPr>
              <w:t xml:space="preserve">Change in extreme drought duration </w:t>
            </w:r>
            <w:r w:rsidRPr="00E92E6B">
              <w:rPr>
                <w:rFonts w:asciiTheme="minorHAnsi" w:hAnsiTheme="minorHAnsi" w:cs="Calibri"/>
                <w:b w:val="0"/>
                <w:bCs w:val="0"/>
                <w:sz w:val="16"/>
                <w:szCs w:val="16"/>
              </w:rPr>
              <w:t>(</w:t>
            </w:r>
            <w:r>
              <w:rPr>
                <w:rFonts w:asciiTheme="minorHAnsi" w:hAnsiTheme="minorHAnsi" w:cs="Calibri"/>
                <w:b w:val="0"/>
                <w:bCs w:val="0"/>
                <w:sz w:val="16"/>
                <w:szCs w:val="16"/>
              </w:rPr>
              <w:t>months)</w:t>
            </w:r>
          </w:p>
        </w:tc>
        <w:tc>
          <w:tcPr>
            <w:tcW w:w="618" w:type="dxa"/>
            <w:tcBorders>
              <w:bottom w:val="single" w:sz="4" w:space="0" w:color="auto"/>
            </w:tcBorders>
            <w:shd w:val="clear" w:color="auto" w:fill="FFFFFF" w:themeFill="background1"/>
          </w:tcPr>
          <w:p w14:paraId="6D8236CE" w14:textId="77777777" w:rsidR="00716350" w:rsidRPr="001A4D33"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4D33">
              <w:rPr>
                <w:rFonts w:asciiTheme="minorHAnsi" w:hAnsiTheme="minorHAnsi" w:cstheme="minorHAnsi"/>
                <w:sz w:val="18"/>
                <w:szCs w:val="18"/>
              </w:rPr>
              <w:t>2050</w:t>
            </w:r>
          </w:p>
          <w:p w14:paraId="377D7CD0" w14:textId="77777777" w:rsidR="00716350" w:rsidRPr="00B556AC"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0"/>
                <w:szCs w:val="20"/>
              </w:rPr>
            </w:pPr>
            <w:r w:rsidRPr="001A4D33">
              <w:rPr>
                <w:rFonts w:asciiTheme="minorHAnsi" w:hAnsiTheme="minorHAnsi" w:cstheme="minorHAnsi"/>
                <w:sz w:val="18"/>
                <w:szCs w:val="18"/>
              </w:rPr>
              <w:t>2090</w:t>
            </w:r>
          </w:p>
        </w:tc>
        <w:tc>
          <w:tcPr>
            <w:tcW w:w="664" w:type="dxa"/>
            <w:tcBorders>
              <w:top w:val="nil"/>
              <w:bottom w:val="single" w:sz="4" w:space="0" w:color="auto"/>
            </w:tcBorders>
            <w:shd w:val="clear" w:color="auto" w:fill="FFEBEB"/>
          </w:tcPr>
          <w:p w14:paraId="642A1AB1" w14:textId="5650940E"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5.4</w:t>
            </w:r>
            <w:r w:rsidRPr="00E92E6B">
              <w:rPr>
                <w:rFonts w:asciiTheme="minorHAnsi" w:eastAsia="Wingdings 3" w:hAnsiTheme="minorHAnsi" w:cstheme="minorHAnsi"/>
                <w:sz w:val="16"/>
                <w:szCs w:val="16"/>
              </w:rPr>
              <w:sym w:font="Wingdings 3" w:char="F0C7"/>
            </w:r>
          </w:p>
        </w:tc>
        <w:tc>
          <w:tcPr>
            <w:tcW w:w="665" w:type="dxa"/>
            <w:tcBorders>
              <w:top w:val="nil"/>
              <w:bottom w:val="single" w:sz="4" w:space="0" w:color="auto"/>
            </w:tcBorders>
            <w:shd w:val="clear" w:color="auto" w:fill="FFEBEB"/>
          </w:tcPr>
          <w:p w14:paraId="3E4EDE0E" w14:textId="56ECE9F1"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5.4</w:t>
            </w:r>
            <w:r w:rsidRPr="00E92E6B">
              <w:rPr>
                <w:rFonts w:asciiTheme="minorHAnsi" w:eastAsia="Wingdings 3" w:hAnsiTheme="minorHAnsi" w:cstheme="minorHAnsi"/>
                <w:sz w:val="16"/>
                <w:szCs w:val="16"/>
              </w:rPr>
              <w:sym w:font="Wingdings 3" w:char="F0C7"/>
            </w:r>
          </w:p>
        </w:tc>
        <w:tc>
          <w:tcPr>
            <w:tcW w:w="664" w:type="dxa"/>
            <w:tcBorders>
              <w:top w:val="nil"/>
              <w:bottom w:val="single" w:sz="4" w:space="0" w:color="auto"/>
            </w:tcBorders>
            <w:shd w:val="clear" w:color="auto" w:fill="FFEBEB"/>
          </w:tcPr>
          <w:p w14:paraId="72A98C2F" w14:textId="3E9A8562"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1.1</w:t>
            </w:r>
            <w:r w:rsidRPr="00E92E6B">
              <w:rPr>
                <w:rFonts w:ascii="Arial" w:hAnsi="Arial" w:cs="Arial"/>
                <w:color w:val="000000"/>
                <w:sz w:val="16"/>
                <w:szCs w:val="16"/>
              </w:rPr>
              <w:br/>
              <w:t>7.9</w:t>
            </w:r>
            <w:r w:rsidRPr="00E92E6B">
              <w:rPr>
                <w:rFonts w:asciiTheme="minorHAnsi" w:eastAsia="Wingdings 3" w:hAnsiTheme="minorHAnsi" w:cstheme="minorHAnsi"/>
                <w:sz w:val="16"/>
                <w:szCs w:val="16"/>
              </w:rPr>
              <w:sym w:font="Wingdings 3" w:char="F0C7"/>
            </w:r>
          </w:p>
        </w:tc>
        <w:tc>
          <w:tcPr>
            <w:tcW w:w="648" w:type="dxa"/>
            <w:tcBorders>
              <w:top w:val="nil"/>
              <w:bottom w:val="single" w:sz="4" w:space="0" w:color="auto"/>
            </w:tcBorders>
            <w:shd w:val="clear" w:color="auto" w:fill="FFFFFF" w:themeFill="background1"/>
          </w:tcPr>
          <w:p w14:paraId="6D73E3C1" w14:textId="7DC1D7B5" w:rsidR="00716350" w:rsidRPr="00E92E6B" w:rsidRDefault="00716350" w:rsidP="0071635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w:t>
            </w:r>
            <w:r w:rsidRPr="00E92E6B">
              <w:rPr>
                <w:rFonts w:ascii="Arial" w:hAnsi="Arial" w:cs="Arial"/>
                <w:color w:val="000000"/>
                <w:sz w:val="16"/>
                <w:szCs w:val="16"/>
              </w:rPr>
              <w:br/>
            </w:r>
          </w:p>
        </w:tc>
        <w:tc>
          <w:tcPr>
            <w:tcW w:w="648" w:type="dxa"/>
            <w:tcBorders>
              <w:top w:val="nil"/>
              <w:bottom w:val="single" w:sz="4" w:space="0" w:color="auto"/>
            </w:tcBorders>
            <w:shd w:val="clear" w:color="auto" w:fill="FFFFFF" w:themeFill="background1"/>
          </w:tcPr>
          <w:p w14:paraId="11F5468C" w14:textId="2DA22DE4" w:rsidR="00716350" w:rsidRPr="00E92E6B" w:rsidRDefault="00716350" w:rsidP="0071635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w:t>
            </w:r>
            <w:r w:rsidRPr="00E92E6B">
              <w:rPr>
                <w:rFonts w:ascii="Arial" w:hAnsi="Arial" w:cs="Arial"/>
                <w:color w:val="000000"/>
                <w:sz w:val="16"/>
                <w:szCs w:val="16"/>
              </w:rPr>
              <w:br/>
            </w:r>
          </w:p>
        </w:tc>
        <w:tc>
          <w:tcPr>
            <w:tcW w:w="648" w:type="dxa"/>
            <w:tcBorders>
              <w:top w:val="nil"/>
              <w:bottom w:val="single" w:sz="4" w:space="0" w:color="auto"/>
            </w:tcBorders>
            <w:shd w:val="clear" w:color="auto" w:fill="FFEBEB"/>
          </w:tcPr>
          <w:p w14:paraId="09A01DD6" w14:textId="18C5D645"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0.2</w:t>
            </w:r>
            <w:r w:rsidRPr="00E92E6B">
              <w:rPr>
                <w:rFonts w:ascii="Arial" w:hAnsi="Arial" w:cs="Arial"/>
                <w:color w:val="000000"/>
                <w:sz w:val="16"/>
                <w:szCs w:val="16"/>
              </w:rPr>
              <w:br/>
              <w:t>5.5</w:t>
            </w:r>
            <w:r w:rsidRPr="00E92E6B">
              <w:rPr>
                <w:rFonts w:asciiTheme="minorHAnsi" w:eastAsia="Wingdings 3" w:hAnsiTheme="minorHAnsi" w:cstheme="minorHAnsi"/>
                <w:sz w:val="16"/>
                <w:szCs w:val="16"/>
              </w:rPr>
              <w:sym w:font="Wingdings 3" w:char="F0C7"/>
            </w:r>
          </w:p>
        </w:tc>
        <w:tc>
          <w:tcPr>
            <w:tcW w:w="633" w:type="dxa"/>
            <w:tcBorders>
              <w:top w:val="nil"/>
              <w:bottom w:val="single" w:sz="4" w:space="0" w:color="auto"/>
            </w:tcBorders>
            <w:shd w:val="clear" w:color="auto" w:fill="FFEBEB"/>
          </w:tcPr>
          <w:p w14:paraId="5EA55E53" w14:textId="0B9F9F0A"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2.9</w:t>
            </w:r>
            <w:r w:rsidRPr="00E92E6B">
              <w:rPr>
                <w:rFonts w:ascii="Arial" w:hAnsi="Arial" w:cs="Arial"/>
                <w:color w:val="000000"/>
                <w:sz w:val="16"/>
                <w:szCs w:val="16"/>
              </w:rPr>
              <w:br/>
              <w:t>8.9</w:t>
            </w:r>
            <w:r w:rsidRPr="00E92E6B">
              <w:rPr>
                <w:rFonts w:asciiTheme="minorHAnsi" w:eastAsia="Wingdings 3" w:hAnsiTheme="minorHAnsi" w:cstheme="minorHAnsi"/>
                <w:sz w:val="16"/>
                <w:szCs w:val="16"/>
              </w:rPr>
              <w:sym w:font="Wingdings 3" w:char="F0C7"/>
            </w:r>
          </w:p>
        </w:tc>
        <w:tc>
          <w:tcPr>
            <w:tcW w:w="633" w:type="dxa"/>
            <w:tcBorders>
              <w:top w:val="nil"/>
              <w:bottom w:val="single" w:sz="4" w:space="0" w:color="auto"/>
            </w:tcBorders>
            <w:shd w:val="clear" w:color="auto" w:fill="FFEBEB"/>
          </w:tcPr>
          <w:p w14:paraId="09209037" w14:textId="26EF45E9"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2.9</w:t>
            </w:r>
            <w:r w:rsidRPr="00E92E6B">
              <w:rPr>
                <w:rFonts w:ascii="Arial" w:hAnsi="Arial" w:cs="Arial"/>
                <w:color w:val="000000"/>
                <w:sz w:val="16"/>
                <w:szCs w:val="16"/>
              </w:rPr>
              <w:br/>
              <w:t>8.9</w:t>
            </w:r>
            <w:r w:rsidRPr="00E92E6B">
              <w:rPr>
                <w:rFonts w:asciiTheme="minorHAnsi" w:eastAsia="Wingdings 3" w:hAnsiTheme="minorHAnsi" w:cstheme="minorHAnsi"/>
                <w:sz w:val="16"/>
                <w:szCs w:val="16"/>
              </w:rPr>
              <w:sym w:font="Wingdings 3" w:char="F0C7"/>
            </w:r>
          </w:p>
        </w:tc>
        <w:tc>
          <w:tcPr>
            <w:tcW w:w="720" w:type="dxa"/>
            <w:tcBorders>
              <w:top w:val="nil"/>
              <w:bottom w:val="single" w:sz="4" w:space="0" w:color="auto"/>
            </w:tcBorders>
            <w:shd w:val="clear" w:color="auto" w:fill="FFEBEB"/>
          </w:tcPr>
          <w:p w14:paraId="41493D56" w14:textId="442395F2"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10.9</w:t>
            </w:r>
            <w:r w:rsidRPr="00E92E6B">
              <w:rPr>
                <w:rFonts w:ascii="Arial" w:hAnsi="Arial" w:cs="Arial"/>
                <w:color w:val="000000"/>
                <w:sz w:val="16"/>
                <w:szCs w:val="16"/>
              </w:rPr>
              <w:br/>
              <w:t>14.6</w:t>
            </w:r>
            <w:r w:rsidRPr="00E92E6B">
              <w:rPr>
                <w:rFonts w:asciiTheme="minorHAnsi" w:eastAsia="Wingdings 3" w:hAnsiTheme="minorHAnsi" w:cstheme="minorHAnsi"/>
                <w:sz w:val="16"/>
                <w:szCs w:val="16"/>
              </w:rPr>
              <w:sym w:font="Wingdings 3" w:char="F0C7"/>
            </w:r>
          </w:p>
        </w:tc>
        <w:tc>
          <w:tcPr>
            <w:tcW w:w="692" w:type="dxa"/>
            <w:tcBorders>
              <w:top w:val="nil"/>
              <w:bottom w:val="single" w:sz="4" w:space="0" w:color="auto"/>
            </w:tcBorders>
            <w:shd w:val="clear" w:color="auto" w:fill="FFEBEB"/>
          </w:tcPr>
          <w:p w14:paraId="31C2DE4A" w14:textId="3520D0B8"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1.8</w:t>
            </w:r>
            <w:r w:rsidRPr="00E92E6B">
              <w:rPr>
                <w:rFonts w:ascii="Arial" w:hAnsi="Arial" w:cs="Arial"/>
                <w:color w:val="000000"/>
                <w:sz w:val="16"/>
                <w:szCs w:val="16"/>
              </w:rPr>
              <w:br/>
              <w:t>6.1</w:t>
            </w:r>
            <w:r w:rsidRPr="00E92E6B">
              <w:rPr>
                <w:rFonts w:asciiTheme="minorHAnsi" w:eastAsia="Wingdings 3" w:hAnsiTheme="minorHAnsi" w:cstheme="minorHAnsi"/>
                <w:sz w:val="16"/>
                <w:szCs w:val="16"/>
              </w:rPr>
              <w:sym w:font="Wingdings 3" w:char="F0C7"/>
            </w:r>
          </w:p>
        </w:tc>
        <w:tc>
          <w:tcPr>
            <w:tcW w:w="692" w:type="dxa"/>
            <w:tcBorders>
              <w:top w:val="nil"/>
              <w:bottom w:val="single" w:sz="4" w:space="0" w:color="auto"/>
            </w:tcBorders>
            <w:shd w:val="clear" w:color="auto" w:fill="FFFFFF" w:themeFill="background1"/>
          </w:tcPr>
          <w:p w14:paraId="1BD692C1" w14:textId="17A4E919"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-0.4</w:t>
            </w:r>
            <w:r w:rsidRPr="00E92E6B">
              <w:rPr>
                <w:rFonts w:ascii="Arial" w:hAnsi="Arial" w:cs="Arial"/>
                <w:color w:val="000000"/>
                <w:sz w:val="16"/>
                <w:szCs w:val="16"/>
              </w:rPr>
              <w:br/>
              <w:t>6.1</w:t>
            </w:r>
          </w:p>
        </w:tc>
        <w:tc>
          <w:tcPr>
            <w:tcW w:w="692" w:type="dxa"/>
            <w:tcBorders>
              <w:top w:val="nil"/>
              <w:bottom w:val="single" w:sz="4" w:space="0" w:color="auto"/>
            </w:tcBorders>
            <w:shd w:val="clear" w:color="auto" w:fill="FFEBEB"/>
          </w:tcPr>
          <w:p w14:paraId="11C8AFBC" w14:textId="0773A70A"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4.6</w:t>
            </w:r>
            <w:r w:rsidRPr="00E92E6B">
              <w:rPr>
                <w:rFonts w:ascii="Arial" w:hAnsi="Arial" w:cs="Arial"/>
                <w:color w:val="000000"/>
                <w:sz w:val="16"/>
                <w:szCs w:val="16"/>
              </w:rPr>
              <w:br/>
              <w:t>7.0</w:t>
            </w:r>
            <w:r w:rsidRPr="00E92E6B">
              <w:rPr>
                <w:rFonts w:asciiTheme="minorHAnsi" w:eastAsia="Wingdings 3" w:hAnsiTheme="minorHAnsi" w:cstheme="minorHAnsi"/>
                <w:sz w:val="16"/>
                <w:szCs w:val="16"/>
              </w:rPr>
              <w:sym w:font="Wingdings 3" w:char="F0C7"/>
            </w:r>
          </w:p>
        </w:tc>
        <w:tc>
          <w:tcPr>
            <w:tcW w:w="692" w:type="dxa"/>
            <w:tcBorders>
              <w:top w:val="nil"/>
              <w:bottom w:val="single" w:sz="4" w:space="0" w:color="auto"/>
            </w:tcBorders>
            <w:shd w:val="clear" w:color="auto" w:fill="FFEBEB"/>
          </w:tcPr>
          <w:p w14:paraId="5B0A8CEC" w14:textId="619F55ED"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4.6</w:t>
            </w:r>
            <w:r w:rsidRPr="00E92E6B">
              <w:rPr>
                <w:rFonts w:ascii="Arial" w:hAnsi="Arial" w:cs="Arial"/>
                <w:color w:val="000000"/>
                <w:sz w:val="16"/>
                <w:szCs w:val="16"/>
              </w:rPr>
              <w:br/>
              <w:t>7.0</w:t>
            </w:r>
            <w:r w:rsidRPr="00E92E6B">
              <w:rPr>
                <w:rFonts w:asciiTheme="minorHAnsi" w:eastAsia="Wingdings 3" w:hAnsiTheme="minorHAnsi" w:cstheme="minorHAnsi"/>
                <w:sz w:val="16"/>
                <w:szCs w:val="16"/>
              </w:rPr>
              <w:sym w:font="Wingdings 3" w:char="F0C7"/>
            </w:r>
          </w:p>
        </w:tc>
        <w:tc>
          <w:tcPr>
            <w:tcW w:w="692" w:type="dxa"/>
            <w:tcBorders>
              <w:top w:val="nil"/>
              <w:bottom w:val="single" w:sz="4" w:space="0" w:color="auto"/>
            </w:tcBorders>
            <w:shd w:val="clear" w:color="auto" w:fill="FFEBEB"/>
          </w:tcPr>
          <w:p w14:paraId="3ECD1A78" w14:textId="5EFAB15F"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4.6</w:t>
            </w:r>
            <w:r w:rsidRPr="00E92E6B">
              <w:rPr>
                <w:rFonts w:ascii="Arial" w:hAnsi="Arial" w:cs="Arial"/>
                <w:color w:val="000000"/>
                <w:sz w:val="16"/>
                <w:szCs w:val="16"/>
              </w:rPr>
              <w:br/>
              <w:t>7.0</w:t>
            </w:r>
            <w:r w:rsidRPr="00E92E6B">
              <w:rPr>
                <w:rFonts w:asciiTheme="minorHAnsi" w:eastAsia="Wingdings 3" w:hAnsiTheme="minorHAnsi" w:cstheme="minorHAnsi"/>
                <w:sz w:val="16"/>
                <w:szCs w:val="16"/>
              </w:rPr>
              <w:sym w:font="Wingdings 3" w:char="F0C7"/>
            </w:r>
          </w:p>
        </w:tc>
        <w:tc>
          <w:tcPr>
            <w:tcW w:w="692" w:type="dxa"/>
            <w:tcBorders>
              <w:top w:val="nil"/>
              <w:bottom w:val="single" w:sz="4" w:space="0" w:color="auto"/>
            </w:tcBorders>
            <w:shd w:val="clear" w:color="auto" w:fill="FFEBEB"/>
          </w:tcPr>
          <w:p w14:paraId="5D7D342D" w14:textId="32916485" w:rsidR="00716350" w:rsidRPr="00E92E6B" w:rsidRDefault="00716350" w:rsidP="0071635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E92E6B">
              <w:rPr>
                <w:rFonts w:ascii="Arial" w:hAnsi="Arial" w:cs="Arial"/>
                <w:color w:val="000000"/>
                <w:sz w:val="16"/>
                <w:szCs w:val="16"/>
              </w:rPr>
              <w:t>4.6</w:t>
            </w:r>
            <w:r w:rsidRPr="00E92E6B">
              <w:rPr>
                <w:rFonts w:ascii="Arial" w:hAnsi="Arial" w:cs="Arial"/>
                <w:color w:val="000000"/>
                <w:sz w:val="16"/>
                <w:szCs w:val="16"/>
              </w:rPr>
              <w:br/>
              <w:t>7.0</w:t>
            </w:r>
            <w:r w:rsidRPr="00E92E6B">
              <w:rPr>
                <w:rFonts w:asciiTheme="minorHAnsi" w:eastAsia="Wingdings 3" w:hAnsiTheme="minorHAnsi" w:cstheme="minorHAnsi"/>
                <w:sz w:val="16"/>
                <w:szCs w:val="16"/>
              </w:rPr>
              <w:sym w:font="Wingdings 3" w:char="F0C7"/>
            </w:r>
          </w:p>
        </w:tc>
      </w:tr>
    </w:tbl>
    <w:p w14:paraId="7D0F481F" w14:textId="77777777" w:rsidR="00797CAA" w:rsidRDefault="00797CAA" w:rsidP="00797CAA"/>
    <w:p w14:paraId="4E4ED4A8" w14:textId="77777777" w:rsidR="00797CAA" w:rsidRDefault="00797CAA" w:rsidP="00797CAA"/>
    <w:p w14:paraId="41411390" w14:textId="77777777" w:rsidR="00797CAA" w:rsidRDefault="00797CAA" w:rsidP="00797CAA">
      <w:pPr>
        <w:rPr>
          <w:rFonts w:ascii="Calibri" w:eastAsia="Calibri" w:hAnsi="Calibri"/>
          <w:color w:val="000000"/>
          <w:szCs w:val="22"/>
        </w:rPr>
      </w:pPr>
    </w:p>
    <w:p w14:paraId="78984FAE" w14:textId="77777777" w:rsidR="00797CAA" w:rsidRDefault="00797CAA" w:rsidP="00797CAA">
      <w:pPr>
        <w:rPr>
          <w:rFonts w:ascii="Calibri" w:eastAsia="Calibri" w:hAnsi="Calibri"/>
          <w:color w:val="000000"/>
          <w:szCs w:val="22"/>
        </w:rPr>
      </w:pPr>
    </w:p>
    <w:bookmarkEnd w:id="172"/>
    <w:p w14:paraId="0635B449" w14:textId="77777777" w:rsidR="00797CAA" w:rsidRDefault="00797CAA" w:rsidP="00797CAA">
      <w:pPr>
        <w:pStyle w:val="BodyText"/>
        <w:sectPr w:rsidR="00797CAA" w:rsidSect="007E4E86">
          <w:pgSz w:w="16838" w:h="11906" w:orient="landscape" w:code="9"/>
          <w:pgMar w:top="1134" w:right="1134" w:bottom="1134" w:left="1134" w:header="510" w:footer="624" w:gutter="0"/>
          <w:cols w:space="850"/>
          <w:docGrid w:linePitch="360"/>
        </w:sectPr>
      </w:pPr>
    </w:p>
    <w:p w14:paraId="006D9505" w14:textId="6E8BF5C7" w:rsidR="00657514" w:rsidRDefault="003A2FB2" w:rsidP="00695D90">
      <w:pPr>
        <w:pStyle w:val="Heading1"/>
      </w:pPr>
      <w:bookmarkStart w:id="175" w:name="_Ref36622664"/>
      <w:bookmarkStart w:id="176" w:name="_Ref38379681"/>
      <w:bookmarkStart w:id="177" w:name="_Toc52873095"/>
      <w:bookmarkStart w:id="178" w:name="_Toc53075126"/>
      <w:r>
        <w:lastRenderedPageBreak/>
        <w:t>Whole-of-scheme mechanisms for mitigating risk</w:t>
      </w:r>
      <w:bookmarkEnd w:id="175"/>
      <w:bookmarkEnd w:id="176"/>
      <w:bookmarkEnd w:id="177"/>
      <w:bookmarkEnd w:id="178"/>
    </w:p>
    <w:p w14:paraId="0A60BD2C" w14:textId="1F93FAF5" w:rsidR="00695D90" w:rsidRPr="00695D90" w:rsidRDefault="00695D90" w:rsidP="00A75AC4">
      <w:pPr>
        <w:pStyle w:val="BodyText"/>
      </w:pPr>
      <w:bookmarkStart w:id="179" w:name="_Hlk49517558"/>
      <w:bookmarkStart w:id="180" w:name="_Hlk49594924"/>
      <w:r>
        <w:t xml:space="preserve">This section briefly reviews the main ERF mechanisms that are designed to mitigate risk and to provide flexibility for proponents to help manage </w:t>
      </w:r>
      <w:r w:rsidR="00835EA7">
        <w:t xml:space="preserve">climate related and other physical </w:t>
      </w:r>
      <w:r>
        <w:t xml:space="preserve">risks to sequestration. Note these </w:t>
      </w:r>
      <w:r w:rsidR="00835EA7">
        <w:t xml:space="preserve">whole-of-scheme </w:t>
      </w:r>
      <w:r>
        <w:t xml:space="preserve">mechanisms were not taken into account in the risk assessments in Section 3, nor in the development of the </w:t>
      </w:r>
      <w:r w:rsidR="00F25E95">
        <w:t xml:space="preserve">associated </w:t>
      </w:r>
      <w:r>
        <w:t>risk ratings</w:t>
      </w:r>
      <w:bookmarkEnd w:id="179"/>
      <w:r>
        <w:t>.</w:t>
      </w:r>
    </w:p>
    <w:p w14:paraId="3FCB02A9" w14:textId="4BC1E691" w:rsidR="00D515FA" w:rsidRDefault="000D3177" w:rsidP="00A90EB5">
      <w:pPr>
        <w:pStyle w:val="Heading2"/>
      </w:pPr>
      <w:bookmarkStart w:id="181" w:name="_Toc52873096"/>
      <w:bookmarkStart w:id="182" w:name="_Toc53075127"/>
      <w:bookmarkEnd w:id="180"/>
      <w:r>
        <w:t>Risk of reversal buffer</w:t>
      </w:r>
      <w:bookmarkEnd w:id="181"/>
      <w:bookmarkEnd w:id="182"/>
    </w:p>
    <w:p w14:paraId="40938373" w14:textId="7CABE23B" w:rsidR="003A2FB2" w:rsidRDefault="003A2FB2" w:rsidP="001706B4">
      <w:pPr>
        <w:pStyle w:val="BodyText"/>
      </w:pPr>
      <w:r>
        <w:t>The risk of reversal buffer applies to all sequestration projects, reduc</w:t>
      </w:r>
      <w:r w:rsidR="001706B4">
        <w:t xml:space="preserve">ing </w:t>
      </w:r>
      <w:r>
        <w:t xml:space="preserve">the carbon abatement issued </w:t>
      </w:r>
      <w:r w:rsidR="001706B4">
        <w:t xml:space="preserve">by </w:t>
      </w:r>
      <w:r>
        <w:t xml:space="preserve">5 per cent. </w:t>
      </w:r>
      <w:r w:rsidR="001706B4">
        <w:t>It is simply a ‘flat tax’ that is applied to all carbon payments. The intent of the buffer is to protect the ERF (as a scheme as a whole) against short-term losses of sequestered carbon due to e.g. losses from fire disturbances, and to provide additional protection over and above other methodology-specific measures designed to reduce risks and ensure permanence</w:t>
      </w:r>
      <w:r w:rsidR="00CF6D6B">
        <w:t>.</w:t>
      </w:r>
      <w:r w:rsidR="00A62605">
        <w:t xml:space="preserve"> </w:t>
      </w:r>
      <w:r w:rsidR="001706B4">
        <w:t xml:space="preserve">It is important to note the risk of reversal buffer does not confer any protection to individual projects, and at the project-level it remains the </w:t>
      </w:r>
      <w:r w:rsidR="00ED30BD">
        <w:t>proponent’s</w:t>
      </w:r>
      <w:r w:rsidR="001706B4">
        <w:t xml:space="preserve"> responsibility to ensure any lost sequestration is re-established. Under the legislation </w:t>
      </w:r>
      <w:r w:rsidR="00A62605">
        <w:t xml:space="preserve">there is scope to adjust this buffer as required, for example if this risk profile to projects changes appreciably. To date no significant sequestration losses have been reported, suggesting that the current buffer of 5% is </w:t>
      </w:r>
      <w:r w:rsidR="008A0DE0">
        <w:t xml:space="preserve">set at </w:t>
      </w:r>
      <w:r w:rsidR="00A62605">
        <w:t>an appropriate</w:t>
      </w:r>
      <w:r w:rsidR="008A0DE0">
        <w:t xml:space="preserve"> level</w:t>
      </w:r>
      <w:r w:rsidR="00A62605">
        <w:t>. However</w:t>
      </w:r>
      <w:r w:rsidR="008A0DE0">
        <w:t>,</w:t>
      </w:r>
      <w:r w:rsidR="00A62605">
        <w:t xml:space="preserve"> the results of this review may be a reflection that the two activities facing the greatest potential risks under current and future climate change (Planting of native forests, </w:t>
      </w:r>
      <w:r w:rsidR="00103615">
        <w:t>M</w:t>
      </w:r>
      <w:r w:rsidR="00A62605">
        <w:t xml:space="preserve">anagement of agricultural soils) are those that have had relatively limited uptake, and thus relatively limited exposure to date. A thorough assessment of the most appropriate </w:t>
      </w:r>
      <w:r w:rsidR="002B4E29">
        <w:t xml:space="preserve">level for the risk of reversal buffer would require a numerical analysis of the likelihoods and consequences of the different risk factors identified in this report, to facilitate the calculation of the probabilities of </w:t>
      </w:r>
      <w:r w:rsidR="001803B5">
        <w:t xml:space="preserve">reduced rates of </w:t>
      </w:r>
      <w:r w:rsidR="002B4E29">
        <w:t xml:space="preserve">sequestration </w:t>
      </w:r>
      <w:r w:rsidR="001803B5">
        <w:t>accumulation</w:t>
      </w:r>
      <w:r w:rsidR="002B4E29">
        <w:t xml:space="preserve"> and </w:t>
      </w:r>
      <w:r w:rsidR="001803B5">
        <w:t xml:space="preserve">losses </w:t>
      </w:r>
      <w:r w:rsidR="002B4E29">
        <w:t>across under different activities, and in different locations nationally.</w:t>
      </w:r>
    </w:p>
    <w:p w14:paraId="26D5CCDC" w14:textId="69D0844D" w:rsidR="00D515FA" w:rsidRDefault="000D3177" w:rsidP="00A75AC4">
      <w:pPr>
        <w:pStyle w:val="Heading2"/>
      </w:pPr>
      <w:bookmarkStart w:id="183" w:name="_Toc52873097"/>
      <w:bookmarkStart w:id="184" w:name="_Toc53075128"/>
      <w:r>
        <w:t xml:space="preserve">Permanence </w:t>
      </w:r>
      <w:r w:rsidR="00180A19">
        <w:t>requirements</w:t>
      </w:r>
      <w:bookmarkEnd w:id="183"/>
      <w:bookmarkEnd w:id="184"/>
    </w:p>
    <w:p w14:paraId="2D341F6A" w14:textId="5EDE18D2" w:rsidR="00BB5120" w:rsidRDefault="002B4E29" w:rsidP="00D515FA">
      <w:pPr>
        <w:pStyle w:val="BodyText"/>
      </w:pPr>
      <w:r w:rsidRPr="002B4E29">
        <w:t>As noted</w:t>
      </w:r>
      <w:r>
        <w:t xml:space="preserve"> in the introduction, activities that sequester carbon have permanence obligations </w:t>
      </w:r>
      <w:r w:rsidR="00BB5120">
        <w:t xml:space="preserve">to ensure that stored carbon remains locked up for a period sufficient to ensure greenhouse gas benefits have been realised. </w:t>
      </w:r>
      <w:r w:rsidR="007B3C9B">
        <w:t xml:space="preserve">For projects that have a </w:t>
      </w:r>
      <w:r w:rsidR="00BB5120">
        <w:t xml:space="preserve">sequestration </w:t>
      </w:r>
      <w:r w:rsidR="007B3C9B">
        <w:t xml:space="preserve">component, </w:t>
      </w:r>
      <w:r w:rsidR="00BB5120">
        <w:t>permanence is either 25 years or 100 years, elected by the proponent. If a 25 year permanence period is elected</w:t>
      </w:r>
      <w:r w:rsidR="008A0DE0">
        <w:t>,</w:t>
      </w:r>
      <w:r w:rsidR="00BB5120">
        <w:t xml:space="preserve"> then, in addition to ACCU payments being reduced by the 5% risk of reversal buffer, they are also reduced by a further 20% (or 25% in the case of short-rotation plantation forestry projects). For projects that elect a 100 year permanence period, only the risk of reversal buffer is applied.</w:t>
      </w:r>
    </w:p>
    <w:p w14:paraId="7192ED1B" w14:textId="410DFBE6" w:rsidR="00BB5120" w:rsidRDefault="00BB5120" w:rsidP="00D515FA">
      <w:pPr>
        <w:pStyle w:val="BodyText"/>
      </w:pPr>
      <w:r>
        <w:t>Adopting a 25 year permanence period significantly reduces the exposure to risk</w:t>
      </w:r>
      <w:r w:rsidR="007B3C9B">
        <w:t>s from climatic variability and losses to disturbance</w:t>
      </w:r>
      <w:r>
        <w:t xml:space="preserve">, </w:t>
      </w:r>
      <w:r w:rsidR="007B3C9B">
        <w:t xml:space="preserve">especially as, beyond the 25-year timeframe, projections of climate change factors from the global circulation models become increasingly uncertain. </w:t>
      </w:r>
    </w:p>
    <w:p w14:paraId="50856EB6" w14:textId="103767DC" w:rsidR="007B3C9B" w:rsidRDefault="007B3C9B" w:rsidP="00D515FA">
      <w:pPr>
        <w:pStyle w:val="BodyText"/>
      </w:pPr>
      <w:r>
        <w:lastRenderedPageBreak/>
        <w:t>Across the portfolio</w:t>
      </w:r>
      <w:r w:rsidR="00CF3740">
        <w:t xml:space="preserve"> (</w:t>
      </w:r>
      <w:r w:rsidR="00CF3740">
        <w:fldChar w:fldCharType="begin"/>
      </w:r>
      <w:r w:rsidR="00CF3740">
        <w:instrText xml:space="preserve"> REF _Ref48655193 \h </w:instrText>
      </w:r>
      <w:r w:rsidR="00CF3740">
        <w:fldChar w:fldCharType="separate"/>
      </w:r>
      <w:r w:rsidR="00235F13">
        <w:t xml:space="preserve">Table </w:t>
      </w:r>
      <w:r w:rsidR="00235F13">
        <w:rPr>
          <w:noProof/>
        </w:rPr>
        <w:t>18</w:t>
      </w:r>
      <w:r w:rsidR="00CF3740">
        <w:fldChar w:fldCharType="end"/>
      </w:r>
      <w:r w:rsidR="00CF3740">
        <w:t>) approximately 50% of projects that include a sequestration component have elected a 25 year permanence period, and 50% a 100 year permanence period.</w:t>
      </w:r>
      <w:r w:rsidR="00B152B9">
        <w:t xml:space="preserve"> There are, however, marked differences between the different activity categories. With</w:t>
      </w:r>
      <w:r w:rsidR="008A0DE0">
        <w:t>in</w:t>
      </w:r>
      <w:r w:rsidR="00B152B9">
        <w:t xml:space="preserve"> the ‘Protection of existing forests’ category 92.4% of projects elected the 100 year permanence period. The majority of ‘Planting </w:t>
      </w:r>
      <w:r w:rsidR="00CD3D3D">
        <w:t xml:space="preserve">of </w:t>
      </w:r>
      <w:r w:rsidR="00B152B9">
        <w:t>new forests’ projects also elected a 100 year permanence period (60.9%), and the split for the ‘re-establishment of forest cover’ activity was 45.8% with a 100 year permanence, and 54.2% with a 25 year permanence. In contrast, only 5.1% of the ‘management of agricultural soils’ projects have elected a 100 year permanence period. The single Savanna fire management project that has elected to include sequestration as part of reportable abatement has elected a 25 year permanence period.</w:t>
      </w:r>
    </w:p>
    <w:p w14:paraId="4AF319EF" w14:textId="7CCAD37A" w:rsidR="00B152B9" w:rsidRDefault="00B152B9" w:rsidP="00D515FA">
      <w:pPr>
        <w:pStyle w:val="BodyText"/>
      </w:pPr>
      <w:r>
        <w:t>It is interesting to not</w:t>
      </w:r>
      <w:r w:rsidR="00B8035B">
        <w:t>e</w:t>
      </w:r>
      <w:r>
        <w:t xml:space="preserve"> that the </w:t>
      </w:r>
      <w:r w:rsidR="00B8035B">
        <w:t xml:space="preserve">patterns of elected permanence period in </w:t>
      </w:r>
      <w:r w:rsidR="00B8035B">
        <w:fldChar w:fldCharType="begin"/>
      </w:r>
      <w:r w:rsidR="00B8035B">
        <w:instrText xml:space="preserve"> REF _Ref48655193 \h </w:instrText>
      </w:r>
      <w:r w:rsidR="00B8035B">
        <w:fldChar w:fldCharType="separate"/>
      </w:r>
      <w:r w:rsidR="00235F13">
        <w:t xml:space="preserve">Table </w:t>
      </w:r>
      <w:r w:rsidR="00235F13">
        <w:rPr>
          <w:noProof/>
        </w:rPr>
        <w:t>18</w:t>
      </w:r>
      <w:r w:rsidR="00B8035B">
        <w:fldChar w:fldCharType="end"/>
      </w:r>
      <w:r w:rsidR="00B8035B">
        <w:t xml:space="preserve"> match the rankings of risk derived in Section </w:t>
      </w:r>
      <w:r w:rsidR="00B8035B">
        <w:fldChar w:fldCharType="begin"/>
      </w:r>
      <w:r w:rsidR="00B8035B">
        <w:instrText xml:space="preserve"> REF _Ref48656331 \r \h </w:instrText>
      </w:r>
      <w:r w:rsidR="00B8035B">
        <w:fldChar w:fldCharType="separate"/>
      </w:r>
      <w:r w:rsidR="00235F13">
        <w:t>3.3</w:t>
      </w:r>
      <w:r w:rsidR="00B8035B">
        <w:fldChar w:fldCharType="end"/>
      </w:r>
      <w:r w:rsidR="00C3748B">
        <w:t xml:space="preserve">, which indicated </w:t>
      </w:r>
      <w:r w:rsidR="00B8035B">
        <w:t xml:space="preserve">the lowest risks were associated with protecting existing forests (which have 92% of projects with 100 year permanence), activities with intermediate risks (planting </w:t>
      </w:r>
      <w:r w:rsidR="00CD3D3D">
        <w:t xml:space="preserve">of </w:t>
      </w:r>
      <w:r w:rsidR="00B8035B">
        <w:t xml:space="preserve">new forests and re-establishing native forests) had 61 and 46% of projects with 100 year permanence periods, and the activity with the highest risk profile (management of agricultural soils) has just 5.1 % of projects with 100 year permanence. Although the assumption proponents are selecting shorter permanence periods based on higher perceived risk needs testing, it is a feasible hypothesis given most ERF activity is mediated by a relatively small number of service providers, who collectively have </w:t>
      </w:r>
      <w:r w:rsidR="00C3748B">
        <w:t>both a deep knowledge of land based carbon sequestration, but also of the potential risk factors involved.</w:t>
      </w:r>
      <w:r w:rsidR="00AF7701">
        <w:t xml:space="preserve"> It is also likely the risks on which proponents a</w:t>
      </w:r>
      <w:r w:rsidR="00EF033E">
        <w:t>re</w:t>
      </w:r>
      <w:r w:rsidR="00AF7701">
        <w:t xml:space="preserve"> basing decisions extend beyond </w:t>
      </w:r>
      <w:r w:rsidR="00CE0124">
        <w:t xml:space="preserve">physical </w:t>
      </w:r>
      <w:r w:rsidR="00AF7701">
        <w:t>risks to the abatement, such as a desire to maintain flexibility for land use options into the future.</w:t>
      </w:r>
    </w:p>
    <w:p w14:paraId="3FE74506" w14:textId="56C2824E" w:rsidR="003B094D" w:rsidRPr="00351B86" w:rsidRDefault="003B094D" w:rsidP="003B094D">
      <w:pPr>
        <w:pStyle w:val="Caption"/>
        <w:rPr>
          <w:b w:val="0"/>
          <w:szCs w:val="20"/>
        </w:rPr>
      </w:pPr>
      <w:bookmarkStart w:id="185" w:name="_Ref48655193"/>
      <w:bookmarkStart w:id="186" w:name="_Toc52971073"/>
      <w:r>
        <w:t xml:space="preserve">Table </w:t>
      </w:r>
      <w:r>
        <w:fldChar w:fldCharType="begin"/>
      </w:r>
      <w:r>
        <w:instrText>SEQ Table \* ARABIC</w:instrText>
      </w:r>
      <w:r>
        <w:fldChar w:fldCharType="separate"/>
      </w:r>
      <w:r w:rsidR="00235F13">
        <w:rPr>
          <w:noProof/>
        </w:rPr>
        <w:t>18</w:t>
      </w:r>
      <w:r>
        <w:fldChar w:fldCharType="end"/>
      </w:r>
      <w:bookmarkEnd w:id="185"/>
      <w:r>
        <w:t xml:space="preserve">. </w:t>
      </w:r>
      <w:r w:rsidRPr="003B094D">
        <w:rPr>
          <w:b w:val="0"/>
          <w:bCs w:val="0"/>
        </w:rPr>
        <w:t>S</w:t>
      </w:r>
      <w:r>
        <w:rPr>
          <w:b w:val="0"/>
          <w:bCs w:val="0"/>
        </w:rPr>
        <w:t>ummary of elected permanence periods</w:t>
      </w:r>
      <w:r w:rsidR="00CF3740">
        <w:rPr>
          <w:b w:val="0"/>
          <w:bCs w:val="0"/>
        </w:rPr>
        <w:t xml:space="preserve"> across all projects listed in the ERF Projects register</w:t>
      </w:r>
      <w:r w:rsidR="00CF3740" w:rsidRPr="00CF3740">
        <w:rPr>
          <w:b w:val="0"/>
          <w:bCs w:val="0"/>
          <w:vertAlign w:val="superscript"/>
        </w:rPr>
        <w:t>1</w:t>
      </w:r>
      <w:r w:rsidR="00CF3740">
        <w:rPr>
          <w:b w:val="0"/>
          <w:bCs w:val="0"/>
        </w:rPr>
        <w:t xml:space="preserve"> (9 August 2020 update, including revoked projects)</w:t>
      </w:r>
      <w:r>
        <w:rPr>
          <w:b w:val="0"/>
          <w:szCs w:val="20"/>
        </w:rPr>
        <w:t>.</w:t>
      </w:r>
      <w:bookmarkEnd w:id="186"/>
      <w:r>
        <w:rPr>
          <w:b w:val="0"/>
          <w:szCs w:val="20"/>
        </w:rPr>
        <w:t xml:space="preserve">  </w:t>
      </w:r>
    </w:p>
    <w:tbl>
      <w:tblPr>
        <w:tblStyle w:val="TableCSIRO"/>
        <w:tblW w:w="8789" w:type="dxa"/>
        <w:tblInd w:w="0" w:type="dxa"/>
        <w:tblLayout w:type="fixed"/>
        <w:tblLook w:val="04A0" w:firstRow="1" w:lastRow="0" w:firstColumn="1" w:lastColumn="0" w:noHBand="0" w:noVBand="1"/>
      </w:tblPr>
      <w:tblGrid>
        <w:gridCol w:w="4253"/>
        <w:gridCol w:w="1701"/>
        <w:gridCol w:w="1417"/>
        <w:gridCol w:w="1418"/>
      </w:tblGrid>
      <w:tr w:rsidR="00254DC9" w:rsidRPr="00096464" w14:paraId="30BF0B10" w14:textId="77777777" w:rsidTr="00CF3740">
        <w:trPr>
          <w:cnfStyle w:val="100000000000" w:firstRow="1" w:lastRow="0" w:firstColumn="0" w:lastColumn="0" w:oddVBand="0" w:evenVBand="0" w:oddHBand="0" w:evenHBand="0" w:firstRowFirstColumn="0" w:firstRowLastColumn="0" w:lastRowFirstColumn="0" w:lastRowLastColumn="0"/>
          <w:trHeight w:val="1129"/>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7F3B7D0" w14:textId="77777777" w:rsidR="00254DC9" w:rsidRPr="00096464" w:rsidRDefault="00254DC9" w:rsidP="00254DC9">
            <w:pPr>
              <w:rPr>
                <w:rFonts w:asciiTheme="minorHAnsi" w:hAnsiTheme="minorHAnsi" w:cs="Arial"/>
                <w:sz w:val="20"/>
                <w:szCs w:val="20"/>
              </w:rPr>
            </w:pPr>
            <w:r w:rsidRPr="00096464">
              <w:rPr>
                <w:rFonts w:asciiTheme="minorHAnsi" w:hAnsiTheme="minorHAnsi" w:cs="Arial"/>
                <w:sz w:val="20"/>
                <w:szCs w:val="20"/>
              </w:rPr>
              <w:t>Activity category</w:t>
            </w:r>
          </w:p>
        </w:tc>
        <w:tc>
          <w:tcPr>
            <w:tcW w:w="1701" w:type="dxa"/>
            <w:vAlign w:val="center"/>
          </w:tcPr>
          <w:p w14:paraId="7274A99D" w14:textId="77777777" w:rsidR="00991605" w:rsidRDefault="00254DC9" w:rsidP="005E35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 xml:space="preserve">Number </w:t>
            </w:r>
            <w:r w:rsidR="005E3510">
              <w:rPr>
                <w:rFonts w:asciiTheme="minorHAnsi" w:hAnsiTheme="minorHAnsi" w:cs="Arial"/>
                <w:sz w:val="20"/>
                <w:szCs w:val="20"/>
              </w:rPr>
              <w:t xml:space="preserve">of </w:t>
            </w:r>
            <w:r w:rsidR="00991605">
              <w:rPr>
                <w:rFonts w:asciiTheme="minorHAnsi" w:hAnsiTheme="minorHAnsi" w:cs="Arial"/>
                <w:sz w:val="20"/>
                <w:szCs w:val="20"/>
              </w:rPr>
              <w:t>registered</w:t>
            </w:r>
          </w:p>
          <w:p w14:paraId="0BDF92FD" w14:textId="1FF0C2FA" w:rsidR="00254DC9" w:rsidRPr="00096464" w:rsidRDefault="00254DC9" w:rsidP="005E35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projects</w:t>
            </w:r>
          </w:p>
        </w:tc>
        <w:tc>
          <w:tcPr>
            <w:tcW w:w="1417" w:type="dxa"/>
            <w:vAlign w:val="center"/>
          </w:tcPr>
          <w:p w14:paraId="7BFD93F9" w14:textId="77777777" w:rsidR="00CF3740" w:rsidRDefault="00CF3740" w:rsidP="005E35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Number</w:t>
            </w:r>
          </w:p>
          <w:p w14:paraId="5657639A" w14:textId="77777777" w:rsidR="00CF3740" w:rsidRDefault="00CF3740" w:rsidP="005E35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w:t>
            </w:r>
            <w:r w:rsidR="00254DC9">
              <w:rPr>
                <w:rFonts w:asciiTheme="minorHAnsi" w:hAnsiTheme="minorHAnsi" w:cs="Arial"/>
                <w:sz w:val="20"/>
                <w:szCs w:val="20"/>
              </w:rPr>
              <w:t>%</w:t>
            </w:r>
            <w:r>
              <w:rPr>
                <w:rFonts w:asciiTheme="minorHAnsi" w:hAnsiTheme="minorHAnsi" w:cs="Arial"/>
                <w:sz w:val="20"/>
                <w:szCs w:val="20"/>
              </w:rPr>
              <w:t>)</w:t>
            </w:r>
          </w:p>
          <w:p w14:paraId="1B16A105" w14:textId="589E41B7" w:rsidR="00254DC9" w:rsidRPr="00096464" w:rsidRDefault="00CF3740" w:rsidP="005E35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 with </w:t>
            </w:r>
            <w:r w:rsidR="00254DC9">
              <w:rPr>
                <w:rFonts w:asciiTheme="minorHAnsi" w:hAnsiTheme="minorHAnsi" w:cs="Arial"/>
                <w:sz w:val="20"/>
                <w:szCs w:val="20"/>
              </w:rPr>
              <w:t>25 year permanence</w:t>
            </w:r>
            <w:r>
              <w:rPr>
                <w:rFonts w:asciiTheme="minorHAnsi" w:hAnsiTheme="minorHAnsi" w:cs="Arial"/>
                <w:sz w:val="20"/>
                <w:szCs w:val="20"/>
              </w:rPr>
              <w:t xml:space="preserve"> </w:t>
            </w:r>
          </w:p>
        </w:tc>
        <w:tc>
          <w:tcPr>
            <w:tcW w:w="1418" w:type="dxa"/>
            <w:vAlign w:val="center"/>
          </w:tcPr>
          <w:p w14:paraId="02A275CC" w14:textId="77777777" w:rsidR="00CF3740" w:rsidRDefault="00CF3740" w:rsidP="005E35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Number</w:t>
            </w:r>
          </w:p>
          <w:p w14:paraId="2D8F4BAD" w14:textId="77777777" w:rsidR="00CF3740" w:rsidRDefault="00CF3740" w:rsidP="005E35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val="0"/>
                <w:sz w:val="20"/>
                <w:szCs w:val="20"/>
              </w:rPr>
            </w:pPr>
            <w:r>
              <w:rPr>
                <w:rFonts w:asciiTheme="minorHAnsi" w:hAnsiTheme="minorHAnsi" w:cs="Arial"/>
                <w:sz w:val="20"/>
                <w:szCs w:val="20"/>
              </w:rPr>
              <w:t>(%)</w:t>
            </w:r>
          </w:p>
          <w:p w14:paraId="12A6374D" w14:textId="69CB0BC4" w:rsidR="00254DC9" w:rsidRDefault="00CF3740" w:rsidP="005E35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with </w:t>
            </w:r>
            <w:r w:rsidR="00254DC9">
              <w:rPr>
                <w:rFonts w:asciiTheme="minorHAnsi" w:hAnsiTheme="minorHAnsi" w:cs="Arial"/>
                <w:sz w:val="20"/>
                <w:szCs w:val="20"/>
              </w:rPr>
              <w:t>100 year permanence</w:t>
            </w:r>
          </w:p>
        </w:tc>
      </w:tr>
      <w:tr w:rsidR="00254DC9" w:rsidRPr="000E2DF1" w14:paraId="35962360" w14:textId="77777777" w:rsidTr="00CF3740">
        <w:trPr>
          <w:cnfStyle w:val="000000100000" w:firstRow="0" w:lastRow="0" w:firstColumn="0" w:lastColumn="0" w:oddVBand="0" w:evenVBand="0" w:oddHBand="1" w:evenHBand="0" w:firstRowFirstColumn="0" w:firstRowLastColumn="0" w:lastRowFirstColumn="0" w:lastRowLastColumn="0"/>
          <w:trHeight w:hRule="exact" w:val="689"/>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2C1844DF" w14:textId="4D35466A" w:rsidR="00254DC9" w:rsidRPr="000E2DF1" w:rsidRDefault="00FB2D3A" w:rsidP="00B8035B">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Re-establishment</w:t>
            </w:r>
            <w:r w:rsidR="00EF033E">
              <w:rPr>
                <w:rFonts w:asciiTheme="minorHAnsi" w:hAnsiTheme="minorHAnsi"/>
                <w:b w:val="0"/>
                <w:bCs w:val="0"/>
                <w:sz w:val="20"/>
                <w:szCs w:val="20"/>
              </w:rPr>
              <w:t xml:space="preserve"> </w:t>
            </w:r>
            <w:r w:rsidR="00254DC9" w:rsidRPr="000E2DF1">
              <w:rPr>
                <w:rFonts w:asciiTheme="minorHAnsi" w:hAnsiTheme="minorHAnsi"/>
                <w:b w:val="0"/>
                <w:bCs w:val="0"/>
                <w:sz w:val="20"/>
                <w:szCs w:val="20"/>
              </w:rPr>
              <w:t>of native forest cover</w:t>
            </w:r>
          </w:p>
        </w:tc>
        <w:tc>
          <w:tcPr>
            <w:tcW w:w="1701" w:type="dxa"/>
            <w:vAlign w:val="center"/>
          </w:tcPr>
          <w:p w14:paraId="1D8C5DEC" w14:textId="3D56D87F" w:rsidR="00254DC9" w:rsidRPr="000E2DF1" w:rsidRDefault="005E351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345</w:t>
            </w:r>
          </w:p>
        </w:tc>
        <w:tc>
          <w:tcPr>
            <w:tcW w:w="1417" w:type="dxa"/>
            <w:vAlign w:val="center"/>
          </w:tcPr>
          <w:p w14:paraId="11A85C77" w14:textId="3DB0B78C" w:rsidR="00CF3740"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187</w:t>
            </w:r>
          </w:p>
          <w:p w14:paraId="2CFBEDB1" w14:textId="164935F9" w:rsidR="005E3510" w:rsidRPr="000E2DF1"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sidR="005E3510">
              <w:rPr>
                <w:rFonts w:asciiTheme="minorHAnsi" w:hAnsiTheme="minorHAnsi"/>
                <w:sz w:val="20"/>
                <w:szCs w:val="20"/>
              </w:rPr>
              <w:t>54</w:t>
            </w:r>
            <w:r w:rsidR="003B094D">
              <w:rPr>
                <w:rFonts w:asciiTheme="minorHAnsi" w:hAnsiTheme="minorHAnsi"/>
                <w:sz w:val="20"/>
                <w:szCs w:val="20"/>
              </w:rPr>
              <w:t>.2</w:t>
            </w:r>
            <w:r>
              <w:rPr>
                <w:rFonts w:asciiTheme="minorHAnsi" w:hAnsiTheme="minorHAnsi"/>
                <w:sz w:val="20"/>
                <w:szCs w:val="20"/>
              </w:rPr>
              <w:t>)</w:t>
            </w:r>
          </w:p>
        </w:tc>
        <w:tc>
          <w:tcPr>
            <w:tcW w:w="1418" w:type="dxa"/>
            <w:vAlign w:val="center"/>
          </w:tcPr>
          <w:p w14:paraId="2A186049" w14:textId="44B4A925" w:rsidR="00CF3740"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158</w:t>
            </w:r>
          </w:p>
          <w:p w14:paraId="57DA79AA" w14:textId="24C4B9CB" w:rsidR="00254DC9"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sidR="005E3510">
              <w:rPr>
                <w:rFonts w:asciiTheme="minorHAnsi" w:hAnsiTheme="minorHAnsi"/>
                <w:sz w:val="20"/>
                <w:szCs w:val="20"/>
              </w:rPr>
              <w:t>4</w:t>
            </w:r>
            <w:r w:rsidR="003B094D">
              <w:rPr>
                <w:rFonts w:asciiTheme="minorHAnsi" w:hAnsiTheme="minorHAnsi"/>
                <w:sz w:val="20"/>
                <w:szCs w:val="20"/>
              </w:rPr>
              <w:t>5.8</w:t>
            </w:r>
            <w:r>
              <w:rPr>
                <w:rFonts w:asciiTheme="minorHAnsi" w:hAnsiTheme="minorHAnsi"/>
                <w:sz w:val="20"/>
                <w:szCs w:val="20"/>
              </w:rPr>
              <w:t>)</w:t>
            </w:r>
          </w:p>
        </w:tc>
      </w:tr>
      <w:tr w:rsidR="00254DC9" w:rsidRPr="000E2DF1" w14:paraId="5E90BAC6" w14:textId="77777777" w:rsidTr="00CF3740">
        <w:trPr>
          <w:trHeight w:hRule="exact" w:val="67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BD7EAB9" w14:textId="77777777" w:rsidR="00254DC9" w:rsidRPr="000E2DF1" w:rsidRDefault="00254DC9" w:rsidP="00B8035B">
            <w:pPr>
              <w:pStyle w:val="BodyText"/>
              <w:spacing w:before="0" w:after="0" w:line="240" w:lineRule="auto"/>
              <w:rPr>
                <w:rFonts w:asciiTheme="minorHAnsi" w:hAnsiTheme="minorHAnsi"/>
                <w:b w:val="0"/>
                <w:bCs w:val="0"/>
                <w:sz w:val="20"/>
                <w:szCs w:val="20"/>
              </w:rPr>
            </w:pPr>
            <w:r>
              <w:rPr>
                <w:rFonts w:asciiTheme="minorHAnsi" w:hAnsiTheme="minorHAnsi"/>
                <w:b w:val="0"/>
                <w:bCs w:val="0"/>
                <w:sz w:val="20"/>
                <w:szCs w:val="20"/>
              </w:rPr>
              <w:t>Planting</w:t>
            </w:r>
            <w:r w:rsidRPr="000E2DF1">
              <w:rPr>
                <w:rFonts w:asciiTheme="minorHAnsi" w:hAnsiTheme="minorHAnsi"/>
                <w:b w:val="0"/>
                <w:bCs w:val="0"/>
                <w:sz w:val="20"/>
                <w:szCs w:val="20"/>
              </w:rPr>
              <w:t xml:space="preserve"> of new forests</w:t>
            </w:r>
          </w:p>
        </w:tc>
        <w:tc>
          <w:tcPr>
            <w:tcW w:w="1701" w:type="dxa"/>
            <w:vAlign w:val="center"/>
          </w:tcPr>
          <w:p w14:paraId="5DABF3D2" w14:textId="0722D563" w:rsidR="00254DC9" w:rsidRPr="000E2DF1" w:rsidRDefault="005E3510" w:rsidP="005E3510">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156</w:t>
            </w:r>
          </w:p>
        </w:tc>
        <w:tc>
          <w:tcPr>
            <w:tcW w:w="1417" w:type="dxa"/>
            <w:vAlign w:val="center"/>
          </w:tcPr>
          <w:p w14:paraId="752A9943" w14:textId="350C179E" w:rsidR="00CF3740" w:rsidRDefault="00CF3740" w:rsidP="005E3510">
            <w:pPr>
              <w:pStyle w:val="BodyText"/>
              <w:spacing w:before="0"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61</w:t>
            </w:r>
          </w:p>
          <w:p w14:paraId="28B59CA7" w14:textId="733FE46A" w:rsidR="00254DC9" w:rsidRPr="000E2DF1" w:rsidRDefault="00CF3740" w:rsidP="005E3510">
            <w:pPr>
              <w:pStyle w:val="BodyText"/>
              <w:spacing w:before="0"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sidR="005E3510">
              <w:rPr>
                <w:rFonts w:asciiTheme="minorHAnsi" w:hAnsiTheme="minorHAnsi"/>
                <w:sz w:val="20"/>
                <w:szCs w:val="20"/>
              </w:rPr>
              <w:t>39</w:t>
            </w:r>
            <w:r w:rsidR="003B094D">
              <w:rPr>
                <w:rFonts w:asciiTheme="minorHAnsi" w:hAnsiTheme="minorHAnsi"/>
                <w:sz w:val="20"/>
                <w:szCs w:val="20"/>
              </w:rPr>
              <w:t>.1</w:t>
            </w:r>
            <w:r>
              <w:rPr>
                <w:rFonts w:asciiTheme="minorHAnsi" w:hAnsiTheme="minorHAnsi"/>
                <w:sz w:val="20"/>
                <w:szCs w:val="20"/>
              </w:rPr>
              <w:t>)</w:t>
            </w:r>
          </w:p>
        </w:tc>
        <w:tc>
          <w:tcPr>
            <w:tcW w:w="1418" w:type="dxa"/>
            <w:vAlign w:val="center"/>
          </w:tcPr>
          <w:p w14:paraId="5CA579A0" w14:textId="347B07DA" w:rsidR="00CF3740" w:rsidRDefault="00CF3740" w:rsidP="005E3510">
            <w:pPr>
              <w:pStyle w:val="BodyText"/>
              <w:spacing w:before="0"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95</w:t>
            </w:r>
          </w:p>
          <w:p w14:paraId="5A477295" w14:textId="792D5F14" w:rsidR="00254DC9" w:rsidRDefault="00CF3740" w:rsidP="005E3510">
            <w:pPr>
              <w:pStyle w:val="BodyText"/>
              <w:spacing w:before="0"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sidR="005E3510">
              <w:rPr>
                <w:rFonts w:asciiTheme="minorHAnsi" w:hAnsiTheme="minorHAnsi"/>
                <w:sz w:val="20"/>
                <w:szCs w:val="20"/>
              </w:rPr>
              <w:t>6</w:t>
            </w:r>
            <w:r w:rsidR="003B094D">
              <w:rPr>
                <w:rFonts w:asciiTheme="minorHAnsi" w:hAnsiTheme="minorHAnsi"/>
                <w:sz w:val="20"/>
                <w:szCs w:val="20"/>
              </w:rPr>
              <w:t>0.9</w:t>
            </w:r>
            <w:r>
              <w:rPr>
                <w:rFonts w:asciiTheme="minorHAnsi" w:hAnsiTheme="minorHAnsi"/>
                <w:sz w:val="20"/>
                <w:szCs w:val="20"/>
              </w:rPr>
              <w:t>)</w:t>
            </w:r>
          </w:p>
        </w:tc>
      </w:tr>
      <w:tr w:rsidR="00254DC9" w:rsidRPr="000E2DF1" w14:paraId="48077573" w14:textId="77777777" w:rsidTr="00CF3740">
        <w:trPr>
          <w:cnfStyle w:val="000000100000" w:firstRow="0" w:lastRow="0" w:firstColumn="0" w:lastColumn="0" w:oddVBand="0" w:evenVBand="0" w:oddHBand="1" w:evenHBand="0" w:firstRowFirstColumn="0" w:firstRowLastColumn="0" w:lastRowFirstColumn="0" w:lastRowLastColumn="0"/>
          <w:trHeight w:hRule="exact" w:val="668"/>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15A23FB" w14:textId="77777777" w:rsidR="00254DC9" w:rsidRPr="000E2DF1" w:rsidRDefault="00254DC9" w:rsidP="00B8035B">
            <w:pPr>
              <w:pStyle w:val="BodyText"/>
              <w:spacing w:before="0" w:after="0" w:line="240" w:lineRule="auto"/>
              <w:rPr>
                <w:rFonts w:asciiTheme="minorHAnsi" w:hAnsiTheme="minorHAnsi"/>
                <w:b w:val="0"/>
                <w:bCs w:val="0"/>
                <w:sz w:val="20"/>
                <w:szCs w:val="20"/>
              </w:rPr>
            </w:pPr>
            <w:r w:rsidRPr="000E2DF1">
              <w:rPr>
                <w:rFonts w:asciiTheme="minorHAnsi" w:hAnsiTheme="minorHAnsi"/>
                <w:b w:val="0"/>
                <w:bCs w:val="0"/>
                <w:sz w:val="20"/>
                <w:szCs w:val="20"/>
              </w:rPr>
              <w:t>Protection of existing forests</w:t>
            </w:r>
          </w:p>
        </w:tc>
        <w:tc>
          <w:tcPr>
            <w:tcW w:w="1701" w:type="dxa"/>
            <w:vAlign w:val="center"/>
          </w:tcPr>
          <w:p w14:paraId="28608C07" w14:textId="206C2CF5" w:rsidR="00254DC9" w:rsidRPr="000E2DF1" w:rsidRDefault="005E351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66</w:t>
            </w:r>
          </w:p>
        </w:tc>
        <w:tc>
          <w:tcPr>
            <w:tcW w:w="1417" w:type="dxa"/>
            <w:vAlign w:val="center"/>
          </w:tcPr>
          <w:p w14:paraId="49B28F75" w14:textId="26462F00" w:rsidR="00CF3740"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5</w:t>
            </w:r>
          </w:p>
          <w:p w14:paraId="6A7F48EC" w14:textId="26A2AC23" w:rsidR="00254DC9" w:rsidRPr="000E2DF1"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sidR="003B094D">
              <w:rPr>
                <w:rFonts w:asciiTheme="minorHAnsi" w:hAnsiTheme="minorHAnsi"/>
                <w:sz w:val="20"/>
                <w:szCs w:val="20"/>
              </w:rPr>
              <w:t>7.6</w:t>
            </w:r>
            <w:r>
              <w:rPr>
                <w:rFonts w:asciiTheme="minorHAnsi" w:hAnsiTheme="minorHAnsi"/>
                <w:sz w:val="20"/>
                <w:szCs w:val="20"/>
              </w:rPr>
              <w:t>)</w:t>
            </w:r>
          </w:p>
        </w:tc>
        <w:tc>
          <w:tcPr>
            <w:tcW w:w="1418" w:type="dxa"/>
            <w:vAlign w:val="center"/>
          </w:tcPr>
          <w:p w14:paraId="3051EE4A" w14:textId="7D7D000D" w:rsidR="00CF3740"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61</w:t>
            </w:r>
          </w:p>
          <w:p w14:paraId="301D826B" w14:textId="5EF7E3CA" w:rsidR="00254DC9"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sidR="005E3510">
              <w:rPr>
                <w:rFonts w:asciiTheme="minorHAnsi" w:hAnsiTheme="minorHAnsi"/>
                <w:sz w:val="20"/>
                <w:szCs w:val="20"/>
              </w:rPr>
              <w:t>92</w:t>
            </w:r>
            <w:r w:rsidR="00B152B9">
              <w:rPr>
                <w:rFonts w:asciiTheme="minorHAnsi" w:hAnsiTheme="minorHAnsi"/>
                <w:sz w:val="20"/>
                <w:szCs w:val="20"/>
              </w:rPr>
              <w:t>.4</w:t>
            </w:r>
            <w:r>
              <w:rPr>
                <w:rFonts w:asciiTheme="minorHAnsi" w:hAnsiTheme="minorHAnsi"/>
                <w:sz w:val="20"/>
                <w:szCs w:val="20"/>
              </w:rPr>
              <w:t>)</w:t>
            </w:r>
          </w:p>
        </w:tc>
      </w:tr>
      <w:tr w:rsidR="00254DC9" w:rsidRPr="000E2DF1" w14:paraId="51CCD5AD" w14:textId="77777777" w:rsidTr="00CF3740">
        <w:trPr>
          <w:trHeight w:hRule="exact" w:val="835"/>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1319FE8" w14:textId="77777777" w:rsidR="00254DC9" w:rsidRPr="000E2DF1" w:rsidRDefault="00254DC9" w:rsidP="00B8035B">
            <w:pPr>
              <w:pStyle w:val="BodyText"/>
              <w:spacing w:before="0" w:after="0" w:line="240" w:lineRule="auto"/>
              <w:rPr>
                <w:rFonts w:asciiTheme="minorHAnsi" w:hAnsiTheme="minorHAnsi"/>
                <w:b w:val="0"/>
                <w:bCs w:val="0"/>
                <w:sz w:val="20"/>
                <w:szCs w:val="20"/>
              </w:rPr>
            </w:pPr>
            <w:r w:rsidRPr="000E2DF1">
              <w:rPr>
                <w:rFonts w:asciiTheme="minorHAnsi" w:hAnsiTheme="minorHAnsi"/>
                <w:b w:val="0"/>
                <w:bCs w:val="0"/>
                <w:sz w:val="20"/>
                <w:szCs w:val="20"/>
              </w:rPr>
              <w:t>Management of agricultural soils</w:t>
            </w:r>
          </w:p>
        </w:tc>
        <w:tc>
          <w:tcPr>
            <w:tcW w:w="1701" w:type="dxa"/>
            <w:vAlign w:val="center"/>
          </w:tcPr>
          <w:p w14:paraId="47D06D09" w14:textId="33733505" w:rsidR="00254DC9" w:rsidRPr="000E2DF1" w:rsidRDefault="005E3510" w:rsidP="005E3510">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59</w:t>
            </w:r>
          </w:p>
        </w:tc>
        <w:tc>
          <w:tcPr>
            <w:tcW w:w="1417" w:type="dxa"/>
            <w:vAlign w:val="center"/>
          </w:tcPr>
          <w:p w14:paraId="513937DD" w14:textId="5468FEA7" w:rsidR="00CF3740" w:rsidRDefault="00CF3740" w:rsidP="005E3510">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56</w:t>
            </w:r>
          </w:p>
          <w:p w14:paraId="21F3BF5F" w14:textId="25BFFC27" w:rsidR="00254DC9" w:rsidRPr="000E2DF1" w:rsidRDefault="00CF3740" w:rsidP="005E3510">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w:t>
            </w:r>
            <w:r w:rsidR="003B094D">
              <w:rPr>
                <w:rFonts w:asciiTheme="minorHAnsi" w:hAnsiTheme="minorHAnsi" w:cs="Arial"/>
                <w:sz w:val="20"/>
                <w:szCs w:val="20"/>
              </w:rPr>
              <w:t>94.9</w:t>
            </w:r>
            <w:r>
              <w:rPr>
                <w:rFonts w:asciiTheme="minorHAnsi" w:hAnsiTheme="minorHAnsi" w:cs="Arial"/>
                <w:sz w:val="20"/>
                <w:szCs w:val="20"/>
              </w:rPr>
              <w:t>)</w:t>
            </w:r>
          </w:p>
        </w:tc>
        <w:tc>
          <w:tcPr>
            <w:tcW w:w="1418" w:type="dxa"/>
            <w:vAlign w:val="center"/>
          </w:tcPr>
          <w:p w14:paraId="7B54FA4D" w14:textId="21BE01C4" w:rsidR="00CF3740" w:rsidRDefault="00CF3740" w:rsidP="005E3510">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3</w:t>
            </w:r>
          </w:p>
          <w:p w14:paraId="1F0175D5" w14:textId="24340949" w:rsidR="00254DC9" w:rsidRDefault="00CF3740" w:rsidP="005E3510">
            <w:pPr>
              <w:pStyle w:val="BodyText"/>
              <w:spacing w:before="0" w:after="6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(5.1)</w:t>
            </w:r>
          </w:p>
        </w:tc>
      </w:tr>
      <w:tr w:rsidR="00254DC9" w:rsidRPr="000E2DF1" w14:paraId="4997D587" w14:textId="77777777" w:rsidTr="00CF3740">
        <w:trPr>
          <w:cnfStyle w:val="000000100000" w:firstRow="0" w:lastRow="0" w:firstColumn="0" w:lastColumn="0" w:oddVBand="0" w:evenVBand="0" w:oddHBand="1" w:evenHBand="0" w:firstRowFirstColumn="0" w:firstRowLastColumn="0" w:lastRowFirstColumn="0" w:lastRowLastColumn="0"/>
          <w:trHeight w:hRule="exact" w:val="691"/>
        </w:trPr>
        <w:tc>
          <w:tcPr>
            <w:cnfStyle w:val="001000000000" w:firstRow="0" w:lastRow="0" w:firstColumn="1" w:lastColumn="0" w:oddVBand="0" w:evenVBand="0" w:oddHBand="0" w:evenHBand="0" w:firstRowFirstColumn="0" w:firstRowLastColumn="0" w:lastRowFirstColumn="0" w:lastRowLastColumn="0"/>
            <w:tcW w:w="4253" w:type="dxa"/>
            <w:tcBorders>
              <w:bottom w:val="nil"/>
            </w:tcBorders>
            <w:vAlign w:val="center"/>
          </w:tcPr>
          <w:p w14:paraId="3A2E30D4" w14:textId="77777777" w:rsidR="00254DC9" w:rsidRPr="000E2DF1" w:rsidRDefault="00254DC9" w:rsidP="00B8035B">
            <w:pPr>
              <w:pStyle w:val="BodyText"/>
              <w:spacing w:before="0" w:after="0" w:line="240" w:lineRule="auto"/>
              <w:rPr>
                <w:rFonts w:asciiTheme="minorHAnsi" w:hAnsiTheme="minorHAnsi"/>
                <w:b w:val="0"/>
                <w:bCs w:val="0"/>
                <w:sz w:val="20"/>
                <w:szCs w:val="20"/>
              </w:rPr>
            </w:pPr>
            <w:r w:rsidRPr="000E2DF1">
              <w:rPr>
                <w:rFonts w:asciiTheme="minorHAnsi" w:hAnsiTheme="minorHAnsi"/>
                <w:b w:val="0"/>
                <w:bCs w:val="0"/>
                <w:sz w:val="20"/>
                <w:szCs w:val="20"/>
              </w:rPr>
              <w:t>Savanna fire management</w:t>
            </w:r>
          </w:p>
        </w:tc>
        <w:tc>
          <w:tcPr>
            <w:tcW w:w="1701" w:type="dxa"/>
            <w:tcBorders>
              <w:bottom w:val="nil"/>
            </w:tcBorders>
            <w:vAlign w:val="center"/>
          </w:tcPr>
          <w:p w14:paraId="19140CD6" w14:textId="513D7640" w:rsidR="00254DC9" w:rsidRPr="000E2DF1" w:rsidRDefault="005E351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w:t>
            </w:r>
          </w:p>
        </w:tc>
        <w:tc>
          <w:tcPr>
            <w:tcW w:w="1417" w:type="dxa"/>
            <w:tcBorders>
              <w:bottom w:val="nil"/>
            </w:tcBorders>
            <w:vAlign w:val="center"/>
          </w:tcPr>
          <w:p w14:paraId="1C1B4246" w14:textId="2CBEE752" w:rsidR="00CF3740"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w:t>
            </w:r>
          </w:p>
          <w:p w14:paraId="313D1CB9" w14:textId="496AAA7C" w:rsidR="00254DC9" w:rsidRPr="000E2DF1"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sidR="005E3510">
              <w:rPr>
                <w:rFonts w:asciiTheme="minorHAnsi" w:hAnsiTheme="minorHAnsi"/>
                <w:sz w:val="20"/>
                <w:szCs w:val="20"/>
              </w:rPr>
              <w:t>100</w:t>
            </w:r>
            <w:r>
              <w:rPr>
                <w:rFonts w:asciiTheme="minorHAnsi" w:hAnsiTheme="minorHAnsi"/>
                <w:sz w:val="20"/>
                <w:szCs w:val="20"/>
              </w:rPr>
              <w:t>.0)</w:t>
            </w:r>
          </w:p>
        </w:tc>
        <w:tc>
          <w:tcPr>
            <w:tcW w:w="1418" w:type="dxa"/>
            <w:tcBorders>
              <w:bottom w:val="nil"/>
            </w:tcBorders>
            <w:vAlign w:val="center"/>
          </w:tcPr>
          <w:p w14:paraId="79B33019" w14:textId="488887D5" w:rsidR="00CF3740"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0</w:t>
            </w:r>
          </w:p>
          <w:p w14:paraId="1083BAC7" w14:textId="799F920F" w:rsidR="00254DC9" w:rsidRDefault="00CF3740" w:rsidP="005E3510">
            <w:pPr>
              <w:pStyle w:val="BodyText"/>
              <w:spacing w:before="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t>
            </w:r>
            <w:r w:rsidR="005E3510">
              <w:rPr>
                <w:rFonts w:asciiTheme="minorHAnsi" w:hAnsiTheme="minorHAnsi"/>
                <w:sz w:val="20"/>
                <w:szCs w:val="20"/>
              </w:rPr>
              <w:t>0</w:t>
            </w:r>
            <w:r>
              <w:rPr>
                <w:rFonts w:asciiTheme="minorHAnsi" w:hAnsiTheme="minorHAnsi"/>
                <w:sz w:val="20"/>
                <w:szCs w:val="20"/>
              </w:rPr>
              <w:t>.0)</w:t>
            </w:r>
          </w:p>
        </w:tc>
      </w:tr>
      <w:tr w:rsidR="00254DC9" w:rsidRPr="000E2DF1" w14:paraId="6C94E07E" w14:textId="77777777" w:rsidTr="00CF3740">
        <w:trPr>
          <w:trHeight w:hRule="exact" w:val="402"/>
        </w:trPr>
        <w:tc>
          <w:tcPr>
            <w:cnfStyle w:val="001000000000" w:firstRow="0" w:lastRow="0" w:firstColumn="1" w:lastColumn="0" w:oddVBand="0" w:evenVBand="0" w:oddHBand="0" w:evenHBand="0" w:firstRowFirstColumn="0" w:firstRowLastColumn="0" w:lastRowFirstColumn="0" w:lastRowLastColumn="0"/>
            <w:tcW w:w="4253" w:type="dxa"/>
            <w:tcBorders>
              <w:bottom w:val="single" w:sz="4" w:space="0" w:color="D9D9D9" w:themeColor="background1" w:themeShade="D9"/>
            </w:tcBorders>
            <w:vAlign w:val="center"/>
          </w:tcPr>
          <w:p w14:paraId="60E77B46" w14:textId="77777777" w:rsidR="00254DC9" w:rsidRPr="000E2DF1" w:rsidRDefault="00254DC9" w:rsidP="00B8035B">
            <w:pPr>
              <w:rPr>
                <w:rFonts w:asciiTheme="minorHAnsi" w:hAnsiTheme="minorHAnsi" w:cs="Arial"/>
                <w:b w:val="0"/>
                <w:bCs w:val="0"/>
                <w:sz w:val="20"/>
                <w:szCs w:val="20"/>
              </w:rPr>
            </w:pPr>
            <w:r>
              <w:rPr>
                <w:rFonts w:asciiTheme="minorHAnsi" w:hAnsiTheme="minorHAnsi" w:cs="Arial"/>
                <w:b w:val="0"/>
                <w:bCs w:val="0"/>
                <w:sz w:val="20"/>
                <w:szCs w:val="20"/>
              </w:rPr>
              <w:t>Management of intertidal  ecosystems</w:t>
            </w:r>
          </w:p>
        </w:tc>
        <w:tc>
          <w:tcPr>
            <w:tcW w:w="1701" w:type="dxa"/>
            <w:tcBorders>
              <w:bottom w:val="single" w:sz="4" w:space="0" w:color="D9D9D9" w:themeColor="background1" w:themeShade="D9"/>
            </w:tcBorders>
            <w:vAlign w:val="center"/>
          </w:tcPr>
          <w:p w14:paraId="2B712777" w14:textId="01EDAB73" w:rsidR="00254DC9" w:rsidRPr="000E2DF1" w:rsidRDefault="005E3510" w:rsidP="005E3510">
            <w:pPr>
              <w:spacing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NA</w:t>
            </w:r>
          </w:p>
        </w:tc>
        <w:tc>
          <w:tcPr>
            <w:tcW w:w="1417" w:type="dxa"/>
            <w:tcBorders>
              <w:bottom w:val="single" w:sz="4" w:space="0" w:color="D9D9D9" w:themeColor="background1" w:themeShade="D9"/>
            </w:tcBorders>
            <w:vAlign w:val="center"/>
          </w:tcPr>
          <w:p w14:paraId="2F03BD73" w14:textId="5A8CB46D" w:rsidR="00254DC9" w:rsidRDefault="005E3510" w:rsidP="005E3510">
            <w:pPr>
              <w:spacing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NA</w:t>
            </w:r>
          </w:p>
        </w:tc>
        <w:tc>
          <w:tcPr>
            <w:tcW w:w="1418" w:type="dxa"/>
            <w:tcBorders>
              <w:bottom w:val="single" w:sz="4" w:space="0" w:color="D9D9D9" w:themeColor="background1" w:themeShade="D9"/>
            </w:tcBorders>
            <w:vAlign w:val="center"/>
          </w:tcPr>
          <w:p w14:paraId="3D87A79D" w14:textId="1378EF41" w:rsidR="00254DC9" w:rsidRDefault="005E3510" w:rsidP="005E3510">
            <w:pPr>
              <w:spacing w:after="6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NA</w:t>
            </w:r>
          </w:p>
        </w:tc>
      </w:tr>
      <w:tr w:rsidR="00CF3740" w:rsidRPr="000E2DF1" w14:paraId="761C5A30" w14:textId="77777777" w:rsidTr="00CF3740">
        <w:trPr>
          <w:cnfStyle w:val="000000100000" w:firstRow="0" w:lastRow="0" w:firstColumn="0" w:lastColumn="0" w:oddVBand="0" w:evenVBand="0" w:oddHBand="1" w:evenHBand="0" w:firstRowFirstColumn="0" w:firstRowLastColumn="0" w:lastRowFirstColumn="0" w:lastRowLastColumn="0"/>
          <w:trHeight w:hRule="exact" w:val="402"/>
        </w:trPr>
        <w:tc>
          <w:tcPr>
            <w:cnfStyle w:val="001000000000" w:firstRow="0" w:lastRow="0" w:firstColumn="1" w:lastColumn="0" w:oddVBand="0" w:evenVBand="0" w:oddHBand="0" w:evenHBand="0" w:firstRowFirstColumn="0" w:firstRowLastColumn="0" w:lastRowFirstColumn="0" w:lastRowLastColumn="0"/>
            <w:tcW w:w="4253" w:type="dxa"/>
            <w:tcBorders>
              <w:top w:val="single" w:sz="4" w:space="0" w:color="D9D9D9" w:themeColor="background1" w:themeShade="D9"/>
            </w:tcBorders>
            <w:vAlign w:val="center"/>
          </w:tcPr>
          <w:p w14:paraId="7313982D" w14:textId="77777777" w:rsidR="00CF3740" w:rsidRDefault="00CF3740" w:rsidP="00B8035B">
            <w:pPr>
              <w:rPr>
                <w:rFonts w:asciiTheme="minorHAnsi" w:hAnsiTheme="minorHAnsi" w:cs="Arial"/>
                <w:b w:val="0"/>
                <w:bCs w:val="0"/>
                <w:sz w:val="20"/>
                <w:szCs w:val="20"/>
              </w:rPr>
            </w:pPr>
          </w:p>
        </w:tc>
        <w:tc>
          <w:tcPr>
            <w:tcW w:w="1701" w:type="dxa"/>
            <w:tcBorders>
              <w:top w:val="single" w:sz="4" w:space="0" w:color="D9D9D9" w:themeColor="background1" w:themeShade="D9"/>
            </w:tcBorders>
            <w:vAlign w:val="center"/>
          </w:tcPr>
          <w:p w14:paraId="51C1F50D" w14:textId="4AFB7CF2" w:rsidR="00CF3740" w:rsidRDefault="00CF3740" w:rsidP="005E3510">
            <w:pPr>
              <w:spacing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627</w:t>
            </w:r>
          </w:p>
        </w:tc>
        <w:tc>
          <w:tcPr>
            <w:tcW w:w="1417" w:type="dxa"/>
            <w:tcBorders>
              <w:top w:val="single" w:sz="4" w:space="0" w:color="D9D9D9" w:themeColor="background1" w:themeShade="D9"/>
            </w:tcBorders>
            <w:vAlign w:val="center"/>
          </w:tcPr>
          <w:p w14:paraId="18E2D38F" w14:textId="683DB18E" w:rsidR="00CF3740" w:rsidRDefault="00CF3740" w:rsidP="005E3510">
            <w:pPr>
              <w:spacing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(49.4)</w:t>
            </w:r>
          </w:p>
        </w:tc>
        <w:tc>
          <w:tcPr>
            <w:tcW w:w="1418" w:type="dxa"/>
            <w:tcBorders>
              <w:top w:val="single" w:sz="4" w:space="0" w:color="D9D9D9" w:themeColor="background1" w:themeShade="D9"/>
            </w:tcBorders>
            <w:vAlign w:val="center"/>
          </w:tcPr>
          <w:p w14:paraId="50DAD4A3" w14:textId="466C37ED" w:rsidR="00CF3740" w:rsidRDefault="00CF3740" w:rsidP="005E3510">
            <w:pPr>
              <w:spacing w:after="6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(50.6)</w:t>
            </w:r>
          </w:p>
        </w:tc>
      </w:tr>
    </w:tbl>
    <w:p w14:paraId="31E70E44" w14:textId="120178BE" w:rsidR="00254DC9" w:rsidRPr="00CF3740" w:rsidRDefault="00CF3740" w:rsidP="00D515FA">
      <w:pPr>
        <w:pStyle w:val="BodyText"/>
        <w:rPr>
          <w:sz w:val="20"/>
          <w:szCs w:val="20"/>
        </w:rPr>
      </w:pPr>
      <w:r w:rsidRPr="00CF3740">
        <w:rPr>
          <w:sz w:val="20"/>
          <w:szCs w:val="20"/>
          <w:vertAlign w:val="superscript"/>
        </w:rPr>
        <w:t>1</w:t>
      </w:r>
      <w:r w:rsidRPr="00CF3740">
        <w:rPr>
          <w:sz w:val="20"/>
          <w:szCs w:val="20"/>
        </w:rPr>
        <w:t>http://www.cleanenergyregulator.gov.au/ERF/project-and-contracts-registers/project-register</w:t>
      </w:r>
    </w:p>
    <w:p w14:paraId="39D3C20C" w14:textId="53C392CB" w:rsidR="00CC333D" w:rsidRPr="00CC333D" w:rsidRDefault="00CC333D" w:rsidP="00D515FA">
      <w:pPr>
        <w:pStyle w:val="BodyText"/>
      </w:pPr>
      <w:r w:rsidRPr="00CC333D">
        <w:lastRenderedPageBreak/>
        <w:t xml:space="preserve">If fire or other environmental disturbance </w:t>
      </w:r>
      <w:r>
        <w:t>leads to a loss of sequestration, then the onus is on landowners to take actions to re-establish the carbon stores, and further ACCUs will generally not be awarded until the previous level of sequestration is restored. Alternatively, ACCUs equivalent to the lost carbon can be relinquished. In a previous review of the ERF scheme the Climate Change Authority noted the importance of permanence, and the risks to national GHG targets arising if carbon is lost and not replaced</w:t>
      </w:r>
      <w:r w:rsidR="00CE0124">
        <w:t>, with one possible outcome being the need for the government to purchase additional credits to meet the shortfall</w:t>
      </w:r>
      <w:r>
        <w:t xml:space="preserve"> (Commonwealth of Australia 2017).</w:t>
      </w:r>
      <w:r w:rsidR="00CE0124">
        <w:t xml:space="preserve"> To help guard against such outcomes there is therefore a need for effective enforcement of permanence obligations. This is achieved through a number of reporting and notification requirements, which in the case of those electing 100 year permanence</w:t>
      </w:r>
      <w:r w:rsidR="002578C4">
        <w:t>,</w:t>
      </w:r>
      <w:r w:rsidR="00CE0124">
        <w:t xml:space="preserve"> extend well beyond the 25 year project crediting period.  </w:t>
      </w:r>
    </w:p>
    <w:p w14:paraId="4C2D2A47" w14:textId="30FDF6B9" w:rsidR="000D3177" w:rsidRDefault="000D3177" w:rsidP="00A75AC4">
      <w:pPr>
        <w:pStyle w:val="Heading2"/>
      </w:pPr>
      <w:bookmarkStart w:id="187" w:name="_Toc52873098"/>
      <w:bookmarkStart w:id="188" w:name="_Toc53075129"/>
      <w:r>
        <w:t xml:space="preserve">Flexibility </w:t>
      </w:r>
      <w:r w:rsidR="00545D71">
        <w:t xml:space="preserve">to source ACCUs </w:t>
      </w:r>
      <w:r w:rsidR="00125E26">
        <w:t>from the secondary market</w:t>
      </w:r>
      <w:bookmarkEnd w:id="187"/>
      <w:bookmarkEnd w:id="188"/>
      <w:r w:rsidR="00545D71">
        <w:t xml:space="preserve"> </w:t>
      </w:r>
    </w:p>
    <w:p w14:paraId="46C22093" w14:textId="17E35202" w:rsidR="00386119" w:rsidRDefault="00073900" w:rsidP="00386119">
      <w:pPr>
        <w:pStyle w:val="BodyText"/>
      </w:pPr>
      <w:r w:rsidRPr="00073900">
        <w:t xml:space="preserve">When proponents enter into a </w:t>
      </w:r>
      <w:r w:rsidR="00F25E95">
        <w:t xml:space="preserve">fixed </w:t>
      </w:r>
      <w:r w:rsidRPr="00073900">
        <w:t>contract to deliver ACCUs</w:t>
      </w:r>
      <w:r>
        <w:t xml:space="preserve"> under the current ERF reverse auction purchasing mechanism, there is no requirement that the ACCUs delivered to satisfy the contracted abatement come from the </w:t>
      </w:r>
      <w:r w:rsidR="00386119">
        <w:t xml:space="preserve">contracted </w:t>
      </w:r>
      <w:r>
        <w:t>project; any shortfall can be made up from purchases on the secondary market</w:t>
      </w:r>
      <w:r w:rsidR="00386119">
        <w:t>, or from other projects within the proponents portfolio</w:t>
      </w:r>
      <w:r w:rsidR="00A63ACB">
        <w:t>, and where t</w:t>
      </w:r>
      <w:r>
        <w:t xml:space="preserve">he secondary market </w:t>
      </w:r>
      <w:r w:rsidR="00A63ACB">
        <w:t>facilitates</w:t>
      </w:r>
      <w:r w:rsidR="00386119">
        <w:t xml:space="preserve"> the sale and purchase of ACCUs</w:t>
      </w:r>
      <w:r w:rsidR="00A63ACB">
        <w:t xml:space="preserve"> that are generated </w:t>
      </w:r>
      <w:r w:rsidR="00386119">
        <w:t xml:space="preserve">outside of </w:t>
      </w:r>
      <w:r w:rsidR="00A63ACB">
        <w:t xml:space="preserve">those </w:t>
      </w:r>
      <w:r w:rsidR="00386119">
        <w:t>contract</w:t>
      </w:r>
      <w:r w:rsidR="00A63ACB">
        <w:t>ed</w:t>
      </w:r>
      <w:r w:rsidR="00386119">
        <w:t xml:space="preserve"> with the Government. There are </w:t>
      </w:r>
      <w:r w:rsidR="00A63ACB">
        <w:t xml:space="preserve">a number of possible </w:t>
      </w:r>
      <w:r w:rsidR="00386119">
        <w:t xml:space="preserve">sources </w:t>
      </w:r>
      <w:r w:rsidR="00A63ACB">
        <w:t xml:space="preserve">for ACCUs </w:t>
      </w:r>
      <w:r w:rsidR="0036426D">
        <w:t xml:space="preserve">to supply </w:t>
      </w:r>
      <w:r w:rsidR="00A63ACB">
        <w:t>the secondary market, including projects that are out of contract but still within the crediting period and are still creating abatement, and projects that were registered b</w:t>
      </w:r>
      <w:r w:rsidR="0036426D">
        <w:t>ut</w:t>
      </w:r>
      <w:r w:rsidR="00A63ACB">
        <w:t xml:space="preserve"> not contracted under auction</w:t>
      </w:r>
      <w:r w:rsidR="0036426D">
        <w:t xml:space="preserve">. </w:t>
      </w:r>
    </w:p>
    <w:p w14:paraId="7D513DD0" w14:textId="7B6CF7BF" w:rsidR="00F25E95" w:rsidRDefault="00F25E95" w:rsidP="00A75AC4">
      <w:pPr>
        <w:pStyle w:val="Heading2"/>
      </w:pPr>
      <w:bookmarkStart w:id="189" w:name="_Toc52873099"/>
      <w:bookmarkStart w:id="190" w:name="_Toc53075130"/>
      <w:r>
        <w:t>Option</w:t>
      </w:r>
      <w:r w:rsidR="00427BC3">
        <w:t>s</w:t>
      </w:r>
      <w:r>
        <w:t xml:space="preserve"> contracts</w:t>
      </w:r>
      <w:bookmarkEnd w:id="189"/>
      <w:bookmarkEnd w:id="190"/>
      <w:r>
        <w:t xml:space="preserve"> </w:t>
      </w:r>
    </w:p>
    <w:p w14:paraId="2387CDF3" w14:textId="317CA923" w:rsidR="00F25E95" w:rsidRDefault="00F25E95" w:rsidP="00BA6FE9">
      <w:pPr>
        <w:pStyle w:val="BodyText"/>
      </w:pPr>
      <w:r>
        <w:t>The Clean Energy Regulator has recently introduced a new form of contract, the Options contract</w:t>
      </w:r>
      <w:r>
        <w:rPr>
          <w:rStyle w:val="FootnoteReference"/>
        </w:rPr>
        <w:footnoteReference w:id="14"/>
      </w:r>
      <w:r>
        <w:t xml:space="preserve">, which allows contract holders to better manage both their price and supply risks. Options contracts provide the </w:t>
      </w:r>
      <w:r w:rsidR="00BA6FE9">
        <w:t>proponent</w:t>
      </w:r>
      <w:r>
        <w:t xml:space="preserve"> with the right, but not the obligation, to sell ACCUs to the Commonwealth</w:t>
      </w:r>
      <w:r w:rsidR="00BA6FE9">
        <w:t xml:space="preserve">. Although any abatement generated under an options contract must be tied to a single project (thus precluding the use of the secondary market to meet any shortfall, as described </w:t>
      </w:r>
      <w:r w:rsidR="00196872">
        <w:t xml:space="preserve">in Section 4.3 </w:t>
      </w:r>
      <w:r w:rsidR="00BA6FE9">
        <w:t>above), if anticipated abatement is not achieved, then the proponent may reduce (or cease deliveries) to the Commonwealth without penalty.</w:t>
      </w:r>
      <w:r>
        <w:t xml:space="preserve"> </w:t>
      </w:r>
    </w:p>
    <w:p w14:paraId="22BDFD61" w14:textId="77777777" w:rsidR="00F25E95" w:rsidRDefault="00F25E95" w:rsidP="00F25E95">
      <w:pPr>
        <w:pStyle w:val="BodyText"/>
      </w:pPr>
    </w:p>
    <w:p w14:paraId="3C70D924" w14:textId="5AA4C606" w:rsidR="00695D90" w:rsidRDefault="00695D90" w:rsidP="00D515FA">
      <w:pPr>
        <w:pStyle w:val="BodyText"/>
      </w:pPr>
    </w:p>
    <w:p w14:paraId="7E4DC0AD" w14:textId="521E179C" w:rsidR="00695D90" w:rsidRDefault="00695D90" w:rsidP="00D515FA">
      <w:pPr>
        <w:pStyle w:val="BodyText"/>
      </w:pPr>
    </w:p>
    <w:p w14:paraId="677C9463" w14:textId="7052CD7F" w:rsidR="00695D90" w:rsidRDefault="00695D90" w:rsidP="00D515FA">
      <w:pPr>
        <w:pStyle w:val="BodyText"/>
      </w:pPr>
    </w:p>
    <w:p w14:paraId="37AADF43" w14:textId="77777777" w:rsidR="00695D90" w:rsidRDefault="00695D90" w:rsidP="00695D90">
      <w:pPr>
        <w:pStyle w:val="Heading1"/>
      </w:pPr>
      <w:bookmarkStart w:id="191" w:name="_Ref34307538"/>
      <w:bookmarkStart w:id="192" w:name="_Toc52873100"/>
      <w:bookmarkStart w:id="193" w:name="_Toc53075131"/>
      <w:r w:rsidRPr="009A1C03">
        <w:lastRenderedPageBreak/>
        <w:t>Potential for E</w:t>
      </w:r>
      <w:r>
        <w:t xml:space="preserve">RF </w:t>
      </w:r>
      <w:r w:rsidRPr="009A1C03">
        <w:t xml:space="preserve">activities to </w:t>
      </w:r>
      <w:r>
        <w:t xml:space="preserve">mitigate risk and </w:t>
      </w:r>
      <w:r w:rsidRPr="009A1C03">
        <w:t>contribute to farm-level resilience</w:t>
      </w:r>
      <w:bookmarkEnd w:id="191"/>
      <w:bookmarkEnd w:id="192"/>
      <w:bookmarkEnd w:id="193"/>
    </w:p>
    <w:p w14:paraId="6286779A" w14:textId="3B3954A9" w:rsidR="00127870" w:rsidRDefault="00E8107C" w:rsidP="00A75AC4">
      <w:pPr>
        <w:pStyle w:val="Heading2"/>
      </w:pPr>
      <w:r w:rsidDel="00D0332F">
        <w:fldChar w:fldCharType="begin"/>
      </w:r>
      <w:bookmarkStart w:id="194" w:name="_Toc49779525"/>
      <w:bookmarkStart w:id="195" w:name="_Toc49776249"/>
      <w:bookmarkStart w:id="196" w:name="_Toc49617189"/>
      <w:bookmarkStart w:id="197" w:name="_Toc49779524"/>
      <w:bookmarkStart w:id="198" w:name="_Toc49776248"/>
      <w:bookmarkStart w:id="199" w:name="_Toc49617188"/>
      <w:bookmarkEnd w:id="194"/>
      <w:bookmarkEnd w:id="195"/>
      <w:bookmarkEnd w:id="196"/>
      <w:bookmarkEnd w:id="197"/>
      <w:bookmarkEnd w:id="198"/>
      <w:bookmarkEnd w:id="199"/>
      <w:r w:rsidDel="00D0332F">
        <w:fldChar w:fldCharType="separate"/>
      </w:r>
      <w:r w:rsidR="007E1E92">
        <w:rPr>
          <w:noProof/>
        </w:rPr>
        <w:t>6</w:t>
      </w:r>
      <w:r w:rsidDel="00D0332F">
        <w:fldChar w:fldCharType="end"/>
      </w:r>
      <w:bookmarkStart w:id="200" w:name="_Toc52873101"/>
      <w:bookmarkStart w:id="201" w:name="_Toc53075132"/>
      <w:r w:rsidR="00127870">
        <w:t>Co-benefits</w:t>
      </w:r>
      <w:bookmarkEnd w:id="200"/>
      <w:bookmarkEnd w:id="201"/>
      <w:r w:rsidR="00127870">
        <w:t xml:space="preserve"> </w:t>
      </w:r>
    </w:p>
    <w:p w14:paraId="58CEC471" w14:textId="7A032369" w:rsidR="002C601F" w:rsidRDefault="000D6568" w:rsidP="00127870">
      <w:pPr>
        <w:pStyle w:val="BodyText"/>
      </w:pPr>
      <w:r>
        <w:t>E</w:t>
      </w:r>
      <w:r w:rsidR="000F5A17">
        <w:t xml:space="preserve">nvironmental, biodiversity, cultural and social </w:t>
      </w:r>
      <w:r>
        <w:t>co-</w:t>
      </w:r>
      <w:r w:rsidR="000F5A17">
        <w:t>benefits associated with ERF project</w:t>
      </w:r>
      <w:r w:rsidR="002C601F">
        <w:t>s</w:t>
      </w:r>
      <w:r w:rsidR="000F5A17">
        <w:t xml:space="preserve"> </w:t>
      </w:r>
      <w:r w:rsidR="00C52B67">
        <w:t xml:space="preserve">have the potential to incentivise </w:t>
      </w:r>
      <w:r w:rsidR="002C601F">
        <w:t xml:space="preserve">landholders </w:t>
      </w:r>
      <w:r w:rsidR="000F5A17">
        <w:t xml:space="preserve">to maintain </w:t>
      </w:r>
      <w:r w:rsidR="002C601F">
        <w:t xml:space="preserve">(and hence secure) </w:t>
      </w:r>
      <w:r w:rsidR="000F5A17">
        <w:t>carbon stores</w:t>
      </w:r>
      <w:r w:rsidR="002C601F">
        <w:t xml:space="preserve"> in the land sector. For example</w:t>
      </w:r>
      <w:r w:rsidR="001512F8">
        <w:t>,</w:t>
      </w:r>
      <w:r w:rsidR="002C601F">
        <w:t xml:space="preserve"> a management change that simultaneously increase</w:t>
      </w:r>
      <w:r w:rsidR="00014D8F">
        <w:t>s</w:t>
      </w:r>
      <w:r w:rsidR="002C601F">
        <w:t xml:space="preserve"> soil organic carbon whilst at the same time increas</w:t>
      </w:r>
      <w:r w:rsidR="00C52B67">
        <w:t>es</w:t>
      </w:r>
      <w:r w:rsidR="002C601F">
        <w:t xml:space="preserve"> farm profitability is </w:t>
      </w:r>
      <w:r w:rsidR="00014D8F">
        <w:t>likely to endure</w:t>
      </w:r>
      <w:r w:rsidR="00C52B67">
        <w:t>;</w:t>
      </w:r>
      <w:r w:rsidR="00014D8F">
        <w:t xml:space="preserve"> whereas an activity of limited profitability focussing solely on carbon</w:t>
      </w:r>
      <w:r w:rsidR="00FB450A">
        <w:t xml:space="preserve"> is likely to be seen as expendable.</w:t>
      </w:r>
      <w:r w:rsidR="00014D8F">
        <w:t xml:space="preserve"> </w:t>
      </w:r>
    </w:p>
    <w:p w14:paraId="49BC9DA6" w14:textId="4F1B023F" w:rsidR="00FB450A" w:rsidRDefault="00FB450A" w:rsidP="00127870">
      <w:pPr>
        <w:pStyle w:val="BodyText"/>
      </w:pPr>
      <w:r>
        <w:t xml:space="preserve">Many land-based options for </w:t>
      </w:r>
      <w:r w:rsidR="00A22645">
        <w:t xml:space="preserve">carbon sequestration additionally provide </w:t>
      </w:r>
      <w:r>
        <w:t>co-benefits in terms of food security, environmental sustainability and/or farm profitability. In this context, co-benefits are added positive benefits associated with GHG reduction and improved carbon management in farms. Co-benefits are well established in the agricultural literature, both in agronomic terms and from social, environmental, economic and policy perspectives (e.g. Bustamante et al. 2014; Fleming et al. 2019). Examples include enhanced biodiversity, improved soil health and productivity, and improved water holding capacity and management of erosion and salinity and improved livestock productivity gains. While each of these examples are benefits, it is important to recognise that trade-offs associated with on-farm GHG abatement projects are possible, such as the potential for decreased catchment runoff with extensive reforestation (</w:t>
      </w:r>
      <w:r w:rsidR="00C52B67">
        <w:fldChar w:fldCharType="begin"/>
      </w:r>
      <w:r w:rsidR="00C52B67">
        <w:instrText xml:space="preserve"> REF _Ref48668498 \h </w:instrText>
      </w:r>
      <w:r w:rsidR="00C52B67">
        <w:fldChar w:fldCharType="separate"/>
      </w:r>
      <w:r w:rsidR="00235F13">
        <w:t xml:space="preserve">Table </w:t>
      </w:r>
      <w:r w:rsidR="00235F13">
        <w:rPr>
          <w:noProof/>
        </w:rPr>
        <w:t>19</w:t>
      </w:r>
      <w:r w:rsidR="00C52B67">
        <w:fldChar w:fldCharType="end"/>
      </w:r>
      <w:r>
        <w:t xml:space="preserve">). Understanding the complete range of co-benefits and trade-offs is an </w:t>
      </w:r>
      <w:r w:rsidR="00C52B67">
        <w:t xml:space="preserve">expanding </w:t>
      </w:r>
      <w:r>
        <w:t>area of research.</w:t>
      </w:r>
    </w:p>
    <w:p w14:paraId="352AD15C" w14:textId="32CAB13B" w:rsidR="00FB450A" w:rsidRDefault="00C52B67" w:rsidP="00FB450A">
      <w:pPr>
        <w:pStyle w:val="BodyText"/>
      </w:pPr>
      <w:r>
        <w:t>Although a number of land</w:t>
      </w:r>
      <w:r w:rsidR="00FB450A">
        <w:t xml:space="preserve"> management options </w:t>
      </w:r>
      <w:r>
        <w:t xml:space="preserve">for sequestration also have the potential to </w:t>
      </w:r>
      <w:r w:rsidR="00FB450A">
        <w:t>increase overall profitability</w:t>
      </w:r>
      <w:r>
        <w:t>,</w:t>
      </w:r>
      <w:r w:rsidR="00FB450A">
        <w:t xml:space="preserve"> to date, reliance on carbon price alone has been insufficient to drive broad scale adoption of carbon farming projects in the agricultural sector in Australia, due in part to high transaction costs, high opportunity costs associated with land use change, and a carbon price that is insufficient to compensate (Fleming et al. 2019; Sanderson and Reeson 2019). The notable exceptions are projects that involve avoided deforestation, management of regrowth, and savanna burning. These activities are concentrated in the semi-arid areas of NSW and Queensland, and Northern Australia, with their economic viability relying on large spatial scales of application, on lands with low or nil opportunity costs.</w:t>
      </w:r>
      <w:r>
        <w:t xml:space="preserve"> Additional barriers that have been identified include </w:t>
      </w:r>
      <w:r w:rsidR="00A22645">
        <w:t xml:space="preserve">lack of </w:t>
      </w:r>
      <w:r w:rsidR="001E7A8C">
        <w:t>information and/or understanding by landholders on potential opportunities, and a perceived (or possibly real) lack of options suitable to their particular enterprises (</w:t>
      </w:r>
      <w:r w:rsidR="00B6316F">
        <w:t xml:space="preserve">Climate Change Authority </w:t>
      </w:r>
      <w:r w:rsidR="001E7A8C">
        <w:t>2018).</w:t>
      </w:r>
      <w:r w:rsidR="00A22645">
        <w:t xml:space="preserve"> </w:t>
      </w:r>
    </w:p>
    <w:p w14:paraId="22A07894" w14:textId="7263F89F" w:rsidR="001E7A8C" w:rsidRDefault="001E7A8C" w:rsidP="00FB450A">
      <w:pPr>
        <w:pStyle w:val="BodyText"/>
      </w:pPr>
      <w:r>
        <w:t xml:space="preserve">Recent research suggests that re-framing opportunities with increased attention to co-benefits and broader economic incentives, in addition to potential financial opportunities, could re-invigorate how carbon farming is perceived and adopted in the Australian agricultural sector (Fleming et al. 2019). </w:t>
      </w:r>
      <w:r>
        <w:fldChar w:fldCharType="begin"/>
      </w:r>
      <w:r>
        <w:instrText xml:space="preserve"> REF _Ref48668498 \h </w:instrText>
      </w:r>
      <w:r>
        <w:fldChar w:fldCharType="separate"/>
      </w:r>
      <w:r w:rsidR="00235F13">
        <w:t xml:space="preserve">Table </w:t>
      </w:r>
      <w:r w:rsidR="00235F13">
        <w:rPr>
          <w:noProof/>
        </w:rPr>
        <w:t>19</w:t>
      </w:r>
      <w:r>
        <w:fldChar w:fldCharType="end"/>
      </w:r>
      <w:r>
        <w:t xml:space="preserve"> provides a summary of five broad categories of co-benefits for land sector carbon sequestration: Farm productivity, Soil health, Biodiversity &amp; conservation, Water quality and quantity, and Socio-economic. These categories reflect a range of values and motivations that are relevant to how land is managed and can be used to better evaluate which </w:t>
      </w:r>
      <w:r>
        <w:lastRenderedPageBreak/>
        <w:t>abatement methods have the most economic value as well as the best outcomes across a range of non-GHG values.</w:t>
      </w:r>
    </w:p>
    <w:p w14:paraId="5E16B369" w14:textId="79E15440" w:rsidR="001E7A8C" w:rsidRDefault="001E7A8C" w:rsidP="00FB450A">
      <w:pPr>
        <w:pStyle w:val="BodyText"/>
      </w:pPr>
      <w:r>
        <w:t>Co-benefits that a common across many methodologies include improved and diversified income streams, increased soil health and reduced erosion, and improved biodiversity and conservation outcomes. Methodologies that have a spatially extensive footprint (savanna fire management and human induced regeneration) also tend to have the strongest benefits in the socio-economic category</w:t>
      </w:r>
      <w:r w:rsidR="000D58EF">
        <w:t>, particularly around poverty alleviation and employment, industry expansion, and improved recognition and respect of indigenous culture</w:t>
      </w:r>
      <w:r w:rsidR="00C52D92">
        <w:t>. Consistent dis-benefits include the potential for impacts on catchment water flows associated with widespread revegetation (although revegetation can also lead to hydrological benefits through e.g. the local redistribution of surface flows; Bennett et al. 2014), and the potential for conflict with other land uses</w:t>
      </w:r>
      <w:r w:rsidR="000D58EF">
        <w:t xml:space="preserve">. </w:t>
      </w:r>
    </w:p>
    <w:p w14:paraId="25171A61" w14:textId="77777777" w:rsidR="00EF641C" w:rsidRDefault="00EF641C" w:rsidP="00FB450A">
      <w:pPr>
        <w:pStyle w:val="BodyText"/>
        <w:sectPr w:rsidR="00EF641C" w:rsidSect="00F03C3C">
          <w:headerReference w:type="even" r:id="rId85"/>
          <w:headerReference w:type="default" r:id="rId86"/>
          <w:headerReference w:type="first" r:id="rId87"/>
          <w:footerReference w:type="first" r:id="rId88"/>
          <w:pgSz w:w="11906" w:h="16838" w:code="9"/>
          <w:pgMar w:top="1134" w:right="1134" w:bottom="1134" w:left="1134" w:header="510" w:footer="624" w:gutter="0"/>
          <w:cols w:space="850"/>
          <w:docGrid w:linePitch="360"/>
        </w:sectPr>
      </w:pPr>
    </w:p>
    <w:p w14:paraId="5C0DF66A" w14:textId="7EDA1CA0" w:rsidR="00FB450A" w:rsidRPr="00351B86" w:rsidRDefault="00FB450A" w:rsidP="00EF641C">
      <w:pPr>
        <w:pStyle w:val="Caption"/>
        <w:spacing w:before="0" w:after="0" w:line="240" w:lineRule="auto"/>
        <w:rPr>
          <w:b w:val="0"/>
          <w:szCs w:val="20"/>
        </w:rPr>
      </w:pPr>
      <w:bookmarkStart w:id="202" w:name="_Ref48668498"/>
      <w:bookmarkStart w:id="203" w:name="_Toc52971074"/>
      <w:r>
        <w:lastRenderedPageBreak/>
        <w:t xml:space="preserve">Table </w:t>
      </w:r>
      <w:r>
        <w:fldChar w:fldCharType="begin"/>
      </w:r>
      <w:r>
        <w:instrText>SEQ Table \* ARABIC</w:instrText>
      </w:r>
      <w:r>
        <w:fldChar w:fldCharType="separate"/>
      </w:r>
      <w:r w:rsidR="00235F13">
        <w:rPr>
          <w:noProof/>
        </w:rPr>
        <w:t>19</w:t>
      </w:r>
      <w:r>
        <w:fldChar w:fldCharType="end"/>
      </w:r>
      <w:bookmarkEnd w:id="202"/>
      <w:r>
        <w:t xml:space="preserve">. </w:t>
      </w:r>
      <w:r>
        <w:rPr>
          <w:b w:val="0"/>
          <w:bCs w:val="0"/>
        </w:rPr>
        <w:t>Matrix of co-benefits and dis-benefits associated with ERF methodologies</w:t>
      </w:r>
      <w:r>
        <w:rPr>
          <w:b w:val="0"/>
          <w:szCs w:val="20"/>
        </w:rPr>
        <w:t>.</w:t>
      </w:r>
      <w:bookmarkEnd w:id="203"/>
      <w:r>
        <w:rPr>
          <w:b w:val="0"/>
          <w:szCs w:val="20"/>
        </w:rPr>
        <w:t xml:space="preserve">  </w:t>
      </w:r>
    </w:p>
    <w:p w14:paraId="113CBADE" w14:textId="256433C2" w:rsidR="00FB450A" w:rsidRDefault="00CF6D6B" w:rsidP="00EF641C">
      <w:pPr>
        <w:pStyle w:val="BodyText"/>
        <w:spacing w:before="0" w:after="0" w:line="240" w:lineRule="auto"/>
      </w:pPr>
      <w:r w:rsidRPr="00086D72">
        <w:rPr>
          <w:noProof/>
        </w:rPr>
        <w:drawing>
          <wp:anchor distT="0" distB="0" distL="114300" distR="114300" simplePos="0" relativeHeight="251659326" behindDoc="0" locked="0" layoutInCell="1" allowOverlap="1" wp14:anchorId="46C3C984" wp14:editId="01053267">
            <wp:simplePos x="0" y="0"/>
            <wp:positionH relativeFrom="column">
              <wp:posOffset>1256944</wp:posOffset>
            </wp:positionH>
            <wp:positionV relativeFrom="paragraph">
              <wp:posOffset>4776</wp:posOffset>
            </wp:positionV>
            <wp:extent cx="6934200" cy="6148765"/>
            <wp:effectExtent l="0" t="0" r="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934200" cy="6148765"/>
                    </a:xfrm>
                    <a:prstGeom prst="rect">
                      <a:avLst/>
                    </a:prstGeom>
                    <a:noFill/>
                    <a:ln>
                      <a:noFill/>
                    </a:ln>
                  </pic:spPr>
                </pic:pic>
              </a:graphicData>
            </a:graphic>
          </wp:anchor>
        </w:drawing>
      </w:r>
    </w:p>
    <w:p w14:paraId="27152A2A" w14:textId="77777777" w:rsidR="00EF641C" w:rsidRDefault="00EF641C" w:rsidP="00127870">
      <w:pPr>
        <w:pStyle w:val="BodyText"/>
        <w:sectPr w:rsidR="00EF641C" w:rsidSect="00EF6AF5">
          <w:pgSz w:w="16838" w:h="11906" w:orient="landscape" w:code="9"/>
          <w:pgMar w:top="567" w:right="567" w:bottom="567" w:left="567" w:header="510" w:footer="624" w:gutter="0"/>
          <w:cols w:space="850"/>
          <w:docGrid w:linePitch="360"/>
        </w:sectPr>
      </w:pPr>
    </w:p>
    <w:p w14:paraId="4AC899D8" w14:textId="317EFC0B" w:rsidR="00127870" w:rsidRDefault="00127870" w:rsidP="00A75AC4">
      <w:pPr>
        <w:pStyle w:val="Heading2"/>
      </w:pPr>
      <w:bookmarkStart w:id="204" w:name="_Toc52873102"/>
      <w:bookmarkStart w:id="205" w:name="_Toc53075133"/>
      <w:r>
        <w:lastRenderedPageBreak/>
        <w:t>Long-term carbon security</w:t>
      </w:r>
      <w:bookmarkEnd w:id="204"/>
      <w:bookmarkEnd w:id="205"/>
    </w:p>
    <w:p w14:paraId="3D5A7D1B" w14:textId="2BE35102" w:rsidR="008910E9" w:rsidRDefault="008910E9" w:rsidP="008910E9">
      <w:pPr>
        <w:pStyle w:val="BodyText"/>
      </w:pPr>
      <w:r>
        <w:t xml:space="preserve">The security of carbon sequestered </w:t>
      </w:r>
      <w:r w:rsidR="00F252EE">
        <w:t xml:space="preserve">by </w:t>
      </w:r>
      <w:r>
        <w:t>ERF activities is influenced by both gradual changes in mean climatic conditions and the associated increases in the frequency, severity and duration of extreme climatic events such as droughts and heatwaves</w:t>
      </w:r>
      <w:r w:rsidR="00BF2234">
        <w:t xml:space="preserve">. </w:t>
      </w:r>
      <w:r>
        <w:t xml:space="preserve">Unprecedented climatic conditions are already being experienced across Australia, such as the high temperature events recorded in southern Australia in the summer of 2013/14 and the unprecedented severity of the 1998-2009 drought in SE Australia </w:t>
      </w:r>
      <w:r w:rsidRPr="00795A09">
        <w:t>CSIRO</w:t>
      </w:r>
      <w:r w:rsidR="00F252EE">
        <w:t xml:space="preserve"> (</w:t>
      </w:r>
      <w:r w:rsidRPr="00795A09">
        <w:t>2016</w:t>
      </w:r>
      <w:r w:rsidR="00F252EE">
        <w:t>)</w:t>
      </w:r>
      <w:r w:rsidR="00BF2234">
        <w:t xml:space="preserve">. </w:t>
      </w:r>
      <w:r>
        <w:t xml:space="preserve">A key tipping point will be when ERF activities fall outside the current known range of suitable climatic conditions for the target species </w:t>
      </w:r>
      <w:r w:rsidR="007857F7">
        <w:t>(</w:t>
      </w:r>
      <w:r w:rsidRPr="00795A09">
        <w:t>Booth</w:t>
      </w:r>
      <w:r w:rsidR="00F252EE">
        <w:t xml:space="preserve"> et al. </w:t>
      </w:r>
      <w:r w:rsidRPr="00795A09">
        <w:t>2014</w:t>
      </w:r>
      <w:r w:rsidR="00F252EE">
        <w:t>)</w:t>
      </w:r>
      <w:r>
        <w:t>.</w:t>
      </w:r>
    </w:p>
    <w:p w14:paraId="537E5025" w14:textId="56887201" w:rsidR="008910E9" w:rsidRDefault="008910E9" w:rsidP="008910E9">
      <w:pPr>
        <w:pStyle w:val="BodyText"/>
      </w:pPr>
      <w:r>
        <w:t xml:space="preserve">Adapting management practices has the potential to modify the risks of climate change for carbon security. </w:t>
      </w:r>
      <w:r w:rsidR="00F252EE">
        <w:fldChar w:fldCharType="begin"/>
      </w:r>
      <w:r w:rsidR="00F252EE">
        <w:instrText xml:space="preserve"> REF _Ref48682878 \h </w:instrText>
      </w:r>
      <w:r w:rsidR="00F252EE">
        <w:fldChar w:fldCharType="separate"/>
      </w:r>
      <w:r w:rsidR="00235F13">
        <w:t xml:space="preserve">Figure </w:t>
      </w:r>
      <w:r w:rsidR="00235F13">
        <w:rPr>
          <w:noProof/>
        </w:rPr>
        <w:t>16</w:t>
      </w:r>
      <w:r w:rsidR="00F252EE">
        <w:fldChar w:fldCharType="end"/>
      </w:r>
      <w:r w:rsidR="00F252EE">
        <w:t xml:space="preserve"> </w:t>
      </w:r>
      <w:r>
        <w:t xml:space="preserve">illustrates the relationship between increasingly extreme climate change and the cost, complexity and risk associated with adapting to that change. The figure describes three levels of adaptation related to the degree of climate change that has occurred, that define the sorts of responses that will be required. The more the climate changes, the more complex and potentially costly, risky and disruptive are the management changes required </w:t>
      </w:r>
      <w:r w:rsidR="007857F7">
        <w:t>(</w:t>
      </w:r>
      <w:r w:rsidRPr="00795A09">
        <w:t>Stafford Smith</w:t>
      </w:r>
      <w:r w:rsidR="00F252EE">
        <w:t xml:space="preserve"> et al. </w:t>
      </w:r>
      <w:r w:rsidRPr="00795A09">
        <w:t>2011</w:t>
      </w:r>
      <w:r w:rsidR="00F252EE">
        <w:t>)</w:t>
      </w:r>
      <w:r w:rsidR="00BF2234">
        <w:t xml:space="preserve">. </w:t>
      </w:r>
      <w:r>
        <w:t xml:space="preserve"> </w:t>
      </w:r>
    </w:p>
    <w:p w14:paraId="2FD58564" w14:textId="73855FAC" w:rsidR="008910E9" w:rsidRDefault="008910E9" w:rsidP="008910E9">
      <w:pPr>
        <w:pStyle w:val="BodyText"/>
      </w:pPr>
      <w:r>
        <w:t>In Zone 1, incremental changes in climate mean that conditions will mostly fall within the climate envelopes of the target species</w:t>
      </w:r>
      <w:r w:rsidR="00BF2234">
        <w:t xml:space="preserve">. </w:t>
      </w:r>
      <w:r>
        <w:t>Incremental changes in management will generally be adequate to manage the increased risk, with little change from current practices required</w:t>
      </w:r>
      <w:r w:rsidR="00BF2234">
        <w:t xml:space="preserve">. </w:t>
      </w:r>
      <w:r>
        <w:t xml:space="preserve">An example would be changing plant spacings in environmental or commercial plantings </w:t>
      </w:r>
      <w:r w:rsidR="007857F7">
        <w:t>(</w:t>
      </w:r>
      <w:r w:rsidRPr="00795A09">
        <w:t>Mendham</w:t>
      </w:r>
      <w:r w:rsidR="00F252EE">
        <w:t xml:space="preserve"> et al. </w:t>
      </w:r>
      <w:r w:rsidRPr="00795A09">
        <w:t>2007</w:t>
      </w:r>
      <w:r w:rsidR="00F252EE">
        <w:t>)</w:t>
      </w:r>
      <w:r w:rsidR="00BF2234">
        <w:t xml:space="preserve">. </w:t>
      </w:r>
      <w:r>
        <w:t xml:space="preserve">As climate change becomes more extreme, there will be a threshold above which these types of changes in management will become ineffective, and a new level of response will be required (Zone 2). Changing species or genotypes, or implementing different establishment techniques, are examples of this level of management change. As with Zone 1, these types of strategies will become ineffective as climate change becomes more extreme, requiring transformational change in management (Zone 3), for example a change in land use away from ERF activities. </w:t>
      </w:r>
    </w:p>
    <w:p w14:paraId="2D6B2106" w14:textId="4BC2ED34" w:rsidR="008910E9" w:rsidRDefault="008910E9" w:rsidP="008910E9">
      <w:pPr>
        <w:pStyle w:val="BodyText"/>
      </w:pPr>
      <w:r>
        <w:t xml:space="preserve">The climate change scenarios described in this report suggest that, in the short term, Zone 1 and 2 strategies will be sufficient in most cases for adaptation. The more extreme climate changes projected for later in the century may require transformational change. Detailed modelling and scenario analysis </w:t>
      </w:r>
      <w:r w:rsidR="00955667">
        <w:t>are</w:t>
      </w:r>
      <w:r>
        <w:t xml:space="preserve"> required to identify where, and under what climatic conditions, various adaptation strategies may be effective. This approach has been demonstrated for the plantation forestry sector, where models were used to identify the conditions under which thinning activities would reduce risk of drought mortality under future climate change scenarios </w:t>
      </w:r>
      <w:r w:rsidR="00F252EE">
        <w:t>(</w:t>
      </w:r>
      <w:r w:rsidRPr="00795A09">
        <w:t>Battaglia</w:t>
      </w:r>
      <w:r w:rsidR="00F252EE">
        <w:t xml:space="preserve"> and Bruce </w:t>
      </w:r>
      <w:r w:rsidRPr="00795A09">
        <w:t>2017</w:t>
      </w:r>
      <w:r w:rsidR="00F252EE">
        <w:t>)</w:t>
      </w:r>
      <w:r>
        <w:t xml:space="preserve">. </w:t>
      </w:r>
    </w:p>
    <w:p w14:paraId="01DEB8E7" w14:textId="77777777" w:rsidR="008910E9" w:rsidRDefault="008910E9" w:rsidP="008910E9">
      <w:pPr>
        <w:pStyle w:val="BodyText"/>
      </w:pPr>
    </w:p>
    <w:p w14:paraId="5868219A" w14:textId="77777777" w:rsidR="008910E9" w:rsidRDefault="008910E9" w:rsidP="008910E9">
      <w:pPr>
        <w:pStyle w:val="BodyText"/>
      </w:pPr>
    </w:p>
    <w:p w14:paraId="2DDDE6D1" w14:textId="77777777" w:rsidR="008910E9" w:rsidRPr="006F5F61" w:rsidRDefault="008910E9" w:rsidP="008910E9">
      <w:pPr>
        <w:spacing w:line="360" w:lineRule="auto"/>
        <w:jc w:val="center"/>
        <w:rPr>
          <w:rFonts w:ascii="Arial" w:hAnsi="Arial" w:cs="Arial"/>
        </w:rPr>
      </w:pPr>
      <w:r>
        <w:rPr>
          <w:noProof/>
        </w:rPr>
        <w:lastRenderedPageBreak/>
        <w:drawing>
          <wp:inline distT="0" distB="0" distL="0" distR="0" wp14:anchorId="6FCA275F" wp14:editId="4B760FC0">
            <wp:extent cx="4355346" cy="2971800"/>
            <wp:effectExtent l="0" t="0" r="7620" b="0"/>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0">
                      <a:extLst>
                        <a:ext uri="{28A0092B-C50C-407E-A947-70E740481C1C}">
                          <a14:useLocalDpi xmlns:a14="http://schemas.microsoft.com/office/drawing/2010/main" val="0"/>
                        </a:ext>
                      </a:extLst>
                    </a:blip>
                    <a:stretch>
                      <a:fillRect/>
                    </a:stretch>
                  </pic:blipFill>
                  <pic:spPr>
                    <a:xfrm>
                      <a:off x="0" y="0"/>
                      <a:ext cx="4367708" cy="2980235"/>
                    </a:xfrm>
                    <a:prstGeom prst="rect">
                      <a:avLst/>
                    </a:prstGeom>
                  </pic:spPr>
                </pic:pic>
              </a:graphicData>
            </a:graphic>
          </wp:inline>
        </w:drawing>
      </w:r>
    </w:p>
    <w:p w14:paraId="34ECB08D" w14:textId="0C30EC50" w:rsidR="008910E9" w:rsidRPr="00BA10A9" w:rsidRDefault="008910E9" w:rsidP="008910E9">
      <w:pPr>
        <w:pStyle w:val="Caption"/>
        <w:rPr>
          <w:rFonts w:asciiTheme="minorHAnsi" w:hAnsiTheme="minorHAnsi" w:cstheme="minorHAnsi"/>
          <w:szCs w:val="20"/>
        </w:rPr>
      </w:pPr>
      <w:bookmarkStart w:id="206" w:name="_Ref48682878"/>
      <w:bookmarkStart w:id="207" w:name="_Toc52968246"/>
      <w:r>
        <w:t xml:space="preserve">Figure </w:t>
      </w:r>
      <w:r>
        <w:fldChar w:fldCharType="begin"/>
      </w:r>
      <w:r>
        <w:instrText>SEQ Figure \* ARABIC</w:instrText>
      </w:r>
      <w:r>
        <w:fldChar w:fldCharType="separate"/>
      </w:r>
      <w:r w:rsidR="00235F13">
        <w:rPr>
          <w:noProof/>
        </w:rPr>
        <w:t>16</w:t>
      </w:r>
      <w:r>
        <w:fldChar w:fldCharType="end"/>
      </w:r>
      <w:bookmarkEnd w:id="206"/>
      <w:r w:rsidR="001A03DF">
        <w:t>.</w:t>
      </w:r>
      <w:r>
        <w:t xml:space="preserve"> </w:t>
      </w:r>
      <w:r w:rsidRPr="00BA10A9">
        <w:rPr>
          <w:rFonts w:asciiTheme="minorHAnsi" w:hAnsiTheme="minorHAnsi" w:cstheme="minorHAnsi"/>
          <w:b w:val="0"/>
          <w:szCs w:val="20"/>
        </w:rPr>
        <w:t xml:space="preserve">Relationship between climate change impacts, adaptation responses and the potential benefits from (or success of) adaptation (after </w:t>
      </w:r>
      <w:r w:rsidRPr="00795A09">
        <w:rPr>
          <w:rFonts w:asciiTheme="minorHAnsi" w:hAnsiTheme="minorHAnsi" w:cstheme="minorHAnsi"/>
          <w:b w:val="0"/>
          <w:szCs w:val="20"/>
        </w:rPr>
        <w:t>Howden</w:t>
      </w:r>
      <w:r w:rsidR="00A003C9">
        <w:rPr>
          <w:rFonts w:asciiTheme="minorHAnsi" w:hAnsiTheme="minorHAnsi" w:cstheme="minorHAnsi"/>
          <w:b w:val="0"/>
          <w:szCs w:val="20"/>
        </w:rPr>
        <w:t xml:space="preserve"> et al. </w:t>
      </w:r>
      <w:r w:rsidRPr="00795A09">
        <w:rPr>
          <w:rFonts w:asciiTheme="minorHAnsi" w:hAnsiTheme="minorHAnsi" w:cstheme="minorHAnsi"/>
          <w:b w:val="0"/>
          <w:szCs w:val="20"/>
        </w:rPr>
        <w:t>2010</w:t>
      </w:r>
      <w:r w:rsidR="00A003C9">
        <w:rPr>
          <w:rFonts w:asciiTheme="minorHAnsi" w:hAnsiTheme="minorHAnsi" w:cstheme="minorHAnsi"/>
          <w:b w:val="0"/>
          <w:szCs w:val="20"/>
        </w:rPr>
        <w:t>)</w:t>
      </w:r>
      <w:bookmarkEnd w:id="207"/>
    </w:p>
    <w:p w14:paraId="773DD5C7" w14:textId="3199C4D3" w:rsidR="008910E9" w:rsidRDefault="008910E9" w:rsidP="008910E9">
      <w:pPr>
        <w:pStyle w:val="BodyText"/>
      </w:pPr>
      <w:r>
        <w:t>The following focuses on strategies for managing climate change impacts, from the perspective of managing exposure to climate change and sensitivity of species to those changes (</w:t>
      </w:r>
      <w:r w:rsidR="00A003C9">
        <w:fldChar w:fldCharType="begin"/>
      </w:r>
      <w:r w:rsidR="00A003C9">
        <w:instrText xml:space="preserve"> REF _Ref48683070 \h </w:instrText>
      </w:r>
      <w:r w:rsidR="00A003C9">
        <w:fldChar w:fldCharType="separate"/>
      </w:r>
      <w:r w:rsidR="00235F13">
        <w:t xml:space="preserve">Figure </w:t>
      </w:r>
      <w:r w:rsidR="00235F13">
        <w:rPr>
          <w:noProof/>
        </w:rPr>
        <w:t>17</w:t>
      </w:r>
      <w:r w:rsidR="00A003C9">
        <w:fldChar w:fldCharType="end"/>
      </w:r>
      <w:r>
        <w:t>)</w:t>
      </w:r>
      <w:r w:rsidR="00BF2234">
        <w:t xml:space="preserve">. </w:t>
      </w:r>
      <w:r>
        <w:t xml:space="preserve">We identify where possible the strategies relevant to zones 1 – 3 in </w:t>
      </w:r>
      <w:r w:rsidR="00A003C9">
        <w:fldChar w:fldCharType="begin"/>
      </w:r>
      <w:r w:rsidR="00A003C9">
        <w:instrText xml:space="preserve"> REF _Ref48682878 \h </w:instrText>
      </w:r>
      <w:r w:rsidR="00A003C9">
        <w:fldChar w:fldCharType="separate"/>
      </w:r>
      <w:r w:rsidR="00235F13">
        <w:t xml:space="preserve">Figure </w:t>
      </w:r>
      <w:r w:rsidR="00235F13">
        <w:rPr>
          <w:noProof/>
        </w:rPr>
        <w:t>16</w:t>
      </w:r>
      <w:r w:rsidR="00A003C9">
        <w:fldChar w:fldCharType="end"/>
      </w:r>
      <w:r>
        <w:t>, for each of the six thematic areas.</w:t>
      </w:r>
    </w:p>
    <w:p w14:paraId="1A3F3B37" w14:textId="7CB94003" w:rsidR="008910E9" w:rsidRDefault="008910E9" w:rsidP="008910E9">
      <w:pPr>
        <w:pStyle w:val="BodyText"/>
      </w:pPr>
      <w:r w:rsidRPr="00BA10A9">
        <w:rPr>
          <w:i/>
        </w:rPr>
        <w:t>Exposure</w:t>
      </w:r>
      <w:r>
        <w:t xml:space="preserve"> refers to the direct and indirect climatic effects that can affect establishment, growth and survival within ERF activities. Heatwaves, frosts, drought and storms are examples of direct climatic effects; pests, weeds and fire are examples of indirect climatic effects</w:t>
      </w:r>
      <w:r w:rsidR="00BF2234">
        <w:t xml:space="preserve">. </w:t>
      </w:r>
    </w:p>
    <w:p w14:paraId="06CF73A4" w14:textId="77777777" w:rsidR="008910E9" w:rsidRDefault="008910E9" w:rsidP="008910E9">
      <w:pPr>
        <w:pStyle w:val="BodyText"/>
      </w:pPr>
    </w:p>
    <w:p w14:paraId="4F928DBF" w14:textId="77777777" w:rsidR="008910E9" w:rsidRDefault="008910E9" w:rsidP="008910E9">
      <w:pPr>
        <w:pStyle w:val="BodyText"/>
        <w:rPr>
          <w:color w:val="C00000"/>
        </w:rPr>
      </w:pPr>
      <w:r>
        <w:rPr>
          <w:noProof/>
        </w:rPr>
        <w:drawing>
          <wp:inline distT="0" distB="0" distL="0" distR="0" wp14:anchorId="1C8428B6" wp14:editId="0B47051B">
            <wp:extent cx="5731510" cy="1270665"/>
            <wp:effectExtent l="0" t="0" r="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1">
                      <a:extLst>
                        <a:ext uri="{28A0092B-C50C-407E-A947-70E740481C1C}">
                          <a14:useLocalDpi xmlns:a14="http://schemas.microsoft.com/office/drawing/2010/main" val="0"/>
                        </a:ext>
                      </a:extLst>
                    </a:blip>
                    <a:stretch>
                      <a:fillRect/>
                    </a:stretch>
                  </pic:blipFill>
                  <pic:spPr>
                    <a:xfrm>
                      <a:off x="0" y="0"/>
                      <a:ext cx="5731510" cy="1270665"/>
                    </a:xfrm>
                    <a:prstGeom prst="rect">
                      <a:avLst/>
                    </a:prstGeom>
                  </pic:spPr>
                </pic:pic>
              </a:graphicData>
            </a:graphic>
          </wp:inline>
        </w:drawing>
      </w:r>
    </w:p>
    <w:p w14:paraId="14C3DD75" w14:textId="529217DC" w:rsidR="00A003C9" w:rsidRDefault="00A003C9" w:rsidP="00A003C9">
      <w:pPr>
        <w:pStyle w:val="Caption"/>
      </w:pPr>
      <w:bookmarkStart w:id="208" w:name="_Ref48683070"/>
      <w:bookmarkStart w:id="209" w:name="_Toc52968247"/>
      <w:r>
        <w:t xml:space="preserve">Figure </w:t>
      </w:r>
      <w:r>
        <w:fldChar w:fldCharType="begin"/>
      </w:r>
      <w:r>
        <w:instrText>SEQ Figure \* ARABIC</w:instrText>
      </w:r>
      <w:r>
        <w:fldChar w:fldCharType="separate"/>
      </w:r>
      <w:r w:rsidR="00235F13">
        <w:rPr>
          <w:noProof/>
        </w:rPr>
        <w:t>17</w:t>
      </w:r>
      <w:r>
        <w:fldChar w:fldCharType="end"/>
      </w:r>
      <w:bookmarkEnd w:id="208"/>
      <w:r>
        <w:t xml:space="preserve">. </w:t>
      </w:r>
      <w:r w:rsidRPr="00520C21">
        <w:rPr>
          <w:b w:val="0"/>
          <w:bCs w:val="0"/>
        </w:rPr>
        <w:t xml:space="preserve">Conceptual overview linking </w:t>
      </w:r>
      <w:r>
        <w:rPr>
          <w:b w:val="0"/>
          <w:bCs w:val="0"/>
        </w:rPr>
        <w:t>exposure, sensitivity and resilience within the context of biotic responses to climate change</w:t>
      </w:r>
      <w:r w:rsidRPr="0021349E">
        <w:rPr>
          <w:b w:val="0"/>
          <w:bCs w:val="0"/>
        </w:rPr>
        <w:t>.</w:t>
      </w:r>
      <w:bookmarkEnd w:id="209"/>
    </w:p>
    <w:p w14:paraId="4454B9CB" w14:textId="0356B951" w:rsidR="008910E9" w:rsidRPr="000969C0" w:rsidRDefault="008910E9" w:rsidP="008910E9">
      <w:pPr>
        <w:pStyle w:val="BodyText"/>
        <w:rPr>
          <w:color w:val="auto"/>
        </w:rPr>
      </w:pPr>
      <w:r w:rsidRPr="000969C0">
        <w:rPr>
          <w:i/>
          <w:iCs/>
          <w:color w:val="auto"/>
        </w:rPr>
        <w:t xml:space="preserve">Sensitivity </w:t>
      </w:r>
      <w:r w:rsidRPr="000969C0">
        <w:rPr>
          <w:color w:val="auto"/>
        </w:rPr>
        <w:t>refers to physiological and phenotypic traits, genetics, and external influences that affect physiological function such as atmospheric CO</w:t>
      </w:r>
      <w:r w:rsidRPr="000969C0">
        <w:rPr>
          <w:color w:val="auto"/>
          <w:vertAlign w:val="subscript"/>
        </w:rPr>
        <w:t>2</w:t>
      </w:r>
      <w:r w:rsidRPr="000969C0">
        <w:rPr>
          <w:color w:val="auto"/>
        </w:rPr>
        <w:t xml:space="preserve"> concentrations. In reality, exposure and sensitivity interact to determine resilience to climate change. This is illustrated in </w:t>
      </w:r>
      <w:r w:rsidR="00A003C9">
        <w:rPr>
          <w:color w:val="auto"/>
        </w:rPr>
        <w:fldChar w:fldCharType="begin"/>
      </w:r>
      <w:r w:rsidR="00A003C9">
        <w:rPr>
          <w:color w:val="auto"/>
        </w:rPr>
        <w:instrText xml:space="preserve"> REF _Ref48683153 \h </w:instrText>
      </w:r>
      <w:r w:rsidR="00A003C9">
        <w:rPr>
          <w:color w:val="auto"/>
        </w:rPr>
      </w:r>
      <w:r w:rsidR="00A003C9">
        <w:rPr>
          <w:color w:val="auto"/>
        </w:rPr>
        <w:fldChar w:fldCharType="separate"/>
      </w:r>
      <w:r w:rsidR="00235F13">
        <w:t xml:space="preserve">Figure </w:t>
      </w:r>
      <w:r w:rsidR="00235F13">
        <w:rPr>
          <w:noProof/>
        </w:rPr>
        <w:t>18</w:t>
      </w:r>
      <w:r w:rsidR="00A003C9">
        <w:rPr>
          <w:color w:val="auto"/>
        </w:rPr>
        <w:fldChar w:fldCharType="end"/>
      </w:r>
      <w:r w:rsidRPr="000969C0">
        <w:rPr>
          <w:color w:val="auto"/>
        </w:rPr>
        <w:t xml:space="preserve">, which shows the mean annual temperature and mean maximum temperature in February for a site in eastern Australia, projected assuming moderate emissions and warming scenarios. Over the period 1990 – 2090, mean daily temperature is projected to increase from 14 – 26 </w:t>
      </w:r>
      <w:r w:rsidRPr="000969C0">
        <w:rPr>
          <w:rFonts w:cs="Calibri"/>
          <w:color w:val="auto"/>
          <w:rtl/>
          <w:lang w:bidi="he-IL"/>
        </w:rPr>
        <w:t>֯</w:t>
      </w:r>
      <w:r w:rsidRPr="000969C0">
        <w:rPr>
          <w:color w:val="auto"/>
        </w:rPr>
        <w:t xml:space="preserve">C at this site, and mean daily maximum temperature from 28 – 41 </w:t>
      </w:r>
      <w:r w:rsidRPr="000969C0">
        <w:rPr>
          <w:rFonts w:cs="Calibri"/>
          <w:color w:val="auto"/>
          <w:rtl/>
          <w:lang w:bidi="he-IL"/>
        </w:rPr>
        <w:t>֯</w:t>
      </w:r>
      <w:r w:rsidRPr="000969C0">
        <w:rPr>
          <w:color w:val="auto"/>
        </w:rPr>
        <w:t>C</w:t>
      </w:r>
      <w:r w:rsidR="00BF2234">
        <w:rPr>
          <w:color w:val="auto"/>
        </w:rPr>
        <w:t xml:space="preserve">. </w:t>
      </w:r>
      <w:r w:rsidRPr="000969C0">
        <w:rPr>
          <w:color w:val="auto"/>
        </w:rPr>
        <w:t xml:space="preserve">Leaf temperatures 10 </w:t>
      </w:r>
      <w:r w:rsidRPr="000969C0">
        <w:rPr>
          <w:rFonts w:cs="Calibri"/>
          <w:color w:val="auto"/>
          <w:rtl/>
          <w:lang w:bidi="he-IL"/>
        </w:rPr>
        <w:t>֯</w:t>
      </w:r>
      <w:r w:rsidRPr="000969C0">
        <w:rPr>
          <w:color w:val="auto"/>
        </w:rPr>
        <w:t xml:space="preserve">C warmer than air temperature are possible McFarlane </w:t>
      </w:r>
      <w:r w:rsidR="00A003C9">
        <w:rPr>
          <w:color w:val="auto"/>
        </w:rPr>
        <w:t>(</w:t>
      </w:r>
      <w:r w:rsidRPr="000969C0">
        <w:rPr>
          <w:color w:val="auto"/>
        </w:rPr>
        <w:t>2004</w:t>
      </w:r>
      <w:r w:rsidR="00A003C9">
        <w:rPr>
          <w:color w:val="auto"/>
        </w:rPr>
        <w:t>)</w:t>
      </w:r>
      <w:r w:rsidRPr="000969C0">
        <w:rPr>
          <w:color w:val="auto"/>
        </w:rPr>
        <w:t xml:space="preserve">. Assuming a mean critical temperature for photosystem II of 45 </w:t>
      </w:r>
      <w:r w:rsidRPr="000969C0">
        <w:rPr>
          <w:rFonts w:cs="Calibri"/>
          <w:color w:val="auto"/>
          <w:rtl/>
          <w:lang w:bidi="he-IL"/>
        </w:rPr>
        <w:t>֯</w:t>
      </w:r>
      <w:r w:rsidRPr="000969C0">
        <w:rPr>
          <w:color w:val="auto"/>
        </w:rPr>
        <w:t xml:space="preserve">C </w:t>
      </w:r>
      <w:r w:rsidR="00A003C9">
        <w:rPr>
          <w:color w:val="auto"/>
        </w:rPr>
        <w:t>(</w:t>
      </w:r>
      <w:r w:rsidRPr="000969C0">
        <w:rPr>
          <w:color w:val="auto"/>
        </w:rPr>
        <w:t>O</w:t>
      </w:r>
      <w:r w:rsidR="00430DD5">
        <w:rPr>
          <w:color w:val="auto"/>
        </w:rPr>
        <w:t>’</w:t>
      </w:r>
      <w:r w:rsidRPr="000969C0">
        <w:rPr>
          <w:color w:val="auto"/>
        </w:rPr>
        <w:t>Sullivan</w:t>
      </w:r>
      <w:r w:rsidR="00A003C9">
        <w:rPr>
          <w:color w:val="auto"/>
        </w:rPr>
        <w:t xml:space="preserve"> et al. </w:t>
      </w:r>
      <w:r w:rsidRPr="000969C0">
        <w:rPr>
          <w:color w:val="auto"/>
        </w:rPr>
        <w:t>2013</w:t>
      </w:r>
      <w:r w:rsidR="00A003C9">
        <w:rPr>
          <w:color w:val="auto"/>
        </w:rPr>
        <w:t>)</w:t>
      </w:r>
      <w:r w:rsidRPr="000969C0">
        <w:rPr>
          <w:color w:val="auto"/>
        </w:rPr>
        <w:t xml:space="preserve">, leaf temperatures may be significantly affecting </w:t>
      </w:r>
      <w:r w:rsidRPr="000969C0">
        <w:rPr>
          <w:color w:val="auto"/>
        </w:rPr>
        <w:lastRenderedPageBreak/>
        <w:t xml:space="preserve">carbon uptake by 2050 at this site. This analysis relies on a number of assumptions, and highlights a dearth of research on temperature thresholds for physiological processes. There is good evidence however of some capacity for plants to moderate their sensitivity to temperature through acclimation </w:t>
      </w:r>
      <w:r w:rsidR="00A003C9">
        <w:rPr>
          <w:color w:val="auto"/>
        </w:rPr>
        <w:t>(</w:t>
      </w:r>
      <w:r w:rsidRPr="000969C0">
        <w:rPr>
          <w:color w:val="auto"/>
        </w:rPr>
        <w:t>Hoffmann</w:t>
      </w:r>
      <w:r w:rsidR="00A003C9">
        <w:rPr>
          <w:color w:val="auto"/>
        </w:rPr>
        <w:t xml:space="preserve"> et al. </w:t>
      </w:r>
      <w:r w:rsidRPr="000969C0">
        <w:rPr>
          <w:color w:val="auto"/>
        </w:rPr>
        <w:t>2013</w:t>
      </w:r>
      <w:r w:rsidR="00A003C9">
        <w:rPr>
          <w:color w:val="auto"/>
        </w:rPr>
        <w:t>)</w:t>
      </w:r>
      <w:r w:rsidRPr="000969C0">
        <w:rPr>
          <w:color w:val="auto"/>
        </w:rPr>
        <w:t xml:space="preserve">, and of genetic variation within and between species in temperature sensitivity </w:t>
      </w:r>
      <w:r w:rsidR="00A003C9">
        <w:rPr>
          <w:color w:val="auto"/>
        </w:rPr>
        <w:t>(</w:t>
      </w:r>
      <w:r w:rsidRPr="000969C0">
        <w:rPr>
          <w:color w:val="auto"/>
        </w:rPr>
        <w:t>Battaglia</w:t>
      </w:r>
      <w:r w:rsidR="00A003C9">
        <w:rPr>
          <w:color w:val="auto"/>
        </w:rPr>
        <w:t xml:space="preserve"> et al. </w:t>
      </w:r>
      <w:r w:rsidRPr="000969C0">
        <w:rPr>
          <w:color w:val="auto"/>
        </w:rPr>
        <w:t>1996</w:t>
      </w:r>
      <w:r w:rsidR="00A003C9">
        <w:rPr>
          <w:color w:val="auto"/>
        </w:rPr>
        <w:t>)</w:t>
      </w:r>
      <w:r w:rsidRPr="000969C0">
        <w:rPr>
          <w:color w:val="auto"/>
        </w:rPr>
        <w:t>.</w:t>
      </w:r>
    </w:p>
    <w:p w14:paraId="01687FAF" w14:textId="47BE83EE" w:rsidR="008910E9" w:rsidRDefault="008910E9" w:rsidP="008910E9">
      <w:pPr>
        <w:pStyle w:val="BodyText"/>
        <w:rPr>
          <w:color w:val="C00000"/>
        </w:rPr>
      </w:pPr>
      <w:r w:rsidRPr="000969C0">
        <w:rPr>
          <w:color w:val="auto"/>
        </w:rPr>
        <w:t xml:space="preserve">Another example revolves around plant strategies for water use. </w:t>
      </w:r>
      <w:r w:rsidRPr="000969C0">
        <w:rPr>
          <w:rFonts w:cs="Arial"/>
          <w:color w:val="auto"/>
        </w:rPr>
        <w:t xml:space="preserve">There is a gradient of species </w:t>
      </w:r>
      <w:r>
        <w:rPr>
          <w:rFonts w:cs="Arial"/>
        </w:rPr>
        <w:t xml:space="preserve">responses to water stress, from profligate water use up until a threshold is reached and hydraulic failure occurs, to a more conservative approach where stomata are shut at relatively low water stress and plants are reliant on stored C for survival </w:t>
      </w:r>
      <w:r w:rsidR="00A003C9">
        <w:rPr>
          <w:rFonts w:cs="Arial"/>
        </w:rPr>
        <w:t>(</w:t>
      </w:r>
      <w:r w:rsidRPr="00795A09">
        <w:rPr>
          <w:rFonts w:cs="Arial"/>
        </w:rPr>
        <w:t>Mencuccini</w:t>
      </w:r>
      <w:r w:rsidR="00A003C9">
        <w:rPr>
          <w:rFonts w:cs="Arial"/>
        </w:rPr>
        <w:t xml:space="preserve"> et al. </w:t>
      </w:r>
      <w:r w:rsidRPr="00795A09">
        <w:rPr>
          <w:rFonts w:cs="Arial"/>
        </w:rPr>
        <w:t>2015</w:t>
      </w:r>
      <w:r w:rsidR="00A003C9">
        <w:rPr>
          <w:rFonts w:cs="Arial"/>
        </w:rPr>
        <w:t>)</w:t>
      </w:r>
      <w:r>
        <w:rPr>
          <w:rFonts w:cs="Arial"/>
        </w:rPr>
        <w:t>. Profligate water users tend to be fast-growing species, but under conditions of more frequent or intense drought, will be at greater risk of mortality than species using a more conservative approach</w:t>
      </w:r>
      <w:r>
        <w:rPr>
          <w:color w:val="C00000"/>
        </w:rPr>
        <w:t xml:space="preserve">. </w:t>
      </w:r>
      <w:r>
        <w:rPr>
          <w:rFonts w:cs="Arial"/>
        </w:rPr>
        <w:t>The capacity of woody plants to survive and recover from drought is related to their embolism resistance, which is described by the relationship between xylem pressure and the loss of hydraulic conductivity due to embolism (Choat et al 2012)</w:t>
      </w:r>
      <w:r w:rsidR="00BF2234">
        <w:rPr>
          <w:rFonts w:cs="Arial"/>
        </w:rPr>
        <w:t xml:space="preserve">. </w:t>
      </w:r>
      <w:r>
        <w:rPr>
          <w:rFonts w:cs="Arial"/>
        </w:rPr>
        <w:t>Despite the variation observed in embolism resistance across rainfall gradients, Choat et al.</w:t>
      </w:r>
      <w:r w:rsidR="00A003C9">
        <w:rPr>
          <w:rFonts w:cs="Arial"/>
        </w:rPr>
        <w:t xml:space="preserve"> (2012) </w:t>
      </w:r>
      <w:r>
        <w:rPr>
          <w:rFonts w:cs="Arial"/>
        </w:rPr>
        <w:t>found that most species across all forest biomes operated with a narrow safety margin, making them vulnerable to drought</w:t>
      </w:r>
      <w:r w:rsidR="00BF2234">
        <w:rPr>
          <w:rFonts w:cs="Arial"/>
        </w:rPr>
        <w:t xml:space="preserve">. </w:t>
      </w:r>
    </w:p>
    <w:p w14:paraId="20F7155F" w14:textId="77777777" w:rsidR="008910E9" w:rsidRPr="00EC4DFE" w:rsidRDefault="008910E9" w:rsidP="008910E9">
      <w:pPr>
        <w:pStyle w:val="BodyText"/>
        <w:rPr>
          <w:color w:val="C00000"/>
        </w:rPr>
      </w:pPr>
    </w:p>
    <w:p w14:paraId="41FBAB37" w14:textId="77777777" w:rsidR="008910E9" w:rsidRDefault="008910E9" w:rsidP="008910E9">
      <w:pPr>
        <w:spacing w:line="360" w:lineRule="auto"/>
      </w:pPr>
      <w:r>
        <w:rPr>
          <w:noProof/>
        </w:rPr>
        <w:drawing>
          <wp:inline distT="0" distB="0" distL="0" distR="0" wp14:anchorId="392BE4E0" wp14:editId="3E9B93CE">
            <wp:extent cx="3940699" cy="2367478"/>
            <wp:effectExtent l="0" t="0" r="3175" b="0"/>
            <wp:docPr id="21163308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92">
                      <a:extLst>
                        <a:ext uri="{28A0092B-C50C-407E-A947-70E740481C1C}">
                          <a14:useLocalDpi xmlns:a14="http://schemas.microsoft.com/office/drawing/2010/main" val="0"/>
                        </a:ext>
                      </a:extLst>
                    </a:blip>
                    <a:stretch>
                      <a:fillRect/>
                    </a:stretch>
                  </pic:blipFill>
                  <pic:spPr>
                    <a:xfrm>
                      <a:off x="0" y="0"/>
                      <a:ext cx="3940699" cy="2367478"/>
                    </a:xfrm>
                    <a:prstGeom prst="rect">
                      <a:avLst/>
                    </a:prstGeom>
                  </pic:spPr>
                </pic:pic>
              </a:graphicData>
            </a:graphic>
          </wp:inline>
        </w:drawing>
      </w:r>
    </w:p>
    <w:p w14:paraId="6EE429D1" w14:textId="706B2F21" w:rsidR="008910E9" w:rsidRDefault="008910E9" w:rsidP="008910E9">
      <w:pPr>
        <w:pStyle w:val="Caption"/>
        <w:rPr>
          <w:rFonts w:asciiTheme="minorHAnsi" w:hAnsiTheme="minorHAnsi" w:cstheme="minorHAnsi"/>
          <w:sz w:val="18"/>
        </w:rPr>
      </w:pPr>
      <w:bookmarkStart w:id="210" w:name="_Ref48683153"/>
      <w:bookmarkStart w:id="211" w:name="_Toc52968248"/>
      <w:r>
        <w:t xml:space="preserve">Figure </w:t>
      </w:r>
      <w:r>
        <w:fldChar w:fldCharType="begin"/>
      </w:r>
      <w:r>
        <w:instrText>SEQ Figure \* ARABIC</w:instrText>
      </w:r>
      <w:r>
        <w:fldChar w:fldCharType="separate"/>
      </w:r>
      <w:r w:rsidR="00235F13">
        <w:rPr>
          <w:noProof/>
        </w:rPr>
        <w:t>18</w:t>
      </w:r>
      <w:r>
        <w:fldChar w:fldCharType="end"/>
      </w:r>
      <w:bookmarkEnd w:id="210"/>
      <w:r w:rsidR="00BD5BBF">
        <w:t>.</w:t>
      </w:r>
      <w:r>
        <w:t xml:space="preserve"> </w:t>
      </w:r>
      <w:r w:rsidRPr="001A03DF">
        <w:rPr>
          <w:rFonts w:asciiTheme="minorHAnsi" w:hAnsiTheme="minorHAnsi" w:cstheme="minorHAnsi"/>
          <w:b w:val="0"/>
          <w:bCs w:val="0"/>
          <w:sz w:val="18"/>
        </w:rPr>
        <w:t>Projected temperature for a site in eastern Australia (32.24</w:t>
      </w:r>
      <w:r w:rsidRPr="001A03DF">
        <w:rPr>
          <w:rFonts w:asciiTheme="minorHAnsi" w:eastAsia="Symbol" w:hAnsiTheme="minorHAnsi" w:cstheme="minorHAnsi"/>
          <w:b w:val="0"/>
          <w:bCs w:val="0"/>
          <w:sz w:val="18"/>
        </w:rPr>
        <w:t>°</w:t>
      </w:r>
      <w:r w:rsidRPr="001A03DF">
        <w:rPr>
          <w:rFonts w:asciiTheme="minorHAnsi" w:hAnsiTheme="minorHAnsi" w:cstheme="minorHAnsi"/>
          <w:b w:val="0"/>
          <w:bCs w:val="0"/>
          <w:sz w:val="18"/>
        </w:rPr>
        <w:t>S, 148.61</w:t>
      </w:r>
      <w:r w:rsidRPr="001A03DF">
        <w:rPr>
          <w:rFonts w:asciiTheme="minorHAnsi" w:eastAsia="Symbol" w:hAnsiTheme="minorHAnsi" w:cstheme="minorHAnsi"/>
          <w:b w:val="0"/>
          <w:bCs w:val="0"/>
          <w:sz w:val="18"/>
        </w:rPr>
        <w:t>°</w:t>
      </w:r>
      <w:r w:rsidRPr="001A03DF">
        <w:rPr>
          <w:rFonts w:asciiTheme="minorHAnsi" w:hAnsiTheme="minorHAnsi" w:cstheme="minorHAnsi"/>
          <w:b w:val="0"/>
          <w:bCs w:val="0"/>
          <w:sz w:val="18"/>
        </w:rPr>
        <w:t xml:space="preserve">E), showing mean annual temperature, the mean maximum temperature in February, and the mean maximum leaf temperature in February (assuming leaf temperature is 10 </w:t>
      </w:r>
      <w:r w:rsidRPr="001A03DF">
        <w:rPr>
          <w:rFonts w:asciiTheme="minorHAnsi" w:eastAsia="Symbol" w:hAnsiTheme="minorHAnsi" w:cstheme="minorHAnsi"/>
          <w:b w:val="0"/>
          <w:bCs w:val="0"/>
          <w:sz w:val="18"/>
        </w:rPr>
        <w:t>°</w:t>
      </w:r>
      <w:r w:rsidRPr="001A03DF">
        <w:rPr>
          <w:rFonts w:asciiTheme="minorHAnsi" w:hAnsiTheme="minorHAnsi" w:cstheme="minorHAnsi"/>
          <w:b w:val="0"/>
          <w:bCs w:val="0"/>
          <w:sz w:val="18"/>
        </w:rPr>
        <w:t>C higher than air temperature)</w:t>
      </w:r>
      <w:r w:rsidR="00BF2234">
        <w:rPr>
          <w:rFonts w:asciiTheme="minorHAnsi" w:hAnsiTheme="minorHAnsi" w:cstheme="minorHAnsi"/>
          <w:b w:val="0"/>
          <w:bCs w:val="0"/>
          <w:sz w:val="18"/>
        </w:rPr>
        <w:t xml:space="preserve">. </w:t>
      </w:r>
      <w:r w:rsidRPr="001A03DF">
        <w:rPr>
          <w:rFonts w:asciiTheme="minorHAnsi" w:hAnsiTheme="minorHAnsi" w:cstheme="minorHAnsi"/>
          <w:b w:val="0"/>
          <w:bCs w:val="0"/>
          <w:sz w:val="18"/>
        </w:rPr>
        <w:t>Base climate data is for the period 1961 – 1990 (BOM)</w:t>
      </w:r>
      <w:r w:rsidR="00BF2234">
        <w:rPr>
          <w:rFonts w:asciiTheme="minorHAnsi" w:hAnsiTheme="minorHAnsi" w:cstheme="minorHAnsi"/>
          <w:b w:val="0"/>
          <w:bCs w:val="0"/>
          <w:sz w:val="18"/>
        </w:rPr>
        <w:t xml:space="preserve">. </w:t>
      </w:r>
      <w:r w:rsidRPr="001A03DF">
        <w:rPr>
          <w:rFonts w:asciiTheme="minorHAnsi" w:hAnsiTheme="minorHAnsi" w:cstheme="minorHAnsi"/>
          <w:b w:val="0"/>
          <w:bCs w:val="0"/>
          <w:sz w:val="18"/>
        </w:rPr>
        <w:t>Climate projections used the CSIRO 3.5 GCM, with an A1FI emissions scenario, and assumed a moderate rate of global warming (www.csiro.ozclim)</w:t>
      </w:r>
      <w:r w:rsidR="00BF2234">
        <w:rPr>
          <w:rFonts w:asciiTheme="minorHAnsi" w:hAnsiTheme="minorHAnsi" w:cstheme="minorHAnsi"/>
          <w:b w:val="0"/>
          <w:bCs w:val="0"/>
          <w:sz w:val="18"/>
        </w:rPr>
        <w:t xml:space="preserve">. </w:t>
      </w:r>
      <w:r w:rsidRPr="001A03DF">
        <w:rPr>
          <w:rFonts w:asciiTheme="minorHAnsi" w:hAnsiTheme="minorHAnsi" w:cstheme="minorHAnsi"/>
          <w:b w:val="0"/>
          <w:bCs w:val="0"/>
          <w:sz w:val="18"/>
        </w:rPr>
        <w:t>Heatwave conditions are not considered</w:t>
      </w:r>
      <w:r w:rsidR="00BF2234">
        <w:rPr>
          <w:rFonts w:asciiTheme="minorHAnsi" w:hAnsiTheme="minorHAnsi" w:cstheme="minorHAnsi"/>
          <w:b w:val="0"/>
          <w:bCs w:val="0"/>
          <w:sz w:val="18"/>
        </w:rPr>
        <w:t xml:space="preserve">. </w:t>
      </w:r>
      <w:r w:rsidRPr="001A03DF">
        <w:rPr>
          <w:rFonts w:asciiTheme="minorHAnsi" w:hAnsiTheme="minorHAnsi" w:cstheme="minorHAnsi"/>
          <w:b w:val="0"/>
          <w:bCs w:val="0"/>
          <w:sz w:val="18"/>
        </w:rPr>
        <w:t>T</w:t>
      </w:r>
      <w:r w:rsidRPr="001A03DF">
        <w:rPr>
          <w:rFonts w:asciiTheme="minorHAnsi" w:hAnsiTheme="minorHAnsi" w:cstheme="minorHAnsi"/>
          <w:b w:val="0"/>
          <w:bCs w:val="0"/>
          <w:sz w:val="18"/>
          <w:vertAlign w:val="subscript"/>
        </w:rPr>
        <w:t>max</w:t>
      </w:r>
      <w:r w:rsidRPr="001A03DF">
        <w:rPr>
          <w:rFonts w:asciiTheme="minorHAnsi" w:hAnsiTheme="minorHAnsi" w:cstheme="minorHAnsi"/>
          <w:b w:val="0"/>
          <w:bCs w:val="0"/>
          <w:sz w:val="18"/>
        </w:rPr>
        <w:t xml:space="preserve"> is the mean heat tolerance of dark respiration and T</w:t>
      </w:r>
      <w:r w:rsidRPr="001A03DF">
        <w:rPr>
          <w:rFonts w:asciiTheme="minorHAnsi" w:hAnsiTheme="minorHAnsi" w:cstheme="minorHAnsi"/>
          <w:b w:val="0"/>
          <w:bCs w:val="0"/>
          <w:sz w:val="18"/>
          <w:vertAlign w:val="subscript"/>
        </w:rPr>
        <w:t>crit</w:t>
      </w:r>
      <w:r w:rsidRPr="001A03DF">
        <w:rPr>
          <w:rFonts w:asciiTheme="minorHAnsi" w:hAnsiTheme="minorHAnsi" w:cstheme="minorHAnsi"/>
          <w:b w:val="0"/>
          <w:bCs w:val="0"/>
          <w:sz w:val="18"/>
        </w:rPr>
        <w:t xml:space="preserve"> is the mean heat tolerance of Photosystem II</w:t>
      </w:r>
      <w:r w:rsidRPr="001A03DF">
        <w:rPr>
          <w:b w:val="0"/>
          <w:bCs w:val="0"/>
          <w:sz w:val="18"/>
        </w:rPr>
        <w:t xml:space="preserve"> </w:t>
      </w:r>
      <w:r w:rsidR="00A003C9" w:rsidRPr="001A03DF">
        <w:rPr>
          <w:b w:val="0"/>
          <w:bCs w:val="0"/>
          <w:sz w:val="18"/>
        </w:rPr>
        <w:t>(</w:t>
      </w:r>
      <w:r w:rsidRPr="001A03DF">
        <w:rPr>
          <w:b w:val="0"/>
          <w:bCs w:val="0"/>
          <w:sz w:val="18"/>
        </w:rPr>
        <w:t>O</w:t>
      </w:r>
      <w:r w:rsidR="00430DD5">
        <w:rPr>
          <w:b w:val="0"/>
          <w:bCs w:val="0"/>
          <w:sz w:val="18"/>
        </w:rPr>
        <w:t>’</w:t>
      </w:r>
      <w:r w:rsidRPr="001A03DF">
        <w:rPr>
          <w:b w:val="0"/>
          <w:bCs w:val="0"/>
          <w:sz w:val="18"/>
        </w:rPr>
        <w:t>Sullivan</w:t>
      </w:r>
      <w:r w:rsidR="00A003C9" w:rsidRPr="001A03DF">
        <w:rPr>
          <w:b w:val="0"/>
          <w:bCs w:val="0"/>
          <w:sz w:val="18"/>
        </w:rPr>
        <w:t xml:space="preserve"> et al</w:t>
      </w:r>
      <w:r w:rsidR="00BF2234">
        <w:rPr>
          <w:b w:val="0"/>
          <w:bCs w:val="0"/>
          <w:sz w:val="18"/>
        </w:rPr>
        <w:t xml:space="preserve">. </w:t>
      </w:r>
      <w:r w:rsidRPr="001A03DF">
        <w:rPr>
          <w:b w:val="0"/>
          <w:bCs w:val="0"/>
          <w:sz w:val="18"/>
        </w:rPr>
        <w:t>2013</w:t>
      </w:r>
      <w:r w:rsidR="00A003C9" w:rsidRPr="001A03DF">
        <w:rPr>
          <w:b w:val="0"/>
          <w:bCs w:val="0"/>
          <w:sz w:val="18"/>
        </w:rPr>
        <w:t>).</w:t>
      </w:r>
      <w:bookmarkEnd w:id="211"/>
    </w:p>
    <w:p w14:paraId="27706DF1" w14:textId="77777777" w:rsidR="008910E9" w:rsidRDefault="008910E9" w:rsidP="005C47B4">
      <w:pPr>
        <w:pStyle w:val="Heading3"/>
      </w:pPr>
      <w:r>
        <w:t>Strategies for improving long-term carbon security</w:t>
      </w:r>
    </w:p>
    <w:p w14:paraId="3447425F" w14:textId="77777777" w:rsidR="009F470F" w:rsidRDefault="009F470F" w:rsidP="008910E9">
      <w:pPr>
        <w:pStyle w:val="BodyText"/>
        <w:rPr>
          <w:rFonts w:asciiTheme="minorHAnsi" w:hAnsiTheme="minorHAnsi" w:cstheme="minorHAnsi"/>
          <w:szCs w:val="24"/>
        </w:rPr>
      </w:pPr>
    </w:p>
    <w:p w14:paraId="1F368D52" w14:textId="48D8B020" w:rsidR="008910E9" w:rsidRPr="00BA10A9" w:rsidRDefault="008910E9" w:rsidP="008910E9">
      <w:pPr>
        <w:pStyle w:val="BodyText"/>
        <w:rPr>
          <w:rFonts w:asciiTheme="minorHAnsi" w:hAnsiTheme="minorHAnsi" w:cstheme="minorHAnsi"/>
          <w:szCs w:val="24"/>
        </w:rPr>
      </w:pPr>
      <w:r w:rsidRPr="00BA10A9">
        <w:rPr>
          <w:rFonts w:asciiTheme="minorHAnsi" w:hAnsiTheme="minorHAnsi" w:cstheme="minorHAnsi"/>
          <w:szCs w:val="24"/>
        </w:rPr>
        <w:t>The timeframe over which management decisions are made influences which management responses will be most appropriate. This is related to the degree of uncertainty about how the climate is likely to change</w:t>
      </w:r>
      <w:r>
        <w:rPr>
          <w:rFonts w:asciiTheme="minorHAnsi" w:hAnsiTheme="minorHAnsi" w:cstheme="minorHAnsi"/>
          <w:szCs w:val="24"/>
        </w:rPr>
        <w:t xml:space="preserve"> </w:t>
      </w:r>
      <w:r w:rsidR="00A003C9">
        <w:rPr>
          <w:rFonts w:asciiTheme="minorHAnsi" w:hAnsiTheme="minorHAnsi" w:cstheme="minorHAnsi"/>
          <w:szCs w:val="24"/>
        </w:rPr>
        <w:t>(</w:t>
      </w:r>
      <w:r w:rsidRPr="00795A09">
        <w:rPr>
          <w:rFonts w:asciiTheme="minorHAnsi" w:hAnsiTheme="minorHAnsi" w:cstheme="minorHAnsi"/>
          <w:szCs w:val="24"/>
        </w:rPr>
        <w:t>Stafford Smith</w:t>
      </w:r>
      <w:r w:rsidR="00A003C9">
        <w:rPr>
          <w:rFonts w:asciiTheme="minorHAnsi" w:hAnsiTheme="minorHAnsi" w:cstheme="minorHAnsi"/>
          <w:szCs w:val="24"/>
        </w:rPr>
        <w:t xml:space="preserve"> et al. </w:t>
      </w:r>
      <w:r w:rsidRPr="00795A09">
        <w:rPr>
          <w:rFonts w:asciiTheme="minorHAnsi" w:hAnsiTheme="minorHAnsi" w:cstheme="minorHAnsi"/>
          <w:szCs w:val="24"/>
        </w:rPr>
        <w:t>2011</w:t>
      </w:r>
      <w:r w:rsidR="00A003C9">
        <w:rPr>
          <w:rFonts w:asciiTheme="minorHAnsi" w:hAnsiTheme="minorHAnsi" w:cstheme="minorHAnsi"/>
          <w:szCs w:val="24"/>
        </w:rPr>
        <w:t>).</w:t>
      </w:r>
    </w:p>
    <w:p w14:paraId="0AD8434E" w14:textId="19BF661C" w:rsidR="008910E9" w:rsidRDefault="008910E9" w:rsidP="008910E9">
      <w:pPr>
        <w:pStyle w:val="BodyText"/>
      </w:pPr>
      <w:r>
        <w:t xml:space="preserve">Global circulation models are reasonably consistent in projections of climate change in the short term. Uncertainty increases with time, related to uncertainty about emissions scenarios and </w:t>
      </w:r>
      <w:r>
        <w:lastRenderedPageBreak/>
        <w:t>human responses to climate change. With short decision timeframes, there is more certainty about how the climate might change, and identifying appropriate management strategies is more straightforward. With increasing uncertainty (and timeframes), a range of possible futures needs to be considered, meaning that scenario analysis becomes an important tool.</w:t>
      </w:r>
    </w:p>
    <w:p w14:paraId="259AC9E0" w14:textId="4F20FF38" w:rsidR="008910E9" w:rsidRPr="00BA10A9" w:rsidRDefault="008910E9" w:rsidP="008910E9">
      <w:pPr>
        <w:rPr>
          <w:rFonts w:asciiTheme="minorHAnsi" w:hAnsiTheme="minorHAnsi" w:cstheme="minorHAnsi"/>
        </w:rPr>
      </w:pPr>
      <w:r w:rsidRPr="00070248">
        <w:rPr>
          <w:rFonts w:asciiTheme="minorHAnsi" w:hAnsiTheme="minorHAnsi" w:cstheme="minorHAnsi"/>
        </w:rPr>
        <w:t>H</w:t>
      </w:r>
      <w:r w:rsidRPr="00010494">
        <w:rPr>
          <w:rFonts w:asciiTheme="minorHAnsi" w:hAnsiTheme="minorHAnsi" w:cstheme="minorHAnsi"/>
        </w:rPr>
        <w:t>a</w:t>
      </w:r>
      <w:r w:rsidRPr="00016F30">
        <w:rPr>
          <w:rFonts w:asciiTheme="minorHAnsi" w:hAnsiTheme="minorHAnsi" w:cstheme="minorHAnsi"/>
        </w:rPr>
        <w:t>ll</w:t>
      </w:r>
      <w:r w:rsidRPr="007A2030">
        <w:rPr>
          <w:rFonts w:asciiTheme="minorHAnsi" w:hAnsiTheme="minorHAnsi" w:cstheme="minorHAnsi"/>
        </w:rPr>
        <w:t>e</w:t>
      </w:r>
      <w:r w:rsidRPr="00D00295">
        <w:rPr>
          <w:rFonts w:asciiTheme="minorHAnsi" w:hAnsiTheme="minorHAnsi" w:cstheme="minorHAnsi"/>
        </w:rPr>
        <w:t>g</w:t>
      </w:r>
      <w:r w:rsidRPr="00DC0314">
        <w:rPr>
          <w:rFonts w:asciiTheme="minorHAnsi" w:hAnsiTheme="minorHAnsi" w:cstheme="minorHAnsi"/>
        </w:rPr>
        <w:t>at</w:t>
      </w:r>
      <w:r w:rsidRPr="00A90A42">
        <w:rPr>
          <w:rFonts w:asciiTheme="minorHAnsi" w:hAnsiTheme="minorHAnsi" w:cstheme="minorHAnsi"/>
        </w:rPr>
        <w:t>e</w:t>
      </w:r>
      <w:r w:rsidRPr="00B2672E">
        <w:rPr>
          <w:rFonts w:asciiTheme="minorHAnsi" w:hAnsiTheme="minorHAnsi" w:cstheme="minorHAnsi"/>
        </w:rPr>
        <w:t xml:space="preserve"> </w:t>
      </w:r>
      <w:r w:rsidR="00A003C9">
        <w:rPr>
          <w:rFonts w:asciiTheme="minorHAnsi" w:hAnsiTheme="minorHAnsi" w:cstheme="minorHAnsi"/>
        </w:rPr>
        <w:t>(</w:t>
      </w:r>
      <w:r w:rsidRPr="00795A09">
        <w:rPr>
          <w:rFonts w:asciiTheme="minorHAnsi" w:hAnsiTheme="minorHAnsi" w:cstheme="minorHAnsi"/>
        </w:rPr>
        <w:t>2009</w:t>
      </w:r>
      <w:r w:rsidR="00A003C9">
        <w:rPr>
          <w:rFonts w:asciiTheme="minorHAnsi" w:hAnsiTheme="minorHAnsi" w:cstheme="minorHAnsi"/>
        </w:rPr>
        <w:t xml:space="preserve">) </w:t>
      </w:r>
      <w:r w:rsidRPr="00BA10A9">
        <w:rPr>
          <w:rFonts w:asciiTheme="minorHAnsi" w:hAnsiTheme="minorHAnsi" w:cstheme="minorHAnsi"/>
        </w:rPr>
        <w:t xml:space="preserve">suggests </w:t>
      </w:r>
      <w:r>
        <w:rPr>
          <w:rFonts w:asciiTheme="minorHAnsi" w:hAnsiTheme="minorHAnsi" w:cstheme="minorHAnsi"/>
        </w:rPr>
        <w:t>four</w:t>
      </w:r>
      <w:r w:rsidRPr="00BA10A9">
        <w:rPr>
          <w:rFonts w:asciiTheme="minorHAnsi" w:hAnsiTheme="minorHAnsi" w:cstheme="minorHAnsi"/>
        </w:rPr>
        <w:t xml:space="preserve"> possible </w:t>
      </w:r>
      <w:r>
        <w:rPr>
          <w:rFonts w:asciiTheme="minorHAnsi" w:hAnsiTheme="minorHAnsi" w:cstheme="minorHAnsi"/>
        </w:rPr>
        <w:t xml:space="preserve">strategic and operational </w:t>
      </w:r>
      <w:r w:rsidRPr="00BA10A9">
        <w:rPr>
          <w:rFonts w:asciiTheme="minorHAnsi" w:hAnsiTheme="minorHAnsi" w:cstheme="minorHAnsi"/>
        </w:rPr>
        <w:t>approaches that may be beneficial when dealing with longer timeframes</w:t>
      </w:r>
      <w:r w:rsidR="00BF2234">
        <w:rPr>
          <w:rFonts w:asciiTheme="minorHAnsi" w:hAnsiTheme="minorHAnsi" w:cstheme="minorHAnsi"/>
        </w:rPr>
        <w:t xml:space="preserve">. </w:t>
      </w:r>
      <w:r w:rsidRPr="00BA10A9">
        <w:rPr>
          <w:rFonts w:asciiTheme="minorHAnsi" w:hAnsiTheme="minorHAnsi" w:cstheme="minorHAnsi"/>
        </w:rPr>
        <w:t>All aim to improve the robustness of decision-making in the light of uncertainty</w:t>
      </w:r>
      <w:r>
        <w:rPr>
          <w:rFonts w:asciiTheme="minorHAnsi" w:hAnsiTheme="minorHAnsi" w:cstheme="minorHAnsi"/>
        </w:rPr>
        <w:t>:</w:t>
      </w:r>
    </w:p>
    <w:p w14:paraId="3E3F553E" w14:textId="1056BD02" w:rsidR="008910E9" w:rsidRDefault="008910E9" w:rsidP="008910E9">
      <w:pPr>
        <w:pStyle w:val="BodyText"/>
        <w:numPr>
          <w:ilvl w:val="0"/>
          <w:numId w:val="26"/>
        </w:numPr>
      </w:pPr>
      <w:r>
        <w:t>Apply ‘no regrets’ strategies that yield benefit even in the absence of climate change</w:t>
      </w:r>
      <w:r w:rsidR="00BF2234">
        <w:t xml:space="preserve">. </w:t>
      </w:r>
      <w:r>
        <w:t>An example might be the use in environmental plantings of genotypes more adapted to warmer and drier conditions;</w:t>
      </w:r>
    </w:p>
    <w:p w14:paraId="1EB5EE36" w14:textId="6FFCC461" w:rsidR="008910E9" w:rsidRDefault="008910E9" w:rsidP="008910E9">
      <w:pPr>
        <w:pStyle w:val="BodyText"/>
        <w:numPr>
          <w:ilvl w:val="0"/>
          <w:numId w:val="26"/>
        </w:numPr>
      </w:pPr>
      <w:r>
        <w:t>Select reversible strategies that limit the cost of making the wrong management decision</w:t>
      </w:r>
      <w:r w:rsidR="00BF2234">
        <w:t xml:space="preserve">. </w:t>
      </w:r>
      <w:r>
        <w:t>For example, a decision could be made not to proceed with an ERF activity in an area considered to have high climate risk</w:t>
      </w:r>
      <w:r w:rsidR="00BF2234">
        <w:t xml:space="preserve">. </w:t>
      </w:r>
      <w:r>
        <w:t>If the climate changes are less extreme than predicted, then the decision could be reversed;</w:t>
      </w:r>
    </w:p>
    <w:p w14:paraId="44805A6B" w14:textId="77777777" w:rsidR="008910E9" w:rsidRDefault="008910E9" w:rsidP="008910E9">
      <w:pPr>
        <w:pStyle w:val="BodyText"/>
        <w:numPr>
          <w:ilvl w:val="0"/>
          <w:numId w:val="26"/>
        </w:numPr>
      </w:pPr>
      <w:r>
        <w:t xml:space="preserve">Add safety margins into management strategies to reduce vulnerability, such as making the decision to establish new plantings at a lower stocking density to manage water stress;  </w:t>
      </w:r>
    </w:p>
    <w:p w14:paraId="0B199BAF" w14:textId="2685F01C" w:rsidR="008910E9" w:rsidRDefault="008910E9" w:rsidP="008910E9">
      <w:pPr>
        <w:pStyle w:val="BodyText"/>
        <w:numPr>
          <w:ilvl w:val="0"/>
          <w:numId w:val="26"/>
        </w:numPr>
      </w:pPr>
      <w:r>
        <w:t xml:space="preserve">Reduce decision timeframes so </w:t>
      </w:r>
      <w:r w:rsidR="00A264AF">
        <w:t xml:space="preserve">there </w:t>
      </w:r>
      <w:r>
        <w:t>is more certainty around climatic conditions</w:t>
      </w:r>
      <w:r w:rsidR="00BF2234">
        <w:t xml:space="preserve">. </w:t>
      </w:r>
      <w:r>
        <w:t>Instead of producing sawlogs on a long rotation, for example, the decision could be made to produce engineered wood products that can utilise smaller diameter logs while still meeting the ERF requirements for rotation length.</w:t>
      </w:r>
    </w:p>
    <w:p w14:paraId="0113259C" w14:textId="7F443850" w:rsidR="008910E9" w:rsidRDefault="00A003C9" w:rsidP="008910E9">
      <w:pPr>
        <w:pStyle w:val="BodyText"/>
      </w:pPr>
      <w:r>
        <w:fldChar w:fldCharType="begin"/>
      </w:r>
      <w:r>
        <w:instrText xml:space="preserve"> REF _Ref48683569 \h </w:instrText>
      </w:r>
      <w:r>
        <w:fldChar w:fldCharType="separate"/>
      </w:r>
      <w:r w:rsidR="00235F13">
        <w:t xml:space="preserve">Table </w:t>
      </w:r>
      <w:r w:rsidR="00235F13">
        <w:rPr>
          <w:noProof/>
        </w:rPr>
        <w:t>20</w:t>
      </w:r>
      <w:r>
        <w:fldChar w:fldCharType="end"/>
      </w:r>
      <w:r>
        <w:t xml:space="preserve"> </w:t>
      </w:r>
      <w:r w:rsidR="008910E9">
        <w:t>provides an overview of common approaches to climate adaptation applicable to land-based sequestration</w:t>
      </w:r>
      <w:r w:rsidR="00BF2234">
        <w:t xml:space="preserve">. </w:t>
      </w:r>
      <w:r w:rsidR="008910E9">
        <w:t>The literature is strongly skewed to commercial plantations, reflecting the focus of the industry on understanding its risk and adaptation options in recent years. Many of the strategies will not be applicable to all of the ERF methodologies under consideration in this report</w:t>
      </w:r>
      <w:r>
        <w:t xml:space="preserve"> </w:t>
      </w:r>
      <w:r w:rsidR="00430DD5">
        <w:t>–</w:t>
      </w:r>
      <w:r>
        <w:t xml:space="preserve"> t</w:t>
      </w:r>
      <w:r w:rsidR="008910E9">
        <w:t xml:space="preserve">he following </w:t>
      </w:r>
      <w:r>
        <w:t>section</w:t>
      </w:r>
      <w:r w:rsidR="008910E9">
        <w:t xml:space="preserve"> focuses on identifying activity-specific strategies</w:t>
      </w:r>
      <w:r w:rsidR="00BF2234">
        <w:t xml:space="preserve">. </w:t>
      </w:r>
    </w:p>
    <w:p w14:paraId="56967629" w14:textId="1B9A4837" w:rsidR="008910E9" w:rsidRDefault="008910E9" w:rsidP="008910E9">
      <w:pPr>
        <w:pStyle w:val="BodyText"/>
        <w:sectPr w:rsidR="008910E9" w:rsidSect="00F03C3C">
          <w:pgSz w:w="11906" w:h="16838" w:code="9"/>
          <w:pgMar w:top="1134" w:right="1134" w:bottom="1134" w:left="1134" w:header="510" w:footer="624" w:gutter="0"/>
          <w:cols w:space="850"/>
          <w:docGrid w:linePitch="360"/>
        </w:sectPr>
      </w:pPr>
      <w:r>
        <w:t>Most of the strategies identified are classified as Zone 1, or incremental strategies (</w:t>
      </w:r>
      <w:r w:rsidR="006B64B0">
        <w:fldChar w:fldCharType="begin"/>
      </w:r>
      <w:r w:rsidR="006B64B0">
        <w:instrText xml:space="preserve"> REF _Ref48682878 \h </w:instrText>
      </w:r>
      <w:r w:rsidR="006B64B0">
        <w:fldChar w:fldCharType="separate"/>
      </w:r>
      <w:r w:rsidR="00235F13">
        <w:t xml:space="preserve">Figure </w:t>
      </w:r>
      <w:r w:rsidR="00235F13">
        <w:rPr>
          <w:noProof/>
        </w:rPr>
        <w:t>16</w:t>
      </w:r>
      <w:r w:rsidR="006B64B0">
        <w:fldChar w:fldCharType="end"/>
      </w:r>
      <w:r>
        <w:t xml:space="preserve">), that may be effective under low </w:t>
      </w:r>
      <w:r w:rsidR="00430DD5">
        <w:t>–</w:t>
      </w:r>
      <w:r>
        <w:t xml:space="preserve"> moderate levels of climate change</w:t>
      </w:r>
      <w:r w:rsidR="00BF2234">
        <w:t xml:space="preserve">. </w:t>
      </w:r>
      <w:r>
        <w:t>In order to better understand the sorts of conditions under which these strategies might be effective, and the frequency of occurrence of above-threshold climate events that are likely to occur within a given period of time (e.g. number of mortality-inducing droughts per 20 years)</w:t>
      </w:r>
      <w:r w:rsidR="00BF2234">
        <w:t xml:space="preserve">. </w:t>
      </w:r>
      <w:r>
        <w:t>This is beyond the scope of the present study.</w:t>
      </w:r>
    </w:p>
    <w:p w14:paraId="653FEE57" w14:textId="77777777" w:rsidR="008910E9" w:rsidRDefault="008910E9" w:rsidP="008910E9"/>
    <w:p w14:paraId="60A7770A" w14:textId="1B8FF006" w:rsidR="008910E9" w:rsidRDefault="008910E9" w:rsidP="008910E9">
      <w:pPr>
        <w:pStyle w:val="Caption"/>
      </w:pPr>
      <w:bookmarkStart w:id="212" w:name="_Ref48683569"/>
      <w:bookmarkStart w:id="213" w:name="_Toc52971075"/>
      <w:r>
        <w:t xml:space="preserve">Table </w:t>
      </w:r>
      <w:r>
        <w:fldChar w:fldCharType="begin"/>
      </w:r>
      <w:r>
        <w:instrText>SEQ Table \* ARABIC</w:instrText>
      </w:r>
      <w:r>
        <w:fldChar w:fldCharType="separate"/>
      </w:r>
      <w:r w:rsidR="00235F13">
        <w:rPr>
          <w:noProof/>
        </w:rPr>
        <w:t>20</w:t>
      </w:r>
      <w:r>
        <w:fldChar w:fldCharType="end"/>
      </w:r>
      <w:bookmarkEnd w:id="212"/>
      <w:r w:rsidR="00F0552E">
        <w:t>.</w:t>
      </w:r>
      <w:r>
        <w:t xml:space="preserve"> </w:t>
      </w:r>
      <w:r w:rsidRPr="00F0552E">
        <w:rPr>
          <w:b w:val="0"/>
          <w:bCs w:val="0"/>
        </w:rPr>
        <w:t xml:space="preserve">Summary of the sorts of adaptation strategies that may be applicable to manage climate risk for ERF activities. Application time refers to whether they are relevant at establishment or post-establishment. The climate risk addressed relates back to Figure </w:t>
      </w:r>
      <w:r w:rsidR="002C2B15">
        <w:rPr>
          <w:b w:val="0"/>
          <w:bCs w:val="0"/>
        </w:rPr>
        <w:t>17</w:t>
      </w:r>
      <w:r w:rsidRPr="00F0552E">
        <w:rPr>
          <w:b w:val="0"/>
          <w:bCs w:val="0"/>
        </w:rPr>
        <w:t xml:space="preserve"> (exposure, sensitivity)</w:t>
      </w:r>
      <w:r w:rsidR="00BF2234">
        <w:rPr>
          <w:b w:val="0"/>
          <w:bCs w:val="0"/>
        </w:rPr>
        <w:t xml:space="preserve">. </w:t>
      </w:r>
      <w:r w:rsidRPr="00F0552E">
        <w:rPr>
          <w:b w:val="0"/>
          <w:bCs w:val="0"/>
        </w:rPr>
        <w:t xml:space="preserve">Zone refers to those identified in Figure </w:t>
      </w:r>
      <w:r w:rsidR="002C2B15">
        <w:rPr>
          <w:b w:val="0"/>
          <w:bCs w:val="0"/>
        </w:rPr>
        <w:t>16</w:t>
      </w:r>
      <w:r w:rsidRPr="00F0552E">
        <w:rPr>
          <w:b w:val="0"/>
          <w:bCs w:val="0"/>
        </w:rPr>
        <w:t>.</w:t>
      </w:r>
      <w:bookmarkEnd w:id="213"/>
    </w:p>
    <w:p w14:paraId="138EA901" w14:textId="77777777" w:rsidR="008910E9" w:rsidRDefault="008910E9" w:rsidP="008910E9">
      <w:pPr>
        <w:pStyle w:val="BodyText"/>
      </w:pPr>
    </w:p>
    <w:tbl>
      <w:tblPr>
        <w:tblStyle w:val="TableGrid"/>
        <w:tblW w:w="0" w:type="auto"/>
        <w:tblLook w:val="04A0" w:firstRow="1" w:lastRow="0" w:firstColumn="1" w:lastColumn="0" w:noHBand="0" w:noVBand="1"/>
      </w:tblPr>
      <w:tblGrid>
        <w:gridCol w:w="2531"/>
        <w:gridCol w:w="1261"/>
        <w:gridCol w:w="1155"/>
        <w:gridCol w:w="778"/>
        <w:gridCol w:w="4193"/>
        <w:gridCol w:w="4088"/>
      </w:tblGrid>
      <w:tr w:rsidR="008910E9" w:rsidRPr="004D5E45" w14:paraId="607B3120" w14:textId="77777777" w:rsidTr="00EE2322">
        <w:tc>
          <w:tcPr>
            <w:tcW w:w="2531" w:type="dxa"/>
            <w:vMerge w:val="restart"/>
            <w:shd w:val="clear" w:color="auto" w:fill="000000" w:themeFill="text2"/>
          </w:tcPr>
          <w:p w14:paraId="62F65431"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Adaptation strategy</w:t>
            </w:r>
          </w:p>
        </w:tc>
        <w:tc>
          <w:tcPr>
            <w:tcW w:w="1261" w:type="dxa"/>
            <w:shd w:val="clear" w:color="auto" w:fill="000000" w:themeFill="text2"/>
          </w:tcPr>
          <w:p w14:paraId="1F08CAEC"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Application time</w:t>
            </w:r>
          </w:p>
        </w:tc>
        <w:tc>
          <w:tcPr>
            <w:tcW w:w="1155" w:type="dxa"/>
            <w:shd w:val="clear" w:color="auto" w:fill="000000" w:themeFill="text2"/>
          </w:tcPr>
          <w:p w14:paraId="2F5D8186"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Climate risk addressed</w:t>
            </w:r>
          </w:p>
          <w:p w14:paraId="313EB797" w14:textId="77777777" w:rsidR="008910E9" w:rsidRPr="00657C86" w:rsidRDefault="008910E9" w:rsidP="00F252EE">
            <w:pPr>
              <w:rPr>
                <w:rFonts w:asciiTheme="minorHAnsi" w:hAnsiTheme="minorHAnsi" w:cstheme="minorHAnsi"/>
                <w:b/>
                <w:bCs/>
                <w:color w:val="FFFFFF" w:themeColor="background1"/>
                <w:sz w:val="22"/>
                <w:szCs w:val="22"/>
              </w:rPr>
            </w:pPr>
          </w:p>
        </w:tc>
        <w:tc>
          <w:tcPr>
            <w:tcW w:w="778" w:type="dxa"/>
            <w:vMerge w:val="restart"/>
            <w:shd w:val="clear" w:color="auto" w:fill="000000" w:themeFill="text2"/>
          </w:tcPr>
          <w:p w14:paraId="4E15E163"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Zone*</w:t>
            </w:r>
          </w:p>
        </w:tc>
        <w:tc>
          <w:tcPr>
            <w:tcW w:w="4193" w:type="dxa"/>
            <w:vMerge w:val="restart"/>
            <w:shd w:val="clear" w:color="auto" w:fill="000000" w:themeFill="text2"/>
          </w:tcPr>
          <w:p w14:paraId="38748262"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Description</w:t>
            </w:r>
          </w:p>
        </w:tc>
        <w:tc>
          <w:tcPr>
            <w:tcW w:w="4088" w:type="dxa"/>
            <w:vMerge w:val="restart"/>
            <w:shd w:val="clear" w:color="auto" w:fill="000000" w:themeFill="text2"/>
          </w:tcPr>
          <w:p w14:paraId="68BAC743"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References</w:t>
            </w:r>
          </w:p>
        </w:tc>
      </w:tr>
      <w:tr w:rsidR="008910E9" w:rsidRPr="004D5E45" w14:paraId="346C43E5" w14:textId="77777777" w:rsidTr="00EE2322">
        <w:tc>
          <w:tcPr>
            <w:tcW w:w="2531" w:type="dxa"/>
            <w:vMerge/>
          </w:tcPr>
          <w:p w14:paraId="71188605" w14:textId="77777777" w:rsidR="008910E9" w:rsidRPr="00657C86" w:rsidRDefault="008910E9" w:rsidP="00F252EE">
            <w:pPr>
              <w:rPr>
                <w:rFonts w:asciiTheme="minorHAnsi" w:hAnsiTheme="minorHAnsi" w:cstheme="minorHAnsi"/>
                <w:b/>
                <w:bCs/>
                <w:color w:val="FFFFFF" w:themeColor="background1"/>
                <w:sz w:val="22"/>
                <w:szCs w:val="22"/>
              </w:rPr>
            </w:pPr>
          </w:p>
        </w:tc>
        <w:tc>
          <w:tcPr>
            <w:tcW w:w="1261" w:type="dxa"/>
            <w:shd w:val="clear" w:color="auto" w:fill="000000" w:themeFill="text2"/>
          </w:tcPr>
          <w:p w14:paraId="54DA4F26"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Estab, Post-estab (E, P)</w:t>
            </w:r>
          </w:p>
        </w:tc>
        <w:tc>
          <w:tcPr>
            <w:tcW w:w="1155" w:type="dxa"/>
            <w:shd w:val="clear" w:color="auto" w:fill="000000" w:themeFill="text2"/>
          </w:tcPr>
          <w:p w14:paraId="561B3CD8"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Exposure, sensitivity</w:t>
            </w:r>
          </w:p>
          <w:p w14:paraId="6DFA14B7" w14:textId="77777777" w:rsidR="008910E9" w:rsidRPr="00657C86" w:rsidRDefault="008910E9" w:rsidP="00F252EE">
            <w:pPr>
              <w:rPr>
                <w:rFonts w:asciiTheme="minorHAnsi" w:hAnsiTheme="minorHAnsi" w:cstheme="minorHAnsi"/>
                <w:b/>
                <w:bCs/>
                <w:color w:val="FFFFFF" w:themeColor="background1"/>
                <w:sz w:val="22"/>
                <w:szCs w:val="22"/>
              </w:rPr>
            </w:pPr>
            <w:r w:rsidRPr="00657C86">
              <w:rPr>
                <w:rFonts w:asciiTheme="minorHAnsi" w:hAnsiTheme="minorHAnsi" w:cstheme="minorHAnsi"/>
                <w:b/>
                <w:bCs/>
                <w:color w:val="FFFFFF" w:themeColor="background1"/>
                <w:sz w:val="22"/>
                <w:szCs w:val="22"/>
              </w:rPr>
              <w:t>(E, S)</w:t>
            </w:r>
          </w:p>
        </w:tc>
        <w:tc>
          <w:tcPr>
            <w:tcW w:w="778" w:type="dxa"/>
            <w:vMerge/>
          </w:tcPr>
          <w:p w14:paraId="2DF9A00D" w14:textId="77777777" w:rsidR="008910E9" w:rsidRPr="00657C86" w:rsidRDefault="008910E9" w:rsidP="00F252EE">
            <w:pPr>
              <w:rPr>
                <w:rFonts w:asciiTheme="minorHAnsi" w:hAnsiTheme="minorHAnsi" w:cstheme="minorHAnsi"/>
                <w:b/>
                <w:bCs/>
                <w:color w:val="FFFFFF" w:themeColor="background1"/>
                <w:sz w:val="22"/>
                <w:szCs w:val="22"/>
              </w:rPr>
            </w:pPr>
          </w:p>
        </w:tc>
        <w:tc>
          <w:tcPr>
            <w:tcW w:w="4193" w:type="dxa"/>
            <w:vMerge/>
          </w:tcPr>
          <w:p w14:paraId="5C7DD808" w14:textId="77777777" w:rsidR="008910E9" w:rsidRPr="00657C86" w:rsidRDefault="008910E9" w:rsidP="00F252EE">
            <w:pPr>
              <w:rPr>
                <w:rFonts w:asciiTheme="minorHAnsi" w:hAnsiTheme="minorHAnsi" w:cstheme="minorHAnsi"/>
                <w:b/>
                <w:bCs/>
                <w:color w:val="FFFFFF" w:themeColor="background1"/>
                <w:sz w:val="22"/>
                <w:szCs w:val="22"/>
              </w:rPr>
            </w:pPr>
          </w:p>
        </w:tc>
        <w:tc>
          <w:tcPr>
            <w:tcW w:w="4088" w:type="dxa"/>
            <w:vMerge/>
          </w:tcPr>
          <w:p w14:paraId="62D5856B" w14:textId="77777777" w:rsidR="008910E9" w:rsidRPr="00657C86" w:rsidRDefault="008910E9" w:rsidP="00F252EE">
            <w:pPr>
              <w:rPr>
                <w:rFonts w:asciiTheme="minorHAnsi" w:hAnsiTheme="minorHAnsi" w:cstheme="minorHAnsi"/>
                <w:b/>
                <w:bCs/>
                <w:color w:val="FFFFFF" w:themeColor="background1"/>
                <w:sz w:val="22"/>
                <w:szCs w:val="22"/>
              </w:rPr>
            </w:pPr>
          </w:p>
        </w:tc>
      </w:tr>
      <w:tr w:rsidR="008910E9" w14:paraId="429D3167" w14:textId="77777777" w:rsidTr="00EE2322">
        <w:tc>
          <w:tcPr>
            <w:tcW w:w="2531" w:type="dxa"/>
          </w:tcPr>
          <w:p w14:paraId="387582DB" w14:textId="77777777"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Project location</w:t>
            </w:r>
          </w:p>
        </w:tc>
        <w:tc>
          <w:tcPr>
            <w:tcW w:w="1261" w:type="dxa"/>
          </w:tcPr>
          <w:p w14:paraId="0F29DD29"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1155" w:type="dxa"/>
          </w:tcPr>
          <w:p w14:paraId="541619F4"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778" w:type="dxa"/>
          </w:tcPr>
          <w:p w14:paraId="6EEE77FC"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3</w:t>
            </w:r>
          </w:p>
        </w:tc>
        <w:tc>
          <w:tcPr>
            <w:tcW w:w="4193" w:type="dxa"/>
          </w:tcPr>
          <w:p w14:paraId="73781687" w14:textId="72E3026E" w:rsidR="008910E9" w:rsidRPr="00657C86" w:rsidRDefault="008910E9" w:rsidP="00EE2322">
            <w:pPr>
              <w:rPr>
                <w:rFonts w:asciiTheme="minorHAnsi" w:hAnsiTheme="minorHAnsi" w:cstheme="minorHAnsi"/>
                <w:sz w:val="22"/>
                <w:szCs w:val="22"/>
              </w:rPr>
            </w:pPr>
            <w:r w:rsidRPr="00657C86">
              <w:rPr>
                <w:rFonts w:asciiTheme="minorHAnsi" w:hAnsiTheme="minorHAnsi" w:cstheme="minorHAnsi"/>
                <w:sz w:val="22"/>
                <w:szCs w:val="22"/>
              </w:rPr>
              <w:t>Selecting sites with more favourable climatic conditions for ERF activities, and avoiding those with greater risk profiles. This could involve risk mapping for specific activities and zones</w:t>
            </w:r>
            <w:r w:rsidR="00EE2322">
              <w:rPr>
                <w:rFonts w:asciiTheme="minorHAnsi" w:hAnsiTheme="minorHAnsi" w:cstheme="minorHAnsi"/>
                <w:sz w:val="22"/>
                <w:szCs w:val="22"/>
              </w:rPr>
              <w:t xml:space="preserve">. </w:t>
            </w:r>
            <w:r w:rsidRPr="00FA7601">
              <w:rPr>
                <w:rFonts w:asciiTheme="minorHAnsi" w:hAnsiTheme="minorHAnsi" w:cstheme="minorBidi"/>
                <w:sz w:val="22"/>
                <w:szCs w:val="22"/>
              </w:rPr>
              <w:t>For SOC projects, establish in areas not prone to flooding.</w:t>
            </w:r>
          </w:p>
        </w:tc>
        <w:tc>
          <w:tcPr>
            <w:tcW w:w="4088" w:type="dxa"/>
          </w:tcPr>
          <w:p w14:paraId="61053C77" w14:textId="40579DFC" w:rsidR="008910E9" w:rsidRDefault="008910E9" w:rsidP="00F252EE">
            <w:pPr>
              <w:rPr>
                <w:rFonts w:asciiTheme="minorHAnsi" w:hAnsiTheme="minorHAnsi" w:cstheme="minorHAnsi"/>
                <w:sz w:val="22"/>
                <w:szCs w:val="22"/>
              </w:rPr>
            </w:pPr>
            <w:r w:rsidRPr="004621F6">
              <w:rPr>
                <w:rFonts w:asciiTheme="minorHAnsi" w:hAnsiTheme="minorHAnsi" w:cstheme="minorHAnsi"/>
                <w:sz w:val="22"/>
                <w:szCs w:val="22"/>
              </w:rPr>
              <w:t>Pinkard</w:t>
            </w:r>
            <w:r w:rsidR="006B64B0">
              <w:rPr>
                <w:rFonts w:asciiTheme="minorHAnsi" w:hAnsiTheme="minorHAnsi" w:cstheme="minorHAnsi"/>
                <w:sz w:val="22"/>
                <w:szCs w:val="22"/>
              </w:rPr>
              <w:t xml:space="preserve"> et al. (</w:t>
            </w:r>
            <w:r w:rsidRPr="004621F6">
              <w:rPr>
                <w:rFonts w:asciiTheme="minorHAnsi" w:hAnsiTheme="minorHAnsi" w:cstheme="minorHAnsi"/>
                <w:sz w:val="22"/>
                <w:szCs w:val="22"/>
              </w:rPr>
              <w:t>2014</w:t>
            </w:r>
            <w:r w:rsidR="006B64B0">
              <w:rPr>
                <w:rFonts w:asciiTheme="minorHAnsi" w:hAnsiTheme="minorHAnsi" w:cstheme="minorHAnsi"/>
                <w:sz w:val="22"/>
                <w:szCs w:val="22"/>
              </w:rPr>
              <w:t>)</w:t>
            </w:r>
          </w:p>
          <w:p w14:paraId="20ED9226" w14:textId="263CDD51" w:rsidR="008910E9" w:rsidRDefault="008910E9" w:rsidP="00F252EE">
            <w:pPr>
              <w:rPr>
                <w:rFonts w:asciiTheme="minorHAnsi" w:hAnsiTheme="minorHAnsi" w:cstheme="minorHAnsi"/>
                <w:sz w:val="22"/>
                <w:szCs w:val="22"/>
              </w:rPr>
            </w:pPr>
            <w:r w:rsidRPr="00E11428">
              <w:rPr>
                <w:rFonts w:asciiTheme="minorHAnsi" w:hAnsiTheme="minorHAnsi" w:cstheme="minorHAnsi"/>
                <w:sz w:val="22"/>
                <w:szCs w:val="22"/>
              </w:rPr>
              <w:t>Battaglia</w:t>
            </w:r>
            <w:r w:rsidR="006B64B0">
              <w:rPr>
                <w:rFonts w:asciiTheme="minorHAnsi" w:hAnsiTheme="minorHAnsi" w:cstheme="minorHAnsi"/>
                <w:sz w:val="22"/>
                <w:szCs w:val="22"/>
              </w:rPr>
              <w:t xml:space="preserve"> et al. (</w:t>
            </w:r>
            <w:r w:rsidRPr="00E11428">
              <w:rPr>
                <w:rFonts w:asciiTheme="minorHAnsi" w:hAnsiTheme="minorHAnsi" w:cstheme="minorHAnsi"/>
                <w:sz w:val="22"/>
                <w:szCs w:val="22"/>
              </w:rPr>
              <w:t>2009</w:t>
            </w:r>
            <w:r w:rsidR="006B64B0">
              <w:rPr>
                <w:rFonts w:asciiTheme="minorHAnsi" w:hAnsiTheme="minorHAnsi" w:cstheme="minorHAnsi"/>
                <w:sz w:val="22"/>
                <w:szCs w:val="22"/>
              </w:rPr>
              <w:t>)</w:t>
            </w:r>
          </w:p>
          <w:p w14:paraId="550C8B61" w14:textId="7758E6F6" w:rsidR="008910E9" w:rsidRDefault="008910E9" w:rsidP="00F252EE">
            <w:pPr>
              <w:rPr>
                <w:rFonts w:asciiTheme="minorHAnsi" w:hAnsiTheme="minorHAnsi" w:cstheme="minorHAnsi"/>
                <w:sz w:val="22"/>
                <w:szCs w:val="22"/>
              </w:rPr>
            </w:pPr>
            <w:r w:rsidRPr="00E11428">
              <w:rPr>
                <w:rFonts w:asciiTheme="minorHAnsi" w:hAnsiTheme="minorHAnsi" w:cstheme="minorHAnsi"/>
                <w:sz w:val="22"/>
                <w:szCs w:val="22"/>
              </w:rPr>
              <w:t>Wood</w:t>
            </w:r>
            <w:r w:rsidR="006B64B0">
              <w:rPr>
                <w:rFonts w:asciiTheme="minorHAnsi" w:hAnsiTheme="minorHAnsi" w:cstheme="minorHAnsi"/>
                <w:sz w:val="22"/>
                <w:szCs w:val="22"/>
              </w:rPr>
              <w:t xml:space="preserve"> et al. (</w:t>
            </w:r>
            <w:r w:rsidRPr="00E11428">
              <w:rPr>
                <w:rFonts w:asciiTheme="minorHAnsi" w:hAnsiTheme="minorHAnsi" w:cstheme="minorHAnsi"/>
                <w:sz w:val="22"/>
                <w:szCs w:val="22"/>
              </w:rPr>
              <w:t>2008</w:t>
            </w:r>
            <w:r w:rsidR="006B64B0">
              <w:rPr>
                <w:rFonts w:asciiTheme="minorHAnsi" w:hAnsiTheme="minorHAnsi" w:cstheme="minorHAnsi"/>
                <w:sz w:val="22"/>
                <w:szCs w:val="22"/>
              </w:rPr>
              <w:t>)</w:t>
            </w:r>
          </w:p>
          <w:p w14:paraId="5D4BDE54" w14:textId="56E92FED"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Select</w:t>
            </w:r>
            <w:r w:rsidR="00614590">
              <w:rPr>
                <w:rFonts w:asciiTheme="minorHAnsi" w:hAnsiTheme="minorHAnsi" w:cstheme="minorHAnsi"/>
                <w:sz w:val="22"/>
                <w:szCs w:val="22"/>
              </w:rPr>
              <w:t xml:space="preserve"> </w:t>
            </w:r>
            <w:r>
              <w:rPr>
                <w:rFonts w:asciiTheme="minorHAnsi" w:hAnsiTheme="minorHAnsi" w:cstheme="minorHAnsi"/>
                <w:sz w:val="22"/>
                <w:szCs w:val="22"/>
              </w:rPr>
              <w:t xml:space="preserve">Carbon </w:t>
            </w:r>
            <w:r w:rsidR="006B64B0">
              <w:rPr>
                <w:rFonts w:asciiTheme="minorHAnsi" w:hAnsiTheme="minorHAnsi" w:cstheme="minorHAnsi"/>
                <w:sz w:val="22"/>
                <w:szCs w:val="22"/>
              </w:rPr>
              <w:t>(</w:t>
            </w:r>
            <w:r>
              <w:rPr>
                <w:rFonts w:asciiTheme="minorHAnsi" w:hAnsiTheme="minorHAnsi" w:cstheme="minorHAnsi"/>
                <w:sz w:val="22"/>
                <w:szCs w:val="22"/>
              </w:rPr>
              <w:t>2012</w:t>
            </w:r>
            <w:r w:rsidR="006B64B0">
              <w:rPr>
                <w:rFonts w:asciiTheme="minorHAnsi" w:hAnsiTheme="minorHAnsi" w:cstheme="minorHAnsi"/>
                <w:sz w:val="22"/>
                <w:szCs w:val="22"/>
              </w:rPr>
              <w:t>)</w:t>
            </w:r>
          </w:p>
        </w:tc>
      </w:tr>
      <w:tr w:rsidR="008910E9" w14:paraId="0834AA33" w14:textId="77777777" w:rsidTr="00EE2322">
        <w:tc>
          <w:tcPr>
            <w:tcW w:w="2531" w:type="dxa"/>
          </w:tcPr>
          <w:p w14:paraId="237D240C"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Land use change</w:t>
            </w:r>
          </w:p>
        </w:tc>
        <w:tc>
          <w:tcPr>
            <w:tcW w:w="1261" w:type="dxa"/>
          </w:tcPr>
          <w:p w14:paraId="12DC9BDB"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1155" w:type="dxa"/>
          </w:tcPr>
          <w:p w14:paraId="3453DC94"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778" w:type="dxa"/>
          </w:tcPr>
          <w:p w14:paraId="1041E034"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3</w:t>
            </w:r>
          </w:p>
        </w:tc>
        <w:tc>
          <w:tcPr>
            <w:tcW w:w="4193" w:type="dxa"/>
          </w:tcPr>
          <w:p w14:paraId="4A42D47A"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Relevant to the plantation forestry methodology, involving relocation away from riskier sites at the end of a rotation</w:t>
            </w:r>
          </w:p>
        </w:tc>
        <w:tc>
          <w:tcPr>
            <w:tcW w:w="4088" w:type="dxa"/>
          </w:tcPr>
          <w:p w14:paraId="00DE1EE5" w14:textId="0D922FB3" w:rsidR="008910E9" w:rsidRDefault="008910E9" w:rsidP="00F252EE">
            <w:pPr>
              <w:rPr>
                <w:rFonts w:asciiTheme="minorHAnsi" w:hAnsiTheme="minorHAnsi" w:cstheme="minorHAnsi"/>
                <w:sz w:val="22"/>
                <w:szCs w:val="22"/>
              </w:rPr>
            </w:pPr>
            <w:r w:rsidRPr="00CA4014">
              <w:rPr>
                <w:rFonts w:asciiTheme="minorHAnsi" w:hAnsiTheme="minorHAnsi" w:cstheme="minorHAnsi"/>
                <w:sz w:val="22"/>
                <w:szCs w:val="22"/>
              </w:rPr>
              <w:t>Pinkard</w:t>
            </w:r>
            <w:r w:rsidR="006B64B0">
              <w:rPr>
                <w:rFonts w:asciiTheme="minorHAnsi" w:hAnsiTheme="minorHAnsi" w:cstheme="minorHAnsi"/>
                <w:sz w:val="22"/>
                <w:szCs w:val="22"/>
              </w:rPr>
              <w:t xml:space="preserve"> et al. (</w:t>
            </w:r>
            <w:r w:rsidRPr="00CA4014">
              <w:rPr>
                <w:rFonts w:asciiTheme="minorHAnsi" w:hAnsiTheme="minorHAnsi" w:cstheme="minorHAnsi"/>
                <w:sz w:val="22"/>
                <w:szCs w:val="22"/>
              </w:rPr>
              <w:t>2014</w:t>
            </w:r>
            <w:r w:rsidR="006B64B0">
              <w:rPr>
                <w:rFonts w:asciiTheme="minorHAnsi" w:hAnsiTheme="minorHAnsi" w:cstheme="minorHAnsi"/>
                <w:sz w:val="22"/>
                <w:szCs w:val="22"/>
              </w:rPr>
              <w:t>)</w:t>
            </w:r>
          </w:p>
          <w:p w14:paraId="6453F11C" w14:textId="271A2BFB" w:rsidR="008910E9" w:rsidRDefault="008910E9" w:rsidP="00F252EE">
            <w:pPr>
              <w:rPr>
                <w:rFonts w:asciiTheme="minorHAnsi" w:hAnsiTheme="minorHAnsi" w:cstheme="minorHAnsi"/>
                <w:sz w:val="22"/>
                <w:szCs w:val="22"/>
              </w:rPr>
            </w:pPr>
            <w:r w:rsidRPr="00CA4014">
              <w:rPr>
                <w:rFonts w:asciiTheme="minorHAnsi" w:hAnsiTheme="minorHAnsi" w:cstheme="minorHAnsi"/>
                <w:sz w:val="22"/>
                <w:szCs w:val="22"/>
              </w:rPr>
              <w:t>Battaglia</w:t>
            </w:r>
            <w:r w:rsidR="006B64B0">
              <w:rPr>
                <w:rFonts w:asciiTheme="minorHAnsi" w:hAnsiTheme="minorHAnsi" w:cstheme="minorHAnsi"/>
                <w:sz w:val="22"/>
                <w:szCs w:val="22"/>
              </w:rPr>
              <w:t xml:space="preserve"> et al. (</w:t>
            </w:r>
            <w:r w:rsidRPr="00CA4014">
              <w:rPr>
                <w:rFonts w:asciiTheme="minorHAnsi" w:hAnsiTheme="minorHAnsi" w:cstheme="minorHAnsi"/>
                <w:sz w:val="22"/>
                <w:szCs w:val="22"/>
              </w:rPr>
              <w:t>2009</w:t>
            </w:r>
            <w:r w:rsidR="006B64B0">
              <w:rPr>
                <w:rFonts w:asciiTheme="minorHAnsi" w:hAnsiTheme="minorHAnsi" w:cstheme="minorHAnsi"/>
                <w:sz w:val="22"/>
                <w:szCs w:val="22"/>
              </w:rPr>
              <w:t>)</w:t>
            </w:r>
          </w:p>
          <w:p w14:paraId="0355A8AD" w14:textId="18E9F4C0" w:rsidR="008910E9" w:rsidRPr="00657C86" w:rsidRDefault="008910E9" w:rsidP="00F252EE">
            <w:pPr>
              <w:rPr>
                <w:rFonts w:asciiTheme="minorHAnsi" w:hAnsiTheme="minorHAnsi" w:cstheme="minorHAnsi"/>
                <w:sz w:val="22"/>
                <w:szCs w:val="22"/>
              </w:rPr>
            </w:pPr>
            <w:r w:rsidRPr="00CA4014">
              <w:rPr>
                <w:rFonts w:asciiTheme="minorHAnsi" w:hAnsiTheme="minorHAnsi" w:cstheme="minorHAnsi"/>
                <w:sz w:val="22"/>
                <w:szCs w:val="22"/>
              </w:rPr>
              <w:t>Joyce</w:t>
            </w:r>
            <w:r w:rsidR="006B64B0">
              <w:rPr>
                <w:rFonts w:asciiTheme="minorHAnsi" w:hAnsiTheme="minorHAnsi" w:cstheme="minorHAnsi"/>
                <w:sz w:val="22"/>
                <w:szCs w:val="22"/>
              </w:rPr>
              <w:t xml:space="preserve"> et al. (</w:t>
            </w:r>
            <w:r w:rsidRPr="00CA4014">
              <w:rPr>
                <w:rFonts w:asciiTheme="minorHAnsi" w:hAnsiTheme="minorHAnsi" w:cstheme="minorHAnsi"/>
                <w:sz w:val="22"/>
                <w:szCs w:val="22"/>
              </w:rPr>
              <w:t>2009</w:t>
            </w:r>
            <w:r w:rsidR="006B64B0">
              <w:rPr>
                <w:rFonts w:asciiTheme="minorHAnsi" w:hAnsiTheme="minorHAnsi" w:cstheme="minorHAnsi"/>
                <w:sz w:val="22"/>
                <w:szCs w:val="22"/>
              </w:rPr>
              <w:t>)</w:t>
            </w:r>
          </w:p>
        </w:tc>
      </w:tr>
      <w:tr w:rsidR="008910E9" w14:paraId="23A65FB0" w14:textId="77777777" w:rsidTr="00EE2322">
        <w:tc>
          <w:tcPr>
            <w:tcW w:w="2531" w:type="dxa"/>
          </w:tcPr>
          <w:p w14:paraId="67722697"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Species/genotype selection</w:t>
            </w:r>
            <w:r>
              <w:rPr>
                <w:rFonts w:asciiTheme="minorHAnsi" w:hAnsiTheme="minorHAnsi" w:cstheme="minorHAnsi"/>
                <w:sz w:val="22"/>
                <w:szCs w:val="22"/>
              </w:rPr>
              <w:t xml:space="preserve"> </w:t>
            </w:r>
          </w:p>
        </w:tc>
        <w:tc>
          <w:tcPr>
            <w:tcW w:w="1261" w:type="dxa"/>
          </w:tcPr>
          <w:p w14:paraId="213F5450"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1155" w:type="dxa"/>
          </w:tcPr>
          <w:p w14:paraId="1592324B"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S</w:t>
            </w:r>
          </w:p>
        </w:tc>
        <w:tc>
          <w:tcPr>
            <w:tcW w:w="778" w:type="dxa"/>
          </w:tcPr>
          <w:p w14:paraId="24A027B0"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2</w:t>
            </w:r>
          </w:p>
        </w:tc>
        <w:tc>
          <w:tcPr>
            <w:tcW w:w="4193" w:type="dxa"/>
          </w:tcPr>
          <w:p w14:paraId="2F1F4682"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Selecting species and genotypes with physiological and morphological attributes that make them less sensitive to climatic conditions in specific locations</w:t>
            </w:r>
            <w:r>
              <w:rPr>
                <w:rFonts w:asciiTheme="minorHAnsi" w:hAnsiTheme="minorHAnsi" w:cstheme="minorHAnsi"/>
                <w:sz w:val="22"/>
                <w:szCs w:val="22"/>
              </w:rPr>
              <w:t xml:space="preserve"> e.g. frost, drought, heatwaves</w:t>
            </w:r>
          </w:p>
        </w:tc>
        <w:tc>
          <w:tcPr>
            <w:tcW w:w="4088" w:type="dxa"/>
          </w:tcPr>
          <w:p w14:paraId="5DE0AC36" w14:textId="77167F5E" w:rsidR="008910E9" w:rsidRDefault="008910E9" w:rsidP="00F252EE">
            <w:pPr>
              <w:rPr>
                <w:rFonts w:asciiTheme="minorHAnsi" w:hAnsiTheme="minorHAnsi" w:cstheme="minorHAnsi"/>
                <w:sz w:val="22"/>
                <w:szCs w:val="22"/>
              </w:rPr>
            </w:pPr>
            <w:r w:rsidRPr="008F03AF">
              <w:rPr>
                <w:rFonts w:asciiTheme="minorHAnsi" w:hAnsiTheme="minorHAnsi" w:cstheme="minorHAnsi"/>
                <w:sz w:val="22"/>
                <w:szCs w:val="22"/>
              </w:rPr>
              <w:t>Warren</w:t>
            </w:r>
            <w:r w:rsidR="006B64B0">
              <w:rPr>
                <w:rFonts w:asciiTheme="minorHAnsi" w:hAnsiTheme="minorHAnsi" w:cstheme="minorHAnsi"/>
                <w:sz w:val="22"/>
                <w:szCs w:val="22"/>
              </w:rPr>
              <w:t xml:space="preserve"> and Adams (</w:t>
            </w:r>
            <w:r w:rsidRPr="008F03AF">
              <w:rPr>
                <w:rFonts w:asciiTheme="minorHAnsi" w:hAnsiTheme="minorHAnsi" w:cstheme="minorHAnsi"/>
                <w:sz w:val="22"/>
                <w:szCs w:val="22"/>
              </w:rPr>
              <w:t>2000</w:t>
            </w:r>
            <w:r w:rsidR="006B64B0">
              <w:rPr>
                <w:rFonts w:asciiTheme="minorHAnsi" w:hAnsiTheme="minorHAnsi" w:cstheme="minorHAnsi"/>
                <w:sz w:val="22"/>
                <w:szCs w:val="22"/>
              </w:rPr>
              <w:t>)</w:t>
            </w:r>
          </w:p>
          <w:p w14:paraId="0F3B7C4C" w14:textId="095A1240" w:rsidR="008910E9" w:rsidRDefault="008910E9" w:rsidP="00F252EE">
            <w:pPr>
              <w:rPr>
                <w:rFonts w:asciiTheme="minorHAnsi" w:hAnsiTheme="minorHAnsi" w:cstheme="minorHAnsi"/>
                <w:sz w:val="22"/>
                <w:szCs w:val="22"/>
              </w:rPr>
            </w:pPr>
            <w:r w:rsidRPr="008F03AF">
              <w:rPr>
                <w:rFonts w:asciiTheme="minorHAnsi" w:hAnsiTheme="minorHAnsi" w:cstheme="minorHAnsi"/>
                <w:sz w:val="22"/>
                <w:szCs w:val="22"/>
              </w:rPr>
              <w:t>Gauthier</w:t>
            </w:r>
            <w:r w:rsidR="006B64B0">
              <w:rPr>
                <w:rFonts w:asciiTheme="minorHAnsi" w:hAnsiTheme="minorHAnsi" w:cstheme="minorHAnsi"/>
                <w:sz w:val="22"/>
                <w:szCs w:val="22"/>
              </w:rPr>
              <w:t xml:space="preserve"> et al. (20</w:t>
            </w:r>
            <w:r w:rsidRPr="008F03AF">
              <w:rPr>
                <w:rFonts w:asciiTheme="minorHAnsi" w:hAnsiTheme="minorHAnsi" w:cstheme="minorHAnsi"/>
                <w:sz w:val="22"/>
                <w:szCs w:val="22"/>
              </w:rPr>
              <w:t>14</w:t>
            </w:r>
            <w:r w:rsidR="006B64B0">
              <w:rPr>
                <w:rFonts w:asciiTheme="minorHAnsi" w:hAnsiTheme="minorHAnsi" w:cstheme="minorHAnsi"/>
                <w:sz w:val="22"/>
                <w:szCs w:val="22"/>
              </w:rPr>
              <w:t>)</w:t>
            </w:r>
          </w:p>
          <w:p w14:paraId="781C1991" w14:textId="4472DF8F" w:rsidR="008910E9" w:rsidRDefault="008910E9" w:rsidP="00F252EE">
            <w:pPr>
              <w:rPr>
                <w:rFonts w:asciiTheme="minorHAnsi" w:hAnsiTheme="minorHAnsi" w:cstheme="minorHAnsi"/>
                <w:sz w:val="22"/>
                <w:szCs w:val="22"/>
              </w:rPr>
            </w:pPr>
            <w:r w:rsidRPr="008F03AF">
              <w:rPr>
                <w:rFonts w:asciiTheme="minorHAnsi" w:hAnsiTheme="minorHAnsi" w:cstheme="minorHAnsi"/>
                <w:sz w:val="22"/>
                <w:szCs w:val="22"/>
              </w:rPr>
              <w:t>Rezende</w:t>
            </w:r>
            <w:r w:rsidR="006B64B0">
              <w:rPr>
                <w:rFonts w:asciiTheme="minorHAnsi" w:hAnsiTheme="minorHAnsi" w:cstheme="minorHAnsi"/>
                <w:sz w:val="22"/>
                <w:szCs w:val="22"/>
              </w:rPr>
              <w:t xml:space="preserve"> et al. (</w:t>
            </w:r>
            <w:r w:rsidRPr="008F03AF">
              <w:rPr>
                <w:rFonts w:asciiTheme="minorHAnsi" w:hAnsiTheme="minorHAnsi" w:cstheme="minorHAnsi"/>
                <w:sz w:val="22"/>
                <w:szCs w:val="22"/>
              </w:rPr>
              <w:t>2014</w:t>
            </w:r>
            <w:r w:rsidR="006B64B0">
              <w:rPr>
                <w:rFonts w:asciiTheme="minorHAnsi" w:hAnsiTheme="minorHAnsi" w:cstheme="minorHAnsi"/>
                <w:sz w:val="22"/>
                <w:szCs w:val="22"/>
              </w:rPr>
              <w:t>)</w:t>
            </w:r>
          </w:p>
          <w:p w14:paraId="690DC516" w14:textId="60DA00B0" w:rsidR="008910E9" w:rsidRDefault="008910E9" w:rsidP="00F252EE">
            <w:pPr>
              <w:rPr>
                <w:rFonts w:asciiTheme="minorHAnsi" w:hAnsiTheme="minorHAnsi" w:cstheme="minorHAnsi"/>
                <w:sz w:val="22"/>
                <w:szCs w:val="22"/>
              </w:rPr>
            </w:pPr>
            <w:r w:rsidRPr="007C1DE7">
              <w:rPr>
                <w:rFonts w:asciiTheme="minorHAnsi" w:hAnsiTheme="minorHAnsi" w:cstheme="minorHAnsi"/>
                <w:sz w:val="22"/>
                <w:szCs w:val="22"/>
              </w:rPr>
              <w:t>Choat</w:t>
            </w:r>
            <w:r w:rsidR="006B64B0">
              <w:rPr>
                <w:rFonts w:asciiTheme="minorHAnsi" w:hAnsiTheme="minorHAnsi" w:cstheme="minorHAnsi"/>
                <w:sz w:val="22"/>
                <w:szCs w:val="22"/>
              </w:rPr>
              <w:t xml:space="preserve"> et al. (</w:t>
            </w:r>
            <w:r w:rsidRPr="007C1DE7">
              <w:rPr>
                <w:rFonts w:asciiTheme="minorHAnsi" w:hAnsiTheme="minorHAnsi" w:cstheme="minorHAnsi"/>
                <w:sz w:val="22"/>
                <w:szCs w:val="22"/>
              </w:rPr>
              <w:t>2012</w:t>
            </w:r>
            <w:r w:rsidR="006B64B0">
              <w:rPr>
                <w:rFonts w:asciiTheme="minorHAnsi" w:hAnsiTheme="minorHAnsi" w:cstheme="minorHAnsi"/>
                <w:sz w:val="22"/>
                <w:szCs w:val="22"/>
              </w:rPr>
              <w:t>)</w:t>
            </w:r>
          </w:p>
          <w:p w14:paraId="504ECF1B" w14:textId="3F9F209A" w:rsidR="008910E9" w:rsidRDefault="008910E9" w:rsidP="00F252EE">
            <w:pPr>
              <w:rPr>
                <w:rFonts w:asciiTheme="minorHAnsi" w:hAnsiTheme="minorHAnsi" w:cstheme="minorHAnsi"/>
                <w:sz w:val="22"/>
                <w:szCs w:val="22"/>
              </w:rPr>
            </w:pPr>
            <w:r w:rsidRPr="007C1DE7">
              <w:rPr>
                <w:rFonts w:asciiTheme="minorHAnsi" w:hAnsiTheme="minorHAnsi" w:cstheme="minorHAnsi"/>
                <w:sz w:val="22"/>
                <w:szCs w:val="22"/>
              </w:rPr>
              <w:t xml:space="preserve">Dutkowski </w:t>
            </w:r>
            <w:r w:rsidR="006B64B0">
              <w:rPr>
                <w:rFonts w:asciiTheme="minorHAnsi" w:hAnsiTheme="minorHAnsi" w:cstheme="minorHAnsi"/>
                <w:sz w:val="22"/>
                <w:szCs w:val="22"/>
              </w:rPr>
              <w:t>(</w:t>
            </w:r>
            <w:r w:rsidRPr="007C1DE7">
              <w:rPr>
                <w:rFonts w:asciiTheme="minorHAnsi" w:hAnsiTheme="minorHAnsi" w:cstheme="minorHAnsi"/>
                <w:sz w:val="22"/>
                <w:szCs w:val="22"/>
              </w:rPr>
              <w:t>1995</w:t>
            </w:r>
            <w:r w:rsidR="006B64B0">
              <w:rPr>
                <w:rFonts w:asciiTheme="minorHAnsi" w:hAnsiTheme="minorHAnsi" w:cstheme="minorHAnsi"/>
                <w:sz w:val="22"/>
                <w:szCs w:val="22"/>
              </w:rPr>
              <w:t>)</w:t>
            </w:r>
          </w:p>
          <w:p w14:paraId="7A6C3125" w14:textId="2B5EE19F"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Close</w:t>
            </w:r>
            <w:r w:rsidR="006B64B0">
              <w:rPr>
                <w:rFonts w:asciiTheme="minorHAnsi" w:hAnsiTheme="minorHAnsi" w:cstheme="minorHAnsi"/>
                <w:sz w:val="22"/>
                <w:szCs w:val="22"/>
              </w:rPr>
              <w:t xml:space="preserve"> et al. (</w:t>
            </w:r>
            <w:r>
              <w:rPr>
                <w:rFonts w:asciiTheme="minorHAnsi" w:hAnsiTheme="minorHAnsi" w:cstheme="minorHAnsi"/>
                <w:sz w:val="22"/>
                <w:szCs w:val="22"/>
              </w:rPr>
              <w:t>2000</w:t>
            </w:r>
            <w:r w:rsidR="006B64B0">
              <w:rPr>
                <w:rFonts w:asciiTheme="minorHAnsi" w:hAnsiTheme="minorHAnsi" w:cstheme="minorHAnsi"/>
                <w:sz w:val="22"/>
                <w:szCs w:val="22"/>
              </w:rPr>
              <w:t>)</w:t>
            </w:r>
          </w:p>
        </w:tc>
      </w:tr>
      <w:tr w:rsidR="00A72590" w14:paraId="5DF323DE" w14:textId="77777777" w:rsidTr="00EE2322">
        <w:tc>
          <w:tcPr>
            <w:tcW w:w="2531" w:type="dxa"/>
          </w:tcPr>
          <w:p w14:paraId="1DB05AD5" w14:textId="5A2A5E54" w:rsidR="00A72590" w:rsidRPr="00657C86" w:rsidRDefault="002D4331" w:rsidP="00F252EE">
            <w:pPr>
              <w:rPr>
                <w:rFonts w:asciiTheme="minorHAnsi" w:hAnsiTheme="minorHAnsi" w:cstheme="minorHAnsi"/>
                <w:sz w:val="22"/>
                <w:szCs w:val="22"/>
              </w:rPr>
            </w:pPr>
            <w:r>
              <w:rPr>
                <w:rFonts w:asciiTheme="minorHAnsi" w:hAnsiTheme="minorHAnsi" w:cstheme="minorHAnsi"/>
                <w:sz w:val="22"/>
                <w:szCs w:val="22"/>
              </w:rPr>
              <w:t>Increased species/genetic diversity</w:t>
            </w:r>
          </w:p>
        </w:tc>
        <w:tc>
          <w:tcPr>
            <w:tcW w:w="1261" w:type="dxa"/>
          </w:tcPr>
          <w:p w14:paraId="11994D90" w14:textId="704217A3" w:rsidR="00A72590" w:rsidRPr="00657C86" w:rsidRDefault="00394427" w:rsidP="00F252EE">
            <w:pPr>
              <w:rPr>
                <w:rFonts w:asciiTheme="minorHAnsi" w:hAnsiTheme="minorHAnsi" w:cstheme="minorHAnsi"/>
                <w:sz w:val="22"/>
                <w:szCs w:val="22"/>
              </w:rPr>
            </w:pPr>
            <w:r>
              <w:rPr>
                <w:rFonts w:asciiTheme="minorHAnsi" w:hAnsiTheme="minorHAnsi" w:cstheme="minorHAnsi"/>
                <w:sz w:val="22"/>
                <w:szCs w:val="22"/>
              </w:rPr>
              <w:t>E, P</w:t>
            </w:r>
          </w:p>
        </w:tc>
        <w:tc>
          <w:tcPr>
            <w:tcW w:w="1155" w:type="dxa"/>
          </w:tcPr>
          <w:p w14:paraId="414138EC" w14:textId="0B1D3F34" w:rsidR="00A72590" w:rsidRPr="00657C86" w:rsidRDefault="004F534D" w:rsidP="00F252EE">
            <w:pPr>
              <w:rPr>
                <w:rFonts w:asciiTheme="minorHAnsi" w:hAnsiTheme="minorHAnsi" w:cstheme="minorHAnsi"/>
                <w:sz w:val="22"/>
                <w:szCs w:val="22"/>
              </w:rPr>
            </w:pPr>
            <w:r>
              <w:rPr>
                <w:rFonts w:asciiTheme="minorHAnsi" w:hAnsiTheme="minorHAnsi" w:cstheme="minorHAnsi"/>
                <w:sz w:val="22"/>
                <w:szCs w:val="22"/>
              </w:rPr>
              <w:t>S</w:t>
            </w:r>
          </w:p>
        </w:tc>
        <w:tc>
          <w:tcPr>
            <w:tcW w:w="778" w:type="dxa"/>
          </w:tcPr>
          <w:p w14:paraId="7E3184A1" w14:textId="384E4B0D" w:rsidR="00A72590" w:rsidRPr="00657C86" w:rsidRDefault="00341FEB" w:rsidP="00F252EE">
            <w:pPr>
              <w:rPr>
                <w:rFonts w:asciiTheme="minorHAnsi" w:hAnsiTheme="minorHAnsi" w:cstheme="minorHAnsi"/>
                <w:sz w:val="22"/>
                <w:szCs w:val="22"/>
              </w:rPr>
            </w:pPr>
            <w:r>
              <w:rPr>
                <w:rFonts w:asciiTheme="minorHAnsi" w:hAnsiTheme="minorHAnsi" w:cstheme="minorHAnsi"/>
                <w:sz w:val="22"/>
                <w:szCs w:val="22"/>
              </w:rPr>
              <w:t>2</w:t>
            </w:r>
          </w:p>
        </w:tc>
        <w:tc>
          <w:tcPr>
            <w:tcW w:w="4193" w:type="dxa"/>
          </w:tcPr>
          <w:p w14:paraId="4CBA1EF5" w14:textId="5B992792" w:rsidR="00A72590" w:rsidRPr="00657C86" w:rsidRDefault="00341FEB" w:rsidP="00F252EE">
            <w:pPr>
              <w:rPr>
                <w:rFonts w:asciiTheme="minorHAnsi" w:hAnsiTheme="minorHAnsi" w:cstheme="minorHAnsi"/>
                <w:sz w:val="22"/>
                <w:szCs w:val="22"/>
              </w:rPr>
            </w:pPr>
            <w:r>
              <w:rPr>
                <w:rFonts w:asciiTheme="minorHAnsi" w:hAnsiTheme="minorHAnsi" w:cstheme="minorHAnsi"/>
                <w:sz w:val="22"/>
                <w:szCs w:val="22"/>
              </w:rPr>
              <w:t xml:space="preserve">The role of </w:t>
            </w:r>
            <w:r w:rsidRPr="00341FEB">
              <w:rPr>
                <w:rFonts w:asciiTheme="minorHAnsi" w:hAnsiTheme="minorHAnsi" w:cstheme="minorHAnsi"/>
                <w:sz w:val="22"/>
                <w:szCs w:val="22"/>
              </w:rPr>
              <w:t>species and genetic diversity i</w:t>
            </w:r>
            <w:r w:rsidR="000600F6">
              <w:rPr>
                <w:rFonts w:asciiTheme="minorHAnsi" w:hAnsiTheme="minorHAnsi" w:cstheme="minorHAnsi"/>
                <w:sz w:val="22"/>
                <w:szCs w:val="22"/>
              </w:rPr>
              <w:t xml:space="preserve">n spreading </w:t>
            </w:r>
            <w:r w:rsidR="00F41E02">
              <w:rPr>
                <w:rFonts w:asciiTheme="minorHAnsi" w:hAnsiTheme="minorHAnsi" w:cstheme="minorHAnsi"/>
                <w:sz w:val="22"/>
                <w:szCs w:val="22"/>
              </w:rPr>
              <w:t xml:space="preserve">risks and providing </w:t>
            </w:r>
            <w:r w:rsidR="00F3436E">
              <w:rPr>
                <w:rFonts w:asciiTheme="minorHAnsi" w:hAnsiTheme="minorHAnsi" w:cstheme="minorHAnsi"/>
                <w:sz w:val="22"/>
                <w:szCs w:val="22"/>
              </w:rPr>
              <w:t xml:space="preserve">ecosystem-level insurance </w:t>
            </w:r>
            <w:r w:rsidRPr="00341FEB">
              <w:rPr>
                <w:rFonts w:asciiTheme="minorHAnsi" w:hAnsiTheme="minorHAnsi" w:cstheme="minorHAnsi"/>
                <w:sz w:val="22"/>
                <w:szCs w:val="22"/>
              </w:rPr>
              <w:t>associated with disturbance events and climate change</w:t>
            </w:r>
          </w:p>
        </w:tc>
        <w:tc>
          <w:tcPr>
            <w:tcW w:w="4088" w:type="dxa"/>
          </w:tcPr>
          <w:p w14:paraId="521BB135" w14:textId="77777777" w:rsidR="00A72590" w:rsidRDefault="00051FCD" w:rsidP="00F252EE">
            <w:pPr>
              <w:rPr>
                <w:rFonts w:asciiTheme="minorHAnsi" w:hAnsiTheme="minorHAnsi" w:cstheme="minorHAnsi"/>
                <w:sz w:val="22"/>
                <w:szCs w:val="22"/>
              </w:rPr>
            </w:pPr>
            <w:r>
              <w:rPr>
                <w:rFonts w:asciiTheme="minorHAnsi" w:hAnsiTheme="minorHAnsi" w:cstheme="minorHAnsi"/>
                <w:sz w:val="22"/>
                <w:szCs w:val="22"/>
              </w:rPr>
              <w:t>Matais et al. (2013)</w:t>
            </w:r>
          </w:p>
          <w:p w14:paraId="1B426A42" w14:textId="41018909" w:rsidR="006858D7" w:rsidRDefault="0031580C" w:rsidP="00F252EE">
            <w:pPr>
              <w:rPr>
                <w:rFonts w:asciiTheme="minorHAnsi" w:hAnsiTheme="minorHAnsi" w:cstheme="minorHAnsi"/>
                <w:sz w:val="22"/>
                <w:szCs w:val="22"/>
              </w:rPr>
            </w:pPr>
            <w:r>
              <w:rPr>
                <w:rFonts w:asciiTheme="minorHAnsi" w:hAnsiTheme="minorHAnsi" w:cstheme="minorHAnsi"/>
                <w:sz w:val="22"/>
                <w:szCs w:val="22"/>
              </w:rPr>
              <w:t>Loreau (2010)</w:t>
            </w:r>
          </w:p>
        </w:tc>
      </w:tr>
      <w:tr w:rsidR="008910E9" w14:paraId="57DC36D5" w14:textId="77777777" w:rsidTr="00EE2322">
        <w:tc>
          <w:tcPr>
            <w:tcW w:w="2531" w:type="dxa"/>
          </w:tcPr>
          <w:p w14:paraId="40B1B788"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Planting design</w:t>
            </w:r>
          </w:p>
        </w:tc>
        <w:tc>
          <w:tcPr>
            <w:tcW w:w="1261" w:type="dxa"/>
          </w:tcPr>
          <w:p w14:paraId="7CDAB904"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1155" w:type="dxa"/>
          </w:tcPr>
          <w:p w14:paraId="6DF8BBC5"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778" w:type="dxa"/>
          </w:tcPr>
          <w:p w14:paraId="7A48755D"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2</w:t>
            </w:r>
          </w:p>
        </w:tc>
        <w:tc>
          <w:tcPr>
            <w:tcW w:w="4193" w:type="dxa"/>
          </w:tcPr>
          <w:p w14:paraId="48CB7A47" w14:textId="389C7D16"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Managing water availability through planting design e</w:t>
            </w:r>
            <w:r>
              <w:rPr>
                <w:rFonts w:asciiTheme="minorHAnsi" w:hAnsiTheme="minorHAnsi" w:cstheme="minorHAnsi"/>
                <w:sz w:val="22"/>
                <w:szCs w:val="22"/>
              </w:rPr>
              <w:t>.</w:t>
            </w:r>
            <w:r w:rsidRPr="00657C86">
              <w:rPr>
                <w:rFonts w:asciiTheme="minorHAnsi" w:hAnsiTheme="minorHAnsi" w:cstheme="minorHAnsi"/>
                <w:sz w:val="22"/>
                <w:szCs w:val="22"/>
              </w:rPr>
              <w:t>g</w:t>
            </w:r>
            <w:r>
              <w:rPr>
                <w:rFonts w:asciiTheme="minorHAnsi" w:hAnsiTheme="minorHAnsi" w:cstheme="minorHAnsi"/>
                <w:sz w:val="22"/>
                <w:szCs w:val="22"/>
              </w:rPr>
              <w:t>.</w:t>
            </w:r>
            <w:r w:rsidRPr="00657C86">
              <w:rPr>
                <w:rFonts w:asciiTheme="minorHAnsi" w:hAnsiTheme="minorHAnsi" w:cstheme="minorHAnsi"/>
                <w:sz w:val="22"/>
                <w:szCs w:val="22"/>
              </w:rPr>
              <w:t xml:space="preserve"> linear vs block plantings</w:t>
            </w:r>
            <w:r w:rsidR="006B64B0">
              <w:rPr>
                <w:rFonts w:asciiTheme="minorHAnsi" w:hAnsiTheme="minorHAnsi" w:cstheme="minorHAnsi"/>
                <w:sz w:val="22"/>
                <w:szCs w:val="22"/>
              </w:rPr>
              <w:t>.</w:t>
            </w:r>
          </w:p>
        </w:tc>
        <w:tc>
          <w:tcPr>
            <w:tcW w:w="4088" w:type="dxa"/>
          </w:tcPr>
          <w:p w14:paraId="411EDB9F" w14:textId="73B70163"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Henskens</w:t>
            </w:r>
            <w:r w:rsidR="006B64B0">
              <w:rPr>
                <w:rFonts w:asciiTheme="minorHAnsi" w:hAnsiTheme="minorHAnsi" w:cstheme="minorHAnsi"/>
                <w:sz w:val="22"/>
                <w:szCs w:val="22"/>
              </w:rPr>
              <w:t xml:space="preserve"> et al. (</w:t>
            </w:r>
            <w:r>
              <w:rPr>
                <w:rFonts w:asciiTheme="minorHAnsi" w:hAnsiTheme="minorHAnsi" w:cstheme="minorHAnsi"/>
                <w:sz w:val="22"/>
                <w:szCs w:val="22"/>
              </w:rPr>
              <w:t>2001</w:t>
            </w:r>
            <w:r w:rsidR="006B64B0">
              <w:rPr>
                <w:rFonts w:asciiTheme="minorHAnsi" w:hAnsiTheme="minorHAnsi" w:cstheme="minorHAnsi"/>
                <w:sz w:val="22"/>
                <w:szCs w:val="22"/>
              </w:rPr>
              <w:t>)</w:t>
            </w:r>
          </w:p>
        </w:tc>
      </w:tr>
      <w:tr w:rsidR="008910E9" w14:paraId="6C49F93C" w14:textId="77777777" w:rsidTr="00EE2322">
        <w:tc>
          <w:tcPr>
            <w:tcW w:w="2531" w:type="dxa"/>
          </w:tcPr>
          <w:p w14:paraId="36305B93"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lastRenderedPageBreak/>
              <w:t>Feral animal management</w:t>
            </w:r>
          </w:p>
        </w:tc>
        <w:tc>
          <w:tcPr>
            <w:tcW w:w="1261" w:type="dxa"/>
          </w:tcPr>
          <w:p w14:paraId="7835FA34"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1155" w:type="dxa"/>
          </w:tcPr>
          <w:p w14:paraId="49CC9AFF"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778" w:type="dxa"/>
          </w:tcPr>
          <w:p w14:paraId="4962F716"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1</w:t>
            </w:r>
          </w:p>
        </w:tc>
        <w:tc>
          <w:tcPr>
            <w:tcW w:w="4193" w:type="dxa"/>
          </w:tcPr>
          <w:p w14:paraId="74ADE7A6"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Managing exotic and native animal browsing pressure to facilitate vegetation establishment</w:t>
            </w:r>
          </w:p>
        </w:tc>
        <w:tc>
          <w:tcPr>
            <w:tcW w:w="4088" w:type="dxa"/>
          </w:tcPr>
          <w:p w14:paraId="4E9CB148" w14:textId="77777777" w:rsidR="008910E9" w:rsidRPr="00657C86" w:rsidRDefault="008910E9" w:rsidP="00F252EE">
            <w:pPr>
              <w:rPr>
                <w:rFonts w:asciiTheme="minorHAnsi" w:hAnsiTheme="minorHAnsi" w:cstheme="minorHAnsi"/>
                <w:sz w:val="22"/>
                <w:szCs w:val="22"/>
              </w:rPr>
            </w:pPr>
          </w:p>
        </w:tc>
      </w:tr>
      <w:tr w:rsidR="008910E9" w14:paraId="2B3CC83D" w14:textId="77777777" w:rsidTr="00EE2322">
        <w:tc>
          <w:tcPr>
            <w:tcW w:w="2531" w:type="dxa"/>
          </w:tcPr>
          <w:p w14:paraId="6CEB6A15"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Weed management</w:t>
            </w:r>
          </w:p>
        </w:tc>
        <w:tc>
          <w:tcPr>
            <w:tcW w:w="1261" w:type="dxa"/>
          </w:tcPr>
          <w:p w14:paraId="1E518810"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 P</w:t>
            </w:r>
          </w:p>
        </w:tc>
        <w:tc>
          <w:tcPr>
            <w:tcW w:w="1155" w:type="dxa"/>
          </w:tcPr>
          <w:p w14:paraId="38DD9EF6"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 S</w:t>
            </w:r>
          </w:p>
        </w:tc>
        <w:tc>
          <w:tcPr>
            <w:tcW w:w="778" w:type="dxa"/>
          </w:tcPr>
          <w:p w14:paraId="29281258"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1</w:t>
            </w:r>
          </w:p>
        </w:tc>
        <w:tc>
          <w:tcPr>
            <w:tcW w:w="4193" w:type="dxa"/>
          </w:tcPr>
          <w:p w14:paraId="01547EAF"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Weed control to reduce competition for resources (water, nutrients, light)</w:t>
            </w:r>
          </w:p>
        </w:tc>
        <w:tc>
          <w:tcPr>
            <w:tcW w:w="4088" w:type="dxa"/>
          </w:tcPr>
          <w:p w14:paraId="218CA258" w14:textId="28F534BC"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Baker</w:t>
            </w:r>
            <w:r w:rsidR="006B64B0">
              <w:rPr>
                <w:rFonts w:asciiTheme="minorHAnsi" w:hAnsiTheme="minorHAnsi" w:cstheme="minorHAnsi"/>
                <w:sz w:val="22"/>
                <w:szCs w:val="22"/>
              </w:rPr>
              <w:t xml:space="preserve"> et al. (</w:t>
            </w:r>
            <w:r>
              <w:rPr>
                <w:rFonts w:asciiTheme="minorHAnsi" w:hAnsiTheme="minorHAnsi" w:cstheme="minorHAnsi"/>
                <w:sz w:val="22"/>
                <w:szCs w:val="22"/>
              </w:rPr>
              <w:t>1988</w:t>
            </w:r>
            <w:r w:rsidR="006B64B0">
              <w:rPr>
                <w:rFonts w:asciiTheme="minorHAnsi" w:hAnsiTheme="minorHAnsi" w:cstheme="minorHAnsi"/>
                <w:sz w:val="22"/>
                <w:szCs w:val="22"/>
              </w:rPr>
              <w:t>)</w:t>
            </w:r>
          </w:p>
        </w:tc>
      </w:tr>
      <w:tr w:rsidR="008910E9" w14:paraId="2874CE14" w14:textId="77777777" w:rsidTr="00EE2322">
        <w:tc>
          <w:tcPr>
            <w:tcW w:w="2531" w:type="dxa"/>
          </w:tcPr>
          <w:p w14:paraId="55DA88F7"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Integrated pest management</w:t>
            </w:r>
          </w:p>
        </w:tc>
        <w:tc>
          <w:tcPr>
            <w:tcW w:w="1261" w:type="dxa"/>
          </w:tcPr>
          <w:p w14:paraId="3BC541C9"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 P</w:t>
            </w:r>
          </w:p>
        </w:tc>
        <w:tc>
          <w:tcPr>
            <w:tcW w:w="1155" w:type="dxa"/>
          </w:tcPr>
          <w:p w14:paraId="19799A48"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778" w:type="dxa"/>
          </w:tcPr>
          <w:p w14:paraId="692082F6"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1</w:t>
            </w:r>
          </w:p>
        </w:tc>
        <w:tc>
          <w:tcPr>
            <w:tcW w:w="4193" w:type="dxa"/>
          </w:tcPr>
          <w:p w14:paraId="1F4D0A29"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Control insect and fungal pests when they reach threshold levels</w:t>
            </w:r>
          </w:p>
        </w:tc>
        <w:tc>
          <w:tcPr>
            <w:tcW w:w="4088" w:type="dxa"/>
          </w:tcPr>
          <w:p w14:paraId="698B84DC" w14:textId="183B268E"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Pinkard</w:t>
            </w:r>
            <w:r w:rsidR="006B64B0">
              <w:rPr>
                <w:rFonts w:asciiTheme="minorHAnsi" w:hAnsiTheme="minorHAnsi" w:cstheme="minorHAnsi"/>
                <w:sz w:val="22"/>
                <w:szCs w:val="22"/>
              </w:rPr>
              <w:t xml:space="preserve"> et al. (</w:t>
            </w:r>
            <w:r>
              <w:rPr>
                <w:rFonts w:asciiTheme="minorHAnsi" w:hAnsiTheme="minorHAnsi" w:cstheme="minorHAnsi"/>
                <w:sz w:val="22"/>
                <w:szCs w:val="22"/>
              </w:rPr>
              <w:t>2013</w:t>
            </w:r>
            <w:r w:rsidR="006B64B0">
              <w:rPr>
                <w:rFonts w:asciiTheme="minorHAnsi" w:hAnsiTheme="minorHAnsi" w:cstheme="minorHAnsi"/>
                <w:sz w:val="22"/>
                <w:szCs w:val="22"/>
              </w:rPr>
              <w:t>)</w:t>
            </w:r>
          </w:p>
        </w:tc>
      </w:tr>
      <w:tr w:rsidR="008910E9" w14:paraId="5C874FCE" w14:textId="77777777" w:rsidTr="00EE2322">
        <w:tc>
          <w:tcPr>
            <w:tcW w:w="2531" w:type="dxa"/>
          </w:tcPr>
          <w:p w14:paraId="2412AD29"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Fuel management</w:t>
            </w:r>
          </w:p>
        </w:tc>
        <w:tc>
          <w:tcPr>
            <w:tcW w:w="1261" w:type="dxa"/>
          </w:tcPr>
          <w:p w14:paraId="7B89B3D7"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P</w:t>
            </w:r>
          </w:p>
        </w:tc>
        <w:tc>
          <w:tcPr>
            <w:tcW w:w="1155" w:type="dxa"/>
          </w:tcPr>
          <w:p w14:paraId="6CC536EA"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778" w:type="dxa"/>
          </w:tcPr>
          <w:p w14:paraId="64D899EE" w14:textId="77777777"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2</w:t>
            </w:r>
          </w:p>
        </w:tc>
        <w:tc>
          <w:tcPr>
            <w:tcW w:w="4193" w:type="dxa"/>
          </w:tcPr>
          <w:p w14:paraId="64962117"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Reduce fuel loads, either using mechanical methods or fire. Note that for some ERF methodologies, emissions resulting from fire need to be captured</w:t>
            </w:r>
          </w:p>
        </w:tc>
        <w:tc>
          <w:tcPr>
            <w:tcW w:w="4088" w:type="dxa"/>
          </w:tcPr>
          <w:p w14:paraId="6E806331" w14:textId="1F92C6E3" w:rsidR="008910E9" w:rsidRDefault="008910E9" w:rsidP="00F252EE">
            <w:pPr>
              <w:rPr>
                <w:rFonts w:asciiTheme="minorHAnsi" w:hAnsiTheme="minorHAnsi" w:cstheme="minorHAnsi"/>
                <w:sz w:val="22"/>
                <w:szCs w:val="22"/>
              </w:rPr>
            </w:pPr>
            <w:r w:rsidRPr="005C238C">
              <w:rPr>
                <w:rFonts w:asciiTheme="minorHAnsi" w:hAnsiTheme="minorHAnsi" w:cstheme="minorHAnsi"/>
                <w:sz w:val="22"/>
                <w:szCs w:val="22"/>
              </w:rPr>
              <w:t xml:space="preserve">Cheney </w:t>
            </w:r>
            <w:r w:rsidR="006B64B0">
              <w:rPr>
                <w:rFonts w:asciiTheme="minorHAnsi" w:hAnsiTheme="minorHAnsi" w:cstheme="minorHAnsi"/>
                <w:sz w:val="22"/>
                <w:szCs w:val="22"/>
              </w:rPr>
              <w:t>(</w:t>
            </w:r>
            <w:r w:rsidRPr="005C238C">
              <w:rPr>
                <w:rFonts w:asciiTheme="minorHAnsi" w:hAnsiTheme="minorHAnsi" w:cstheme="minorHAnsi"/>
                <w:sz w:val="22"/>
                <w:szCs w:val="22"/>
              </w:rPr>
              <w:t>1985</w:t>
            </w:r>
            <w:r w:rsidR="006B64B0">
              <w:rPr>
                <w:rFonts w:asciiTheme="minorHAnsi" w:hAnsiTheme="minorHAnsi" w:cstheme="minorHAnsi"/>
                <w:sz w:val="22"/>
                <w:szCs w:val="22"/>
              </w:rPr>
              <w:t>)</w:t>
            </w:r>
          </w:p>
          <w:p w14:paraId="4E6A47F6" w14:textId="392C06D5" w:rsidR="008910E9" w:rsidRDefault="008910E9" w:rsidP="00F252EE">
            <w:pPr>
              <w:rPr>
                <w:rFonts w:asciiTheme="minorHAnsi" w:hAnsiTheme="minorHAnsi" w:cstheme="minorHAnsi"/>
                <w:sz w:val="22"/>
                <w:szCs w:val="22"/>
              </w:rPr>
            </w:pPr>
            <w:r w:rsidRPr="005C238C">
              <w:rPr>
                <w:rFonts w:asciiTheme="minorHAnsi" w:hAnsiTheme="minorHAnsi" w:cstheme="minorHAnsi"/>
                <w:sz w:val="22"/>
                <w:szCs w:val="22"/>
              </w:rPr>
              <w:t>Cheney</w:t>
            </w:r>
            <w:r w:rsidR="006B64B0">
              <w:rPr>
                <w:rFonts w:asciiTheme="minorHAnsi" w:hAnsiTheme="minorHAnsi" w:cstheme="minorHAnsi"/>
                <w:sz w:val="22"/>
                <w:szCs w:val="22"/>
              </w:rPr>
              <w:t xml:space="preserve"> and Richmond (</w:t>
            </w:r>
            <w:r w:rsidRPr="005C238C">
              <w:rPr>
                <w:rFonts w:asciiTheme="minorHAnsi" w:hAnsiTheme="minorHAnsi" w:cstheme="minorHAnsi"/>
                <w:sz w:val="22"/>
                <w:szCs w:val="22"/>
              </w:rPr>
              <w:t>1980</w:t>
            </w:r>
            <w:r w:rsidR="006B64B0">
              <w:rPr>
                <w:rFonts w:asciiTheme="minorHAnsi" w:hAnsiTheme="minorHAnsi" w:cstheme="minorHAnsi"/>
                <w:sz w:val="22"/>
                <w:szCs w:val="22"/>
              </w:rPr>
              <w:t>)</w:t>
            </w:r>
          </w:p>
          <w:p w14:paraId="5E577744" w14:textId="2B4B905B"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 xml:space="preserve">Lacey </w:t>
            </w:r>
            <w:r w:rsidR="006B64B0">
              <w:rPr>
                <w:rFonts w:asciiTheme="minorHAnsi" w:hAnsiTheme="minorHAnsi" w:cstheme="minorHAnsi"/>
                <w:sz w:val="22"/>
                <w:szCs w:val="22"/>
              </w:rPr>
              <w:t>(</w:t>
            </w:r>
            <w:r>
              <w:rPr>
                <w:rFonts w:asciiTheme="minorHAnsi" w:hAnsiTheme="minorHAnsi" w:cstheme="minorHAnsi"/>
                <w:sz w:val="22"/>
                <w:szCs w:val="22"/>
              </w:rPr>
              <w:t>2008</w:t>
            </w:r>
            <w:r w:rsidR="006B64B0">
              <w:rPr>
                <w:rFonts w:asciiTheme="minorHAnsi" w:hAnsiTheme="minorHAnsi" w:cstheme="minorHAnsi"/>
                <w:sz w:val="22"/>
                <w:szCs w:val="22"/>
              </w:rPr>
              <w:t>)</w:t>
            </w:r>
          </w:p>
        </w:tc>
      </w:tr>
      <w:tr w:rsidR="008910E9" w14:paraId="57C1EAB7" w14:textId="77777777" w:rsidTr="00EE2322">
        <w:tc>
          <w:tcPr>
            <w:tcW w:w="2531" w:type="dxa"/>
          </w:tcPr>
          <w:p w14:paraId="4E0D8573"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Fire management</w:t>
            </w:r>
          </w:p>
        </w:tc>
        <w:tc>
          <w:tcPr>
            <w:tcW w:w="1261" w:type="dxa"/>
          </w:tcPr>
          <w:p w14:paraId="77C57107"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P</w:t>
            </w:r>
          </w:p>
        </w:tc>
        <w:tc>
          <w:tcPr>
            <w:tcW w:w="1155" w:type="dxa"/>
          </w:tcPr>
          <w:p w14:paraId="6C8E1B17"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S</w:t>
            </w:r>
          </w:p>
        </w:tc>
        <w:tc>
          <w:tcPr>
            <w:tcW w:w="778" w:type="dxa"/>
          </w:tcPr>
          <w:p w14:paraId="22B243CF"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1</w:t>
            </w:r>
          </w:p>
        </w:tc>
        <w:tc>
          <w:tcPr>
            <w:tcW w:w="4193" w:type="dxa"/>
          </w:tcPr>
          <w:p w14:paraId="2BE018D1"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Fire planning including fire breaks and fuel management to reduce risk of fire damage</w:t>
            </w:r>
          </w:p>
        </w:tc>
        <w:tc>
          <w:tcPr>
            <w:tcW w:w="4088" w:type="dxa"/>
          </w:tcPr>
          <w:p w14:paraId="4F24E1BE" w14:textId="740570AB" w:rsidR="008910E9" w:rsidRDefault="008910E9" w:rsidP="00F252EE">
            <w:pPr>
              <w:rPr>
                <w:rFonts w:asciiTheme="minorHAnsi" w:hAnsiTheme="minorHAnsi" w:cstheme="minorHAnsi"/>
                <w:sz w:val="22"/>
                <w:szCs w:val="22"/>
              </w:rPr>
            </w:pPr>
            <w:r w:rsidRPr="003D2FBE">
              <w:rPr>
                <w:rFonts w:asciiTheme="minorHAnsi" w:hAnsiTheme="minorHAnsi" w:cstheme="minorHAnsi"/>
                <w:sz w:val="22"/>
                <w:szCs w:val="22"/>
              </w:rPr>
              <w:t>CFA</w:t>
            </w:r>
            <w:r w:rsidR="006B64B0">
              <w:rPr>
                <w:rFonts w:asciiTheme="minorHAnsi" w:hAnsiTheme="minorHAnsi" w:cstheme="minorHAnsi"/>
                <w:sz w:val="22"/>
                <w:szCs w:val="22"/>
              </w:rPr>
              <w:t xml:space="preserve"> (</w:t>
            </w:r>
            <w:r w:rsidRPr="003D2FBE">
              <w:rPr>
                <w:rFonts w:asciiTheme="minorHAnsi" w:hAnsiTheme="minorHAnsi" w:cstheme="minorHAnsi"/>
                <w:sz w:val="22"/>
                <w:szCs w:val="22"/>
              </w:rPr>
              <w:t>2011</w:t>
            </w:r>
            <w:r w:rsidR="006B64B0">
              <w:rPr>
                <w:rFonts w:asciiTheme="minorHAnsi" w:hAnsiTheme="minorHAnsi" w:cstheme="minorHAnsi"/>
                <w:sz w:val="22"/>
                <w:szCs w:val="22"/>
              </w:rPr>
              <w:t>)</w:t>
            </w:r>
          </w:p>
          <w:p w14:paraId="54F50B5E" w14:textId="7EA31A76"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Lacey</w:t>
            </w:r>
            <w:r w:rsidR="006B64B0">
              <w:rPr>
                <w:rFonts w:asciiTheme="minorHAnsi" w:hAnsiTheme="minorHAnsi" w:cstheme="minorHAnsi"/>
                <w:sz w:val="22"/>
                <w:szCs w:val="22"/>
              </w:rPr>
              <w:t xml:space="preserve"> (2</w:t>
            </w:r>
            <w:r>
              <w:rPr>
                <w:rFonts w:asciiTheme="minorHAnsi" w:hAnsiTheme="minorHAnsi" w:cstheme="minorHAnsi"/>
                <w:sz w:val="22"/>
                <w:szCs w:val="22"/>
              </w:rPr>
              <w:t>008</w:t>
            </w:r>
            <w:r w:rsidR="006B64B0">
              <w:rPr>
                <w:rFonts w:asciiTheme="minorHAnsi" w:hAnsiTheme="minorHAnsi" w:cstheme="minorHAnsi"/>
                <w:sz w:val="22"/>
                <w:szCs w:val="22"/>
              </w:rPr>
              <w:t>)</w:t>
            </w:r>
          </w:p>
        </w:tc>
      </w:tr>
      <w:tr w:rsidR="008910E9" w14:paraId="329B5A8B" w14:textId="77777777" w:rsidTr="00EE2322">
        <w:tc>
          <w:tcPr>
            <w:tcW w:w="2531" w:type="dxa"/>
          </w:tcPr>
          <w:p w14:paraId="455658F4"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Plant spacing</w:t>
            </w:r>
          </w:p>
        </w:tc>
        <w:tc>
          <w:tcPr>
            <w:tcW w:w="1261" w:type="dxa"/>
          </w:tcPr>
          <w:p w14:paraId="1C9F66C1"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1155" w:type="dxa"/>
          </w:tcPr>
          <w:p w14:paraId="2A35B2FC"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778" w:type="dxa"/>
          </w:tcPr>
          <w:p w14:paraId="69204237"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1</w:t>
            </w:r>
          </w:p>
        </w:tc>
        <w:tc>
          <w:tcPr>
            <w:tcW w:w="4193" w:type="dxa"/>
          </w:tcPr>
          <w:p w14:paraId="15991B90" w14:textId="233EB442"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Establish new plantings at wider spacing to reduce competition for resources particularly water</w:t>
            </w:r>
            <w:r w:rsidR="00BF2234">
              <w:rPr>
                <w:rFonts w:asciiTheme="minorHAnsi" w:hAnsiTheme="minorHAnsi" w:cstheme="minorHAnsi"/>
                <w:sz w:val="22"/>
                <w:szCs w:val="22"/>
              </w:rPr>
              <w:t xml:space="preserve">. </w:t>
            </w:r>
            <w:r w:rsidRPr="00657C86">
              <w:rPr>
                <w:rFonts w:asciiTheme="minorHAnsi" w:hAnsiTheme="minorHAnsi" w:cstheme="minorHAnsi"/>
                <w:sz w:val="22"/>
                <w:szCs w:val="22"/>
              </w:rPr>
              <w:t>This may be a short-term solution requiring further density manipulation once plantings have reached full site occupancy</w:t>
            </w:r>
          </w:p>
        </w:tc>
        <w:tc>
          <w:tcPr>
            <w:tcW w:w="4088" w:type="dxa"/>
          </w:tcPr>
          <w:p w14:paraId="2DC32626" w14:textId="2248C8CD"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Mendham</w:t>
            </w:r>
            <w:r w:rsidR="006B64B0">
              <w:rPr>
                <w:rFonts w:asciiTheme="minorHAnsi" w:hAnsiTheme="minorHAnsi" w:cstheme="minorHAnsi"/>
                <w:sz w:val="22"/>
                <w:szCs w:val="22"/>
              </w:rPr>
              <w:t xml:space="preserve"> et al. (</w:t>
            </w:r>
            <w:r>
              <w:rPr>
                <w:rFonts w:asciiTheme="minorHAnsi" w:hAnsiTheme="minorHAnsi" w:cstheme="minorHAnsi"/>
                <w:sz w:val="22"/>
                <w:szCs w:val="22"/>
              </w:rPr>
              <w:t>2007</w:t>
            </w:r>
            <w:r w:rsidR="006B64B0">
              <w:rPr>
                <w:rFonts w:asciiTheme="minorHAnsi" w:hAnsiTheme="minorHAnsi" w:cstheme="minorHAnsi"/>
                <w:sz w:val="22"/>
                <w:szCs w:val="22"/>
              </w:rPr>
              <w:t>)</w:t>
            </w:r>
          </w:p>
        </w:tc>
      </w:tr>
      <w:tr w:rsidR="008910E9" w14:paraId="23DAF7E9" w14:textId="77777777" w:rsidTr="00EE2322">
        <w:tc>
          <w:tcPr>
            <w:tcW w:w="2531" w:type="dxa"/>
          </w:tcPr>
          <w:p w14:paraId="0CED5F11"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Thinning</w:t>
            </w:r>
          </w:p>
        </w:tc>
        <w:tc>
          <w:tcPr>
            <w:tcW w:w="1261" w:type="dxa"/>
          </w:tcPr>
          <w:p w14:paraId="0964B71E"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P</w:t>
            </w:r>
          </w:p>
        </w:tc>
        <w:tc>
          <w:tcPr>
            <w:tcW w:w="1155" w:type="dxa"/>
          </w:tcPr>
          <w:p w14:paraId="77D1A641"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w:t>
            </w:r>
          </w:p>
        </w:tc>
        <w:tc>
          <w:tcPr>
            <w:tcW w:w="778" w:type="dxa"/>
          </w:tcPr>
          <w:p w14:paraId="40E3F9D5"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2</w:t>
            </w:r>
          </w:p>
        </w:tc>
        <w:tc>
          <w:tcPr>
            <w:tcW w:w="4193" w:type="dxa"/>
          </w:tcPr>
          <w:p w14:paraId="04F441B7"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Reduce stand density to manage water stress as stands reach full site occupancy</w:t>
            </w:r>
            <w:r>
              <w:rPr>
                <w:rFonts w:asciiTheme="minorHAnsi" w:hAnsiTheme="minorHAnsi" w:cstheme="minorHAnsi"/>
                <w:sz w:val="22"/>
                <w:szCs w:val="22"/>
              </w:rPr>
              <w:t>; rule of thumb for commercial plantations is 800 mm rainfall can support 800 stems/ha</w:t>
            </w:r>
          </w:p>
        </w:tc>
        <w:tc>
          <w:tcPr>
            <w:tcW w:w="4088" w:type="dxa"/>
          </w:tcPr>
          <w:p w14:paraId="2989BB16" w14:textId="36E7D8C9" w:rsidR="008910E9" w:rsidRPr="00657C86" w:rsidRDefault="008910E9" w:rsidP="00F252EE">
            <w:pPr>
              <w:rPr>
                <w:rFonts w:asciiTheme="minorHAnsi" w:hAnsiTheme="minorHAnsi" w:cstheme="minorHAnsi"/>
                <w:sz w:val="22"/>
                <w:szCs w:val="22"/>
              </w:rPr>
            </w:pPr>
            <w:r w:rsidRPr="00B93352">
              <w:rPr>
                <w:rFonts w:asciiTheme="minorHAnsi" w:hAnsiTheme="minorHAnsi" w:cstheme="minorHAnsi"/>
                <w:sz w:val="22"/>
                <w:szCs w:val="22"/>
              </w:rPr>
              <w:t>White</w:t>
            </w:r>
            <w:r w:rsidR="006B64B0">
              <w:rPr>
                <w:rFonts w:asciiTheme="minorHAnsi" w:hAnsiTheme="minorHAnsi" w:cstheme="minorHAnsi"/>
                <w:sz w:val="22"/>
                <w:szCs w:val="22"/>
              </w:rPr>
              <w:t xml:space="preserve"> et al. (</w:t>
            </w:r>
            <w:r w:rsidRPr="00B93352">
              <w:rPr>
                <w:rFonts w:asciiTheme="minorHAnsi" w:hAnsiTheme="minorHAnsi" w:cstheme="minorHAnsi"/>
                <w:sz w:val="22"/>
                <w:szCs w:val="22"/>
              </w:rPr>
              <w:t>2009</w:t>
            </w:r>
            <w:r w:rsidR="006B64B0">
              <w:rPr>
                <w:rFonts w:asciiTheme="minorHAnsi" w:hAnsiTheme="minorHAnsi" w:cstheme="minorHAnsi"/>
                <w:sz w:val="22"/>
                <w:szCs w:val="22"/>
              </w:rPr>
              <w:t>)</w:t>
            </w:r>
          </w:p>
        </w:tc>
      </w:tr>
      <w:tr w:rsidR="008910E9" w14:paraId="4033E190" w14:textId="77777777" w:rsidTr="00EE2322">
        <w:tc>
          <w:tcPr>
            <w:tcW w:w="2531" w:type="dxa"/>
          </w:tcPr>
          <w:p w14:paraId="226572F9"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Fertilising</w:t>
            </w:r>
          </w:p>
        </w:tc>
        <w:tc>
          <w:tcPr>
            <w:tcW w:w="1261" w:type="dxa"/>
          </w:tcPr>
          <w:p w14:paraId="28F87F51"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E, P</w:t>
            </w:r>
          </w:p>
        </w:tc>
        <w:tc>
          <w:tcPr>
            <w:tcW w:w="1155" w:type="dxa"/>
          </w:tcPr>
          <w:p w14:paraId="60391D7E"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S</w:t>
            </w:r>
          </w:p>
        </w:tc>
        <w:tc>
          <w:tcPr>
            <w:tcW w:w="778" w:type="dxa"/>
          </w:tcPr>
          <w:p w14:paraId="0A2D472A"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1</w:t>
            </w:r>
          </w:p>
        </w:tc>
        <w:tc>
          <w:tcPr>
            <w:tcW w:w="4193" w:type="dxa"/>
          </w:tcPr>
          <w:p w14:paraId="060FC850" w14:textId="77777777" w:rsidR="008910E9" w:rsidRPr="00657C86" w:rsidRDefault="008910E9" w:rsidP="00F252EE">
            <w:pPr>
              <w:rPr>
                <w:rFonts w:asciiTheme="minorHAnsi" w:hAnsiTheme="minorHAnsi" w:cstheme="minorHAnsi"/>
                <w:sz w:val="22"/>
                <w:szCs w:val="22"/>
              </w:rPr>
            </w:pPr>
            <w:r w:rsidRPr="00657C86">
              <w:rPr>
                <w:rFonts w:asciiTheme="minorHAnsi" w:hAnsiTheme="minorHAnsi" w:cstheme="minorHAnsi"/>
                <w:sz w:val="22"/>
                <w:szCs w:val="22"/>
              </w:rPr>
              <w:t>Can be used to rebuild crowns following defoliation from pests or storms, although may interact with water stress</w:t>
            </w:r>
          </w:p>
        </w:tc>
        <w:tc>
          <w:tcPr>
            <w:tcW w:w="4088" w:type="dxa"/>
          </w:tcPr>
          <w:p w14:paraId="2684656E" w14:textId="12E2EF4F" w:rsidR="008910E9" w:rsidRPr="00657C86" w:rsidRDefault="008910E9" w:rsidP="00F252EE">
            <w:pPr>
              <w:rPr>
                <w:rFonts w:asciiTheme="minorHAnsi" w:hAnsiTheme="minorHAnsi" w:cstheme="minorHAnsi"/>
                <w:sz w:val="22"/>
                <w:szCs w:val="22"/>
              </w:rPr>
            </w:pPr>
            <w:r>
              <w:rPr>
                <w:rFonts w:asciiTheme="minorHAnsi" w:hAnsiTheme="minorHAnsi" w:cstheme="minorHAnsi"/>
                <w:sz w:val="22"/>
                <w:szCs w:val="22"/>
              </w:rPr>
              <w:t>Wardlaw</w:t>
            </w:r>
            <w:r w:rsidR="006B64B0">
              <w:rPr>
                <w:rFonts w:asciiTheme="minorHAnsi" w:hAnsiTheme="minorHAnsi" w:cstheme="minorHAnsi"/>
                <w:sz w:val="22"/>
                <w:szCs w:val="22"/>
              </w:rPr>
              <w:t xml:space="preserve"> et al. (</w:t>
            </w:r>
            <w:r>
              <w:rPr>
                <w:rFonts w:asciiTheme="minorHAnsi" w:hAnsiTheme="minorHAnsi" w:cstheme="minorHAnsi"/>
                <w:sz w:val="22"/>
                <w:szCs w:val="22"/>
              </w:rPr>
              <w:t>2005</w:t>
            </w:r>
            <w:r w:rsidR="006B64B0">
              <w:rPr>
                <w:rFonts w:asciiTheme="minorHAnsi" w:hAnsiTheme="minorHAnsi" w:cstheme="minorHAnsi"/>
                <w:sz w:val="22"/>
                <w:szCs w:val="22"/>
              </w:rPr>
              <w:t>)</w:t>
            </w:r>
          </w:p>
        </w:tc>
      </w:tr>
      <w:tr w:rsidR="008910E9" w14:paraId="2E5F4871" w14:textId="77777777" w:rsidTr="00EE2322">
        <w:tc>
          <w:tcPr>
            <w:tcW w:w="2531" w:type="dxa"/>
          </w:tcPr>
          <w:p w14:paraId="2161186C"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Civil engineering</w:t>
            </w:r>
          </w:p>
        </w:tc>
        <w:tc>
          <w:tcPr>
            <w:tcW w:w="1261" w:type="dxa"/>
          </w:tcPr>
          <w:p w14:paraId="24F2A92C"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E</w:t>
            </w:r>
          </w:p>
        </w:tc>
        <w:tc>
          <w:tcPr>
            <w:tcW w:w="1155" w:type="dxa"/>
          </w:tcPr>
          <w:p w14:paraId="0C50D0D5"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E</w:t>
            </w:r>
          </w:p>
        </w:tc>
        <w:tc>
          <w:tcPr>
            <w:tcW w:w="778" w:type="dxa"/>
          </w:tcPr>
          <w:p w14:paraId="136838AC"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1</w:t>
            </w:r>
          </w:p>
        </w:tc>
        <w:tc>
          <w:tcPr>
            <w:tcW w:w="4193" w:type="dxa"/>
          </w:tcPr>
          <w:p w14:paraId="2052E84A"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Considered design landscape re-construction for tidal flow for blue carbon projects, to enhance protection from storms and tidal surges.</w:t>
            </w:r>
          </w:p>
        </w:tc>
        <w:tc>
          <w:tcPr>
            <w:tcW w:w="4088" w:type="dxa"/>
          </w:tcPr>
          <w:p w14:paraId="27A63580" w14:textId="77777777" w:rsidR="008910E9" w:rsidRPr="00657C86" w:rsidRDefault="008910E9" w:rsidP="00F252EE">
            <w:pPr>
              <w:rPr>
                <w:rFonts w:asciiTheme="minorHAnsi" w:hAnsiTheme="minorHAnsi" w:cstheme="minorHAnsi"/>
                <w:sz w:val="22"/>
                <w:szCs w:val="22"/>
              </w:rPr>
            </w:pPr>
          </w:p>
        </w:tc>
      </w:tr>
      <w:tr w:rsidR="008910E9" w14:paraId="2526FAEE" w14:textId="77777777" w:rsidTr="00EE2322">
        <w:tc>
          <w:tcPr>
            <w:tcW w:w="2531" w:type="dxa"/>
          </w:tcPr>
          <w:p w14:paraId="186AE1D5"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Plant breeding</w:t>
            </w:r>
          </w:p>
        </w:tc>
        <w:tc>
          <w:tcPr>
            <w:tcW w:w="1261" w:type="dxa"/>
          </w:tcPr>
          <w:p w14:paraId="5766667E"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E</w:t>
            </w:r>
          </w:p>
        </w:tc>
        <w:tc>
          <w:tcPr>
            <w:tcW w:w="1155" w:type="dxa"/>
          </w:tcPr>
          <w:p w14:paraId="0E76DFDF"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S</w:t>
            </w:r>
          </w:p>
        </w:tc>
        <w:tc>
          <w:tcPr>
            <w:tcW w:w="778" w:type="dxa"/>
          </w:tcPr>
          <w:p w14:paraId="0177174D"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2</w:t>
            </w:r>
          </w:p>
        </w:tc>
        <w:tc>
          <w:tcPr>
            <w:tcW w:w="4193" w:type="dxa"/>
          </w:tcPr>
          <w:p w14:paraId="50C59BAB" w14:textId="77777777"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Crop breeding programs for adaptation to drought and heat stress, and pests and diseases</w:t>
            </w:r>
          </w:p>
        </w:tc>
        <w:tc>
          <w:tcPr>
            <w:tcW w:w="4088" w:type="dxa"/>
          </w:tcPr>
          <w:p w14:paraId="47F1DFE4" w14:textId="546A6B8D" w:rsidR="008910E9" w:rsidRPr="00C84558" w:rsidRDefault="008910E9" w:rsidP="00F252EE">
            <w:pPr>
              <w:rPr>
                <w:rFonts w:asciiTheme="minorHAnsi" w:hAnsiTheme="minorHAnsi" w:cstheme="minorBidi"/>
                <w:sz w:val="22"/>
                <w:szCs w:val="22"/>
              </w:rPr>
            </w:pPr>
            <w:r w:rsidRPr="00C84558">
              <w:rPr>
                <w:rFonts w:asciiTheme="minorHAnsi" w:hAnsiTheme="minorHAnsi" w:cstheme="minorBidi"/>
                <w:sz w:val="22"/>
                <w:szCs w:val="22"/>
              </w:rPr>
              <w:t xml:space="preserve">Chapman et al. </w:t>
            </w:r>
            <w:r w:rsidR="006B64B0">
              <w:rPr>
                <w:rFonts w:asciiTheme="minorHAnsi" w:hAnsiTheme="minorHAnsi" w:cstheme="minorBidi"/>
                <w:sz w:val="22"/>
                <w:szCs w:val="22"/>
              </w:rPr>
              <w:t>(</w:t>
            </w:r>
            <w:r w:rsidRPr="00C84558">
              <w:rPr>
                <w:rFonts w:asciiTheme="minorHAnsi" w:hAnsiTheme="minorHAnsi" w:cstheme="minorBidi"/>
                <w:sz w:val="22"/>
                <w:szCs w:val="22"/>
              </w:rPr>
              <w:t>2012</w:t>
            </w:r>
            <w:r w:rsidR="006B64B0">
              <w:rPr>
                <w:rFonts w:asciiTheme="minorHAnsi" w:hAnsiTheme="minorHAnsi" w:cstheme="minorBidi"/>
                <w:sz w:val="22"/>
                <w:szCs w:val="22"/>
              </w:rPr>
              <w:t>)</w:t>
            </w:r>
            <w:r w:rsidRPr="00C84558">
              <w:rPr>
                <w:rFonts w:asciiTheme="minorHAnsi" w:hAnsiTheme="minorHAnsi" w:cstheme="minorBidi"/>
                <w:sz w:val="22"/>
                <w:szCs w:val="22"/>
              </w:rPr>
              <w:t>.</w:t>
            </w:r>
          </w:p>
        </w:tc>
      </w:tr>
    </w:tbl>
    <w:p w14:paraId="637552C7" w14:textId="77777777" w:rsidR="008910E9" w:rsidRDefault="008910E9" w:rsidP="008910E9">
      <w:pPr>
        <w:pStyle w:val="BodyText"/>
      </w:pPr>
      <w:r>
        <w:br w:type="page"/>
      </w:r>
    </w:p>
    <w:p w14:paraId="26F57FBA" w14:textId="77777777" w:rsidR="008910E9" w:rsidRDefault="008910E9" w:rsidP="008910E9">
      <w:pPr>
        <w:pStyle w:val="BodyText"/>
        <w:sectPr w:rsidR="008910E9" w:rsidSect="002F5D27">
          <w:headerReference w:type="even" r:id="rId93"/>
          <w:headerReference w:type="default" r:id="rId94"/>
          <w:headerReference w:type="first" r:id="rId95"/>
          <w:footerReference w:type="first" r:id="rId96"/>
          <w:pgSz w:w="16838" w:h="11906" w:orient="landscape" w:code="9"/>
          <w:pgMar w:top="1134" w:right="1134" w:bottom="1134" w:left="1134" w:header="510" w:footer="624" w:gutter="0"/>
          <w:cols w:space="850"/>
          <w:docGrid w:linePitch="360"/>
        </w:sectPr>
      </w:pPr>
    </w:p>
    <w:p w14:paraId="29BF8E0F" w14:textId="7D17E37E" w:rsidR="00407069" w:rsidRPr="00407069" w:rsidRDefault="00407069" w:rsidP="00A75AC4">
      <w:pPr>
        <w:pStyle w:val="Heading2"/>
        <w:rPr>
          <w:rStyle w:val="Italics"/>
          <w:rFonts w:eastAsia="Calibri" w:cs="Times New Roman"/>
          <w:bCs w:val="0"/>
          <w:i w:val="0"/>
          <w:iCs/>
          <w:color w:val="000000"/>
          <w:szCs w:val="22"/>
        </w:rPr>
      </w:pPr>
      <w:bookmarkStart w:id="214" w:name="_Toc52873103"/>
      <w:bookmarkStart w:id="215" w:name="_Toc53075134"/>
      <w:r w:rsidRPr="00407069">
        <w:rPr>
          <w:rStyle w:val="Italics"/>
          <w:i w:val="0"/>
          <w:iCs/>
        </w:rPr>
        <w:lastRenderedPageBreak/>
        <w:t>A</w:t>
      </w:r>
      <w:r>
        <w:rPr>
          <w:rStyle w:val="Italics"/>
          <w:i w:val="0"/>
          <w:iCs/>
        </w:rPr>
        <w:t>ssessment of adaptation options against methodology c</w:t>
      </w:r>
      <w:r w:rsidR="000A0395">
        <w:rPr>
          <w:rStyle w:val="Italics"/>
          <w:i w:val="0"/>
          <w:iCs/>
        </w:rPr>
        <w:t>ategories</w:t>
      </w:r>
      <w:bookmarkEnd w:id="214"/>
      <w:bookmarkEnd w:id="215"/>
    </w:p>
    <w:p w14:paraId="2B2CD443" w14:textId="77777777" w:rsidR="00407069" w:rsidRDefault="00407069" w:rsidP="008910E9">
      <w:pPr>
        <w:pStyle w:val="BodyText"/>
        <w:rPr>
          <w:rStyle w:val="Italics"/>
        </w:rPr>
      </w:pPr>
    </w:p>
    <w:p w14:paraId="15585994" w14:textId="4126D44D" w:rsidR="008910E9" w:rsidRPr="00C84558" w:rsidRDefault="00FB2D3A" w:rsidP="008910E9">
      <w:pPr>
        <w:pStyle w:val="BodyText"/>
        <w:rPr>
          <w:rStyle w:val="Italics"/>
        </w:rPr>
      </w:pPr>
      <w:r>
        <w:rPr>
          <w:rStyle w:val="Italics"/>
        </w:rPr>
        <w:t>Re-establishment</w:t>
      </w:r>
      <w:r w:rsidR="00AA13E3">
        <w:rPr>
          <w:rStyle w:val="Italics"/>
        </w:rPr>
        <w:t xml:space="preserve"> </w:t>
      </w:r>
      <w:r w:rsidR="008910E9" w:rsidRPr="00C84558">
        <w:rPr>
          <w:rStyle w:val="Italics"/>
        </w:rPr>
        <w:t>of native forest cover</w:t>
      </w:r>
    </w:p>
    <w:p w14:paraId="79713437" w14:textId="3A2CB0CE" w:rsidR="008910E9" w:rsidRDefault="008910E9" w:rsidP="008910E9">
      <w:pPr>
        <w:pStyle w:val="BodyText"/>
      </w:pPr>
      <w:r>
        <w:t>These methodologies rely on regeneration, and management methods to support regeneration</w:t>
      </w:r>
      <w:r w:rsidR="00BF2234">
        <w:t xml:space="preserve">. </w:t>
      </w:r>
      <w:r>
        <w:t>There has been little specific consideration of strategies for adapting these to climate change</w:t>
      </w:r>
      <w:r w:rsidR="00BF2234">
        <w:t xml:space="preserve">. </w:t>
      </w:r>
      <w:r>
        <w:t>Options predominantly fall into the Zone 3 category (</w:t>
      </w:r>
      <w:r w:rsidR="000E4C12">
        <w:fldChar w:fldCharType="begin"/>
      </w:r>
      <w:r w:rsidR="000E4C12">
        <w:instrText xml:space="preserve"> REF _Ref48682878 \h </w:instrText>
      </w:r>
      <w:r w:rsidR="000E4C12">
        <w:fldChar w:fldCharType="separate"/>
      </w:r>
      <w:r w:rsidR="00235F13">
        <w:t xml:space="preserve">Figure </w:t>
      </w:r>
      <w:r w:rsidR="00235F13">
        <w:rPr>
          <w:noProof/>
        </w:rPr>
        <w:t>16</w:t>
      </w:r>
      <w:r w:rsidR="000E4C12">
        <w:fldChar w:fldCharType="end"/>
      </w:r>
      <w:r>
        <w:t xml:space="preserve">, </w:t>
      </w:r>
      <w:r w:rsidR="000E4C12">
        <w:fldChar w:fldCharType="begin"/>
      </w:r>
      <w:r w:rsidR="000E4C12">
        <w:instrText xml:space="preserve"> REF _Ref48683569 \h </w:instrText>
      </w:r>
      <w:r w:rsidR="000E4C12">
        <w:fldChar w:fldCharType="separate"/>
      </w:r>
      <w:r w:rsidR="00235F13">
        <w:t xml:space="preserve">Table </w:t>
      </w:r>
      <w:r w:rsidR="00235F13">
        <w:rPr>
          <w:noProof/>
        </w:rPr>
        <w:t>20</w:t>
      </w:r>
      <w:r w:rsidR="000E4C12">
        <w:fldChar w:fldCharType="end"/>
      </w:r>
      <w:r>
        <w:t xml:space="preserve">), based around redefining locations suitable for these activities where risk ratings are high. Zone 1-2 strategies, such as feral animal control </w:t>
      </w:r>
      <w:r w:rsidR="006E22A5">
        <w:t>(when it is additional to the specified management intervention)</w:t>
      </w:r>
      <w:r>
        <w:t xml:space="preserve"> may be cost-prohibitive for these activities, particularly in light of the low risk rating for fire.</w:t>
      </w:r>
      <w:r w:rsidR="00976525">
        <w:t xml:space="preserve"> Other Zone 1 adaptation responses include fuel management to reduce the likelihood of fire, management of any planned grazing to protect the vegetation when it is most vulnerable (for example during drought or after fire), and site selection protocols to ensure adequate propagules are present to support regeneration towards the required 20% canopy cover. This could involve ensuring adequate seedlings or vegetative reproduction on-site, or proximity to existing seed sources from adjacent forest stands (Nolan et al. 2019).</w:t>
      </w:r>
    </w:p>
    <w:p w14:paraId="06ED1DB1" w14:textId="456D5190" w:rsidR="008910E9" w:rsidRDefault="008910E9" w:rsidP="008910E9">
      <w:pPr>
        <w:pStyle w:val="BodyText"/>
      </w:pPr>
      <w:r>
        <w:t>The requirement for this activity to demonstrate existing regeneration, and to monitor progress towards attaining forest canopy cover (20%) helps to inform outcomes and to manage risk.</w:t>
      </w:r>
      <w:r w:rsidR="000E4C12">
        <w:t xml:space="preserve"> The requirement to demonstrate existing forest potential, in particular, provides significant mitigation against risks associated with mortality during the early vulnerable stages of regeneration.</w:t>
      </w:r>
      <w:r>
        <w:t xml:space="preserve"> </w:t>
      </w:r>
    </w:p>
    <w:p w14:paraId="5198BE94" w14:textId="49ABB4EA" w:rsidR="008910E9" w:rsidRDefault="008910E9" w:rsidP="008910E9">
      <w:pPr>
        <w:pStyle w:val="BodyText"/>
      </w:pPr>
      <w:r>
        <w:t>Potential adaptation strategies to reduce exposure and/or sensitivity to climate change for this activity are given in</w:t>
      </w:r>
      <w:r w:rsidR="000E4C12">
        <w:t xml:space="preserve"> </w:t>
      </w:r>
      <w:r w:rsidR="000E4C12">
        <w:fldChar w:fldCharType="begin"/>
      </w:r>
      <w:r w:rsidR="000E4C12">
        <w:instrText xml:space="preserve"> REF _Ref48684390 \h </w:instrText>
      </w:r>
      <w:r w:rsidR="000E4C12">
        <w:fldChar w:fldCharType="separate"/>
      </w:r>
      <w:r w:rsidR="00235F13">
        <w:t xml:space="preserve">Table </w:t>
      </w:r>
      <w:r w:rsidR="00235F13">
        <w:rPr>
          <w:noProof/>
        </w:rPr>
        <w:t>21</w:t>
      </w:r>
      <w:r w:rsidR="000E4C12">
        <w:fldChar w:fldCharType="end"/>
      </w:r>
      <w:r>
        <w:t>.</w:t>
      </w:r>
    </w:p>
    <w:p w14:paraId="44A43C3E" w14:textId="77777777" w:rsidR="008910E9" w:rsidRPr="006B64B0" w:rsidRDefault="008910E9" w:rsidP="00A75AC4">
      <w:pPr>
        <w:pStyle w:val="BodyText"/>
        <w:spacing w:before="240"/>
        <w:rPr>
          <w:rStyle w:val="Italics"/>
          <w:rFonts w:ascii="Times New Roman" w:hAnsi="Times New Roman"/>
          <w:color w:val="auto"/>
          <w:szCs w:val="24"/>
        </w:rPr>
      </w:pPr>
      <w:r w:rsidRPr="006B64B0">
        <w:rPr>
          <w:rStyle w:val="Italics"/>
        </w:rPr>
        <w:t>Protection of existing forests</w:t>
      </w:r>
    </w:p>
    <w:p w14:paraId="6BA7F634" w14:textId="24D938D5" w:rsidR="008910E9" w:rsidRDefault="008910E9" w:rsidP="008910E9">
      <w:pPr>
        <w:pStyle w:val="BodyText"/>
      </w:pPr>
      <w:r>
        <w:t>Activities in this category revolve around avoided deforestation and clearing of existing forests, meaning that establishment is not a consideration. As for the re</w:t>
      </w:r>
      <w:r w:rsidR="00407069">
        <w:t>-</w:t>
      </w:r>
      <w:r>
        <w:t>establishment of native forest cover activities, there are limited adaptation strategies available for protection of existing forests activities (</w:t>
      </w:r>
      <w:r w:rsidR="00407069">
        <w:fldChar w:fldCharType="begin"/>
      </w:r>
      <w:r w:rsidR="00407069">
        <w:instrText xml:space="preserve"> REF _Ref48686548 \h </w:instrText>
      </w:r>
      <w:r w:rsidR="00407069">
        <w:fldChar w:fldCharType="separate"/>
      </w:r>
      <w:r w:rsidR="00235F13">
        <w:t xml:space="preserve">Table </w:t>
      </w:r>
      <w:r w:rsidR="00235F13">
        <w:rPr>
          <w:noProof/>
        </w:rPr>
        <w:t>22</w:t>
      </w:r>
      <w:r w:rsidR="00407069">
        <w:fldChar w:fldCharType="end"/>
      </w:r>
      <w:r>
        <w:t>). Zone 1-2 strategies such as fuel and fire management, while relevant, may be cost prohibitive, particularly in light of the low risk rating for this category of disturbance.</w:t>
      </w:r>
    </w:p>
    <w:p w14:paraId="259D275F" w14:textId="06714D6F" w:rsidR="008910E9" w:rsidRDefault="008910E9" w:rsidP="008910E9">
      <w:pPr>
        <w:pStyle w:val="BodyText"/>
      </w:pPr>
      <w:r>
        <w:t>Inherent in this activity is the requirement to start with intact forest</w:t>
      </w:r>
      <w:r w:rsidR="00407069">
        <w:t xml:space="preserve">, which </w:t>
      </w:r>
      <w:r>
        <w:t xml:space="preserve">avoids </w:t>
      </w:r>
      <w:r w:rsidR="00407069">
        <w:t xml:space="preserve">any </w:t>
      </w:r>
      <w:r>
        <w:t>risks associated with establishment.</w:t>
      </w:r>
    </w:p>
    <w:p w14:paraId="1E25053C" w14:textId="77777777" w:rsidR="008910E9" w:rsidRPr="00214CED" w:rsidRDefault="008910E9" w:rsidP="00A75AC4">
      <w:pPr>
        <w:pStyle w:val="BodyText"/>
        <w:spacing w:before="240"/>
        <w:rPr>
          <w:rStyle w:val="Italics"/>
          <w:rFonts w:ascii="Times New Roman" w:hAnsi="Times New Roman"/>
          <w:color w:val="auto"/>
          <w:szCs w:val="24"/>
        </w:rPr>
      </w:pPr>
      <w:r w:rsidRPr="00214CED">
        <w:rPr>
          <w:rStyle w:val="Italics"/>
        </w:rPr>
        <w:t>Planting of new forests</w:t>
      </w:r>
    </w:p>
    <w:p w14:paraId="0D469469" w14:textId="212C5018" w:rsidR="008910E9" w:rsidRDefault="008910E9" w:rsidP="008910E9">
      <w:pPr>
        <w:pStyle w:val="BodyText"/>
      </w:pPr>
      <w:r>
        <w:t>Methods in this category involve establishment of new plantings, with a range of planting width, tree density and configurations, and conversion of short-rotation plantation forests to long-rotation. Of all the methodologies, this category has the most options for adaptation. Adaptation strategies falling into Zone 1 – 3 categories (</w:t>
      </w:r>
      <w:r w:rsidR="00F0552E">
        <w:fldChar w:fldCharType="begin"/>
      </w:r>
      <w:r w:rsidR="00F0552E">
        <w:instrText xml:space="preserve"> REF _Ref48682878 \h </w:instrText>
      </w:r>
      <w:r w:rsidR="00F0552E">
        <w:fldChar w:fldCharType="separate"/>
      </w:r>
      <w:r w:rsidR="00235F13">
        <w:t xml:space="preserve">Figure </w:t>
      </w:r>
      <w:r w:rsidR="00235F13">
        <w:rPr>
          <w:noProof/>
        </w:rPr>
        <w:t>16</w:t>
      </w:r>
      <w:r w:rsidR="00F0552E">
        <w:fldChar w:fldCharType="end"/>
      </w:r>
      <w:r>
        <w:t>) are relevant. The adaptation strategies listed below (</w:t>
      </w:r>
      <w:r w:rsidR="00F0552E">
        <w:fldChar w:fldCharType="begin"/>
      </w:r>
      <w:r w:rsidR="00F0552E">
        <w:instrText xml:space="preserve"> REF _Ref48686641 \h </w:instrText>
      </w:r>
      <w:r w:rsidR="00F0552E">
        <w:fldChar w:fldCharType="separate"/>
      </w:r>
      <w:r w:rsidR="00235F13">
        <w:t xml:space="preserve">Table </w:t>
      </w:r>
      <w:r w:rsidR="00235F13">
        <w:rPr>
          <w:noProof/>
        </w:rPr>
        <w:t>23</w:t>
      </w:r>
      <w:r w:rsidR="00F0552E">
        <w:fldChar w:fldCharType="end"/>
      </w:r>
      <w:r>
        <w:t>) are most likely to be cost-effective for plantation-based activities.</w:t>
      </w:r>
    </w:p>
    <w:p w14:paraId="67B829CD" w14:textId="1A2861FC" w:rsidR="008910E9" w:rsidRDefault="008910E9" w:rsidP="008910E9">
      <w:pPr>
        <w:pStyle w:val="BodyText"/>
      </w:pPr>
      <w:r>
        <w:t xml:space="preserve">A common climate adaptation strategy for commercial forests is to reduce the length of the growth cycle, so that alternative germplasm more adapted to emerging climatic conditions can be planted </w:t>
      </w:r>
      <w:r w:rsidR="00634132">
        <w:t>(</w:t>
      </w:r>
      <w:r w:rsidRPr="00D272A0">
        <w:t>Joyce</w:t>
      </w:r>
      <w:r w:rsidR="00F0552E">
        <w:t xml:space="preserve"> et al. </w:t>
      </w:r>
      <w:r w:rsidRPr="00D272A0">
        <w:t>2009</w:t>
      </w:r>
      <w:r w:rsidR="00F0552E">
        <w:t>)</w:t>
      </w:r>
      <w:r>
        <w:t xml:space="preserve">. This may be incompatible with the Plantation methodology, that allows conversion from short to long rotation management, without other adaptation strategies such as </w:t>
      </w:r>
      <w:r>
        <w:lastRenderedPageBreak/>
        <w:t>modified spacing or some form of thinning</w:t>
      </w:r>
      <w:r w:rsidR="00BF2234">
        <w:t xml:space="preserve">. </w:t>
      </w:r>
      <w:r>
        <w:t xml:space="preserve">It is </w:t>
      </w:r>
      <w:r w:rsidR="00F0552E">
        <w:t>in</w:t>
      </w:r>
      <w:r>
        <w:t xml:space="preserve">compatible with the environmental </w:t>
      </w:r>
      <w:r w:rsidR="00666213">
        <w:t>planting</w:t>
      </w:r>
      <w:r>
        <w:t xml:space="preserve"> methodolog</w:t>
      </w:r>
      <w:r w:rsidR="003730E7">
        <w:t>ies</w:t>
      </w:r>
      <w:r>
        <w:t xml:space="preserve"> due to permanency requirements. Applying wider spacings to plantings in lower rainfall areas has been demonstrated to improve survival and growth at least until there is full site occupancy </w:t>
      </w:r>
      <w:r w:rsidR="003730E7">
        <w:t>(</w:t>
      </w:r>
      <w:r w:rsidRPr="00D272A0">
        <w:t>Mendham</w:t>
      </w:r>
      <w:r w:rsidR="00F0552E">
        <w:t xml:space="preserve"> et al. </w:t>
      </w:r>
      <w:r w:rsidRPr="00D272A0">
        <w:t>2007</w:t>
      </w:r>
      <w:r w:rsidR="00F0552E">
        <w:t>)</w:t>
      </w:r>
      <w:r>
        <w:t>. Weed control may be required for a longer duration using this approach, which will affect establishment costs. Additional thinning may also be required once full site occupancy has been reached, to manage water stress.</w:t>
      </w:r>
    </w:p>
    <w:p w14:paraId="1C6D1620" w14:textId="7222EE96" w:rsidR="008910E9" w:rsidRDefault="008910E9" w:rsidP="008910E9">
      <w:pPr>
        <w:pStyle w:val="BodyText"/>
      </w:pPr>
      <w:r>
        <w:t xml:space="preserve">Fertilising post-pest/disease damage can promote crown recovery </w:t>
      </w:r>
      <w:r w:rsidR="00F0552E">
        <w:t>(</w:t>
      </w:r>
      <w:r w:rsidRPr="00DD54C9">
        <w:t>Wardlaw</w:t>
      </w:r>
      <w:r w:rsidR="00F0552E">
        <w:t xml:space="preserve"> et al. </w:t>
      </w:r>
      <w:r w:rsidRPr="00DD54C9">
        <w:t>2005</w:t>
      </w:r>
      <w:r w:rsidR="00F0552E">
        <w:t>)</w:t>
      </w:r>
      <w:r>
        <w:t xml:space="preserve">, although in low rainfall areas this may result in increased risk of water stress associated with drought </w:t>
      </w:r>
      <w:r w:rsidR="00A264AF">
        <w:t>(</w:t>
      </w:r>
      <w:r w:rsidRPr="00D8532F">
        <w:t>Ward</w:t>
      </w:r>
      <w:r w:rsidR="00F0552E">
        <w:t xml:space="preserve"> et al. (</w:t>
      </w:r>
      <w:r w:rsidRPr="00D8532F">
        <w:t>2005</w:t>
      </w:r>
      <w:r w:rsidR="00F0552E">
        <w:t>)</w:t>
      </w:r>
      <w:r w:rsidR="00A264AF">
        <w:t>)</w:t>
      </w:r>
      <w:r>
        <w:t xml:space="preserve">. </w:t>
      </w:r>
    </w:p>
    <w:p w14:paraId="4FF60B6D" w14:textId="77777777" w:rsidR="008910E9" w:rsidRPr="0045076D" w:rsidRDefault="008910E9" w:rsidP="00A75AC4">
      <w:pPr>
        <w:pStyle w:val="BodyText"/>
        <w:spacing w:before="240"/>
        <w:rPr>
          <w:i/>
        </w:rPr>
      </w:pPr>
      <w:r w:rsidRPr="00F0552E">
        <w:rPr>
          <w:rStyle w:val="Italics"/>
        </w:rPr>
        <w:t xml:space="preserve">Management of </w:t>
      </w:r>
      <w:r>
        <w:rPr>
          <w:rStyle w:val="Italics"/>
        </w:rPr>
        <w:t>a</w:t>
      </w:r>
      <w:r w:rsidRPr="00F0552E">
        <w:rPr>
          <w:rStyle w:val="Italics"/>
        </w:rPr>
        <w:t>gricultural soils</w:t>
      </w:r>
    </w:p>
    <w:p w14:paraId="2D2126CC" w14:textId="346EAF4C" w:rsidR="008910E9" w:rsidRDefault="008910E9" w:rsidP="00C41537">
      <w:pPr>
        <w:pStyle w:val="BodyText"/>
      </w:pPr>
      <w:bookmarkStart w:id="216" w:name="_Hlk49595852"/>
      <w:r>
        <w:t>Soil carbon sequestration ERF activities rely on additions of carbon in biomass into the soil</w:t>
      </w:r>
      <w:r w:rsidR="00CE15B0">
        <w:t xml:space="preserve"> via crop growth and turnover, but the same climate factors that impact rates of plant growth and turnover also affect losses of soil carbon from </w:t>
      </w:r>
      <w:r w:rsidR="00D47586">
        <w:t>microbial-mediated soil</w:t>
      </w:r>
      <w:r w:rsidR="00CE15B0">
        <w:t xml:space="preserve"> respiration</w:t>
      </w:r>
      <w:r>
        <w:t>.</w:t>
      </w:r>
      <w:r w:rsidR="00CE15B0">
        <w:t xml:space="preserve"> The net sequestration </w:t>
      </w:r>
      <w:r w:rsidR="006141A6">
        <w:t xml:space="preserve">outcome </w:t>
      </w:r>
      <w:r w:rsidR="00CE15B0">
        <w:t>is therefore a balance between the rates of organic matter input, and losses from respiration</w:t>
      </w:r>
      <w:bookmarkEnd w:id="216"/>
      <w:r>
        <w:t xml:space="preserve">. Climate adaptation strategies revolve around Zone 1 activities </w:t>
      </w:r>
      <w:r w:rsidR="00CE15B0">
        <w:t xml:space="preserve">to limit reductions in the rates of organic matter production, </w:t>
      </w:r>
      <w:r>
        <w:t>such as pest control to reduce biomass losses to pest damage, growth reductions or plant mortality</w:t>
      </w:r>
      <w:r w:rsidR="00614590">
        <w:t>; Zone</w:t>
      </w:r>
      <w:r>
        <w:t xml:space="preserve"> 2 activities such as selecting, or breeding for, species and genotypes more tolerant of climate extremes; and Zone 3 activities such as selecting sites projected to have less extreme climate</w:t>
      </w:r>
      <w:r w:rsidR="00C41537">
        <w:t xml:space="preserve">. </w:t>
      </w:r>
      <w:r>
        <w:t>Warmer winters and associated impacts on seed dormancy, may necessitate sowing treated seed to boost recruitment.</w:t>
      </w:r>
      <w:r w:rsidR="006C58A6">
        <w:t xml:space="preserve"> Luo et al. (2019</w:t>
      </w:r>
      <w:r w:rsidR="002D5F0C">
        <w:t>b</w:t>
      </w:r>
      <w:r w:rsidR="006C58A6">
        <w:t>) noted SOC in the subsoil (i.e. below 30cm depth) generally exists in more stabilised forms, and hence would be expected to be less vulnerable to loss. Activities that target subsoil carbon might therefore be expected to be less susceptible to subsequent loss.</w:t>
      </w:r>
      <w:r w:rsidR="00CE15B0">
        <w:t xml:space="preserve"> </w:t>
      </w:r>
      <w:bookmarkStart w:id="217" w:name="_Hlk49595931"/>
      <w:r w:rsidR="00CE15B0">
        <w:t xml:space="preserve">There are, in general, few actions that can be currently undertaken to </w:t>
      </w:r>
      <w:r w:rsidR="00CF02C3">
        <w:t xml:space="preserve">directly </w:t>
      </w:r>
      <w:r w:rsidR="00CE15B0">
        <w:t xml:space="preserve">manage </w:t>
      </w:r>
      <w:r w:rsidR="00D47586">
        <w:t xml:space="preserve">respiratory </w:t>
      </w:r>
      <w:r w:rsidR="00CE15B0">
        <w:t xml:space="preserve">losses of soil carbon, although </w:t>
      </w:r>
      <w:r w:rsidR="006141A6">
        <w:t>manipulation of microbial function to enhance soil carbon sequestration is an active area of research (Kellenbach et al. 2019)</w:t>
      </w:r>
      <w:bookmarkEnd w:id="217"/>
      <w:r w:rsidR="00CE15B0">
        <w:t>.</w:t>
      </w:r>
      <w:r w:rsidR="006C58A6">
        <w:t xml:space="preserve"> </w:t>
      </w:r>
    </w:p>
    <w:p w14:paraId="29AC81F7" w14:textId="77777777" w:rsidR="008910E9" w:rsidRPr="00F0552E" w:rsidRDefault="008910E9" w:rsidP="00A75AC4">
      <w:pPr>
        <w:pStyle w:val="BodyText"/>
        <w:spacing w:before="240"/>
        <w:rPr>
          <w:rStyle w:val="Italics"/>
          <w:rFonts w:ascii="Times New Roman" w:hAnsi="Times New Roman"/>
          <w:color w:val="auto"/>
          <w:szCs w:val="24"/>
        </w:rPr>
      </w:pPr>
      <w:r w:rsidRPr="00F0552E">
        <w:rPr>
          <w:rStyle w:val="Italics"/>
        </w:rPr>
        <w:t>Savanna fire management</w:t>
      </w:r>
    </w:p>
    <w:p w14:paraId="5A02AF2E" w14:textId="2D8CD739" w:rsidR="008910E9" w:rsidRDefault="008910E9" w:rsidP="00BC786D">
      <w:pPr>
        <w:pStyle w:val="BodyText"/>
      </w:pPr>
      <w:r>
        <w:t xml:space="preserve">Strategies for climate change adaptation for savanna fire management </w:t>
      </w:r>
      <w:r w:rsidR="00557563">
        <w:t xml:space="preserve">for sequestration </w:t>
      </w:r>
      <w:r>
        <w:t>have received very little attention in the literature, with the focus being almost exclusively on climate change impacts</w:t>
      </w:r>
      <w:r w:rsidR="00BF2234">
        <w:t xml:space="preserve">. </w:t>
      </w:r>
      <w:r>
        <w:t xml:space="preserve">Some climate changes may reduce biomass accumulation and fuel loads, and hence the risk of high intensity late season fires. Control of </w:t>
      </w:r>
      <w:r w:rsidR="002B24B2">
        <w:t>gamba</w:t>
      </w:r>
      <w:r>
        <w:t xml:space="preserve"> grass may be an important adaptation strategy for managing fuel loads. </w:t>
      </w:r>
      <w:r w:rsidR="008C3B88">
        <w:t xml:space="preserve">Table 25 </w:t>
      </w:r>
      <w:r>
        <w:t>provides examples of possible adaptation strategies for this activity.</w:t>
      </w:r>
    </w:p>
    <w:p w14:paraId="630351A1" w14:textId="77777777" w:rsidR="008910E9" w:rsidRPr="00F0552E" w:rsidRDefault="008910E9" w:rsidP="00A75AC4">
      <w:pPr>
        <w:pStyle w:val="BodyText"/>
        <w:spacing w:before="240"/>
        <w:rPr>
          <w:rStyle w:val="Italics"/>
          <w:rFonts w:ascii="Times New Roman" w:hAnsi="Times New Roman"/>
          <w:color w:val="auto"/>
          <w:szCs w:val="24"/>
        </w:rPr>
      </w:pPr>
      <w:r w:rsidRPr="00F0552E">
        <w:rPr>
          <w:rStyle w:val="Italics"/>
        </w:rPr>
        <w:t>Management of intertidal ecosystems</w:t>
      </w:r>
    </w:p>
    <w:p w14:paraId="115F7DCF" w14:textId="1F4CAA86" w:rsidR="008910E9" w:rsidRDefault="008910E9" w:rsidP="008910E9">
      <w:pPr>
        <w:pStyle w:val="BodyText"/>
      </w:pPr>
      <w:r>
        <w:t xml:space="preserve">There are limited adaptation strategies applicable to this activity, due to the focus on improving C sequestration of existing </w:t>
      </w:r>
      <w:r w:rsidR="00F0552E">
        <w:t xml:space="preserve">and rehabilitating </w:t>
      </w:r>
      <w:r>
        <w:t>mangrove and saltmarsh systems (</w:t>
      </w:r>
      <w:r w:rsidR="00F0552E">
        <w:fldChar w:fldCharType="begin"/>
      </w:r>
      <w:r w:rsidR="00F0552E">
        <w:instrText xml:space="preserve"> REF _Ref48686913 \h </w:instrText>
      </w:r>
      <w:r w:rsidR="00F0552E">
        <w:fldChar w:fldCharType="separate"/>
      </w:r>
      <w:r w:rsidR="00235F13">
        <w:t xml:space="preserve">Table </w:t>
      </w:r>
      <w:r w:rsidR="00235F13">
        <w:rPr>
          <w:noProof/>
        </w:rPr>
        <w:t>26</w:t>
      </w:r>
      <w:r w:rsidR="00F0552E">
        <w:fldChar w:fldCharType="end"/>
      </w:r>
      <w:r>
        <w:t>). The consequences of storm surges and sea level change may be managed using engineering approaches. The sensitivity of vegetation to changing climate is less easy to manage, with the main strategy revolving around regular evaluation of where the vegetation is at greatest risk, and hence where this ERF activity may not be appropriate in the future.</w:t>
      </w:r>
    </w:p>
    <w:p w14:paraId="176A2C64" w14:textId="77777777" w:rsidR="008910E9" w:rsidRDefault="008910E9" w:rsidP="008910E9">
      <w:pPr>
        <w:pStyle w:val="BodyText"/>
      </w:pPr>
    </w:p>
    <w:p w14:paraId="5F35C906" w14:textId="77777777" w:rsidR="008910E9" w:rsidRDefault="008910E9" w:rsidP="008910E9">
      <w:pPr>
        <w:pStyle w:val="BodyText"/>
        <w:sectPr w:rsidR="008910E9" w:rsidSect="00F03C3C">
          <w:pgSz w:w="11906" w:h="16838" w:code="9"/>
          <w:pgMar w:top="1134" w:right="1134" w:bottom="1134" w:left="1134" w:header="510" w:footer="624" w:gutter="0"/>
          <w:cols w:space="850"/>
          <w:docGrid w:linePitch="360"/>
        </w:sectPr>
      </w:pPr>
    </w:p>
    <w:p w14:paraId="2922E9FC" w14:textId="6BC8C007" w:rsidR="00C41537" w:rsidRDefault="00C41537" w:rsidP="00C41537">
      <w:pPr>
        <w:pStyle w:val="Caption"/>
      </w:pPr>
      <w:bookmarkStart w:id="218" w:name="_Ref48684390"/>
      <w:bookmarkStart w:id="219" w:name="_Toc49617388"/>
      <w:bookmarkStart w:id="220" w:name="_Toc52971076"/>
      <w:bookmarkStart w:id="221" w:name="_Ref48686797"/>
      <w:r>
        <w:lastRenderedPageBreak/>
        <w:t xml:space="preserve">Table </w:t>
      </w:r>
      <w:r>
        <w:fldChar w:fldCharType="begin"/>
      </w:r>
      <w:r>
        <w:instrText>SEQ Table \* ARABIC</w:instrText>
      </w:r>
      <w:r>
        <w:fldChar w:fldCharType="separate"/>
      </w:r>
      <w:r w:rsidR="00235F13">
        <w:rPr>
          <w:noProof/>
        </w:rPr>
        <w:t>21</w:t>
      </w:r>
      <w:r>
        <w:fldChar w:fldCharType="end"/>
      </w:r>
      <w:bookmarkEnd w:id="218"/>
      <w:r>
        <w:t xml:space="preserve">. </w:t>
      </w:r>
      <w:r>
        <w:rPr>
          <w:b w:val="0"/>
          <w:bCs w:val="0"/>
        </w:rPr>
        <w:t>Examples of climate adaptation strategies that may be effective for ERF methodologies focused on re-establishment of native forest cover</w:t>
      </w:r>
      <w:bookmarkEnd w:id="219"/>
      <w:r w:rsidR="00BF2234">
        <w:rPr>
          <w:b w:val="0"/>
          <w:bCs w:val="0"/>
        </w:rPr>
        <w:t>.</w:t>
      </w:r>
      <w:bookmarkEnd w:id="220"/>
      <w:r w:rsidR="00BF2234">
        <w:rPr>
          <w:b w:val="0"/>
          <w:bCs w:val="0"/>
        </w:rPr>
        <w:t xml:space="preserve"> </w:t>
      </w:r>
    </w:p>
    <w:tbl>
      <w:tblPr>
        <w:tblStyle w:val="TableCSIRO"/>
        <w:tblW w:w="13876" w:type="dxa"/>
        <w:tblInd w:w="-12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3949"/>
        <w:gridCol w:w="1275"/>
        <w:gridCol w:w="3402"/>
        <w:gridCol w:w="5250"/>
      </w:tblGrid>
      <w:tr w:rsidR="005A0FA2" w14:paraId="27F6A253" w14:textId="77777777" w:rsidTr="00A75AC4">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3949"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3B772D08" w14:textId="720011BB" w:rsidR="0073262D" w:rsidRDefault="00172591">
            <w:pPr>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Direct impacts via primary climate change variables</w:t>
            </w:r>
          </w:p>
        </w:tc>
        <w:tc>
          <w:tcPr>
            <w:tcW w:w="1275" w:type="dxa"/>
            <w:tcBorders>
              <w:bottom w:val="single" w:sz="4" w:space="0" w:color="D9D9D9" w:themeColor="background1" w:themeShade="D9"/>
            </w:tcBorders>
            <w:shd w:val="clear" w:color="auto" w:fill="FFFFFF" w:themeFill="background1"/>
            <w:vAlign w:val="center"/>
            <w:hideMark/>
          </w:tcPr>
          <w:p w14:paraId="6607667E"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r>
              <w:rPr>
                <w:rFonts w:asciiTheme="minorHAnsi" w:hAnsiTheme="minorHAnsi" w:cstheme="minorHAnsi"/>
                <w:color w:val="000000" w:themeColor="text1"/>
                <w:sz w:val="18"/>
                <w:szCs w:val="18"/>
              </w:rPr>
              <w:t>Risk rating</w:t>
            </w:r>
          </w:p>
        </w:tc>
        <w:tc>
          <w:tcPr>
            <w:tcW w:w="3402" w:type="dxa"/>
            <w:tcBorders>
              <w:bottom w:val="single" w:sz="4" w:space="0" w:color="D9D9D9" w:themeColor="background1" w:themeShade="D9"/>
            </w:tcBorders>
            <w:shd w:val="clear" w:color="auto" w:fill="FFFFFF" w:themeFill="background1"/>
            <w:hideMark/>
          </w:tcPr>
          <w:p w14:paraId="5B0295BE"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r>
              <w:rPr>
                <w:rFonts w:asciiTheme="minorHAnsi" w:hAnsiTheme="minorHAnsi" w:cstheme="minorHAnsi"/>
                <w:color w:val="000000" w:themeColor="text1"/>
                <w:sz w:val="18"/>
                <w:szCs w:val="18"/>
              </w:rPr>
              <w:t>Adaptation strategy</w:t>
            </w:r>
          </w:p>
        </w:tc>
        <w:tc>
          <w:tcPr>
            <w:tcW w:w="5250" w:type="dxa"/>
            <w:tcBorders>
              <w:bottom w:val="single" w:sz="4" w:space="0" w:color="D9D9D9" w:themeColor="background1" w:themeShade="D9"/>
            </w:tcBorders>
            <w:shd w:val="clear" w:color="auto" w:fill="FFFFFF" w:themeFill="background1"/>
            <w:hideMark/>
          </w:tcPr>
          <w:p w14:paraId="0D37925D"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r>
              <w:rPr>
                <w:rFonts w:asciiTheme="minorHAnsi" w:hAnsiTheme="minorHAnsi" w:cstheme="minorHAnsi"/>
                <w:color w:val="000000" w:themeColor="text1"/>
                <w:sz w:val="18"/>
                <w:szCs w:val="18"/>
              </w:rPr>
              <w:t>Notes</w:t>
            </w:r>
          </w:p>
        </w:tc>
      </w:tr>
      <w:tr w:rsidR="002F1491" w14:paraId="75A410BB" w14:textId="77777777" w:rsidTr="004354E2">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70EF226D" w14:textId="77777777" w:rsidR="002F1491" w:rsidRPr="002F1491" w:rsidRDefault="002F1491" w:rsidP="004354E2">
            <w:pPr>
              <w:ind w:left="401"/>
              <w:rPr>
                <w:rFonts w:asciiTheme="minorHAnsi" w:hAnsiTheme="minorHAnsi" w:cstheme="minorHAnsi"/>
                <w:b w:val="0"/>
                <w:bCs w:val="0"/>
                <w:color w:val="000000" w:themeColor="text1"/>
                <w:sz w:val="18"/>
                <w:szCs w:val="18"/>
              </w:rPr>
            </w:pPr>
            <w:r w:rsidRPr="002F1491">
              <w:rPr>
                <w:rFonts w:asciiTheme="minorHAnsi" w:hAnsiTheme="minorHAnsi" w:cstheme="minorHAnsi"/>
                <w:b w:val="0"/>
                <w:bCs w:val="0"/>
                <w:color w:val="000000" w:themeColor="text1"/>
                <w:sz w:val="18"/>
                <w:szCs w:val="18"/>
              </w:rPr>
              <w:t>Heat-stress limiting plant growth and increasing mortality rates</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2108AB75" w14:textId="77777777" w:rsidR="002F1491" w:rsidRDefault="002F1491"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64A664B8" w14:textId="77777777" w:rsidR="002F1491" w:rsidRDefault="002F14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E72D00B" w14:textId="77777777" w:rsidR="002F1491" w:rsidRDefault="002F14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2F1491" w14:paraId="3D45DAF0" w14:textId="77777777" w:rsidTr="004354E2">
        <w:trPr>
          <w:trHeight w:val="391"/>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00A67656" w14:textId="77777777" w:rsidR="002F1491" w:rsidRPr="002F1491" w:rsidRDefault="002F1491" w:rsidP="004354E2">
            <w:pPr>
              <w:ind w:left="401"/>
              <w:rPr>
                <w:rFonts w:asciiTheme="minorHAnsi" w:hAnsiTheme="minorHAnsi" w:cstheme="minorHAnsi"/>
                <w:b w:val="0"/>
                <w:bCs w:val="0"/>
                <w:color w:val="000000" w:themeColor="text1"/>
                <w:sz w:val="18"/>
                <w:szCs w:val="18"/>
              </w:rPr>
            </w:pPr>
            <w:r w:rsidRPr="002F1491">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0D1684D5" w14:textId="77777777" w:rsidR="002F1491" w:rsidRDefault="002F14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3F28CB6" w14:textId="77777777" w:rsidR="002F1491" w:rsidRDefault="002F1491"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7B0D0355" w14:textId="77777777" w:rsidR="002F1491" w:rsidRDefault="002F1491"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F70876" w14:paraId="31CFC4AB" w14:textId="77777777" w:rsidTr="004354E2">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42DD0C78" w14:textId="21B9FD7D" w:rsidR="00F70876" w:rsidRPr="002F1491" w:rsidRDefault="00F70876" w:rsidP="004354E2">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35342944" w14:textId="77777777" w:rsidR="00F70876" w:rsidRDefault="00F70876"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2D1FEF18" w14:textId="77777777" w:rsidR="00F70876" w:rsidRDefault="00F70876"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3D2439F2" w14:textId="77777777" w:rsidR="00F70876" w:rsidRDefault="00F70876"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73262D" w14:paraId="35A9CD3D" w14:textId="77777777" w:rsidTr="00A75AC4">
        <w:trPr>
          <w:trHeight w:val="376"/>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3BBE07E5" w14:textId="77777777" w:rsidR="0073262D" w:rsidRPr="002F1491" w:rsidRDefault="0073262D">
            <w:pPr>
              <w:ind w:left="401"/>
              <w:rPr>
                <w:rFonts w:asciiTheme="minorHAnsi" w:hAnsiTheme="minorHAnsi" w:cstheme="minorHAnsi"/>
                <w:b w:val="0"/>
                <w:bCs w:val="0"/>
                <w:color w:val="000000" w:themeColor="text1"/>
                <w:sz w:val="18"/>
                <w:szCs w:val="18"/>
              </w:rPr>
            </w:pPr>
            <w:r w:rsidRPr="002F1491">
              <w:rPr>
                <w:rFonts w:asciiTheme="minorHAnsi" w:hAnsiTheme="minorHAnsi" w:cstheme="minorHAnsi"/>
                <w:b w:val="0"/>
                <w:bCs w:val="0"/>
                <w:color w:val="000000" w:themeColor="text1"/>
                <w:sz w:val="18"/>
                <w:szCs w:val="18"/>
              </w:rPr>
              <w:t>Changes in timing/occurrence of suitable conditions for tree and crop establishment</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0441A972"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4A92E386"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002F67B2"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sz w:val="18"/>
                <w:szCs w:val="18"/>
              </w:rPr>
              <w:t>Climate risk modelling can assist in identifying locations with more acceptable risk profiles, or where risk may be effectively managed using the strategies outlined above</w:t>
            </w:r>
          </w:p>
        </w:tc>
      </w:tr>
      <w:tr w:rsidR="0073262D" w14:paraId="070FA9F0" w14:textId="77777777" w:rsidTr="002F4160">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4E337221" w14:textId="77777777" w:rsidR="0073262D" w:rsidRPr="002F1491" w:rsidRDefault="0073262D">
            <w:pPr>
              <w:ind w:left="401"/>
              <w:rPr>
                <w:rFonts w:asciiTheme="minorHAnsi" w:hAnsiTheme="minorHAnsi" w:cstheme="minorHAnsi"/>
                <w:b w:val="0"/>
                <w:bCs w:val="0"/>
                <w:color w:val="000000" w:themeColor="text1"/>
                <w:sz w:val="18"/>
                <w:szCs w:val="18"/>
              </w:rPr>
            </w:pPr>
            <w:r w:rsidRPr="002F1491">
              <w:rPr>
                <w:rFonts w:asciiTheme="minorHAnsi" w:hAnsiTheme="minorHAnsi" w:cstheme="minorHAnsi"/>
                <w:b w:val="0"/>
                <w:bCs w:val="0"/>
                <w:color w:val="000000" w:themeColor="text1"/>
                <w:sz w:val="18"/>
                <w:szCs w:val="18"/>
              </w:rPr>
              <w:t>Increased frost damage associated with increased dryness / reduced opportunities for frost hardening.</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hideMark/>
          </w:tcPr>
          <w:p w14:paraId="26AE4377" w14:textId="77777777" w:rsidR="0073262D" w:rsidRDefault="0073262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05959C6E" w14:textId="77777777" w:rsidR="0073262D" w:rsidRDefault="0073262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79EEDA5" w14:textId="77777777" w:rsidR="0073262D" w:rsidRDefault="0073262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73262D" w14:paraId="7ADD322F" w14:textId="77777777" w:rsidTr="002F4160">
        <w:trPr>
          <w:trHeight w:val="417"/>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7EF70B3D" w14:textId="77777777" w:rsidR="0073262D" w:rsidRPr="002F1491" w:rsidRDefault="0073262D">
            <w:pPr>
              <w:ind w:left="401"/>
              <w:rPr>
                <w:rFonts w:asciiTheme="minorHAnsi" w:hAnsiTheme="minorHAnsi" w:cstheme="minorHAnsi"/>
                <w:b w:val="0"/>
                <w:bCs w:val="0"/>
                <w:color w:val="000000" w:themeColor="text1"/>
                <w:sz w:val="18"/>
                <w:szCs w:val="18"/>
              </w:rPr>
            </w:pPr>
            <w:r w:rsidRPr="002F1491">
              <w:rPr>
                <w:rFonts w:asciiTheme="minorHAnsi" w:hAnsiTheme="minorHAnsi" w:cstheme="minorHAnsi"/>
                <w:b w:val="0"/>
                <w:bCs w:val="0"/>
                <w:color w:val="000000" w:themeColor="text1"/>
                <w:sz w:val="18"/>
                <w:szCs w:val="18"/>
              </w:rPr>
              <w:t>Decreased frost days with implications for increased seed dormancy and reduced germination rates</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hideMark/>
          </w:tcPr>
          <w:p w14:paraId="6677260F"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73C7BDD3"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0CA459B"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172591" w14:paraId="73B6816B" w14:textId="77777777" w:rsidTr="004354E2">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2E727A05" w14:textId="77777777" w:rsidR="00172591" w:rsidRPr="002F1491" w:rsidRDefault="00172591" w:rsidP="004354E2">
            <w:pPr>
              <w:ind w:left="401"/>
              <w:rPr>
                <w:rFonts w:asciiTheme="minorHAnsi" w:hAnsiTheme="minorHAnsi" w:cstheme="minorHAnsi"/>
                <w:b w:val="0"/>
                <w:bCs w:val="0"/>
                <w:color w:val="000000" w:themeColor="text1"/>
                <w:sz w:val="18"/>
                <w:szCs w:val="18"/>
              </w:rPr>
            </w:pPr>
            <w:r w:rsidRPr="002F1491">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78BFE429" w14:textId="77777777" w:rsidR="00172591" w:rsidRDefault="00172591"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74A0EAA2" w14:textId="77777777" w:rsidR="00172591" w:rsidRDefault="001725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flood risk</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C563EDD" w14:textId="77777777" w:rsidR="00172591" w:rsidRDefault="001725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172591" w14:paraId="53DA58EB" w14:textId="77777777" w:rsidTr="004354E2">
        <w:trPr>
          <w:trHeight w:val="44"/>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3B8FDD9B" w14:textId="77777777" w:rsidR="00172591" w:rsidRPr="002F1491" w:rsidRDefault="00172591" w:rsidP="004354E2">
            <w:pPr>
              <w:ind w:left="401"/>
              <w:rPr>
                <w:rFonts w:asciiTheme="minorHAnsi" w:hAnsiTheme="minorHAnsi" w:cstheme="minorHAnsi"/>
                <w:color w:val="000000" w:themeColor="text1"/>
                <w:sz w:val="18"/>
                <w:szCs w:val="18"/>
              </w:rPr>
            </w:pPr>
            <w:r w:rsidRPr="002F1491">
              <w:rPr>
                <w:rFonts w:asciiTheme="minorHAnsi" w:hAnsiTheme="minorHAnsi" w:cstheme="minorHAnsi"/>
                <w:b w:val="0"/>
                <w:bCs w:val="0"/>
                <w:color w:val="000000" w:themeColor="text1"/>
                <w:sz w:val="18"/>
                <w:szCs w:val="18"/>
              </w:rPr>
              <w:t>Flood-related soil erosion and deposition</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19356757" w14:textId="77777777" w:rsidR="00172591" w:rsidRDefault="001725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30CA3AE4" w14:textId="77777777" w:rsidR="00172591" w:rsidRDefault="00172591"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941FED7" w14:textId="77777777" w:rsidR="00172591" w:rsidRDefault="00172591"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172591" w14:paraId="194F519D" w14:textId="77777777" w:rsidTr="004354E2">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7A920EE7" w14:textId="77777777" w:rsidR="00172591" w:rsidRPr="002F1491" w:rsidRDefault="00172591" w:rsidP="004354E2">
            <w:pPr>
              <w:ind w:left="393"/>
              <w:rPr>
                <w:rFonts w:asciiTheme="minorHAnsi" w:hAnsiTheme="minorHAnsi" w:cstheme="minorHAnsi"/>
                <w:color w:val="000000" w:themeColor="text1"/>
                <w:sz w:val="18"/>
                <w:szCs w:val="18"/>
              </w:rPr>
            </w:pPr>
            <w:r w:rsidRPr="002F1491">
              <w:rPr>
                <w:rFonts w:asciiTheme="minorHAnsi" w:hAnsiTheme="minorHAnsi" w:cstheme="minorHAnsi"/>
                <w:b w:val="0"/>
                <w:bCs w:val="0"/>
                <w:color w:val="000000" w:themeColor="text1"/>
                <w:sz w:val="18"/>
                <w:szCs w:val="18"/>
              </w:rPr>
              <w:t xml:space="preserve">Mechanical damage from wind and storms </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5052A476" w14:textId="77777777" w:rsidR="00172591" w:rsidRDefault="00172591"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D7C161E" w14:textId="77777777" w:rsidR="00172591" w:rsidRDefault="001725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6C6928CE" w14:textId="77777777" w:rsidR="00172591" w:rsidRDefault="001725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73262D" w14:paraId="6DE332B0" w14:textId="77777777" w:rsidTr="00A75AC4">
        <w:trPr>
          <w:trHeight w:val="29"/>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hideMark/>
          </w:tcPr>
          <w:p w14:paraId="7C07E2A7" w14:textId="1215256B" w:rsidR="0073262D" w:rsidRPr="002F1491" w:rsidRDefault="00172591">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Direct impacts via secondary climate change variables</w:t>
            </w:r>
          </w:p>
        </w:tc>
        <w:tc>
          <w:tcPr>
            <w:tcW w:w="1275"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558F2D9B"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402"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Pr>
          <w:p w14:paraId="4AA0303F"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525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Pr>
          <w:p w14:paraId="7E67C450"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172591" w14:paraId="7A222F88" w14:textId="77777777" w:rsidTr="004354E2">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1AA21A72" w14:textId="77777777" w:rsidR="00172591" w:rsidRPr="002F1491" w:rsidRDefault="00172591" w:rsidP="004354E2">
            <w:pPr>
              <w:ind w:left="401"/>
              <w:rPr>
                <w:rFonts w:asciiTheme="minorHAnsi" w:hAnsiTheme="minorHAnsi" w:cstheme="minorHAnsi"/>
                <w:b w:val="0"/>
                <w:bCs w:val="0"/>
                <w:color w:val="000000" w:themeColor="text1"/>
                <w:sz w:val="18"/>
                <w:szCs w:val="18"/>
              </w:rPr>
            </w:pPr>
            <w:r w:rsidRPr="002F1491">
              <w:rPr>
                <w:rFonts w:asciiTheme="minorHAnsi" w:hAnsiTheme="minorHAnsi" w:cstheme="minorHAnsi"/>
                <w:b w:val="0"/>
                <w:bCs w:val="0"/>
                <w:color w:val="000000" w:themeColor="text1"/>
                <w:sz w:val="18"/>
                <w:szCs w:val="18"/>
              </w:rPr>
              <w:t>Drought-induced mortality in crops and trees, with possibility of recruitment failure.</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57DD435B" w14:textId="77777777" w:rsidR="00172591" w:rsidRDefault="00172591"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p w14:paraId="5E6DDFE2" w14:textId="77777777" w:rsidR="00172591" w:rsidRDefault="00172591"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832DB89" w14:textId="77777777" w:rsidR="00172591" w:rsidRDefault="001725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121CE8F8" w14:textId="77777777" w:rsidR="00172591" w:rsidRDefault="001725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172591" w14:paraId="330DB397" w14:textId="77777777" w:rsidTr="004354E2">
        <w:trPr>
          <w:trHeight w:val="29"/>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4429EC24" w14:textId="77777777" w:rsidR="00172591" w:rsidRPr="002F1491" w:rsidRDefault="00172591" w:rsidP="004354E2">
            <w:pPr>
              <w:ind w:left="401"/>
              <w:rPr>
                <w:rFonts w:asciiTheme="minorHAnsi" w:hAnsiTheme="minorHAnsi" w:cstheme="minorHAnsi"/>
                <w:color w:val="000000" w:themeColor="text1"/>
                <w:sz w:val="18"/>
                <w:szCs w:val="18"/>
              </w:rPr>
            </w:pPr>
            <w:r w:rsidRPr="002F1491">
              <w:rPr>
                <w:rFonts w:asciiTheme="minorHAnsi" w:hAnsiTheme="minorHAnsi" w:cstheme="minorHAnsi"/>
                <w:b w:val="0"/>
                <w:bCs w:val="0"/>
                <w:color w:val="000000" w:themeColor="text1"/>
                <w:sz w:val="18"/>
                <w:szCs w:val="18"/>
              </w:rPr>
              <w:t xml:space="preserve">Increased fire danger weather; Decreased landscape moisture content, with implications for fire risk; </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17550794" w14:textId="77777777" w:rsidR="00172591" w:rsidRDefault="00172591"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410772F" w14:textId="77777777" w:rsidR="00172591" w:rsidRDefault="00172591"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Fuel and fire management</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76B90550" w14:textId="3F2FFD07" w:rsidR="00172591" w:rsidRDefault="00172591"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The target tree species for these activities are well-adapted to fire</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 xml:space="preserve">Identifying changes in fuel load related to </w:t>
            </w:r>
            <w:r w:rsidR="00D71D18">
              <w:rPr>
                <w:rFonts w:asciiTheme="minorHAnsi" w:hAnsiTheme="minorHAnsi" w:cstheme="minorHAnsi"/>
                <w:color w:val="000000" w:themeColor="text1"/>
                <w:sz w:val="18"/>
                <w:szCs w:val="18"/>
              </w:rPr>
              <w:t>buffel</w:t>
            </w:r>
            <w:r>
              <w:rPr>
                <w:rFonts w:asciiTheme="minorHAnsi" w:hAnsiTheme="minorHAnsi" w:cstheme="minorHAnsi"/>
                <w:color w:val="000000" w:themeColor="text1"/>
                <w:sz w:val="18"/>
                <w:szCs w:val="18"/>
              </w:rPr>
              <w:t xml:space="preserve"> grass incursion will help to identify where fuel loads may require management. Mapping changing fire danger for specific locations may be advantageous in better quantifying risk</w:t>
            </w:r>
          </w:p>
        </w:tc>
      </w:tr>
      <w:tr w:rsidR="00172591" w14:paraId="2A87C8F2" w14:textId="77777777" w:rsidTr="004354E2">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272E2C63" w14:textId="6133A79F" w:rsidR="00172591" w:rsidRPr="002F1491" w:rsidRDefault="00172591" w:rsidP="004354E2">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Indirect impacts via climate change impacts on weeds, pests and diseases</w:t>
            </w:r>
          </w:p>
        </w:tc>
        <w:tc>
          <w:tcPr>
            <w:tcW w:w="1275"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31698930" w14:textId="77777777" w:rsidR="00172591" w:rsidRDefault="00172591"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02" w:type="dxa"/>
            <w:tcBorders>
              <w:top w:val="single" w:sz="4" w:space="0" w:color="D9D9D9" w:themeColor="background1" w:themeShade="D9"/>
              <w:bottom w:val="single" w:sz="4" w:space="0" w:color="D9D9D9" w:themeColor="background1" w:themeShade="D9"/>
            </w:tcBorders>
            <w:shd w:val="clear" w:color="auto" w:fill="FFFFFF" w:themeFill="background1"/>
          </w:tcPr>
          <w:p w14:paraId="38C0CB42" w14:textId="77777777" w:rsidR="00172591" w:rsidRDefault="001725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5250" w:type="dxa"/>
            <w:tcBorders>
              <w:top w:val="single" w:sz="4" w:space="0" w:color="D9D9D9" w:themeColor="background1" w:themeShade="D9"/>
              <w:bottom w:val="single" w:sz="4" w:space="0" w:color="D9D9D9" w:themeColor="background1" w:themeShade="D9"/>
            </w:tcBorders>
            <w:shd w:val="clear" w:color="auto" w:fill="FFFFFF" w:themeFill="background1"/>
          </w:tcPr>
          <w:p w14:paraId="57426E21" w14:textId="77777777" w:rsidR="00172591" w:rsidRDefault="0017259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73262D" w14:paraId="0155B802" w14:textId="77777777" w:rsidTr="002F4160">
        <w:trPr>
          <w:trHeight w:val="275"/>
        </w:trPr>
        <w:tc>
          <w:tcPr>
            <w:cnfStyle w:val="001000000000" w:firstRow="0" w:lastRow="0" w:firstColumn="1" w:lastColumn="0" w:oddVBand="0" w:evenVBand="0" w:oddHBand="0" w:evenHBand="0" w:firstRowFirstColumn="0" w:firstRowLastColumn="0" w:lastRowFirstColumn="0" w:lastRowLastColumn="0"/>
            <w:tcW w:w="3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401C6D11" w14:textId="77777777" w:rsidR="0073262D" w:rsidRPr="002F1491" w:rsidRDefault="0073262D">
            <w:pPr>
              <w:ind w:left="401"/>
              <w:rPr>
                <w:rFonts w:asciiTheme="minorHAnsi" w:hAnsiTheme="minorHAnsi" w:cstheme="minorHAnsi"/>
                <w:color w:val="000000" w:themeColor="text1"/>
                <w:sz w:val="18"/>
                <w:szCs w:val="18"/>
              </w:rPr>
            </w:pPr>
            <w:r w:rsidRPr="002F1491">
              <w:rPr>
                <w:rFonts w:asciiTheme="minorHAnsi" w:hAnsiTheme="minorHAnsi" w:cstheme="minorHAnsi"/>
                <w:b w:val="0"/>
                <w:bCs w:val="0"/>
                <w:color w:val="000000" w:themeColor="text1"/>
                <w:sz w:val="18"/>
                <w:szCs w:val="18"/>
              </w:rPr>
              <w:t>Extended range of pests/diseases; Increased over-wintering resulting in faster build-up in the growing season</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hideMark/>
          </w:tcPr>
          <w:p w14:paraId="1D910B01"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40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5CF0E985"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Feral animal management</w:t>
            </w:r>
          </w:p>
        </w:tc>
        <w:tc>
          <w:tcPr>
            <w:tcW w:w="525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213B7720"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Projected increases in browsing pressure from feral animals suggests that this strategy may be important to ensure adequate levels of regeneration are achieved. Costs may preclude this as a strategy</w:t>
            </w:r>
          </w:p>
        </w:tc>
      </w:tr>
    </w:tbl>
    <w:p w14:paraId="71E49D0E" w14:textId="77777777" w:rsidR="00C41537" w:rsidRDefault="00C41537" w:rsidP="00C41537">
      <w:pPr>
        <w:spacing w:line="264" w:lineRule="auto"/>
        <w:rPr>
          <w:rFonts w:ascii="Calibri" w:eastAsia="Calibri" w:hAnsi="Calibri"/>
          <w:color w:val="000000"/>
          <w:szCs w:val="22"/>
        </w:rPr>
        <w:sectPr w:rsidR="00C41537">
          <w:pgSz w:w="16838" w:h="11906" w:orient="landscape"/>
          <w:pgMar w:top="1134" w:right="1134" w:bottom="1134" w:left="1134" w:header="510" w:footer="624" w:gutter="0"/>
          <w:cols w:space="720"/>
        </w:sectPr>
      </w:pPr>
    </w:p>
    <w:p w14:paraId="6A6A279B" w14:textId="77777777" w:rsidR="00C41537" w:rsidRDefault="00C41537" w:rsidP="00C41537">
      <w:pPr>
        <w:pStyle w:val="BodyText"/>
      </w:pPr>
    </w:p>
    <w:p w14:paraId="057E5987" w14:textId="31B66BDF" w:rsidR="00C41537" w:rsidRDefault="00C41537" w:rsidP="00C41537">
      <w:pPr>
        <w:pStyle w:val="Caption"/>
      </w:pPr>
      <w:bookmarkStart w:id="222" w:name="_Ref48686548"/>
      <w:bookmarkStart w:id="223" w:name="_Toc49617389"/>
      <w:bookmarkStart w:id="224" w:name="_Toc52971077"/>
      <w:r>
        <w:t xml:space="preserve">Table </w:t>
      </w:r>
      <w:r>
        <w:fldChar w:fldCharType="begin"/>
      </w:r>
      <w:r>
        <w:rPr>
          <w:noProof/>
        </w:rPr>
        <w:instrText xml:space="preserve"> SEQ Table \* ARABIC </w:instrText>
      </w:r>
      <w:r>
        <w:fldChar w:fldCharType="separate"/>
      </w:r>
      <w:r w:rsidR="00235F13">
        <w:rPr>
          <w:noProof/>
        </w:rPr>
        <w:t>22</w:t>
      </w:r>
      <w:r>
        <w:fldChar w:fldCharType="end"/>
      </w:r>
      <w:bookmarkEnd w:id="222"/>
      <w:r>
        <w:t xml:space="preserve"> </w:t>
      </w:r>
      <w:r>
        <w:rPr>
          <w:b w:val="0"/>
          <w:bCs w:val="0"/>
        </w:rPr>
        <w:t>Examples of climate adaptation strategies that may be effective for ERF methodologies focused on protecting existing forests</w:t>
      </w:r>
      <w:bookmarkEnd w:id="223"/>
      <w:bookmarkEnd w:id="224"/>
    </w:p>
    <w:tbl>
      <w:tblPr>
        <w:tblStyle w:val="TableCSIRO"/>
        <w:tblW w:w="13882" w:type="dxa"/>
        <w:tblInd w:w="-13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6"/>
        <w:gridCol w:w="3951"/>
        <w:gridCol w:w="1134"/>
        <w:gridCol w:w="141"/>
        <w:gridCol w:w="3401"/>
        <w:gridCol w:w="5249"/>
      </w:tblGrid>
      <w:tr w:rsidR="005A0FA2" w14:paraId="1BBF2933" w14:textId="77777777" w:rsidTr="002F4160">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3957" w:type="dxa"/>
            <w:gridSpan w:val="2"/>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B3D38F4" w14:textId="56961A30" w:rsidR="0073262D" w:rsidRDefault="002F4160">
            <w:pPr>
              <w:rPr>
                <w:rFonts w:asciiTheme="minorHAnsi" w:hAnsiTheme="minorHAnsi" w:cstheme="minorHAnsi"/>
                <w:color w:val="000000" w:themeColor="text1"/>
                <w:sz w:val="18"/>
                <w:szCs w:val="18"/>
              </w:rPr>
            </w:pPr>
            <w:r w:rsidRPr="002F4160">
              <w:rPr>
                <w:rFonts w:asciiTheme="minorHAnsi" w:hAnsiTheme="minorHAnsi" w:cstheme="minorHAnsi"/>
                <w:color w:val="000000" w:themeColor="text1"/>
                <w:sz w:val="18"/>
                <w:szCs w:val="18"/>
              </w:rPr>
              <w:t>Direct impacts via primary climate change variables</w:t>
            </w:r>
          </w:p>
        </w:tc>
        <w:tc>
          <w:tcPr>
            <w:tcW w:w="1134" w:type="dxa"/>
            <w:tcBorders>
              <w:bottom w:val="single" w:sz="4" w:space="0" w:color="D9D9D9" w:themeColor="background1" w:themeShade="D9"/>
            </w:tcBorders>
            <w:shd w:val="clear" w:color="auto" w:fill="FFFFFF" w:themeFill="background1"/>
            <w:vAlign w:val="center"/>
            <w:hideMark/>
          </w:tcPr>
          <w:p w14:paraId="56BEC939"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r>
              <w:rPr>
                <w:rFonts w:asciiTheme="minorHAnsi" w:hAnsiTheme="minorHAnsi" w:cstheme="minorHAnsi"/>
                <w:color w:val="000000" w:themeColor="text1"/>
                <w:sz w:val="18"/>
                <w:szCs w:val="18"/>
              </w:rPr>
              <w:t>Risk rating</w:t>
            </w:r>
          </w:p>
        </w:tc>
        <w:tc>
          <w:tcPr>
            <w:tcW w:w="3542" w:type="dxa"/>
            <w:gridSpan w:val="2"/>
            <w:tcBorders>
              <w:bottom w:val="single" w:sz="4" w:space="0" w:color="D9D9D9" w:themeColor="background1" w:themeShade="D9"/>
            </w:tcBorders>
            <w:shd w:val="clear" w:color="auto" w:fill="FFFFFF" w:themeFill="background1"/>
            <w:hideMark/>
          </w:tcPr>
          <w:p w14:paraId="0CB6489C"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Adaptation strategy</w:t>
            </w:r>
          </w:p>
        </w:tc>
        <w:tc>
          <w:tcPr>
            <w:tcW w:w="5249" w:type="dxa"/>
            <w:tcBorders>
              <w:bottom w:val="single" w:sz="4" w:space="0" w:color="D9D9D9" w:themeColor="background1" w:themeShade="D9"/>
            </w:tcBorders>
            <w:shd w:val="clear" w:color="auto" w:fill="FFFFFF" w:themeFill="background1"/>
            <w:hideMark/>
          </w:tcPr>
          <w:p w14:paraId="480C5254"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Notes</w:t>
            </w:r>
          </w:p>
        </w:tc>
      </w:tr>
      <w:tr w:rsidR="00C62532" w14:paraId="5B54464F" w14:textId="77777777" w:rsidTr="002F4160">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D8E05F0" w14:textId="77777777" w:rsidR="00C62532" w:rsidRDefault="00C62532"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Heat-stress limiting plant growth and increasing mortality rates</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2C86B6EF" w14:textId="77777777" w:rsidR="00C62532" w:rsidRDefault="00C62532"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542"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4724B422" w14:textId="77777777" w:rsidR="00C62532" w:rsidRDefault="00C62532"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661F56DD" w14:textId="77777777" w:rsidR="00C62532" w:rsidRDefault="00C62532"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A75AC4" w14:paraId="6AE731A6" w14:textId="77777777" w:rsidTr="002F4160">
        <w:trPr>
          <w:trHeight w:val="391"/>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0F9C4459" w14:textId="77777777" w:rsidR="0073262D" w:rsidRDefault="0073262D">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78F6D45C"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542"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4AECE891"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7DA2D58B"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sz w:val="18"/>
                <w:szCs w:val="18"/>
              </w:rPr>
              <w:t>Climate risk modelling can assist in identifying locations with more acceptable risk profiles, or where risk may be effectively managed using the strategies outlined above</w:t>
            </w:r>
          </w:p>
        </w:tc>
      </w:tr>
      <w:tr w:rsidR="009E6B06" w14:paraId="24A4DB0E" w14:textId="77777777" w:rsidTr="002F4160">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73F1BDC1" w14:textId="31034AB9" w:rsidR="009E6B06" w:rsidRDefault="009E6B06" w:rsidP="004354E2">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1C098CDA" w14:textId="77777777" w:rsidR="009E6B06" w:rsidRDefault="009E6B06"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542"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56D44DD" w14:textId="77777777" w:rsidR="009E6B06" w:rsidRDefault="009E6B06"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BF79892" w14:textId="66A83656" w:rsidR="009E6B06" w:rsidRDefault="009E6B06"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9E6B06" w14:paraId="58496727" w14:textId="77777777" w:rsidTr="002F4160">
        <w:trPr>
          <w:trHeight w:val="411"/>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9A3C090" w14:textId="77777777" w:rsidR="009E6B06" w:rsidRDefault="009E6B06"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7A1F4A9F" w14:textId="77777777" w:rsidR="009E6B06" w:rsidRDefault="009E6B06"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542"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1D7EAEB3" w14:textId="77777777" w:rsidR="009E6B06" w:rsidRDefault="009E6B06"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flood risk</w:t>
            </w:r>
          </w:p>
        </w:tc>
        <w:tc>
          <w:tcPr>
            <w:tcW w:w="52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2000C319" w14:textId="77777777" w:rsidR="009E6B06" w:rsidRDefault="009E6B06"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4B75E5" w14:paraId="5C34C04E" w14:textId="77777777" w:rsidTr="002F4160">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037C49E2" w14:textId="77777777" w:rsidR="004B75E5" w:rsidRDefault="004B75E5" w:rsidP="004354E2">
            <w:pPr>
              <w:ind w:left="393"/>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 xml:space="preserve">Mechanical damage from wind and storms </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522B0C29" w14:textId="77777777" w:rsidR="004B75E5" w:rsidRDefault="004B75E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542"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87E6F6A" w14:textId="77777777" w:rsidR="004B75E5" w:rsidRDefault="004B75E5"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52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5850C47" w14:textId="77777777" w:rsidR="004B75E5" w:rsidRDefault="004B75E5"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2F4160" w14:paraId="7779D7DE" w14:textId="77777777" w:rsidTr="002F4160">
        <w:trPr>
          <w:trHeight w:val="29"/>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hideMark/>
          </w:tcPr>
          <w:p w14:paraId="62C6244B" w14:textId="77777777" w:rsidR="002F4160" w:rsidRPr="002F1491" w:rsidRDefault="002F4160" w:rsidP="004354E2">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Direct impacts via secondary climate change variables</w:t>
            </w:r>
          </w:p>
        </w:tc>
        <w:tc>
          <w:tcPr>
            <w:tcW w:w="1275" w:type="dxa"/>
            <w:gridSpan w:val="2"/>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666B4BC1" w14:textId="77777777" w:rsidR="002F4160" w:rsidRDefault="002F4160"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401"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Pr>
          <w:p w14:paraId="3D461B48" w14:textId="77777777" w:rsidR="002F4160" w:rsidRDefault="002F4160"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5249"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Pr>
          <w:p w14:paraId="45916FC6" w14:textId="77777777" w:rsidR="002F4160" w:rsidRDefault="002F4160"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4B75E5" w14:paraId="153B5A2B" w14:textId="77777777" w:rsidTr="002F4160">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78C9BA0F" w14:textId="77777777" w:rsidR="004B75E5" w:rsidRDefault="004B75E5"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Drought-induced plant mortality, with possibility of recruitment failure.</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6DF3C19D" w14:textId="77777777" w:rsidR="004B75E5" w:rsidRDefault="004B75E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p w14:paraId="3B57A117" w14:textId="77777777" w:rsidR="004B75E5" w:rsidRDefault="004B75E5"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542"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2BCBCF57" w14:textId="77777777" w:rsidR="004B75E5" w:rsidRDefault="004B75E5"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44DE0A3B" w14:textId="77777777" w:rsidR="004B75E5" w:rsidRDefault="004B75E5"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A75AC4" w14:paraId="3731BF7C" w14:textId="77777777" w:rsidTr="002F4160">
        <w:trPr>
          <w:trHeight w:val="29"/>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02D61181" w14:textId="77777777" w:rsidR="0073262D" w:rsidRDefault="0073262D">
            <w:pPr>
              <w:ind w:left="401"/>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696A2FB8"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542"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3E1BA63"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Fuel and fire management</w:t>
            </w:r>
          </w:p>
        </w:tc>
        <w:tc>
          <w:tcPr>
            <w:tcW w:w="52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75B83763" w14:textId="18BE63DF"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The target tree species for these activities are well-adapted to fire</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 xml:space="preserve">Identifying changes in fuel load related to </w:t>
            </w:r>
            <w:r w:rsidR="00D71D18">
              <w:rPr>
                <w:rFonts w:asciiTheme="minorHAnsi" w:hAnsiTheme="minorHAnsi" w:cstheme="minorHAnsi"/>
                <w:color w:val="000000" w:themeColor="text1"/>
                <w:sz w:val="18"/>
                <w:szCs w:val="18"/>
              </w:rPr>
              <w:t>buffel</w:t>
            </w:r>
            <w:r>
              <w:rPr>
                <w:rFonts w:asciiTheme="minorHAnsi" w:hAnsiTheme="minorHAnsi" w:cstheme="minorHAnsi"/>
                <w:color w:val="000000" w:themeColor="text1"/>
                <w:sz w:val="18"/>
                <w:szCs w:val="18"/>
              </w:rPr>
              <w:t xml:space="preserve"> grass incursion will help to identify where fuel loads may require management. Mapping changing fire danger for specific locations may be advantageous in better quantifying risk. </w:t>
            </w:r>
          </w:p>
        </w:tc>
      </w:tr>
      <w:tr w:rsidR="002F4160" w14:paraId="1F573553" w14:textId="77777777" w:rsidTr="002F4160">
        <w:trPr>
          <w:gridBefore w:val="1"/>
          <w:cnfStyle w:val="000000100000" w:firstRow="0" w:lastRow="0" w:firstColumn="0" w:lastColumn="0" w:oddVBand="0" w:evenVBand="0" w:oddHBand="1" w:evenHBand="0" w:firstRowFirstColumn="0" w:firstRowLastColumn="0" w:lastRowFirstColumn="0" w:lastRowLastColumn="0"/>
          <w:wBefore w:w="6" w:type="dxa"/>
          <w:trHeight w:val="29"/>
        </w:trPr>
        <w:tc>
          <w:tcPr>
            <w:cnfStyle w:val="001000000000" w:firstRow="0" w:lastRow="0" w:firstColumn="1" w:lastColumn="0" w:oddVBand="0" w:evenVBand="0" w:oddHBand="0" w:evenHBand="0" w:firstRowFirstColumn="0" w:firstRowLastColumn="0" w:lastRowFirstColumn="0" w:lastRowLastColumn="0"/>
            <w:tcW w:w="3951"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0B2B00EA" w14:textId="77777777" w:rsidR="002F4160" w:rsidRPr="002F1491" w:rsidRDefault="002F4160" w:rsidP="004354E2">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Indirect impacts via climate change impacts on weeds, pests and diseases</w:t>
            </w:r>
          </w:p>
        </w:tc>
        <w:tc>
          <w:tcPr>
            <w:tcW w:w="1275" w:type="dxa"/>
            <w:gridSpan w:val="2"/>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0BCED772" w14:textId="77777777" w:rsidR="002F4160" w:rsidRDefault="002F4160"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401" w:type="dxa"/>
            <w:tcBorders>
              <w:top w:val="single" w:sz="4" w:space="0" w:color="D9D9D9" w:themeColor="background1" w:themeShade="D9"/>
              <w:bottom w:val="single" w:sz="4" w:space="0" w:color="D9D9D9" w:themeColor="background1" w:themeShade="D9"/>
            </w:tcBorders>
            <w:shd w:val="clear" w:color="auto" w:fill="FFFFFF" w:themeFill="background1"/>
          </w:tcPr>
          <w:p w14:paraId="192BDA01" w14:textId="77777777" w:rsidR="002F4160" w:rsidRDefault="002F4160"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5249" w:type="dxa"/>
            <w:tcBorders>
              <w:top w:val="single" w:sz="4" w:space="0" w:color="D9D9D9" w:themeColor="background1" w:themeShade="D9"/>
              <w:bottom w:val="single" w:sz="4" w:space="0" w:color="D9D9D9" w:themeColor="background1" w:themeShade="D9"/>
            </w:tcBorders>
            <w:shd w:val="clear" w:color="auto" w:fill="FFFFFF" w:themeFill="background1"/>
          </w:tcPr>
          <w:p w14:paraId="42570492" w14:textId="77777777" w:rsidR="002F4160" w:rsidRDefault="002F4160"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6C3E90" w14:paraId="3456595A" w14:textId="77777777" w:rsidTr="002F4160">
        <w:trPr>
          <w:trHeight w:val="29"/>
        </w:trPr>
        <w:tc>
          <w:tcPr>
            <w:cnfStyle w:val="001000000000" w:firstRow="0" w:lastRow="0" w:firstColumn="1" w:lastColumn="0" w:oddVBand="0" w:evenVBand="0" w:oddHBand="0" w:evenHBand="0" w:firstRowFirstColumn="0" w:firstRowLastColumn="0" w:lastRowFirstColumn="0" w:lastRowLastColumn="0"/>
            <w:tcW w:w="3957"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72F0BCD" w14:textId="77390F17" w:rsidR="006C3E90" w:rsidRDefault="006C3E90" w:rsidP="006C3E90">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sz w:val="18"/>
                <w:szCs w:val="18"/>
              </w:rPr>
              <w:t>Extended range of pests/diseases; Increased over-wintering resulting in faster build-up in the growing season</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tcPr>
          <w:p w14:paraId="32E458D1" w14:textId="6304D6CC" w:rsidR="006C3E90" w:rsidRDefault="006C3E90" w:rsidP="006C3E9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542"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7D301D3E" w14:textId="4BB12A3F" w:rsidR="006C3E90" w:rsidRDefault="006C3E90" w:rsidP="006C3E9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2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39DED321" w14:textId="77777777" w:rsidR="006C3E90" w:rsidRDefault="006C3E90" w:rsidP="006C3E9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bl>
    <w:p w14:paraId="19C01AD4" w14:textId="77777777" w:rsidR="00C41537" w:rsidRDefault="00C41537" w:rsidP="00C41537">
      <w:pPr>
        <w:spacing w:line="264" w:lineRule="auto"/>
        <w:rPr>
          <w:rFonts w:ascii="Calibri" w:eastAsia="Calibri" w:hAnsi="Calibri"/>
          <w:color w:val="000000"/>
          <w:szCs w:val="22"/>
        </w:rPr>
        <w:sectPr w:rsidR="00C41537">
          <w:pgSz w:w="16838" w:h="11906" w:orient="landscape"/>
          <w:pgMar w:top="1134" w:right="1134" w:bottom="1134" w:left="1134" w:header="510" w:footer="624" w:gutter="0"/>
          <w:cols w:space="720"/>
        </w:sectPr>
      </w:pPr>
    </w:p>
    <w:p w14:paraId="79D1F55A" w14:textId="2A26E2BE" w:rsidR="00C41537" w:rsidRDefault="00C41537" w:rsidP="00C41537">
      <w:pPr>
        <w:pStyle w:val="Caption"/>
      </w:pPr>
      <w:bookmarkStart w:id="225" w:name="_Ref48686641"/>
      <w:bookmarkStart w:id="226" w:name="_Toc49617390"/>
      <w:bookmarkStart w:id="227" w:name="_Toc52971078"/>
      <w:r>
        <w:lastRenderedPageBreak/>
        <w:t xml:space="preserve">Table </w:t>
      </w:r>
      <w:r>
        <w:fldChar w:fldCharType="begin"/>
      </w:r>
      <w:r>
        <w:instrText>SEQ Table \* ARABIC</w:instrText>
      </w:r>
      <w:r>
        <w:fldChar w:fldCharType="separate"/>
      </w:r>
      <w:r w:rsidR="00235F13">
        <w:rPr>
          <w:noProof/>
        </w:rPr>
        <w:t>23</w:t>
      </w:r>
      <w:r>
        <w:fldChar w:fldCharType="end"/>
      </w:r>
      <w:bookmarkEnd w:id="225"/>
      <w:r>
        <w:t xml:space="preserve"> </w:t>
      </w:r>
      <w:r>
        <w:rPr>
          <w:b w:val="0"/>
          <w:bCs w:val="0"/>
        </w:rPr>
        <w:t xml:space="preserve">Examples of climate adaptation strategies that may be effective for ERF methodologies focused on planting </w:t>
      </w:r>
      <w:r w:rsidR="00CD3D3D">
        <w:rPr>
          <w:b w:val="0"/>
          <w:bCs w:val="0"/>
        </w:rPr>
        <w:t xml:space="preserve">of </w:t>
      </w:r>
      <w:r>
        <w:rPr>
          <w:b w:val="0"/>
          <w:bCs w:val="0"/>
        </w:rPr>
        <w:t>new forests</w:t>
      </w:r>
      <w:bookmarkEnd w:id="226"/>
      <w:r w:rsidR="00BF2234">
        <w:rPr>
          <w:b w:val="0"/>
          <w:bCs w:val="0"/>
        </w:rPr>
        <w:t>.</w:t>
      </w:r>
      <w:bookmarkEnd w:id="227"/>
      <w:r w:rsidR="00BF2234">
        <w:rPr>
          <w:b w:val="0"/>
          <w:bCs w:val="0"/>
        </w:rPr>
        <w:t xml:space="preserve"> </w:t>
      </w:r>
    </w:p>
    <w:tbl>
      <w:tblPr>
        <w:tblStyle w:val="TableCSIRO"/>
        <w:tblW w:w="13875" w:type="dxa"/>
        <w:tblInd w:w="-125" w:type="dxa"/>
        <w:tblLayout w:type="fixed"/>
        <w:tblLook w:val="04A0" w:firstRow="1" w:lastRow="0" w:firstColumn="1" w:lastColumn="0" w:noHBand="0" w:noVBand="1"/>
      </w:tblPr>
      <w:tblGrid>
        <w:gridCol w:w="3953"/>
        <w:gridCol w:w="1134"/>
        <w:gridCol w:w="3402"/>
        <w:gridCol w:w="141"/>
        <w:gridCol w:w="5245"/>
      </w:tblGrid>
      <w:tr w:rsidR="00A75AC4" w14:paraId="18B0FC51" w14:textId="77777777" w:rsidTr="00A75AC4">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3953" w:type="dxa"/>
            <w:tcBorders>
              <w:bottom w:val="single" w:sz="4" w:space="0" w:color="BFBFBF" w:themeColor="background1" w:themeShade="BF"/>
            </w:tcBorders>
            <w:shd w:val="clear" w:color="auto" w:fill="FFFFFF" w:themeFill="background1"/>
            <w:hideMark/>
          </w:tcPr>
          <w:p w14:paraId="06BE82B2" w14:textId="5C2F22D0" w:rsidR="0073262D" w:rsidRDefault="00874DAF">
            <w:pPr>
              <w:rPr>
                <w:rFonts w:asciiTheme="minorHAnsi" w:hAnsiTheme="minorHAnsi" w:cstheme="minorHAnsi"/>
                <w:sz w:val="18"/>
                <w:szCs w:val="18"/>
              </w:rPr>
            </w:pPr>
            <w:r w:rsidRPr="00874DAF">
              <w:rPr>
                <w:rFonts w:asciiTheme="minorHAnsi" w:hAnsiTheme="minorHAnsi" w:cstheme="minorHAnsi"/>
                <w:sz w:val="18"/>
                <w:szCs w:val="18"/>
              </w:rPr>
              <w:t>Direct impacts via primary climate change variables</w:t>
            </w:r>
          </w:p>
        </w:tc>
        <w:tc>
          <w:tcPr>
            <w:tcW w:w="1134" w:type="dxa"/>
            <w:tcBorders>
              <w:bottom w:val="single" w:sz="4" w:space="0" w:color="BFBFBF" w:themeColor="background1" w:themeShade="BF"/>
            </w:tcBorders>
            <w:shd w:val="clear" w:color="auto" w:fill="FFFFFF" w:themeFill="background1"/>
            <w:hideMark/>
          </w:tcPr>
          <w:p w14:paraId="55A8AA06"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Pr>
                <w:rFonts w:asciiTheme="minorHAnsi" w:hAnsiTheme="minorHAnsi" w:cstheme="minorHAnsi"/>
                <w:sz w:val="18"/>
                <w:szCs w:val="18"/>
              </w:rPr>
              <w:t>Risk rating</w:t>
            </w:r>
          </w:p>
        </w:tc>
        <w:tc>
          <w:tcPr>
            <w:tcW w:w="3543" w:type="dxa"/>
            <w:gridSpan w:val="2"/>
            <w:tcBorders>
              <w:bottom w:val="single" w:sz="4" w:space="0" w:color="BFBFBF" w:themeColor="background1" w:themeShade="BF"/>
            </w:tcBorders>
            <w:shd w:val="clear" w:color="auto" w:fill="FFFFFF" w:themeFill="background1"/>
            <w:hideMark/>
          </w:tcPr>
          <w:p w14:paraId="182DD7F6"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Adaptation strategy</w:t>
            </w:r>
          </w:p>
        </w:tc>
        <w:tc>
          <w:tcPr>
            <w:tcW w:w="5245" w:type="dxa"/>
            <w:tcBorders>
              <w:bottom w:val="single" w:sz="4" w:space="0" w:color="BFBFBF" w:themeColor="background1" w:themeShade="BF"/>
            </w:tcBorders>
            <w:shd w:val="clear" w:color="auto" w:fill="FFFFFF" w:themeFill="background1"/>
            <w:hideMark/>
          </w:tcPr>
          <w:p w14:paraId="31C2C94A" w14:textId="77777777" w:rsidR="0073262D" w:rsidRDefault="0073262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Notes</w:t>
            </w:r>
          </w:p>
        </w:tc>
      </w:tr>
      <w:tr w:rsidR="003B0453" w14:paraId="45CF48BC" w14:textId="77777777" w:rsidTr="001F61D7">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7CE3BC92" w14:textId="2F795C89" w:rsidR="003B0453" w:rsidRDefault="003B0453"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Heat-stress limi</w:t>
            </w:r>
            <w:r w:rsidR="001F61D7">
              <w:rPr>
                <w:rFonts w:asciiTheme="minorHAnsi" w:hAnsiTheme="minorHAnsi" w:cstheme="minorHAnsi"/>
                <w:b w:val="0"/>
                <w:bCs w:val="0"/>
                <w:color w:val="000000" w:themeColor="text1"/>
                <w:sz w:val="18"/>
                <w:szCs w:val="18"/>
              </w:rPr>
              <w:t>ti</w:t>
            </w:r>
            <w:r>
              <w:rPr>
                <w:rFonts w:asciiTheme="minorHAnsi" w:hAnsiTheme="minorHAnsi" w:cstheme="minorHAnsi"/>
                <w:b w:val="0"/>
                <w:bCs w:val="0"/>
                <w:color w:val="000000" w:themeColor="text1"/>
                <w:sz w:val="18"/>
                <w:szCs w:val="18"/>
              </w:rPr>
              <w:t xml:space="preserve">ng growth and increasing mortality of trees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hideMark/>
          </w:tcPr>
          <w:p w14:paraId="47C63389" w14:textId="77777777" w:rsidR="003B0453" w:rsidRDefault="003B045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54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19B3EA69" w14:textId="77777777" w:rsidR="003B0453" w:rsidRDefault="003B045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Plant breeding, species/genotype selection; select alternative sites with less climate risk. Establishment of species/genetically diverse plantings.</w:t>
            </w:r>
          </w:p>
        </w:tc>
        <w:tc>
          <w:tcPr>
            <w:tcW w:w="52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2634773E" w14:textId="77777777" w:rsidR="003B0453" w:rsidRDefault="003B045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Selecting species/genotypes with higher heat tolerance may improve rates of carbon sequestration. Under more extreme climatic conditions, a shift in land use away from these ERF activities may be required</w:t>
            </w:r>
          </w:p>
        </w:tc>
      </w:tr>
      <w:tr w:rsidR="008875AB" w14:paraId="3AA689FF" w14:textId="77777777" w:rsidTr="004354E2">
        <w:trPr>
          <w:trHeight w:val="230"/>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1D29C8C6" w14:textId="77777777" w:rsidR="008875AB" w:rsidRDefault="008875AB" w:rsidP="004354E2">
            <w:pPr>
              <w:ind w:left="401"/>
              <w:rPr>
                <w:rFonts w:asciiTheme="minorHAnsi" w:hAnsiTheme="minorHAnsi" w:cstheme="minorHAnsi"/>
                <w:b w:val="0"/>
                <w:bCs w:val="0"/>
                <w:color w:val="000000" w:themeColor="text1"/>
                <w:sz w:val="18"/>
                <w:szCs w:val="18"/>
              </w:rPr>
            </w:pPr>
            <w:r w:rsidRPr="00CA3C38">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A2D00"/>
            <w:hideMark/>
          </w:tcPr>
          <w:p w14:paraId="670816B0" w14:textId="77777777" w:rsidR="008875AB" w:rsidRDefault="008875AB"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FFFFFF" w:themeColor="background1"/>
                <w:sz w:val="18"/>
                <w:szCs w:val="18"/>
              </w:rPr>
              <w:t>High</w:t>
            </w:r>
          </w:p>
        </w:tc>
        <w:tc>
          <w:tcPr>
            <w:tcW w:w="354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3C5B5812" w14:textId="77777777" w:rsidR="008875AB" w:rsidRDefault="008875AB"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Initial spacing; planting design.</w:t>
            </w:r>
          </w:p>
        </w:tc>
        <w:tc>
          <w:tcPr>
            <w:tcW w:w="52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174E873A" w14:textId="43D7B08F" w:rsidR="008875AB" w:rsidRDefault="008875AB"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Appropriate for all activities involving new plantings. Weed control may be required for a longer period following establishment related to a longer period for canopy closure</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Row rather than block plantings may improve water availability</w:t>
            </w:r>
          </w:p>
        </w:tc>
      </w:tr>
      <w:tr w:rsidR="007F7908" w14:paraId="0733647D" w14:textId="77777777" w:rsidTr="004354E2">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2D63110F" w14:textId="77777777" w:rsidR="007F7908" w:rsidRDefault="007F7908" w:rsidP="004354E2">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A2D00"/>
            <w:hideMark/>
          </w:tcPr>
          <w:p w14:paraId="4C922C36" w14:textId="77777777" w:rsidR="007F7908" w:rsidRDefault="007F790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FFFFFF" w:themeColor="background1"/>
                <w:sz w:val="18"/>
                <w:szCs w:val="18"/>
              </w:rPr>
              <w:t>High</w:t>
            </w:r>
          </w:p>
        </w:tc>
        <w:tc>
          <w:tcPr>
            <w:tcW w:w="354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1EB70390" w14:textId="77777777" w:rsidR="007F7908" w:rsidRDefault="007F7908"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Plant breeding, species/genotype selection; select alternative sites with less climate risk. Establishment of species/genetically diverse plantings.</w:t>
            </w:r>
          </w:p>
        </w:tc>
        <w:tc>
          <w:tcPr>
            <w:tcW w:w="52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6E106D06" w14:textId="77777777" w:rsidR="007F7908" w:rsidRDefault="007F7908"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Selecting species/genotypes with greater tolerance to warmer temperatures may improve rates of carbon sequestration. Under more extreme climatic conditions, a shift in land use away from these ERF activities may be required</w:t>
            </w:r>
          </w:p>
        </w:tc>
      </w:tr>
      <w:tr w:rsidR="00A75AC4" w14:paraId="410064E8" w14:textId="77777777" w:rsidTr="008875AB">
        <w:trPr>
          <w:trHeight w:val="230"/>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58CC807F" w14:textId="4CBFAC12" w:rsidR="0073262D" w:rsidRDefault="00181CFB">
            <w:pPr>
              <w:ind w:left="401"/>
              <w:rPr>
                <w:rFonts w:asciiTheme="minorHAnsi" w:hAnsiTheme="minorHAnsi" w:cstheme="minorHAnsi"/>
                <w:b w:val="0"/>
                <w:bCs w:val="0"/>
                <w:color w:val="000000" w:themeColor="text1"/>
                <w:sz w:val="18"/>
                <w:szCs w:val="18"/>
              </w:rPr>
            </w:pPr>
            <w:r w:rsidRPr="00150C86">
              <w:rPr>
                <w:rFonts w:asciiTheme="minorHAnsi" w:hAnsiTheme="minorHAnsi" w:cstheme="minorHAnsi"/>
                <w:b w:val="0"/>
                <w:bCs w:val="0"/>
                <w:color w:val="000000" w:themeColor="text1"/>
                <w:sz w:val="18"/>
                <w:szCs w:val="18"/>
              </w:rPr>
              <w:t>Changes in timing/occurrence of suitable conditions for tree and crop establishment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hideMark/>
          </w:tcPr>
          <w:p w14:paraId="386A7682"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54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2E946235"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Site preparation</w:t>
            </w:r>
          </w:p>
        </w:tc>
        <w:tc>
          <w:tcPr>
            <w:tcW w:w="52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D884D0B" w14:textId="33674848"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Areas identified as at risk can be managed to improve establishment through practices such as soil ripping and mounding to improve water infiltration, and weed control to reduce early competition for water</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Under more extreme climatic conditions a shift in land use away from these ERF activities may be required</w:t>
            </w:r>
          </w:p>
        </w:tc>
      </w:tr>
      <w:tr w:rsidR="0073262D" w14:paraId="2F37DFD7" w14:textId="77777777" w:rsidTr="007660BE">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472BDDD1" w14:textId="785D7C35" w:rsidR="0073262D" w:rsidRDefault="00181CFB">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Increased frost damage associated with increased dryness / reduced opportunities for frost hardening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14:paraId="78E963FA" w14:textId="7377CA00" w:rsidR="0073262D" w:rsidRDefault="007660B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54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14F54769" w14:textId="2AA53E1C" w:rsidR="00F02565" w:rsidRDefault="0073262D" w:rsidP="00BE743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Species/genotype selection; select alternative sites with less climate risk</w:t>
            </w:r>
            <w:r w:rsidR="00F02565">
              <w:rPr>
                <w:rFonts w:asciiTheme="minorHAnsi" w:hAnsiTheme="minorHAnsi" w:cstheme="minorHAnsi"/>
                <w:color w:val="000000" w:themeColor="text1"/>
                <w:sz w:val="18"/>
                <w:szCs w:val="18"/>
              </w:rPr>
              <w:t>.</w:t>
            </w:r>
            <w:r w:rsidR="00BE7435">
              <w:rPr>
                <w:rFonts w:asciiTheme="minorHAnsi" w:hAnsiTheme="minorHAnsi" w:cstheme="minorHAnsi"/>
                <w:color w:val="000000" w:themeColor="text1"/>
                <w:sz w:val="18"/>
                <w:szCs w:val="18"/>
              </w:rPr>
              <w:t xml:space="preserve"> </w:t>
            </w:r>
            <w:r w:rsidR="00F02565">
              <w:rPr>
                <w:rFonts w:asciiTheme="minorHAnsi" w:hAnsiTheme="minorHAnsi" w:cstheme="minorHAnsi"/>
                <w:color w:val="000000" w:themeColor="text1"/>
                <w:sz w:val="18"/>
                <w:szCs w:val="18"/>
              </w:rPr>
              <w:t>Establishment of species/genetically diverse plantings</w:t>
            </w:r>
            <w:r w:rsidR="00BE7435">
              <w:rPr>
                <w:rFonts w:asciiTheme="minorHAnsi" w:hAnsiTheme="minorHAnsi" w:cstheme="minorHAnsi"/>
                <w:color w:val="000000" w:themeColor="text1"/>
                <w:sz w:val="18"/>
                <w:szCs w:val="18"/>
              </w:rPr>
              <w:t>.</w:t>
            </w:r>
          </w:p>
        </w:tc>
        <w:tc>
          <w:tcPr>
            <w:tcW w:w="52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20C135C1" w14:textId="77777777" w:rsidR="0073262D" w:rsidRDefault="0073262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Selecting species/genotypes with greater tolerance to unseasonal frosts may improve establishment rates. Under more extreme climatic conditions, a shift in land use away from these ERF activities may be required</w:t>
            </w:r>
          </w:p>
        </w:tc>
      </w:tr>
      <w:tr w:rsidR="007660BE" w14:paraId="154AB271" w14:textId="77777777" w:rsidTr="007660BE">
        <w:trPr>
          <w:trHeight w:val="230"/>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094521C2" w14:textId="77777777" w:rsidR="007660BE" w:rsidRDefault="007660BE" w:rsidP="004354E2">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sz w:val="18"/>
                <w:szCs w:val="18"/>
              </w:rPr>
              <w:t>Decreased frost days with implications for increased seed dormancy and reduced germination rates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14:paraId="3C2CBA1C" w14:textId="77777777" w:rsidR="007660BE" w:rsidRDefault="007660BE"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54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1AECAB93" w14:textId="77777777" w:rsidR="007660BE" w:rsidRDefault="007660BE"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2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47EF35C" w14:textId="77777777" w:rsidR="007660BE" w:rsidRDefault="007660BE"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874DAF" w14:paraId="14982576" w14:textId="77777777" w:rsidTr="004354E2">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2C612F64" w14:textId="77777777" w:rsidR="00874DAF" w:rsidRDefault="00874DAF" w:rsidP="004354E2">
            <w:pPr>
              <w:ind w:left="401"/>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hideMark/>
          </w:tcPr>
          <w:p w14:paraId="2763DED4" w14:textId="77777777" w:rsidR="00874DAF" w:rsidRDefault="00874DA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3D683A24" w14:textId="77777777" w:rsidR="00874DAF" w:rsidRDefault="00874DAF"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Site preparation</w:t>
            </w:r>
          </w:p>
        </w:tc>
        <w:tc>
          <w:tcPr>
            <w:tcW w:w="5386"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628B49B9" w14:textId="77777777" w:rsidR="00874DAF" w:rsidRDefault="00874DAF"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Areas identified as at risk of flooding can be managed to improve establishment through practices such as soil ripping and mounding</w:t>
            </w:r>
          </w:p>
        </w:tc>
      </w:tr>
      <w:tr w:rsidR="00874DAF" w14:paraId="1674F065" w14:textId="77777777" w:rsidTr="004354E2">
        <w:trPr>
          <w:trHeight w:val="29"/>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8D8BF71" w14:textId="77777777" w:rsidR="00874DAF" w:rsidRDefault="00874DAF" w:rsidP="004354E2">
            <w:pPr>
              <w:ind w:left="401"/>
              <w:rPr>
                <w:rFonts w:asciiTheme="minorHAnsi" w:hAnsiTheme="minorHAnsi" w:cstheme="minorHAnsi"/>
                <w:b w:val="0"/>
                <w:bCs w:val="0"/>
                <w:color w:val="000000" w:themeColor="text1"/>
                <w:sz w:val="18"/>
                <w:szCs w:val="18"/>
              </w:rPr>
            </w:pPr>
            <w:r w:rsidRPr="00CA3C38">
              <w:rPr>
                <w:rFonts w:asciiTheme="minorHAnsi" w:hAnsiTheme="minorHAnsi" w:cstheme="minorHAnsi"/>
                <w:b w:val="0"/>
                <w:bCs w:val="0"/>
                <w:color w:val="000000" w:themeColor="text1"/>
                <w:sz w:val="18"/>
                <w:szCs w:val="18"/>
              </w:rPr>
              <w:t xml:space="preserve">Mechanical damage from wind and storms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hideMark/>
          </w:tcPr>
          <w:p w14:paraId="2E353D6D" w14:textId="77777777" w:rsidR="00874DAF" w:rsidRDefault="00874DA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4B823D50" w14:textId="77777777" w:rsidR="00874DAF" w:rsidRDefault="00874DAF"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5386"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E77012C" w14:textId="77777777" w:rsidR="00874DAF" w:rsidRDefault="00874DAF"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r>
    </w:tbl>
    <w:p w14:paraId="3B7C68F0" w14:textId="5D88695B" w:rsidR="00007B6A" w:rsidRDefault="00007B6A"/>
    <w:p w14:paraId="553EBE38" w14:textId="77777777" w:rsidR="00007B6A" w:rsidRDefault="00007B6A">
      <w:r>
        <w:br w:type="page"/>
      </w:r>
    </w:p>
    <w:tbl>
      <w:tblPr>
        <w:tblStyle w:val="TableCSIRO"/>
        <w:tblW w:w="13882" w:type="dxa"/>
        <w:tblInd w:w="-13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6"/>
        <w:gridCol w:w="3952"/>
        <w:gridCol w:w="1134"/>
        <w:gridCol w:w="141"/>
        <w:gridCol w:w="3262"/>
        <w:gridCol w:w="5387"/>
      </w:tblGrid>
      <w:tr w:rsidR="00007B6A" w14:paraId="4973BD6D" w14:textId="77777777" w:rsidTr="004A382E">
        <w:trPr>
          <w:cnfStyle w:val="100000000000" w:firstRow="1" w:lastRow="0" w:firstColumn="0" w:lastColumn="0" w:oddVBand="0" w:evenVBand="0" w:oddHBand="0"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3959" w:type="dxa"/>
            <w:gridSpan w:val="2"/>
            <w:shd w:val="clear" w:color="auto" w:fill="FFFFFF" w:themeFill="background1"/>
            <w:tcMar>
              <w:top w:w="28" w:type="dxa"/>
              <w:left w:w="28" w:type="dxa"/>
              <w:bottom w:w="28" w:type="dxa"/>
              <w:right w:w="28" w:type="dxa"/>
            </w:tcMar>
            <w:vAlign w:val="center"/>
            <w:hideMark/>
          </w:tcPr>
          <w:p w14:paraId="0D699DF4" w14:textId="1242B879" w:rsidR="004A382E" w:rsidRDefault="004A382E" w:rsidP="004354E2">
            <w:pPr>
              <w:ind w:left="117"/>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lastRenderedPageBreak/>
              <w:t>Table 23 Contd.</w:t>
            </w:r>
          </w:p>
          <w:p w14:paraId="2A073357" w14:textId="77777777" w:rsidR="004A382E" w:rsidRDefault="004A382E" w:rsidP="004354E2">
            <w:pPr>
              <w:ind w:left="117"/>
              <w:rPr>
                <w:rFonts w:asciiTheme="minorHAnsi" w:hAnsiTheme="minorHAnsi" w:cstheme="minorHAnsi"/>
                <w:b w:val="0"/>
                <w:bCs w:val="0"/>
                <w:color w:val="000000" w:themeColor="text1"/>
                <w:sz w:val="18"/>
                <w:szCs w:val="18"/>
              </w:rPr>
            </w:pPr>
          </w:p>
          <w:p w14:paraId="615561D8" w14:textId="122E185F" w:rsidR="00007B6A" w:rsidRPr="002F1491" w:rsidRDefault="00007B6A" w:rsidP="004354E2">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Direct impacts via secondary climate change variables</w:t>
            </w:r>
          </w:p>
        </w:tc>
        <w:tc>
          <w:tcPr>
            <w:tcW w:w="1275" w:type="dxa"/>
            <w:gridSpan w:val="2"/>
            <w:shd w:val="clear" w:color="auto" w:fill="FFFFFF" w:themeFill="background1"/>
            <w:vAlign w:val="center"/>
          </w:tcPr>
          <w:p w14:paraId="2397929B" w14:textId="77777777" w:rsidR="00007B6A" w:rsidRDefault="00007B6A" w:rsidP="004354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p>
        </w:tc>
        <w:tc>
          <w:tcPr>
            <w:tcW w:w="3262" w:type="dxa"/>
            <w:shd w:val="clear" w:color="auto" w:fill="FFFFFF" w:themeFill="background1"/>
          </w:tcPr>
          <w:p w14:paraId="08E016CF" w14:textId="77777777" w:rsidR="00007B6A" w:rsidRDefault="00007B6A" w:rsidP="004354E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p>
        </w:tc>
        <w:tc>
          <w:tcPr>
            <w:tcW w:w="5386" w:type="dxa"/>
            <w:shd w:val="clear" w:color="auto" w:fill="FFFFFF" w:themeFill="background1"/>
          </w:tcPr>
          <w:p w14:paraId="17D7B627" w14:textId="77777777" w:rsidR="00007B6A" w:rsidRDefault="00007B6A" w:rsidP="004354E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p>
        </w:tc>
      </w:tr>
      <w:tr w:rsidR="00074C12" w14:paraId="49DD4A6B" w14:textId="77777777" w:rsidTr="004A382E">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gridBefore w:val="1"/>
          <w:cnfStyle w:val="000000100000" w:firstRow="0" w:lastRow="0" w:firstColumn="0" w:lastColumn="0" w:oddVBand="0" w:evenVBand="0" w:oddHBand="1" w:evenHBand="0" w:firstRowFirstColumn="0" w:firstRowLastColumn="0" w:lastRowFirstColumn="0" w:lastRowLastColumn="0"/>
          <w:wBefore w:w="7" w:type="dxa"/>
          <w:trHeight w:val="29"/>
        </w:trPr>
        <w:tc>
          <w:tcPr>
            <w:cnfStyle w:val="001000000000" w:firstRow="0" w:lastRow="0" w:firstColumn="1" w:lastColumn="0" w:oddVBand="0" w:evenVBand="0" w:oddHBand="0" w:evenHBand="0" w:firstRowFirstColumn="0" w:firstRowLastColumn="0" w:lastRowFirstColumn="0" w:lastRowLastColumn="0"/>
            <w:tcW w:w="39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3083E13E" w14:textId="77777777" w:rsidR="00074C12" w:rsidRDefault="00074C12" w:rsidP="004354E2">
            <w:pPr>
              <w:ind w:left="401"/>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 xml:space="preserve">Drought-induced </w:t>
            </w:r>
            <w:r>
              <w:rPr>
                <w:rFonts w:asciiTheme="minorHAnsi" w:hAnsiTheme="minorHAnsi" w:cstheme="minorHAnsi"/>
                <w:b w:val="0"/>
                <w:bCs w:val="0"/>
                <w:color w:val="000000" w:themeColor="text1"/>
                <w:sz w:val="18"/>
                <w:szCs w:val="18"/>
              </w:rPr>
              <w:t xml:space="preserve">plant </w:t>
            </w:r>
            <w:r w:rsidRPr="000556A4">
              <w:rPr>
                <w:rFonts w:asciiTheme="minorHAnsi" w:hAnsiTheme="minorHAnsi" w:cstheme="minorHAnsi"/>
                <w:b w:val="0"/>
                <w:bCs w:val="0"/>
                <w:color w:val="000000" w:themeColor="text1"/>
                <w:sz w:val="18"/>
                <w:szCs w:val="18"/>
              </w:rPr>
              <w:t>mortality, with possibility of recruitment failure.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hideMark/>
          </w:tcPr>
          <w:p w14:paraId="4E64E15D" w14:textId="77777777" w:rsidR="00074C12" w:rsidRDefault="00074C12"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02"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F267E76" w14:textId="77777777" w:rsidR="00074C12" w:rsidRDefault="00074C12"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Initial spacing; thinning; land use change</w:t>
            </w:r>
          </w:p>
        </w:tc>
        <w:tc>
          <w:tcPr>
            <w:tcW w:w="5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2CE27E4" w14:textId="40A7B2A7" w:rsidR="00074C12" w:rsidRDefault="00074C12" w:rsidP="004354E2">
            <w:pPr>
              <w:tabs>
                <w:tab w:val="left" w:pos="1077"/>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At sites identified as having a high risk of drought, reducing initial spacing may be effective in managing water stress</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Where unexpected drought is stressing plantings, thinning can be used to reduce competition for water. Under more extreme climatic conditions, a shift in land use away from these ERF activities may be required</w:t>
            </w:r>
          </w:p>
        </w:tc>
      </w:tr>
      <w:tr w:rsidR="00074C12" w14:paraId="5A8860EB" w14:textId="77777777" w:rsidTr="004A382E">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gridBefore w:val="1"/>
          <w:wBefore w:w="7" w:type="dxa"/>
          <w:trHeight w:val="275"/>
        </w:trPr>
        <w:tc>
          <w:tcPr>
            <w:cnfStyle w:val="001000000000" w:firstRow="0" w:lastRow="0" w:firstColumn="1" w:lastColumn="0" w:oddVBand="0" w:evenVBand="0" w:oddHBand="0" w:evenHBand="0" w:firstRowFirstColumn="0" w:firstRowLastColumn="0" w:lastRowFirstColumn="0" w:lastRowLastColumn="0"/>
            <w:tcW w:w="39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25A50C56" w14:textId="77777777" w:rsidR="00074C12" w:rsidRDefault="00074C12" w:rsidP="004354E2">
            <w:pPr>
              <w:ind w:left="401"/>
              <w:rPr>
                <w:rFonts w:asciiTheme="minorHAnsi" w:hAnsiTheme="minorHAnsi" w:cstheme="minorHAnsi"/>
                <w:color w:val="000000" w:themeColor="text1"/>
                <w:sz w:val="18"/>
                <w:szCs w:val="18"/>
              </w:rPr>
            </w:pPr>
            <w:r w:rsidRPr="000556A4">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hideMark/>
          </w:tcPr>
          <w:p w14:paraId="47D6FB7C" w14:textId="77777777" w:rsidR="00074C12" w:rsidRDefault="00074C12"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02"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1D7A9F63" w14:textId="77777777" w:rsidR="00074C12" w:rsidRDefault="00074C12"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04415C8E" w14:textId="77777777" w:rsidR="00074C12" w:rsidRDefault="00074C12"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074C12" w14:paraId="473AD9F0" w14:textId="77777777" w:rsidTr="004A382E">
        <w:trPr>
          <w:gridBefore w:val="1"/>
          <w:cnfStyle w:val="000000100000" w:firstRow="0" w:lastRow="0" w:firstColumn="0" w:lastColumn="0" w:oddVBand="0" w:evenVBand="0" w:oddHBand="1" w:evenHBand="0" w:firstRowFirstColumn="0" w:firstRowLastColumn="0" w:lastRowFirstColumn="0" w:lastRowLastColumn="0"/>
          <w:wBefore w:w="7" w:type="dxa"/>
          <w:trHeight w:val="29"/>
        </w:trPr>
        <w:tc>
          <w:tcPr>
            <w:cnfStyle w:val="001000000000" w:firstRow="0" w:lastRow="0" w:firstColumn="1" w:lastColumn="0" w:oddVBand="0" w:evenVBand="0" w:oddHBand="0" w:evenHBand="0" w:firstRowFirstColumn="0" w:firstRowLastColumn="0" w:lastRowFirstColumn="0" w:lastRowLastColumn="0"/>
            <w:tcW w:w="3952"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57CBE4F" w14:textId="77777777" w:rsidR="00074C12" w:rsidRPr="002F1491" w:rsidRDefault="00074C12" w:rsidP="004354E2">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Indirect impacts via climate change impacts on weeds, pests and diseases</w:t>
            </w:r>
          </w:p>
        </w:tc>
        <w:tc>
          <w:tcPr>
            <w:tcW w:w="1275" w:type="dxa"/>
            <w:gridSpan w:val="2"/>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D9DCD51" w14:textId="77777777" w:rsidR="00074C12" w:rsidRDefault="00074C12"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62" w:type="dxa"/>
            <w:tcBorders>
              <w:top w:val="single" w:sz="4" w:space="0" w:color="D9D9D9" w:themeColor="background1" w:themeShade="D9"/>
              <w:bottom w:val="single" w:sz="4" w:space="0" w:color="D9D9D9" w:themeColor="background1" w:themeShade="D9"/>
            </w:tcBorders>
            <w:shd w:val="clear" w:color="auto" w:fill="FFFFFF" w:themeFill="background1"/>
          </w:tcPr>
          <w:p w14:paraId="19DA767E" w14:textId="77777777" w:rsidR="00074C12" w:rsidRDefault="00074C12"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5386" w:type="dxa"/>
            <w:tcBorders>
              <w:top w:val="single" w:sz="4" w:space="0" w:color="D9D9D9" w:themeColor="background1" w:themeShade="D9"/>
              <w:bottom w:val="single" w:sz="4" w:space="0" w:color="D9D9D9" w:themeColor="background1" w:themeShade="D9"/>
            </w:tcBorders>
            <w:shd w:val="clear" w:color="auto" w:fill="FFFFFF" w:themeFill="background1"/>
          </w:tcPr>
          <w:p w14:paraId="6D007FFC" w14:textId="77777777" w:rsidR="00074C12" w:rsidRDefault="00074C12"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73262D" w14:paraId="03B4E9DA" w14:textId="77777777" w:rsidTr="004A382E">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gridBefore w:val="1"/>
          <w:wBefore w:w="7" w:type="dxa"/>
          <w:trHeight w:val="230"/>
        </w:trPr>
        <w:tc>
          <w:tcPr>
            <w:cnfStyle w:val="001000000000" w:firstRow="0" w:lastRow="0" w:firstColumn="1" w:lastColumn="0" w:oddVBand="0" w:evenVBand="0" w:oddHBand="0" w:evenHBand="0" w:firstRowFirstColumn="0" w:firstRowLastColumn="0" w:lastRowFirstColumn="0" w:lastRowLastColumn="0"/>
            <w:tcW w:w="39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7200BB52" w14:textId="46E3BF6C" w:rsidR="0073262D" w:rsidRDefault="00181CFB">
            <w:pPr>
              <w:ind w:left="401"/>
              <w:rPr>
                <w:rFonts w:asciiTheme="minorHAnsi" w:hAnsiTheme="minorHAnsi" w:cstheme="minorHAnsi"/>
                <w:b w:val="0"/>
                <w:bCs w:val="0"/>
                <w:color w:val="000000" w:themeColor="text1"/>
                <w:sz w:val="18"/>
                <w:szCs w:val="18"/>
              </w:rPr>
            </w:pPr>
            <w:r w:rsidRPr="00F82CD6">
              <w:rPr>
                <w:rFonts w:asciiTheme="minorHAnsi" w:hAnsiTheme="minorHAnsi" w:cstheme="minorHAnsi"/>
                <w:b w:val="0"/>
                <w:bCs w:val="0"/>
                <w:color w:val="000000" w:themeColor="text1"/>
                <w:sz w:val="18"/>
                <w:szCs w:val="18"/>
              </w:rPr>
              <w:t>Increase in invasive weeds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hideMark/>
          </w:tcPr>
          <w:p w14:paraId="211F2B82"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0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66E3DDB"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Weed management</w:t>
            </w:r>
          </w:p>
        </w:tc>
        <w:tc>
          <w:tcPr>
            <w:tcW w:w="53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E47CDF4"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Chemical and mechanical methods can be applied</w:t>
            </w:r>
          </w:p>
        </w:tc>
      </w:tr>
      <w:tr w:rsidR="00A75AC4" w14:paraId="121BFC64" w14:textId="77777777" w:rsidTr="004A382E">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gridBefore w:val="1"/>
          <w:cnfStyle w:val="000000100000" w:firstRow="0" w:lastRow="0" w:firstColumn="0" w:lastColumn="0" w:oddVBand="0" w:evenVBand="0" w:oddHBand="1" w:evenHBand="0" w:firstRowFirstColumn="0" w:firstRowLastColumn="0" w:lastRowFirstColumn="0" w:lastRowLastColumn="0"/>
          <w:wBefore w:w="7" w:type="dxa"/>
          <w:trHeight w:val="230"/>
        </w:trPr>
        <w:tc>
          <w:tcPr>
            <w:cnfStyle w:val="001000000000" w:firstRow="0" w:lastRow="0" w:firstColumn="1" w:lastColumn="0" w:oddVBand="0" w:evenVBand="0" w:oddHBand="0" w:evenHBand="0" w:firstRowFirstColumn="0" w:firstRowLastColumn="0" w:lastRowFirstColumn="0" w:lastRowLastColumn="0"/>
            <w:tcW w:w="39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4E7C0C5D" w14:textId="03F4A2D5" w:rsidR="0073262D" w:rsidRDefault="00181CFB">
            <w:pPr>
              <w:ind w:left="401"/>
              <w:rPr>
                <w:rFonts w:asciiTheme="minorHAnsi" w:hAnsiTheme="minorHAnsi" w:cstheme="minorHAnsi"/>
                <w:b w:val="0"/>
                <w:bCs w:val="0"/>
                <w:color w:val="000000" w:themeColor="text1"/>
                <w:sz w:val="18"/>
                <w:szCs w:val="18"/>
              </w:rPr>
            </w:pPr>
            <w:r w:rsidRPr="00CE0886">
              <w:rPr>
                <w:rFonts w:asciiTheme="minorHAnsi" w:hAnsiTheme="minorHAnsi" w:cstheme="minorHAnsi"/>
                <w:b w:val="0"/>
                <w:bCs w:val="0"/>
                <w:color w:val="000000" w:themeColor="text1"/>
                <w:sz w:val="18"/>
                <w:szCs w:val="18"/>
              </w:rPr>
              <w:t>Increase in browsing by feral animals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hideMark/>
          </w:tcPr>
          <w:p w14:paraId="07F32028" w14:textId="77777777" w:rsidR="0073262D" w:rsidRDefault="0073262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40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6D0057B" w14:textId="77777777" w:rsidR="0073262D" w:rsidRDefault="0073262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Browsing animal control</w:t>
            </w:r>
          </w:p>
        </w:tc>
        <w:tc>
          <w:tcPr>
            <w:tcW w:w="53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56F18ED" w14:textId="77777777" w:rsidR="0073262D" w:rsidRDefault="0073262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Fencing, chemical or physical controls are possible; state-level controls on use of chemical and physical methods may apply</w:t>
            </w:r>
          </w:p>
        </w:tc>
      </w:tr>
      <w:tr w:rsidR="0073262D" w14:paraId="05C51697" w14:textId="77777777" w:rsidTr="004A382E">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PrEx>
        <w:trPr>
          <w:gridBefore w:val="1"/>
          <w:wBefore w:w="7" w:type="dxa"/>
          <w:trHeight w:val="417"/>
        </w:trPr>
        <w:tc>
          <w:tcPr>
            <w:cnfStyle w:val="001000000000" w:firstRow="0" w:lastRow="0" w:firstColumn="1" w:lastColumn="0" w:oddVBand="0" w:evenVBand="0" w:oddHBand="0" w:evenHBand="0" w:firstRowFirstColumn="0" w:firstRowLastColumn="0" w:lastRowFirstColumn="0" w:lastRowLastColumn="0"/>
            <w:tcW w:w="39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hideMark/>
          </w:tcPr>
          <w:p w14:paraId="75A72AEF" w14:textId="77777777" w:rsidR="0073262D" w:rsidRDefault="0073262D">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 xml:space="preserve">Extended range of pests/diseases; Increased over-wintering </w:t>
            </w:r>
            <w:r>
              <w:rPr>
                <w:rFonts w:asciiTheme="minorHAnsi" w:hAnsiTheme="minorHAnsi" w:cstheme="minorHAnsi"/>
                <w:b w:val="0"/>
                <w:bCs w:val="0"/>
                <w:sz w:val="18"/>
                <w:szCs w:val="18"/>
              </w:rPr>
              <w:t>resulting in faster build-up in the growing season</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D7D31"/>
            <w:hideMark/>
          </w:tcPr>
          <w:p w14:paraId="29271BCB" w14:textId="77777777" w:rsidR="0073262D" w:rsidRDefault="007326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402"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39F60D94" w14:textId="77777777"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Integrated pest management</w:t>
            </w:r>
          </w:p>
        </w:tc>
        <w:tc>
          <w:tcPr>
            <w:tcW w:w="5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2F73BA76" w14:textId="638FBABD" w:rsidR="0073262D" w:rsidRDefault="007326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On-site debris and weeds can provide over-wintering sites for insects and pathogens, and removal may reduce early-season pest/disease build-ups</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Integrated pest management can guide where and when pest management strategies will be effective</w:t>
            </w:r>
          </w:p>
        </w:tc>
      </w:tr>
    </w:tbl>
    <w:p w14:paraId="01C99878" w14:textId="77777777" w:rsidR="00C41537" w:rsidRDefault="00C41537" w:rsidP="00C41537">
      <w:pPr>
        <w:pStyle w:val="BodyText"/>
      </w:pPr>
    </w:p>
    <w:p w14:paraId="2DEAEABE" w14:textId="77777777" w:rsidR="00C41537" w:rsidRDefault="00C41537" w:rsidP="00C41537">
      <w:pPr>
        <w:rPr>
          <w:rFonts w:ascii="Calibri" w:eastAsia="Calibri" w:hAnsi="Calibri"/>
          <w:b/>
          <w:bCs/>
          <w:color w:val="007E9A" w:themeColor="accent1" w:themeShade="BF"/>
          <w:sz w:val="20"/>
          <w:szCs w:val="18"/>
        </w:rPr>
      </w:pPr>
      <w:r>
        <w:br w:type="page"/>
      </w:r>
    </w:p>
    <w:p w14:paraId="283C48E1" w14:textId="64BB1541" w:rsidR="00C41537" w:rsidRDefault="00C41537" w:rsidP="00C41537">
      <w:pPr>
        <w:pStyle w:val="Caption"/>
        <w:rPr>
          <w:b w:val="0"/>
          <w:bCs w:val="0"/>
        </w:rPr>
      </w:pPr>
      <w:bookmarkStart w:id="228" w:name="_Toc49617391"/>
      <w:bookmarkStart w:id="229" w:name="_Toc52971079"/>
      <w:r>
        <w:lastRenderedPageBreak/>
        <w:t xml:space="preserve">Table </w:t>
      </w:r>
      <w:r>
        <w:fldChar w:fldCharType="begin"/>
      </w:r>
      <w:r>
        <w:rPr>
          <w:noProof/>
        </w:rPr>
        <w:instrText xml:space="preserve"> SEQ Table \* ARABIC </w:instrText>
      </w:r>
      <w:r>
        <w:fldChar w:fldCharType="separate"/>
      </w:r>
      <w:r w:rsidR="00235F13">
        <w:rPr>
          <w:noProof/>
        </w:rPr>
        <w:t>24</w:t>
      </w:r>
      <w:r>
        <w:fldChar w:fldCharType="end"/>
      </w:r>
      <w:bookmarkEnd w:id="221"/>
      <w:r>
        <w:rPr>
          <w:noProof/>
        </w:rPr>
        <w:t>.</w:t>
      </w:r>
      <w:r>
        <w:t xml:space="preserve"> </w:t>
      </w:r>
      <w:r>
        <w:rPr>
          <w:b w:val="0"/>
          <w:bCs w:val="0"/>
        </w:rPr>
        <w:t xml:space="preserve">Examples of climate adaptation strategies that may be effective for ERF methodologies focused management of agricultural soils. </w:t>
      </w:r>
      <w:bookmarkStart w:id="230" w:name="_Hlk49596001"/>
      <w:r>
        <w:rPr>
          <w:b w:val="0"/>
          <w:bCs w:val="0"/>
        </w:rPr>
        <w:t>All identified strategies focus on the management of rates of soil organic input into the soil from crop residues and plant turnover, to either ensure plant productivity is maintained, or that plant productivity is not compromised. Practical management options for directly manipulating rates of soil carbon loss from respiration are currently limited (Kellenbach et al. 2019)</w:t>
      </w:r>
      <w:bookmarkEnd w:id="230"/>
      <w:r>
        <w:rPr>
          <w:b w:val="0"/>
          <w:bCs w:val="0"/>
        </w:rPr>
        <w:t>.</w:t>
      </w:r>
      <w:bookmarkEnd w:id="228"/>
      <w:bookmarkEnd w:id="229"/>
    </w:p>
    <w:tbl>
      <w:tblPr>
        <w:tblStyle w:val="TableCSIRO"/>
        <w:tblW w:w="14151" w:type="dxa"/>
        <w:tblInd w:w="-11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227"/>
        <w:gridCol w:w="1134"/>
        <w:gridCol w:w="3119"/>
        <w:gridCol w:w="5671"/>
      </w:tblGrid>
      <w:tr w:rsidR="005A0FA2" w14:paraId="37260565" w14:textId="77777777" w:rsidTr="00460733">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4227" w:type="dxa"/>
            <w:tcBorders>
              <w:bottom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2BC49FA7" w14:textId="0C96FE55" w:rsidR="00C046F8" w:rsidRDefault="004F3FEF">
            <w:pPr>
              <w:rPr>
                <w:rFonts w:asciiTheme="minorHAnsi" w:hAnsiTheme="minorHAnsi" w:cstheme="minorHAnsi"/>
                <w:color w:val="000000" w:themeColor="text1"/>
                <w:sz w:val="18"/>
                <w:szCs w:val="18"/>
              </w:rPr>
            </w:pPr>
            <w:r w:rsidRPr="00874DAF">
              <w:rPr>
                <w:rFonts w:asciiTheme="minorHAnsi" w:hAnsiTheme="minorHAnsi" w:cstheme="minorHAnsi"/>
                <w:sz w:val="18"/>
                <w:szCs w:val="18"/>
              </w:rPr>
              <w:t>Direct impacts via primary climate change variables</w:t>
            </w:r>
          </w:p>
        </w:tc>
        <w:tc>
          <w:tcPr>
            <w:tcW w:w="1134" w:type="dxa"/>
            <w:tcBorders>
              <w:bottom w:val="single" w:sz="4" w:space="0" w:color="BFBFBF" w:themeColor="background1" w:themeShade="BF"/>
            </w:tcBorders>
            <w:shd w:val="clear" w:color="auto" w:fill="FFFFFF" w:themeFill="background1"/>
            <w:vAlign w:val="center"/>
            <w:hideMark/>
          </w:tcPr>
          <w:p w14:paraId="312DA12F"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r>
              <w:rPr>
                <w:rFonts w:asciiTheme="minorHAnsi" w:hAnsiTheme="minorHAnsi" w:cstheme="minorHAnsi"/>
                <w:color w:val="000000" w:themeColor="text1"/>
                <w:sz w:val="18"/>
                <w:szCs w:val="18"/>
              </w:rPr>
              <w:t>Risk rating</w:t>
            </w:r>
          </w:p>
        </w:tc>
        <w:tc>
          <w:tcPr>
            <w:tcW w:w="3119" w:type="dxa"/>
            <w:tcBorders>
              <w:bottom w:val="single" w:sz="4" w:space="0" w:color="BFBFBF" w:themeColor="background1" w:themeShade="BF"/>
            </w:tcBorders>
            <w:shd w:val="clear" w:color="auto" w:fill="FFFFFF" w:themeFill="background1"/>
            <w:hideMark/>
          </w:tcPr>
          <w:p w14:paraId="51D81555"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Adaptation strategy</w:t>
            </w:r>
          </w:p>
        </w:tc>
        <w:tc>
          <w:tcPr>
            <w:tcW w:w="5671" w:type="dxa"/>
            <w:tcBorders>
              <w:bottom w:val="single" w:sz="4" w:space="0" w:color="BFBFBF" w:themeColor="background1" w:themeShade="BF"/>
            </w:tcBorders>
            <w:shd w:val="clear" w:color="auto" w:fill="FFFFFF" w:themeFill="background1"/>
            <w:hideMark/>
          </w:tcPr>
          <w:p w14:paraId="69B746DA"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Notes</w:t>
            </w:r>
          </w:p>
        </w:tc>
      </w:tr>
      <w:tr w:rsidR="00376BAC" w14:paraId="3EC9810F" w14:textId="77777777" w:rsidTr="0046073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2A35B50C" w14:textId="77777777" w:rsidR="00376BAC" w:rsidRDefault="00376BAC"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Heat-stress limiting plant growth and increasing mortality rates</w:t>
            </w:r>
          </w:p>
        </w:tc>
        <w:tc>
          <w:tcPr>
            <w:tcW w:w="1134" w:type="dxa"/>
            <w:tcBorders>
              <w:left w:val="single" w:sz="4" w:space="0" w:color="BFBFBF" w:themeColor="background1" w:themeShade="BF"/>
              <w:right w:val="single" w:sz="4" w:space="0" w:color="BFBFBF" w:themeColor="background1" w:themeShade="BF"/>
            </w:tcBorders>
            <w:shd w:val="clear" w:color="auto" w:fill="EA2D00"/>
            <w:vAlign w:val="center"/>
            <w:hideMark/>
          </w:tcPr>
          <w:p w14:paraId="696F4CF9" w14:textId="77777777" w:rsidR="00376BAC" w:rsidRDefault="00376BAC"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FFFFFF" w:themeColor="background1"/>
                <w:sz w:val="18"/>
                <w:szCs w:val="18"/>
              </w:rPr>
              <w:t>Medium/</w:t>
            </w:r>
          </w:p>
          <w:p w14:paraId="6DE8CE76" w14:textId="77777777" w:rsidR="00376BAC" w:rsidRDefault="00376BAC"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FFFFFF" w:themeColor="background1"/>
                <w:sz w:val="18"/>
                <w:szCs w:val="18"/>
              </w:rPr>
              <w:t>High</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17457530" w14:textId="77777777" w:rsidR="00376BAC" w:rsidRDefault="00376BAC"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 Select alternative species/ genotypes Plant breeding</w:t>
            </w: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EAD70B4" w14:textId="1ACD7287" w:rsidR="00376BAC" w:rsidRDefault="00376BAC"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or breed genotypes that are tolerant of heat stress and can survive particularly during the establishment phase</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Under more extreme climatic conditions, a shift to alternative land use may be required</w:t>
            </w:r>
          </w:p>
        </w:tc>
      </w:tr>
      <w:tr w:rsidR="00376BAC" w14:paraId="414567A1" w14:textId="77777777" w:rsidTr="00460733">
        <w:trPr>
          <w:trHeight w:val="230"/>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5747075F" w14:textId="77777777" w:rsidR="00376BAC" w:rsidRDefault="00376BAC"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134" w:type="dxa"/>
            <w:tcBorders>
              <w:left w:val="single" w:sz="4" w:space="0" w:color="BFBFBF" w:themeColor="background1" w:themeShade="BF"/>
              <w:right w:val="single" w:sz="4" w:space="0" w:color="BFBFBF" w:themeColor="background1" w:themeShade="BF"/>
            </w:tcBorders>
            <w:shd w:val="clear" w:color="auto" w:fill="EA2D00"/>
            <w:vAlign w:val="center"/>
            <w:hideMark/>
          </w:tcPr>
          <w:p w14:paraId="5AF29DE7" w14:textId="77777777" w:rsidR="00376BAC" w:rsidRDefault="00376BA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FFFFFF" w:themeColor="background1"/>
                <w:sz w:val="18"/>
                <w:szCs w:val="18"/>
              </w:rPr>
              <w:t>Medium/</w:t>
            </w:r>
          </w:p>
          <w:p w14:paraId="28A09151" w14:textId="77777777" w:rsidR="00376BAC" w:rsidRDefault="00376BAC"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FFFFFF" w:themeColor="background1"/>
                <w:sz w:val="18"/>
                <w:szCs w:val="18"/>
              </w:rPr>
              <w:t>High</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32F3A792" w14:textId="77777777" w:rsidR="00376BAC" w:rsidRDefault="00376BAC"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p w14:paraId="48704908" w14:textId="77777777" w:rsidR="00376BAC" w:rsidRDefault="00376BAC"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16AE8C34" w14:textId="77777777" w:rsidR="00376BAC" w:rsidRDefault="00376BAC"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Under more extreme climatic conditions, a shift to alternative land use may be required</w:t>
            </w:r>
          </w:p>
        </w:tc>
      </w:tr>
      <w:tr w:rsidR="00AA1921" w14:paraId="4F95A62D" w14:textId="77777777" w:rsidTr="00460733">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54697D85" w14:textId="4D9195CE" w:rsidR="00AA1921" w:rsidRDefault="000959BF" w:rsidP="004354E2">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134" w:type="dxa"/>
            <w:tcBorders>
              <w:left w:val="single" w:sz="4" w:space="0" w:color="BFBFBF" w:themeColor="background1" w:themeShade="BF"/>
              <w:right w:val="single" w:sz="4" w:space="0" w:color="BFBFBF" w:themeColor="background1" w:themeShade="BF"/>
            </w:tcBorders>
            <w:shd w:val="clear" w:color="auto" w:fill="EA2D00"/>
            <w:vAlign w:val="center"/>
            <w:hideMark/>
          </w:tcPr>
          <w:p w14:paraId="6E012BC2" w14:textId="77777777" w:rsidR="00AA1921" w:rsidRDefault="00AA1921"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FFFFFF" w:themeColor="background1"/>
                <w:sz w:val="18"/>
                <w:szCs w:val="18"/>
              </w:rPr>
              <w:t>Medium/</w:t>
            </w:r>
          </w:p>
          <w:p w14:paraId="3DF8A684" w14:textId="77777777" w:rsidR="00AA1921" w:rsidRDefault="00AA1921"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FFFFFF" w:themeColor="background1"/>
                <w:sz w:val="18"/>
                <w:szCs w:val="18"/>
              </w:rPr>
              <w:t>High</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0718E54E" w14:textId="77777777" w:rsidR="00AA1921" w:rsidRDefault="00AA192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p w14:paraId="6121A286" w14:textId="77777777" w:rsidR="00AA1921" w:rsidRDefault="00AA192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6264C991" w14:textId="77777777" w:rsidR="00AA1921" w:rsidRDefault="00AA1921"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Under more extreme climatic conditions, a shift to alternative land use may be required</w:t>
            </w:r>
          </w:p>
        </w:tc>
      </w:tr>
      <w:tr w:rsidR="00555168" w14:paraId="57047ED6" w14:textId="77777777" w:rsidTr="00460733">
        <w:trPr>
          <w:trHeight w:val="236"/>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1580BDCD" w14:textId="77777777" w:rsidR="00555168" w:rsidRDefault="00555168"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Changes in timing/occurrence of suitable conditions for tree and crop establishment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hideMark/>
          </w:tcPr>
          <w:p w14:paraId="06FE279C" w14:textId="77777777" w:rsidR="00555168" w:rsidRDefault="0055516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F423FBF" w14:textId="77777777" w:rsidR="00555168" w:rsidRDefault="00555168"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B946572" w14:textId="77777777" w:rsidR="00555168" w:rsidRDefault="00555168"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Under more extreme climatic conditions, a shift to alternative land use may be required</w:t>
            </w:r>
          </w:p>
        </w:tc>
      </w:tr>
      <w:tr w:rsidR="00555168" w14:paraId="5E380BFE" w14:textId="77777777" w:rsidTr="00460733">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3337910D" w14:textId="77777777" w:rsidR="00555168" w:rsidRDefault="00555168"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sz w:val="18"/>
                <w:szCs w:val="18"/>
              </w:rPr>
              <w:t>Increased frost damage associated with increased dryness / reduced opportunities for frost hardening.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5C47A28" w14:textId="77777777" w:rsidR="00555168" w:rsidRDefault="00555168"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D8F59F4" w14:textId="77777777" w:rsidR="00555168" w:rsidRDefault="00555168"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species/genotypes</w:t>
            </w:r>
          </w:p>
          <w:p w14:paraId="4F7A9E36" w14:textId="77777777" w:rsidR="00555168" w:rsidRDefault="00555168"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Plant breeding</w:t>
            </w: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2E145CC7" w14:textId="77777777" w:rsidR="00555168" w:rsidRDefault="00555168"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species/genotypes more tolerant of out of season frosts</w:t>
            </w:r>
          </w:p>
        </w:tc>
      </w:tr>
      <w:tr w:rsidR="002C7CD3" w14:paraId="45784F7F" w14:textId="77777777" w:rsidTr="00460733">
        <w:trPr>
          <w:trHeight w:val="417"/>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30544DCC" w14:textId="77777777" w:rsidR="002C7CD3" w:rsidRDefault="002C7CD3"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sz w:val="18"/>
                <w:szCs w:val="18"/>
              </w:rPr>
              <w:t>Decreased frost days with implications for seed dormancy and reduced germination rates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2D39488D" w14:textId="77777777" w:rsidR="002C7CD3" w:rsidRDefault="002C7CD3"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9A120F8" w14:textId="77777777" w:rsidR="002C7CD3" w:rsidRDefault="002C7CD3"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Sow seed</w:t>
            </w: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57A721C" w14:textId="77777777" w:rsidR="002C7CD3" w:rsidRDefault="002C7CD3"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Sow pre-treated seed where recruitment rates are expected to be poor due to dormancy issues</w:t>
            </w:r>
          </w:p>
        </w:tc>
      </w:tr>
      <w:tr w:rsidR="002C7CD3" w14:paraId="10CDF4A8" w14:textId="77777777" w:rsidTr="0046073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4ECAABF7" w14:textId="77777777" w:rsidR="002C7CD3" w:rsidRDefault="002C7CD3"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sz w:val="18"/>
                <w:szCs w:val="18"/>
              </w:rPr>
              <w:t>Changes to soil respiration and soil microbial processes</w:t>
            </w:r>
          </w:p>
        </w:tc>
        <w:tc>
          <w:tcPr>
            <w:tcW w:w="1134"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A2D00"/>
            <w:vAlign w:val="center"/>
            <w:hideMark/>
          </w:tcPr>
          <w:p w14:paraId="503413B9" w14:textId="77777777" w:rsidR="002C7CD3" w:rsidRDefault="002C7C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FFFFFF" w:themeColor="background1"/>
                <w:sz w:val="18"/>
                <w:szCs w:val="18"/>
              </w:rPr>
              <w:t>Medium/</w:t>
            </w:r>
          </w:p>
          <w:p w14:paraId="78E576BF" w14:textId="77777777" w:rsidR="002C7CD3" w:rsidRDefault="002C7CD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FFFFFF" w:themeColor="background1"/>
                <w:sz w:val="18"/>
                <w:szCs w:val="18"/>
              </w:rPr>
              <w:t>High</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160975B9" w14:textId="77777777" w:rsidR="002C7CD3" w:rsidRDefault="002C7CD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3F60943" w14:textId="77777777" w:rsidR="002C7CD3" w:rsidRDefault="002C7CD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r>
      <w:tr w:rsidR="002C7CD3" w14:paraId="1A72BEBC" w14:textId="77777777" w:rsidTr="00460733">
        <w:trPr>
          <w:trHeight w:val="376"/>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73F0CFEE" w14:textId="77777777" w:rsidR="002C7CD3" w:rsidRDefault="002C7CD3"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Changes to timing/seasonality of crop growth.</w:t>
            </w:r>
          </w:p>
        </w:tc>
        <w:tc>
          <w:tcPr>
            <w:tcW w:w="1134"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FC000"/>
            <w:vAlign w:val="center"/>
            <w:hideMark/>
          </w:tcPr>
          <w:p w14:paraId="7865C1F0" w14:textId="77777777" w:rsidR="002C7CD3" w:rsidRDefault="002C7CD3"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sidRPr="000959BF">
              <w:rPr>
                <w:rFonts w:asciiTheme="minorHAnsi" w:hAnsiTheme="minorHAnsi" w:cstheme="minorHAnsi"/>
                <w:color w:val="000000" w:themeColor="text1"/>
                <w:sz w:val="18"/>
                <w:szCs w:val="18"/>
              </w:rPr>
              <w:t>Low</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72CE045A" w14:textId="30A251CB" w:rsidR="002C7CD3" w:rsidRDefault="002C7CD3"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 Select alternative species/ genotypes Plant breeding</w:t>
            </w: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6489EDC0" w14:textId="190664CC" w:rsidR="002C7CD3" w:rsidRDefault="002C7CD3"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species/genotypes with growth cycles more aligned to changed seasonal conditions</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Under more extreme climatic conditions, a shift to alternative land use may be required</w:t>
            </w:r>
          </w:p>
        </w:tc>
      </w:tr>
      <w:tr w:rsidR="004F3FEF" w14:paraId="5D5553CF" w14:textId="77777777" w:rsidTr="00460733">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083F36DF" w14:textId="77777777" w:rsidR="004F3FEF" w:rsidRDefault="004F3FEF"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Increased flooding, with implications for establishing crops and trees, and greater susceptibility to some pests and diseases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hideMark/>
          </w:tcPr>
          <w:p w14:paraId="7C28C540" w14:textId="77777777" w:rsidR="004F3FEF" w:rsidRDefault="004F3FE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14:paraId="432429F3" w14:textId="77777777" w:rsidR="004F3FEF" w:rsidRDefault="004F3FEF"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p w14:paraId="5D6A394D" w14:textId="77777777" w:rsidR="004F3FEF" w:rsidRDefault="004F3FEF"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4F2519A3" w14:textId="77777777" w:rsidR="004F3FEF" w:rsidRDefault="004F3FEF"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Under more extreme climatic conditions, a shift to alternative land use may be required</w:t>
            </w:r>
          </w:p>
        </w:tc>
      </w:tr>
      <w:tr w:rsidR="004F3FEF" w14:paraId="43E7203D" w14:textId="77777777" w:rsidTr="00460733">
        <w:trPr>
          <w:trHeight w:val="44"/>
        </w:trPr>
        <w:tc>
          <w:tcPr>
            <w:cnfStyle w:val="001000000000" w:firstRow="0" w:lastRow="0" w:firstColumn="1" w:lastColumn="0" w:oddVBand="0" w:evenVBand="0" w:oddHBand="0" w:evenHBand="0" w:firstRowFirstColumn="0" w:firstRowLastColumn="0" w:lastRowFirstColumn="0" w:lastRowLastColumn="0"/>
            <w:tcW w:w="422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1222493C" w14:textId="77777777" w:rsidR="004F3FEF" w:rsidRDefault="004F3FEF" w:rsidP="004354E2">
            <w:pPr>
              <w:ind w:left="401"/>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Flood-related soil erosion and deposition</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hideMark/>
          </w:tcPr>
          <w:p w14:paraId="48603838" w14:textId="77777777" w:rsidR="004F3FEF" w:rsidRDefault="004F3FE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2E59A9BE" w14:textId="77777777" w:rsidR="004F3FEF" w:rsidRDefault="004F3FEF"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40D198FE" w14:textId="77777777" w:rsidR="004F3FEF" w:rsidRDefault="004F3FEF"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Under more extreme climatic conditions, a shift to alternative land use may be required</w:t>
            </w:r>
          </w:p>
        </w:tc>
      </w:tr>
    </w:tbl>
    <w:p w14:paraId="633CAD5A" w14:textId="2683FF0E" w:rsidR="00460733" w:rsidRDefault="00460733"/>
    <w:p w14:paraId="30DC95DA" w14:textId="77777777" w:rsidR="00460733" w:rsidRDefault="00460733">
      <w:r>
        <w:br w:type="page"/>
      </w:r>
    </w:p>
    <w:p w14:paraId="5F02A9A6" w14:textId="629B904F" w:rsidR="00460733" w:rsidRPr="00460733" w:rsidRDefault="00460733" w:rsidP="00B76298">
      <w:pPr>
        <w:rPr>
          <w:rFonts w:asciiTheme="minorHAnsi" w:hAnsiTheme="minorHAnsi" w:cstheme="minorHAnsi"/>
          <w:b/>
          <w:bCs/>
          <w:color w:val="000000" w:themeColor="text1"/>
          <w:sz w:val="18"/>
          <w:szCs w:val="18"/>
        </w:rPr>
      </w:pPr>
      <w:r w:rsidRPr="00460733">
        <w:rPr>
          <w:rFonts w:asciiTheme="minorHAnsi" w:hAnsiTheme="minorHAnsi" w:cstheme="minorHAnsi"/>
          <w:b/>
          <w:bCs/>
          <w:color w:val="000000" w:themeColor="text1"/>
          <w:sz w:val="18"/>
          <w:szCs w:val="18"/>
        </w:rPr>
        <w:lastRenderedPageBreak/>
        <w:t>Table 24 Contd.</w:t>
      </w:r>
    </w:p>
    <w:p w14:paraId="43401E8B" w14:textId="77777777" w:rsidR="00460733" w:rsidRDefault="00460733"/>
    <w:tbl>
      <w:tblPr>
        <w:tblStyle w:val="TableCSIRO"/>
        <w:tblW w:w="14160" w:type="dxa"/>
        <w:tblInd w:w="-12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9"/>
        <w:gridCol w:w="3942"/>
        <w:gridCol w:w="285"/>
        <w:gridCol w:w="990"/>
        <w:gridCol w:w="144"/>
        <w:gridCol w:w="3119"/>
        <w:gridCol w:w="5387"/>
        <w:gridCol w:w="284"/>
      </w:tblGrid>
      <w:tr w:rsidR="00A75AC4" w14:paraId="0DB1328E" w14:textId="77777777" w:rsidTr="00460733">
        <w:trPr>
          <w:gridBefore w:val="1"/>
          <w:cnfStyle w:val="100000000000" w:firstRow="1" w:lastRow="0" w:firstColumn="0" w:lastColumn="0" w:oddVBand="0" w:evenVBand="0" w:oddHBand="0" w:evenHBand="0" w:firstRowFirstColumn="0" w:firstRowLastColumn="0" w:lastRowFirstColumn="0" w:lastRowLastColumn="0"/>
          <w:wBefore w:w="9" w:type="dxa"/>
          <w:trHeight w:val="29"/>
        </w:trPr>
        <w:tc>
          <w:tcPr>
            <w:cnfStyle w:val="001000000000" w:firstRow="0" w:lastRow="0" w:firstColumn="1" w:lastColumn="0" w:oddVBand="0" w:evenVBand="0" w:oddHBand="0" w:evenHBand="0" w:firstRowFirstColumn="0" w:firstRowLastColumn="0" w:lastRowFirstColumn="0" w:lastRowLastColumn="0"/>
            <w:tcW w:w="4227" w:type="dxa"/>
            <w:gridSpan w:val="2"/>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C1E0456" w14:textId="25B19D65" w:rsidR="00C046F8" w:rsidRDefault="004F3FEF">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Direct impacts via secondary climate change variables</w:t>
            </w:r>
          </w:p>
        </w:tc>
        <w:tc>
          <w:tcPr>
            <w:tcW w:w="1134" w:type="dxa"/>
            <w:gridSpan w:val="2"/>
            <w:tcBorders>
              <w:bottom w:val="single" w:sz="4" w:space="0" w:color="D9D9D9" w:themeColor="background1" w:themeShade="D9"/>
            </w:tcBorders>
            <w:shd w:val="clear" w:color="auto" w:fill="FFFFFF" w:themeFill="background1"/>
            <w:vAlign w:val="center"/>
          </w:tcPr>
          <w:p w14:paraId="069948FD"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p>
        </w:tc>
        <w:tc>
          <w:tcPr>
            <w:tcW w:w="3119" w:type="dxa"/>
            <w:tcBorders>
              <w:bottom w:val="single" w:sz="4" w:space="0" w:color="D9D9D9" w:themeColor="background1" w:themeShade="D9"/>
            </w:tcBorders>
            <w:shd w:val="clear" w:color="auto" w:fill="FFFFFF" w:themeFill="background1"/>
          </w:tcPr>
          <w:p w14:paraId="0EC18A7D" w14:textId="77777777" w:rsidR="00C046F8" w:rsidRDefault="00C046F8">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p>
        </w:tc>
        <w:tc>
          <w:tcPr>
            <w:tcW w:w="5671" w:type="dxa"/>
            <w:gridSpan w:val="2"/>
            <w:tcBorders>
              <w:bottom w:val="single" w:sz="4" w:space="0" w:color="D9D9D9" w:themeColor="background1" w:themeShade="D9"/>
            </w:tcBorders>
            <w:shd w:val="clear" w:color="auto" w:fill="FFFFFF" w:themeFill="background1"/>
          </w:tcPr>
          <w:p w14:paraId="31EA89B2" w14:textId="77777777" w:rsidR="00C046F8" w:rsidRDefault="00C046F8">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18"/>
                <w:szCs w:val="18"/>
              </w:rPr>
            </w:pPr>
          </w:p>
        </w:tc>
      </w:tr>
      <w:tr w:rsidR="00460733" w14:paraId="70B9C731" w14:textId="77777777" w:rsidTr="00460733">
        <w:trPr>
          <w:gridBefore w:val="1"/>
          <w:cnfStyle w:val="000000100000" w:firstRow="0" w:lastRow="0" w:firstColumn="0" w:lastColumn="0" w:oddVBand="0" w:evenVBand="0" w:oddHBand="1" w:evenHBand="0" w:firstRowFirstColumn="0" w:firstRowLastColumn="0" w:lastRowFirstColumn="0" w:lastRowLastColumn="0"/>
          <w:wBefore w:w="9" w:type="dxa"/>
          <w:trHeight w:val="363"/>
        </w:trPr>
        <w:tc>
          <w:tcPr>
            <w:cnfStyle w:val="001000000000" w:firstRow="0" w:lastRow="0" w:firstColumn="1" w:lastColumn="0" w:oddVBand="0" w:evenVBand="0" w:oddHBand="0" w:evenHBand="0" w:firstRowFirstColumn="0" w:firstRowLastColumn="0" w:lastRowFirstColumn="0" w:lastRowLastColumn="0"/>
            <w:tcW w:w="4227" w:type="dxa"/>
            <w:gridSpan w:val="2"/>
            <w:tcBorders>
              <w:top w:val="single" w:sz="4" w:space="0" w:color="D9D9D9" w:themeColor="background1" w:themeShade="D9"/>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2BC5DA83" w14:textId="77777777" w:rsidR="00460733" w:rsidRDefault="00460733"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Drought-induced plant mortality, with possibility of recruitment failure.</w:t>
            </w:r>
          </w:p>
        </w:tc>
        <w:tc>
          <w:tcPr>
            <w:tcW w:w="1134" w:type="dxa"/>
            <w:gridSpan w:val="2"/>
            <w:tcBorders>
              <w:top w:val="single" w:sz="4" w:space="0" w:color="D9D9D9" w:themeColor="background1" w:themeShade="D9"/>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hideMark/>
          </w:tcPr>
          <w:p w14:paraId="605C8C4F" w14:textId="77777777" w:rsidR="00460733" w:rsidRDefault="0046073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119" w:type="dxa"/>
            <w:tcBorders>
              <w:top w:val="single" w:sz="4" w:space="0" w:color="D9D9D9" w:themeColor="background1" w:themeShade="D9"/>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97F9FCB" w14:textId="77777777" w:rsidR="00460733" w:rsidRDefault="0046073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Species/genotype selection</w:t>
            </w:r>
          </w:p>
          <w:p w14:paraId="10221A92" w14:textId="77777777" w:rsidR="00460733" w:rsidRDefault="0046073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Plant breeding</w:t>
            </w:r>
          </w:p>
          <w:p w14:paraId="07621521" w14:textId="77777777" w:rsidR="00460733" w:rsidRDefault="0046073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671" w:type="dxa"/>
            <w:gridSpan w:val="2"/>
            <w:tcBorders>
              <w:top w:val="single" w:sz="4" w:space="0" w:color="D9D9D9" w:themeColor="background1" w:themeShade="D9"/>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8D14E68" w14:textId="77777777" w:rsidR="00460733" w:rsidRDefault="0046073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species/genotypes more tolerant of water stress. Under more extreme climatic conditions, a shift to alternative land use may be required</w:t>
            </w:r>
          </w:p>
        </w:tc>
      </w:tr>
      <w:tr w:rsidR="00A75AC4" w14:paraId="04AB59E8" w14:textId="77777777" w:rsidTr="0007531D">
        <w:trPr>
          <w:gridBefore w:val="1"/>
          <w:wBefore w:w="9" w:type="dxa"/>
          <w:trHeight w:val="29"/>
        </w:trPr>
        <w:tc>
          <w:tcPr>
            <w:cnfStyle w:val="001000000000" w:firstRow="0" w:lastRow="0" w:firstColumn="1" w:lastColumn="0" w:oddVBand="0" w:evenVBand="0" w:oddHBand="0" w:evenHBand="0" w:firstRowFirstColumn="0" w:firstRowLastColumn="0" w:lastRowFirstColumn="0" w:lastRowLastColumn="0"/>
            <w:tcW w:w="422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15E9B04D" w14:textId="77777777" w:rsidR="00C046F8" w:rsidRDefault="00C046F8">
            <w:pPr>
              <w:ind w:left="401"/>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 xml:space="preserve">Increased fire danger weather; Decreased landscape moisture content, with implications for fire risk; </w:t>
            </w:r>
          </w:p>
        </w:tc>
        <w:tc>
          <w:tcPr>
            <w:tcW w:w="1134"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C000"/>
            <w:vAlign w:val="center"/>
            <w:hideMark/>
          </w:tcPr>
          <w:p w14:paraId="411D3877" w14:textId="77777777" w:rsidR="00C046F8" w:rsidRDefault="00C046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7A86F117" w14:textId="77777777" w:rsidR="00C046F8" w:rsidRDefault="00C046F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Fire management</w:t>
            </w:r>
          </w:p>
        </w:tc>
        <w:tc>
          <w:tcPr>
            <w:tcW w:w="567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25DC04A8" w14:textId="56EF287C" w:rsidR="00C046F8" w:rsidRDefault="00C046F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Activities such as fire breaks may reduce fire movement in the landscape</w:t>
            </w:r>
            <w:r w:rsidR="00BF2234">
              <w:rPr>
                <w:rFonts w:asciiTheme="minorHAnsi" w:hAnsiTheme="minorHAnsi" w:cstheme="minorHAnsi"/>
                <w:color w:val="000000" w:themeColor="text1"/>
                <w:sz w:val="18"/>
                <w:szCs w:val="18"/>
              </w:rPr>
              <w:t xml:space="preserve">. </w:t>
            </w:r>
          </w:p>
        </w:tc>
      </w:tr>
      <w:tr w:rsidR="0007531D" w14:paraId="04400BF1" w14:textId="77777777" w:rsidTr="0007531D">
        <w:trPr>
          <w:gridAfter w:val="1"/>
          <w:cnfStyle w:val="000000100000" w:firstRow="0" w:lastRow="0" w:firstColumn="0" w:lastColumn="0" w:oddVBand="0" w:evenVBand="0" w:oddHBand="1" w:evenHBand="0" w:firstRowFirstColumn="0" w:firstRowLastColumn="0" w:lastRowFirstColumn="0" w:lastRowLastColumn="0"/>
          <w:wAfter w:w="284" w:type="dxa"/>
          <w:trHeight w:val="29"/>
        </w:trPr>
        <w:tc>
          <w:tcPr>
            <w:cnfStyle w:val="001000000000" w:firstRow="0" w:lastRow="0" w:firstColumn="1" w:lastColumn="0" w:oddVBand="0" w:evenVBand="0" w:oddHBand="0" w:evenHBand="0" w:firstRowFirstColumn="0" w:firstRowLastColumn="0" w:lastRowFirstColumn="0" w:lastRowLastColumn="0"/>
            <w:tcW w:w="3951" w:type="dxa"/>
            <w:gridSpan w:val="2"/>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22A39596" w14:textId="77777777" w:rsidR="0007531D" w:rsidRPr="002F1491" w:rsidRDefault="0007531D" w:rsidP="004354E2">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Indirect impacts via climate change impacts on weeds, pests and diseases</w:t>
            </w:r>
          </w:p>
        </w:tc>
        <w:tc>
          <w:tcPr>
            <w:tcW w:w="1275" w:type="dxa"/>
            <w:gridSpan w:val="2"/>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78AE68BD" w14:textId="77777777" w:rsidR="0007531D" w:rsidRDefault="0007531D"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63" w:type="dxa"/>
            <w:gridSpan w:val="2"/>
            <w:tcBorders>
              <w:top w:val="single" w:sz="4" w:space="0" w:color="D9D9D9" w:themeColor="background1" w:themeShade="D9"/>
              <w:bottom w:val="single" w:sz="4" w:space="0" w:color="D9D9D9" w:themeColor="background1" w:themeShade="D9"/>
            </w:tcBorders>
            <w:shd w:val="clear" w:color="auto" w:fill="FFFFFF" w:themeFill="background1"/>
          </w:tcPr>
          <w:p w14:paraId="55F52547" w14:textId="77777777" w:rsidR="0007531D" w:rsidRDefault="0007531D"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5387" w:type="dxa"/>
            <w:tcBorders>
              <w:top w:val="single" w:sz="4" w:space="0" w:color="D9D9D9" w:themeColor="background1" w:themeShade="D9"/>
              <w:bottom w:val="single" w:sz="4" w:space="0" w:color="D9D9D9" w:themeColor="background1" w:themeShade="D9"/>
            </w:tcBorders>
            <w:shd w:val="clear" w:color="auto" w:fill="FFFFFF" w:themeFill="background1"/>
          </w:tcPr>
          <w:p w14:paraId="38A3F022" w14:textId="77777777" w:rsidR="0007531D" w:rsidRDefault="0007531D"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07531D" w14:paraId="56593502" w14:textId="77777777" w:rsidTr="0007531D">
        <w:trPr>
          <w:gridBefore w:val="1"/>
          <w:wBefore w:w="9" w:type="dxa"/>
          <w:trHeight w:val="275"/>
        </w:trPr>
        <w:tc>
          <w:tcPr>
            <w:cnfStyle w:val="001000000000" w:firstRow="0" w:lastRow="0" w:firstColumn="1" w:lastColumn="0" w:oddVBand="0" w:evenVBand="0" w:oddHBand="0" w:evenHBand="0" w:firstRowFirstColumn="0" w:firstRowLastColumn="0" w:lastRowFirstColumn="0" w:lastRowLastColumn="0"/>
            <w:tcW w:w="422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Mar>
              <w:top w:w="28" w:type="dxa"/>
              <w:left w:w="28" w:type="dxa"/>
              <w:bottom w:w="28" w:type="dxa"/>
              <w:right w:w="28" w:type="dxa"/>
            </w:tcMar>
            <w:vAlign w:val="center"/>
            <w:hideMark/>
          </w:tcPr>
          <w:p w14:paraId="6BB1749A" w14:textId="77777777" w:rsidR="0007531D" w:rsidRDefault="0007531D" w:rsidP="004354E2">
            <w:pPr>
              <w:ind w:left="401"/>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 xml:space="preserve">Extended range of pests/diseases; Increased over-wintering </w:t>
            </w:r>
            <w:r>
              <w:rPr>
                <w:rFonts w:asciiTheme="minorHAnsi" w:hAnsiTheme="minorHAnsi" w:cstheme="minorHAnsi"/>
                <w:b w:val="0"/>
                <w:bCs w:val="0"/>
                <w:sz w:val="18"/>
                <w:szCs w:val="18"/>
              </w:rPr>
              <w:t>resulting in faster build-up in the growing season</w:t>
            </w:r>
          </w:p>
        </w:tc>
        <w:tc>
          <w:tcPr>
            <w:tcW w:w="1134"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11D3336E" w14:textId="77777777" w:rsidR="0007531D" w:rsidRDefault="0007531D"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1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6E68C39F" w14:textId="77777777" w:rsidR="0007531D" w:rsidRDefault="0007531D"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Integrated pest management</w:t>
            </w:r>
          </w:p>
          <w:p w14:paraId="4425A199" w14:textId="77777777" w:rsidR="0007531D" w:rsidRDefault="0007531D"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Species/genotype selection</w:t>
            </w:r>
          </w:p>
          <w:p w14:paraId="72B547B7" w14:textId="77777777" w:rsidR="0007531D" w:rsidRDefault="0007531D"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Plant breeding</w:t>
            </w:r>
          </w:p>
        </w:tc>
        <w:tc>
          <w:tcPr>
            <w:tcW w:w="567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2F8D2F38" w14:textId="3B52E095" w:rsidR="0007531D" w:rsidRDefault="0007531D"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Strategic use of chemicals to control pests/diseases</w:t>
            </w:r>
            <w:r w:rsidR="00BF2234">
              <w:rPr>
                <w:rFonts w:asciiTheme="minorHAnsi" w:hAnsiTheme="minorHAnsi" w:cstheme="minorHAnsi"/>
                <w:color w:val="000000" w:themeColor="text1"/>
                <w:sz w:val="18"/>
                <w:szCs w:val="18"/>
              </w:rPr>
              <w:t xml:space="preserve">. </w:t>
            </w:r>
            <w:r>
              <w:rPr>
                <w:rFonts w:asciiTheme="minorHAnsi" w:hAnsiTheme="minorHAnsi" w:cstheme="minorHAnsi"/>
                <w:color w:val="000000" w:themeColor="text1"/>
                <w:sz w:val="18"/>
                <w:szCs w:val="18"/>
              </w:rPr>
              <w:t xml:space="preserve">Use of species/genotypes more resistant to pest attack </w:t>
            </w:r>
          </w:p>
        </w:tc>
      </w:tr>
    </w:tbl>
    <w:p w14:paraId="5CE84C4F" w14:textId="77777777" w:rsidR="0007531D" w:rsidRDefault="0007531D" w:rsidP="00C41537">
      <w:pPr>
        <w:pStyle w:val="Caption"/>
      </w:pPr>
      <w:bookmarkStart w:id="231" w:name="_Ref48686831"/>
      <w:bookmarkStart w:id="232" w:name="_Toc49617392"/>
    </w:p>
    <w:p w14:paraId="45FAE1CF" w14:textId="77777777" w:rsidR="0007531D" w:rsidRDefault="0007531D">
      <w:pPr>
        <w:rPr>
          <w:rFonts w:ascii="Calibri" w:eastAsia="Calibri" w:hAnsi="Calibri"/>
          <w:b/>
          <w:bCs/>
          <w:color w:val="007E9A" w:themeColor="accent1" w:themeShade="BF"/>
          <w:sz w:val="20"/>
          <w:szCs w:val="18"/>
        </w:rPr>
      </w:pPr>
      <w:r>
        <w:br w:type="page"/>
      </w:r>
    </w:p>
    <w:p w14:paraId="23BD4FF4" w14:textId="744D5504" w:rsidR="00C41537" w:rsidRDefault="00C41537" w:rsidP="00C41537">
      <w:pPr>
        <w:pStyle w:val="Caption"/>
        <w:rPr>
          <w:b w:val="0"/>
          <w:bCs w:val="0"/>
        </w:rPr>
      </w:pPr>
      <w:bookmarkStart w:id="233" w:name="_Toc52971080"/>
      <w:r>
        <w:lastRenderedPageBreak/>
        <w:t xml:space="preserve">Table </w:t>
      </w:r>
      <w:r>
        <w:fldChar w:fldCharType="begin"/>
      </w:r>
      <w:r>
        <w:rPr>
          <w:noProof/>
        </w:rPr>
        <w:instrText xml:space="preserve"> SEQ Table \* ARABIC </w:instrText>
      </w:r>
      <w:r>
        <w:fldChar w:fldCharType="separate"/>
      </w:r>
      <w:r w:rsidR="00235F13">
        <w:rPr>
          <w:noProof/>
        </w:rPr>
        <w:t>25</w:t>
      </w:r>
      <w:r>
        <w:fldChar w:fldCharType="end"/>
      </w:r>
      <w:bookmarkEnd w:id="231"/>
      <w:r>
        <w:rPr>
          <w:noProof/>
        </w:rPr>
        <w:t>.</w:t>
      </w:r>
      <w:r>
        <w:t xml:space="preserve"> </w:t>
      </w:r>
      <w:r>
        <w:rPr>
          <w:b w:val="0"/>
          <w:bCs w:val="0"/>
        </w:rPr>
        <w:t>Examples of climate adaptation strategies that may be effective for ERF methodologies focused on savanna fire management</w:t>
      </w:r>
      <w:bookmarkEnd w:id="232"/>
      <w:bookmarkEnd w:id="233"/>
    </w:p>
    <w:tbl>
      <w:tblPr>
        <w:tblStyle w:val="TableCSIRO"/>
        <w:tblW w:w="14024" w:type="dxa"/>
        <w:tblInd w:w="-12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3950"/>
        <w:gridCol w:w="98"/>
        <w:gridCol w:w="1181"/>
        <w:gridCol w:w="3262"/>
        <w:gridCol w:w="5386"/>
        <w:gridCol w:w="147"/>
      </w:tblGrid>
      <w:tr w:rsidR="005A0FA2" w14:paraId="78F68067" w14:textId="77777777" w:rsidTr="001348F3">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4048" w:type="dxa"/>
            <w:gridSpan w:val="2"/>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30B1043B" w14:textId="15952698" w:rsidR="00C046F8" w:rsidRDefault="0002497F">
            <w:pPr>
              <w:rPr>
                <w:rFonts w:asciiTheme="minorHAnsi" w:hAnsiTheme="minorHAnsi" w:cstheme="minorHAnsi"/>
                <w:color w:val="000000" w:themeColor="text1"/>
                <w:sz w:val="18"/>
                <w:szCs w:val="18"/>
              </w:rPr>
            </w:pPr>
            <w:r w:rsidRPr="00874DAF">
              <w:rPr>
                <w:rFonts w:asciiTheme="minorHAnsi" w:hAnsiTheme="minorHAnsi" w:cstheme="minorHAnsi"/>
                <w:sz w:val="18"/>
                <w:szCs w:val="18"/>
              </w:rPr>
              <w:t>Direct impacts via primary climate change variables</w:t>
            </w:r>
          </w:p>
        </w:tc>
        <w:tc>
          <w:tcPr>
            <w:tcW w:w="1181" w:type="dxa"/>
            <w:tcBorders>
              <w:bottom w:val="single" w:sz="4" w:space="0" w:color="D9D9D9" w:themeColor="background1" w:themeShade="D9"/>
            </w:tcBorders>
            <w:shd w:val="clear" w:color="auto" w:fill="FFFFFF" w:themeFill="background1"/>
            <w:vAlign w:val="center"/>
            <w:hideMark/>
          </w:tcPr>
          <w:p w14:paraId="11FC14F1"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rating</w:t>
            </w:r>
          </w:p>
        </w:tc>
        <w:tc>
          <w:tcPr>
            <w:tcW w:w="3262" w:type="dxa"/>
            <w:tcBorders>
              <w:bottom w:val="single" w:sz="4" w:space="0" w:color="D9D9D9" w:themeColor="background1" w:themeShade="D9"/>
            </w:tcBorders>
            <w:shd w:val="clear" w:color="auto" w:fill="FFFFFF" w:themeFill="background1"/>
            <w:hideMark/>
          </w:tcPr>
          <w:p w14:paraId="619652AB"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Adaptation strategy</w:t>
            </w:r>
          </w:p>
        </w:tc>
        <w:tc>
          <w:tcPr>
            <w:tcW w:w="5533" w:type="dxa"/>
            <w:gridSpan w:val="2"/>
            <w:tcBorders>
              <w:bottom w:val="single" w:sz="4" w:space="0" w:color="D9D9D9" w:themeColor="background1" w:themeShade="D9"/>
            </w:tcBorders>
            <w:shd w:val="clear" w:color="auto" w:fill="FFFFFF" w:themeFill="background1"/>
            <w:hideMark/>
          </w:tcPr>
          <w:p w14:paraId="5EEE59C3"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Notes</w:t>
            </w:r>
          </w:p>
        </w:tc>
      </w:tr>
      <w:tr w:rsidR="0002497F" w14:paraId="76370235" w14:textId="77777777" w:rsidTr="001348F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048"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0A23CEC9" w14:textId="77777777" w:rsidR="0002497F" w:rsidRDefault="0002497F"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Heat-stress limiting plant growth and increasing mortality rates</w:t>
            </w:r>
          </w:p>
        </w:tc>
        <w:tc>
          <w:tcPr>
            <w:tcW w:w="11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1AC0A9FF" w14:textId="77777777" w:rsidR="0002497F" w:rsidRDefault="0002497F"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6C465F38" w14:textId="77777777" w:rsidR="0002497F" w:rsidRDefault="0002497F"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5533"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62BFE166" w14:textId="77777777" w:rsidR="0002497F" w:rsidRDefault="0002497F"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Under more extreme climatic conditions, a shift to alternative land use may be required</w:t>
            </w:r>
          </w:p>
        </w:tc>
      </w:tr>
      <w:tr w:rsidR="00C046F8" w14:paraId="475A494E" w14:textId="77777777" w:rsidTr="001348F3">
        <w:trPr>
          <w:trHeight w:val="391"/>
        </w:trPr>
        <w:tc>
          <w:tcPr>
            <w:cnfStyle w:val="001000000000" w:firstRow="0" w:lastRow="0" w:firstColumn="1" w:lastColumn="0" w:oddVBand="0" w:evenVBand="0" w:oddHBand="0" w:evenHBand="0" w:firstRowFirstColumn="0" w:firstRowLastColumn="0" w:lastRowFirstColumn="0" w:lastRowLastColumn="0"/>
            <w:tcW w:w="4048"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23A8E535" w14:textId="539CA8F2" w:rsidR="00C046F8" w:rsidRDefault="00BD4426">
            <w:pPr>
              <w:ind w:left="401"/>
              <w:rPr>
                <w:rFonts w:asciiTheme="minorHAnsi" w:hAnsiTheme="minorHAnsi" w:cstheme="minorHAnsi"/>
                <w:b w:val="0"/>
                <w:bCs w:val="0"/>
                <w:color w:val="000000" w:themeColor="text1"/>
                <w:sz w:val="18"/>
                <w:szCs w:val="18"/>
              </w:rPr>
            </w:pPr>
            <w:r w:rsidRPr="000556A4">
              <w:rPr>
                <w:rFonts w:asciiTheme="minorHAnsi" w:hAnsiTheme="minorHAnsi" w:cstheme="minorHAnsi"/>
                <w:b w:val="0"/>
                <w:bCs w:val="0"/>
                <w:color w:val="000000" w:themeColor="text1"/>
                <w:sz w:val="18"/>
                <w:szCs w:val="18"/>
              </w:rPr>
              <w:t>Reduced soil water availability, leading to reduced crop and tree growth and greater potential for plant stress.</w:t>
            </w:r>
          </w:p>
        </w:tc>
        <w:tc>
          <w:tcPr>
            <w:tcW w:w="11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2D00"/>
            <w:vAlign w:val="center"/>
            <w:hideMark/>
          </w:tcPr>
          <w:p w14:paraId="216DEA69" w14:textId="77777777" w:rsidR="00C046F8" w:rsidRDefault="00C046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Pr>
                <w:rFonts w:asciiTheme="minorHAnsi" w:hAnsiTheme="minorHAnsi" w:cstheme="minorHAnsi"/>
                <w:color w:val="FFFFFF" w:themeColor="background1"/>
                <w:sz w:val="18"/>
                <w:szCs w:val="18"/>
              </w:rPr>
              <w:t>Medium/</w:t>
            </w:r>
          </w:p>
          <w:p w14:paraId="10C694EA" w14:textId="77777777" w:rsidR="00C046F8" w:rsidRDefault="00C046F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FFFFFF" w:themeColor="background1"/>
                <w:sz w:val="18"/>
                <w:szCs w:val="18"/>
              </w:rPr>
              <w:t>High</w:t>
            </w:r>
          </w:p>
        </w:tc>
        <w:tc>
          <w:tcPr>
            <w:tcW w:w="32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47B3F837" w14:textId="77777777" w:rsidR="00C046F8" w:rsidRDefault="00C046F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533"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E463B35" w14:textId="77777777" w:rsidR="00C046F8" w:rsidRDefault="00C046F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C046F8" w14:paraId="67C996BF" w14:textId="77777777" w:rsidTr="001348F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048"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75B558A2" w14:textId="5001E713" w:rsidR="00C046F8" w:rsidRDefault="00BD4426">
            <w:pPr>
              <w:ind w:left="401"/>
              <w:rPr>
                <w:rFonts w:asciiTheme="minorHAnsi" w:hAnsiTheme="minorHAnsi" w:cstheme="minorHAnsi"/>
                <w:b w:val="0"/>
                <w:bCs w:val="0"/>
                <w:color w:val="000000" w:themeColor="text1"/>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1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4916305E" w14:textId="77777777" w:rsidR="00C046F8" w:rsidRDefault="00C046F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865322C" w14:textId="77777777" w:rsidR="00C046F8" w:rsidRDefault="00C046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5533"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2D42692C" w14:textId="77777777" w:rsidR="00C046F8" w:rsidRDefault="00C046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02497F" w14:paraId="3F4B5E54" w14:textId="77777777" w:rsidTr="001348F3">
        <w:trPr>
          <w:trHeight w:val="411"/>
        </w:trPr>
        <w:tc>
          <w:tcPr>
            <w:cnfStyle w:val="001000000000" w:firstRow="0" w:lastRow="0" w:firstColumn="1" w:lastColumn="0" w:oddVBand="0" w:evenVBand="0" w:oddHBand="0" w:evenHBand="0" w:firstRowFirstColumn="0" w:firstRowLastColumn="0" w:lastRowFirstColumn="0" w:lastRowLastColumn="0"/>
            <w:tcW w:w="4048"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1FC71577" w14:textId="77777777" w:rsidR="0002497F" w:rsidRDefault="0002497F" w:rsidP="004354E2">
            <w:pPr>
              <w:ind w:left="401"/>
              <w:rPr>
                <w:rFonts w:asciiTheme="minorHAnsi" w:hAnsiTheme="minorHAnsi" w:cstheme="minorHAnsi"/>
                <w:b w:val="0"/>
                <w:bCs w:val="0"/>
                <w:color w:val="000000" w:themeColor="text1"/>
                <w:sz w:val="18"/>
                <w:szCs w:val="18"/>
              </w:rPr>
            </w:pPr>
            <w:r w:rsidRPr="00280763">
              <w:rPr>
                <w:rFonts w:asciiTheme="minorHAnsi" w:hAnsiTheme="minorHAnsi" w:cstheme="minorHAnsi"/>
                <w:b w:val="0"/>
                <w:bCs w:val="0"/>
                <w:color w:val="000000" w:themeColor="text1"/>
                <w:sz w:val="18"/>
                <w:szCs w:val="18"/>
              </w:rPr>
              <w:t>Mechanical damage from wind and storms</w:t>
            </w:r>
          </w:p>
        </w:tc>
        <w:tc>
          <w:tcPr>
            <w:tcW w:w="11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338F3F36" w14:textId="77777777" w:rsidR="0002497F" w:rsidRDefault="0002497F"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1978D150" w14:textId="77777777" w:rsidR="0002497F" w:rsidRDefault="0002497F"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533"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4B02A39B" w14:textId="77777777" w:rsidR="0002497F" w:rsidRDefault="0002497F"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C046F8" w14:paraId="1D9872C6" w14:textId="77777777" w:rsidTr="001348F3">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4048" w:type="dxa"/>
            <w:gridSpan w:val="2"/>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3BA90E74" w14:textId="4ED752F8" w:rsidR="00C046F8" w:rsidRDefault="0002497F">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Direct impacts via secondary climate change variables</w:t>
            </w:r>
          </w:p>
        </w:tc>
        <w:tc>
          <w:tcPr>
            <w:tcW w:w="1181"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F9C55A6" w14:textId="77777777" w:rsidR="00C046F8" w:rsidRDefault="00C046F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62" w:type="dxa"/>
            <w:tcBorders>
              <w:top w:val="single" w:sz="4" w:space="0" w:color="D9D9D9" w:themeColor="background1" w:themeShade="D9"/>
              <w:bottom w:val="single" w:sz="4" w:space="0" w:color="D9D9D9" w:themeColor="background1" w:themeShade="D9"/>
            </w:tcBorders>
            <w:shd w:val="clear" w:color="auto" w:fill="FFFFFF" w:themeFill="background1"/>
          </w:tcPr>
          <w:p w14:paraId="7CD67E96" w14:textId="77777777" w:rsidR="00C046F8" w:rsidRDefault="00C046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5533" w:type="dxa"/>
            <w:gridSpan w:val="2"/>
            <w:tcBorders>
              <w:top w:val="single" w:sz="4" w:space="0" w:color="D9D9D9" w:themeColor="background1" w:themeShade="D9"/>
              <w:bottom w:val="single" w:sz="4" w:space="0" w:color="D9D9D9" w:themeColor="background1" w:themeShade="D9"/>
            </w:tcBorders>
            <w:shd w:val="clear" w:color="auto" w:fill="FFFFFF" w:themeFill="background1"/>
          </w:tcPr>
          <w:p w14:paraId="4BC34770" w14:textId="77777777" w:rsidR="00C046F8" w:rsidRDefault="00C046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6E41A2" w14:paraId="2FE58976" w14:textId="77777777" w:rsidTr="001348F3">
        <w:trPr>
          <w:trHeight w:val="29"/>
        </w:trPr>
        <w:tc>
          <w:tcPr>
            <w:cnfStyle w:val="001000000000" w:firstRow="0" w:lastRow="0" w:firstColumn="1" w:lastColumn="0" w:oddVBand="0" w:evenVBand="0" w:oddHBand="0" w:evenHBand="0" w:firstRowFirstColumn="0" w:firstRowLastColumn="0" w:lastRowFirstColumn="0" w:lastRowLastColumn="0"/>
            <w:tcW w:w="4048"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69F5E128" w14:textId="514217BA" w:rsidR="006E41A2" w:rsidRPr="00550E9D" w:rsidRDefault="006E41A2" w:rsidP="006E41A2">
            <w:pPr>
              <w:ind w:left="401"/>
              <w:rPr>
                <w:rFonts w:asciiTheme="minorHAnsi" w:hAnsiTheme="minorHAnsi" w:cstheme="minorHAnsi"/>
                <w:color w:val="000000" w:themeColor="text1"/>
                <w:sz w:val="18"/>
                <w:szCs w:val="18"/>
              </w:rPr>
            </w:pPr>
            <w:r w:rsidRPr="004E6EA8">
              <w:rPr>
                <w:rFonts w:asciiTheme="minorHAnsi" w:hAnsiTheme="minorHAnsi" w:cstheme="minorHAnsi"/>
                <w:b w:val="0"/>
                <w:bCs w:val="0"/>
                <w:color w:val="000000" w:themeColor="text1"/>
                <w:sz w:val="18"/>
                <w:szCs w:val="18"/>
              </w:rPr>
              <w:t>Drought-induced plant mortality, with possibility of recruitment failure.</w:t>
            </w:r>
          </w:p>
        </w:tc>
        <w:tc>
          <w:tcPr>
            <w:tcW w:w="11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18CBAB2D" w14:textId="6F952E42" w:rsidR="006E41A2" w:rsidRDefault="006E41A2" w:rsidP="006E41A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872A98C" w14:textId="77777777" w:rsidR="006E41A2" w:rsidRDefault="006E41A2" w:rsidP="006E41A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533"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41DF55A6" w14:textId="77777777" w:rsidR="006E41A2" w:rsidRDefault="006E41A2" w:rsidP="006E41A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C046F8" w14:paraId="0B47D429" w14:textId="77777777" w:rsidTr="001348F3">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4048"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31E08630" w14:textId="5C22F50E" w:rsidR="00C046F8" w:rsidRDefault="00D37A26">
            <w:pPr>
              <w:ind w:left="401"/>
              <w:rPr>
                <w:rFonts w:asciiTheme="minorHAnsi" w:hAnsiTheme="minorHAnsi" w:cstheme="minorHAnsi"/>
                <w:color w:val="000000" w:themeColor="text1"/>
                <w:sz w:val="18"/>
                <w:szCs w:val="18"/>
              </w:rPr>
            </w:pPr>
            <w:r w:rsidRPr="001B28F1">
              <w:rPr>
                <w:rFonts w:asciiTheme="minorHAnsi" w:hAnsiTheme="minorHAnsi" w:cstheme="minorHAnsi"/>
                <w:b w:val="0"/>
                <w:bCs w:val="0"/>
                <w:color w:val="000000" w:themeColor="text1"/>
                <w:sz w:val="18"/>
                <w:szCs w:val="18"/>
              </w:rPr>
              <w:t>Increased fire danger weather; Decreased landscape moisture content, with implications for fire risk</w:t>
            </w:r>
          </w:p>
        </w:tc>
        <w:tc>
          <w:tcPr>
            <w:tcW w:w="11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0D88A067" w14:textId="77777777" w:rsidR="00C046F8" w:rsidRDefault="00C046F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029F1CED" w14:textId="77777777" w:rsidR="00C046F8" w:rsidRDefault="00C046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Fire management</w:t>
            </w:r>
          </w:p>
        </w:tc>
        <w:tc>
          <w:tcPr>
            <w:tcW w:w="5533"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2D254EAB" w14:textId="77777777" w:rsidR="00C046F8" w:rsidRDefault="00C046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Adaptive timing and application of fire in the landscape</w:t>
            </w:r>
          </w:p>
        </w:tc>
      </w:tr>
      <w:tr w:rsidR="001348F3" w14:paraId="2CFBB237" w14:textId="77777777" w:rsidTr="001348F3">
        <w:trPr>
          <w:gridAfter w:val="1"/>
          <w:wAfter w:w="147" w:type="dxa"/>
          <w:trHeight w:val="29"/>
        </w:trPr>
        <w:tc>
          <w:tcPr>
            <w:cnfStyle w:val="001000000000" w:firstRow="0" w:lastRow="0" w:firstColumn="1" w:lastColumn="0" w:oddVBand="0" w:evenVBand="0" w:oddHBand="0" w:evenHBand="0" w:firstRowFirstColumn="0" w:firstRowLastColumn="0" w:lastRowFirstColumn="0" w:lastRowLastColumn="0"/>
            <w:tcW w:w="3950"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Mar>
              <w:top w:w="28" w:type="dxa"/>
              <w:left w:w="28" w:type="dxa"/>
              <w:bottom w:w="28" w:type="dxa"/>
              <w:right w:w="28" w:type="dxa"/>
            </w:tcMar>
            <w:vAlign w:val="center"/>
            <w:hideMark/>
          </w:tcPr>
          <w:p w14:paraId="2D42488D" w14:textId="77777777" w:rsidR="001348F3" w:rsidRPr="002F1491" w:rsidRDefault="001348F3" w:rsidP="004354E2">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Indirect impacts via climate change impacts on weeds, pests and diseases</w:t>
            </w:r>
          </w:p>
        </w:tc>
        <w:tc>
          <w:tcPr>
            <w:tcW w:w="1279" w:type="dxa"/>
            <w:gridSpan w:val="2"/>
            <w:tcBorders>
              <w:top w:val="single" w:sz="4" w:space="0" w:color="D9D9D9" w:themeColor="background1" w:themeShade="D9"/>
              <w:left w:val="nil"/>
              <w:bottom w:val="single" w:sz="4" w:space="0" w:color="D9D9D9" w:themeColor="background1" w:themeShade="D9"/>
              <w:right w:val="nil"/>
            </w:tcBorders>
            <w:shd w:val="clear" w:color="auto" w:fill="FFFFFF" w:themeFill="background1"/>
            <w:vAlign w:val="center"/>
          </w:tcPr>
          <w:p w14:paraId="62E625C2" w14:textId="77777777" w:rsidR="001348F3" w:rsidRDefault="001348F3"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262"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Pr>
          <w:p w14:paraId="324369D4" w14:textId="77777777" w:rsidR="001348F3" w:rsidRDefault="001348F3"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5386" w:type="dxa"/>
            <w:tcBorders>
              <w:top w:val="single" w:sz="4" w:space="0" w:color="D9D9D9" w:themeColor="background1" w:themeShade="D9"/>
              <w:left w:val="nil"/>
              <w:bottom w:val="single" w:sz="4" w:space="0" w:color="D9D9D9" w:themeColor="background1" w:themeShade="D9"/>
              <w:right w:val="nil"/>
            </w:tcBorders>
            <w:shd w:val="clear" w:color="auto" w:fill="FFFFFF" w:themeFill="background1"/>
          </w:tcPr>
          <w:p w14:paraId="5F3FC880" w14:textId="77777777" w:rsidR="001348F3" w:rsidRDefault="001348F3"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1348F3" w14:paraId="1D70F1DF" w14:textId="77777777" w:rsidTr="001348F3">
        <w:trPr>
          <w:cnfStyle w:val="000000100000" w:firstRow="0" w:lastRow="0" w:firstColumn="0" w:lastColumn="0" w:oddVBand="0" w:evenVBand="0" w:oddHBand="1" w:evenHBand="0" w:firstRowFirstColumn="0" w:firstRowLastColumn="0" w:lastRowFirstColumn="0" w:lastRowLastColumn="0"/>
          <w:trHeight w:val="29"/>
        </w:trPr>
        <w:tc>
          <w:tcPr>
            <w:cnfStyle w:val="001000000000" w:firstRow="0" w:lastRow="0" w:firstColumn="1" w:lastColumn="0" w:oddVBand="0" w:evenVBand="0" w:oddHBand="0" w:evenHBand="0" w:firstRowFirstColumn="0" w:firstRowLastColumn="0" w:lastRowFirstColumn="0" w:lastRowLastColumn="0"/>
            <w:tcW w:w="4048"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9E5E8AF" w14:textId="77777777" w:rsidR="001348F3" w:rsidRDefault="001348F3" w:rsidP="004354E2">
            <w:pPr>
              <w:ind w:left="401"/>
              <w:rPr>
                <w:rFonts w:asciiTheme="minorHAnsi" w:hAnsiTheme="minorHAnsi" w:cstheme="minorHAnsi"/>
                <w:color w:val="000000" w:themeColor="text1"/>
                <w:sz w:val="18"/>
                <w:szCs w:val="18"/>
              </w:rPr>
            </w:pPr>
            <w:r w:rsidRPr="00550E9D">
              <w:rPr>
                <w:rFonts w:asciiTheme="minorHAnsi" w:hAnsiTheme="minorHAnsi" w:cstheme="minorHAnsi"/>
                <w:b w:val="0"/>
                <w:bCs w:val="0"/>
                <w:color w:val="000000" w:themeColor="text1"/>
                <w:sz w:val="18"/>
                <w:szCs w:val="18"/>
              </w:rPr>
              <w:t>Increase in invasive weeds</w:t>
            </w:r>
          </w:p>
        </w:tc>
        <w:tc>
          <w:tcPr>
            <w:tcW w:w="118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641C6633" w14:textId="77777777" w:rsidR="001348F3" w:rsidRDefault="001348F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tc>
        <w:tc>
          <w:tcPr>
            <w:tcW w:w="32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089B08F" w14:textId="77777777" w:rsidR="001348F3" w:rsidRDefault="001348F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Weed management</w:t>
            </w:r>
          </w:p>
        </w:tc>
        <w:tc>
          <w:tcPr>
            <w:tcW w:w="5533"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2D47255B" w14:textId="40987E2E" w:rsidR="001348F3" w:rsidRDefault="001348F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Control </w:t>
            </w:r>
            <w:r w:rsidR="002B24B2">
              <w:rPr>
                <w:rFonts w:asciiTheme="minorHAnsi" w:hAnsiTheme="minorHAnsi" w:cstheme="minorHAnsi"/>
                <w:color w:val="000000" w:themeColor="text1"/>
                <w:sz w:val="18"/>
                <w:szCs w:val="18"/>
              </w:rPr>
              <w:t>gamba</w:t>
            </w:r>
            <w:r>
              <w:rPr>
                <w:rFonts w:asciiTheme="minorHAnsi" w:hAnsiTheme="minorHAnsi" w:cstheme="minorHAnsi"/>
                <w:color w:val="000000" w:themeColor="text1"/>
                <w:sz w:val="18"/>
                <w:szCs w:val="18"/>
              </w:rPr>
              <w:t xml:space="preserve"> grass to help reduce risk of late season high intensity fires</w:t>
            </w:r>
          </w:p>
        </w:tc>
      </w:tr>
    </w:tbl>
    <w:p w14:paraId="4E1AEB10" w14:textId="77777777" w:rsidR="00C41537" w:rsidRDefault="00C41537" w:rsidP="00C41537">
      <w:pPr>
        <w:spacing w:line="264" w:lineRule="auto"/>
        <w:rPr>
          <w:rFonts w:ascii="Calibri" w:eastAsia="Calibri" w:hAnsi="Calibri"/>
          <w:color w:val="000000"/>
          <w:szCs w:val="22"/>
        </w:rPr>
        <w:sectPr w:rsidR="00C41537">
          <w:pgSz w:w="16838" w:h="11906" w:orient="landscape"/>
          <w:pgMar w:top="1134" w:right="1134" w:bottom="1134" w:left="1134" w:header="510" w:footer="624" w:gutter="0"/>
          <w:cols w:space="720"/>
        </w:sectPr>
      </w:pPr>
    </w:p>
    <w:p w14:paraId="79B8A6AA" w14:textId="3E214B56" w:rsidR="00C41537" w:rsidRDefault="00C41537" w:rsidP="00C41537">
      <w:pPr>
        <w:pStyle w:val="Caption"/>
      </w:pPr>
      <w:bookmarkStart w:id="234" w:name="_Ref48686913"/>
      <w:bookmarkStart w:id="235" w:name="_Toc49617393"/>
      <w:bookmarkStart w:id="236" w:name="_Toc52971081"/>
      <w:r>
        <w:lastRenderedPageBreak/>
        <w:t xml:space="preserve">Table </w:t>
      </w:r>
      <w:r>
        <w:fldChar w:fldCharType="begin"/>
      </w:r>
      <w:r>
        <w:rPr>
          <w:noProof/>
        </w:rPr>
        <w:instrText xml:space="preserve"> SEQ Table \* ARABIC </w:instrText>
      </w:r>
      <w:r>
        <w:fldChar w:fldCharType="separate"/>
      </w:r>
      <w:r w:rsidR="00235F13">
        <w:rPr>
          <w:noProof/>
        </w:rPr>
        <w:t>26</w:t>
      </w:r>
      <w:r>
        <w:fldChar w:fldCharType="end"/>
      </w:r>
      <w:bookmarkEnd w:id="234"/>
      <w:r>
        <w:rPr>
          <w:noProof/>
        </w:rPr>
        <w:t>.</w:t>
      </w:r>
      <w:r>
        <w:t xml:space="preserve"> </w:t>
      </w:r>
      <w:r>
        <w:rPr>
          <w:b w:val="0"/>
          <w:bCs w:val="0"/>
        </w:rPr>
        <w:t>Examples of climate adaptation strategies that may be effective for ERF methodologies focused on management of intertidal ecosystems</w:t>
      </w:r>
      <w:bookmarkEnd w:id="235"/>
      <w:bookmarkEnd w:id="236"/>
    </w:p>
    <w:tbl>
      <w:tblPr>
        <w:tblStyle w:val="TableCSIRO"/>
        <w:tblW w:w="14019" w:type="dxa"/>
        <w:tblInd w:w="-12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3953"/>
        <w:gridCol w:w="1279"/>
        <w:gridCol w:w="3261"/>
        <w:gridCol w:w="5384"/>
        <w:gridCol w:w="142"/>
      </w:tblGrid>
      <w:tr w:rsidR="005A0FA2" w14:paraId="08D53E53" w14:textId="77777777" w:rsidTr="00200878">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3953" w:type="dxa"/>
            <w:tcBorders>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3BDED081" w14:textId="2AA41081" w:rsidR="00C046F8" w:rsidRDefault="00D05523">
            <w:pPr>
              <w:rPr>
                <w:rFonts w:asciiTheme="minorHAnsi" w:hAnsiTheme="minorHAnsi" w:cstheme="minorHAnsi"/>
                <w:color w:val="000000" w:themeColor="text1"/>
                <w:sz w:val="18"/>
                <w:szCs w:val="18"/>
              </w:rPr>
            </w:pPr>
            <w:r w:rsidRPr="00874DAF">
              <w:rPr>
                <w:rFonts w:asciiTheme="minorHAnsi" w:hAnsiTheme="minorHAnsi" w:cstheme="minorHAnsi"/>
                <w:sz w:val="18"/>
                <w:szCs w:val="18"/>
              </w:rPr>
              <w:t>Direct impacts via primary climate change variables</w:t>
            </w:r>
          </w:p>
        </w:tc>
        <w:tc>
          <w:tcPr>
            <w:tcW w:w="1279" w:type="dxa"/>
            <w:tcBorders>
              <w:bottom w:val="single" w:sz="4" w:space="0" w:color="D9D9D9" w:themeColor="background1" w:themeShade="D9"/>
            </w:tcBorders>
            <w:shd w:val="clear" w:color="auto" w:fill="FFFFFF" w:themeFill="background1"/>
            <w:vAlign w:val="center"/>
            <w:hideMark/>
          </w:tcPr>
          <w:p w14:paraId="6DF1AB5E"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Risk rating</w:t>
            </w:r>
          </w:p>
        </w:tc>
        <w:tc>
          <w:tcPr>
            <w:tcW w:w="3261" w:type="dxa"/>
            <w:tcBorders>
              <w:bottom w:val="single" w:sz="4" w:space="0" w:color="D9D9D9" w:themeColor="background1" w:themeShade="D9"/>
            </w:tcBorders>
            <w:shd w:val="clear" w:color="auto" w:fill="FFFFFF" w:themeFill="background1"/>
            <w:hideMark/>
          </w:tcPr>
          <w:p w14:paraId="4BC37469"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Adaptation strategy</w:t>
            </w:r>
          </w:p>
        </w:tc>
        <w:tc>
          <w:tcPr>
            <w:tcW w:w="5526" w:type="dxa"/>
            <w:gridSpan w:val="2"/>
            <w:tcBorders>
              <w:bottom w:val="single" w:sz="4" w:space="0" w:color="D9D9D9" w:themeColor="background1" w:themeShade="D9"/>
            </w:tcBorders>
            <w:shd w:val="clear" w:color="auto" w:fill="FFFFFF" w:themeFill="background1"/>
            <w:hideMark/>
          </w:tcPr>
          <w:p w14:paraId="2455C0E1" w14:textId="77777777" w:rsidR="00C046F8" w:rsidRDefault="00C046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Notes</w:t>
            </w:r>
          </w:p>
        </w:tc>
      </w:tr>
      <w:tr w:rsidR="00C046F8" w14:paraId="1CFF5801" w14:textId="77777777" w:rsidTr="00200878">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77C4ADAC" w14:textId="77777777" w:rsidR="00C046F8" w:rsidRDefault="00C046F8">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Heat-stress limiting plant growth and increasing mortality rates</w:t>
            </w: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4F47902D" w14:textId="77777777" w:rsidR="00C046F8" w:rsidRDefault="00C046F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5F563EB1" w14:textId="77777777" w:rsidR="00C046F8" w:rsidRDefault="00C046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AB00012" w14:textId="77777777" w:rsidR="00C046F8" w:rsidRDefault="00C046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E10E2D" w14:paraId="3E5FBB0F" w14:textId="77777777" w:rsidTr="00200878">
        <w:trPr>
          <w:trHeight w:val="417"/>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FA34634" w14:textId="7D62BD31" w:rsidR="00E10E2D" w:rsidRDefault="00E10E2D" w:rsidP="00E10E2D">
            <w:pPr>
              <w:ind w:left="401"/>
              <w:rPr>
                <w:rFonts w:asciiTheme="minorHAnsi" w:hAnsiTheme="minorHAnsi" w:cstheme="minorHAnsi"/>
                <w:b w:val="0"/>
                <w:bCs w:val="0"/>
                <w:sz w:val="18"/>
                <w:szCs w:val="18"/>
              </w:rPr>
            </w:pPr>
            <w:r w:rsidRPr="004A1C8C">
              <w:rPr>
                <w:rFonts w:asciiTheme="minorHAnsi" w:hAnsiTheme="minorHAnsi" w:cstheme="minorHAnsi"/>
                <w:b w:val="0"/>
                <w:bCs w:val="0"/>
                <w:color w:val="000000" w:themeColor="text1"/>
                <w:sz w:val="18"/>
                <w:szCs w:val="18"/>
              </w:rPr>
              <w:t>Persistent increase in temperature</w:t>
            </w:r>
            <w:r>
              <w:rPr>
                <w:rFonts w:asciiTheme="minorHAnsi" w:hAnsiTheme="minorHAnsi" w:cstheme="minorHAnsi"/>
                <w:b w:val="0"/>
                <w:bCs w:val="0"/>
                <w:color w:val="000000" w:themeColor="text1"/>
                <w:sz w:val="18"/>
                <w:szCs w:val="18"/>
              </w:rPr>
              <w:t xml:space="preserve">, exceeding </w:t>
            </w:r>
            <w:r w:rsidRPr="004A1C8C">
              <w:rPr>
                <w:rFonts w:asciiTheme="minorHAnsi" w:hAnsiTheme="minorHAnsi" w:cstheme="minorHAnsi"/>
                <w:b w:val="0"/>
                <w:bCs w:val="0"/>
                <w:color w:val="000000" w:themeColor="text1"/>
                <w:sz w:val="18"/>
                <w:szCs w:val="18"/>
              </w:rPr>
              <w:t>species climate envelope</w:t>
            </w:r>
            <w:r>
              <w:rPr>
                <w:rFonts w:asciiTheme="minorHAnsi" w:hAnsiTheme="minorHAnsi" w:cstheme="minorHAnsi"/>
                <w:b w:val="0"/>
                <w:bCs w:val="0"/>
                <w:color w:val="000000" w:themeColor="text1"/>
                <w:sz w:val="18"/>
                <w:szCs w:val="18"/>
              </w:rPr>
              <w:t xml:space="preserve"> for optimal growth</w:t>
            </w: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tcPr>
          <w:p w14:paraId="15C92E02" w14:textId="77777777" w:rsidR="00E10E2D" w:rsidRDefault="00E10E2D" w:rsidP="00E10E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61F6B287" w14:textId="5AAEBA49" w:rsidR="00E10E2D" w:rsidRDefault="00E10E2D" w:rsidP="00E10E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502BE0E6" w14:textId="77777777" w:rsidR="00E10E2D" w:rsidRDefault="00E10E2D" w:rsidP="00E10E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E10E2D" w14:paraId="4B92E1C1" w14:textId="77777777" w:rsidTr="00200878">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0ADFF150" w14:textId="77777777" w:rsidR="00E10E2D" w:rsidRDefault="00E10E2D" w:rsidP="00E10E2D">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sz w:val="18"/>
                <w:szCs w:val="18"/>
              </w:rPr>
              <w:t>Changes to soil respiration and soil microbial processes</w:t>
            </w: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C000"/>
            <w:vAlign w:val="center"/>
            <w:hideMark/>
          </w:tcPr>
          <w:p w14:paraId="4C394076" w14:textId="77777777" w:rsidR="00E10E2D" w:rsidRDefault="00E10E2D" w:rsidP="00E10E2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Low</w:t>
            </w: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59E4E1F6" w14:textId="77777777" w:rsidR="00E10E2D" w:rsidRDefault="00E10E2D" w:rsidP="00E10E2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3CBD7734" w14:textId="77777777" w:rsidR="00E10E2D" w:rsidRDefault="00E10E2D" w:rsidP="00E10E2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r>
      <w:tr w:rsidR="00AA74AB" w14:paraId="164FFE24" w14:textId="77777777" w:rsidTr="00200878">
        <w:trPr>
          <w:trHeight w:val="44"/>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0A5ABC2" w14:textId="77777777" w:rsidR="00AA74AB" w:rsidRDefault="00AA74AB" w:rsidP="004354E2">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Increased flooding, with implications for establishing crops and trees in terms of growth and survival, and greater susceptibility to some pests and diseases</w:t>
            </w: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tcPr>
          <w:p w14:paraId="7EBB047E" w14:textId="77777777" w:rsidR="00AA74AB" w:rsidRDefault="00AA74AB"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Medium</w:t>
            </w:r>
          </w:p>
          <w:p w14:paraId="67A85FDD" w14:textId="77777777" w:rsidR="00AA74AB" w:rsidRDefault="00AA74AB"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4172987F" w14:textId="77777777" w:rsidR="00AA74AB" w:rsidRDefault="00AA74AB"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64511999" w14:textId="77777777" w:rsidR="00AA74AB" w:rsidRDefault="00AA74AB"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AA74AB" w14:paraId="17693F09" w14:textId="77777777" w:rsidTr="00200878">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5C8801E2" w14:textId="77777777" w:rsidR="00AA74AB" w:rsidRDefault="00AA74AB" w:rsidP="004354E2">
            <w:pPr>
              <w:ind w:left="393"/>
              <w:rPr>
                <w:rFonts w:asciiTheme="minorHAnsi" w:hAnsiTheme="minorHAnsi" w:cstheme="minorHAnsi"/>
                <w:color w:val="000000" w:themeColor="text1"/>
                <w:sz w:val="18"/>
                <w:szCs w:val="18"/>
                <w:highlight w:val="lightGray"/>
              </w:rPr>
            </w:pPr>
            <w:r>
              <w:rPr>
                <w:rFonts w:asciiTheme="minorHAnsi" w:hAnsiTheme="minorHAnsi" w:cstheme="minorHAnsi"/>
                <w:b w:val="0"/>
                <w:bCs w:val="0"/>
                <w:color w:val="000000" w:themeColor="text1"/>
                <w:sz w:val="18"/>
                <w:szCs w:val="18"/>
              </w:rPr>
              <w:t>Flood-related soil erosion and deposition</w:t>
            </w:r>
            <w:r>
              <w:rPr>
                <w:rFonts w:asciiTheme="minorHAnsi" w:hAnsiTheme="minorHAnsi" w:cstheme="minorHAnsi"/>
                <w:b w:val="0"/>
                <w:bCs w:val="0"/>
                <w:color w:val="000000" w:themeColor="text1"/>
                <w:sz w:val="18"/>
                <w:szCs w:val="18"/>
                <w:highlight w:val="lightGray"/>
              </w:rPr>
              <w:t xml:space="preserve"> </w:t>
            </w:r>
          </w:p>
          <w:p w14:paraId="68BD29C5" w14:textId="77777777" w:rsidR="00AA74AB" w:rsidRDefault="00AA74AB" w:rsidP="004354E2">
            <w:pPr>
              <w:ind w:left="401"/>
              <w:rPr>
                <w:rFonts w:asciiTheme="minorHAnsi" w:hAnsiTheme="minorHAnsi" w:cstheme="minorHAnsi"/>
                <w:color w:val="000000" w:themeColor="text1"/>
                <w:sz w:val="18"/>
                <w:szCs w:val="18"/>
              </w:rPr>
            </w:pP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3BF84F45" w14:textId="77777777" w:rsidR="00AA74AB" w:rsidRDefault="00AA74AB"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4005E8B3" w14:textId="77777777" w:rsidR="00AA74AB" w:rsidRDefault="00AA74AB"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Civil engineering</w:t>
            </w: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DBD04AD" w14:textId="77777777" w:rsidR="00AA74AB" w:rsidRDefault="00AA74AB"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Bidi"/>
                <w:color w:val="000000" w:themeColor="text1"/>
                <w:sz w:val="18"/>
                <w:szCs w:val="18"/>
              </w:rPr>
              <w:t>Explore options for managing tidal flow to enhance protection from storms and tidal surges.</w:t>
            </w:r>
          </w:p>
        </w:tc>
      </w:tr>
      <w:tr w:rsidR="00AA74AB" w14:paraId="29F6EAAC" w14:textId="77777777" w:rsidTr="00200878">
        <w:trPr>
          <w:trHeight w:val="29"/>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38B8935D" w14:textId="77777777" w:rsidR="00AA74AB" w:rsidRDefault="00AA74AB" w:rsidP="004354E2">
            <w:pPr>
              <w:ind w:left="393"/>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 xml:space="preserve">Mechanical damage from wind and storms </w:t>
            </w: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1BFA2F21" w14:textId="77777777" w:rsidR="00AA74AB" w:rsidRDefault="00AA74AB"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67EEBE62" w14:textId="77777777" w:rsidR="00AA74AB" w:rsidRDefault="00AA74AB"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4D0A94AF" w14:textId="77777777" w:rsidR="00AA74AB" w:rsidRDefault="00AA74AB"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r w:rsidR="00AA74AB" w14:paraId="5E3016ED" w14:textId="77777777" w:rsidTr="00200878">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tcPr>
          <w:p w14:paraId="00958DF2" w14:textId="77777777" w:rsidR="00AA74AB" w:rsidRDefault="00AA74AB" w:rsidP="004354E2">
            <w:pPr>
              <w:ind w:left="392"/>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Coastal storm surges with implications for blue carbon stability</w:t>
            </w:r>
          </w:p>
          <w:p w14:paraId="04733F01" w14:textId="77777777" w:rsidR="00AA74AB" w:rsidRDefault="00AA74AB" w:rsidP="004354E2">
            <w:pPr>
              <w:ind w:left="401"/>
              <w:rPr>
                <w:rFonts w:asciiTheme="minorHAnsi" w:hAnsiTheme="minorHAnsi" w:cstheme="minorHAnsi"/>
                <w:b w:val="0"/>
                <w:bCs w:val="0"/>
                <w:color w:val="000000" w:themeColor="text1"/>
                <w:sz w:val="18"/>
                <w:szCs w:val="18"/>
              </w:rPr>
            </w:pP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5444C4C8" w14:textId="77777777" w:rsidR="00AA74AB" w:rsidRDefault="00AA74AB"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6D3E1390" w14:textId="77777777" w:rsidR="00AA74AB" w:rsidRDefault="00AA74AB"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Civil engineering</w:t>
            </w: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01817347" w14:textId="77777777" w:rsidR="00AA74AB" w:rsidRDefault="00AA74AB"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Bidi"/>
                <w:color w:val="000000" w:themeColor="text1"/>
                <w:sz w:val="18"/>
                <w:szCs w:val="18"/>
              </w:rPr>
              <w:t>Managing tidal flow to enhance protection from storms and tidal surges.</w:t>
            </w:r>
          </w:p>
        </w:tc>
      </w:tr>
      <w:tr w:rsidR="00E10E2D" w14:paraId="1E4A15C1" w14:textId="77777777" w:rsidTr="00200878">
        <w:trPr>
          <w:trHeight w:val="29"/>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CEB771D" w14:textId="5CB8DAEB" w:rsidR="00E10E2D" w:rsidRDefault="00D05523" w:rsidP="00E10E2D">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Direct impacts via secondary climate change variables</w:t>
            </w:r>
          </w:p>
        </w:tc>
        <w:tc>
          <w:tcPr>
            <w:tcW w:w="1279"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04570BF" w14:textId="77777777" w:rsidR="00E10E2D" w:rsidRDefault="00E10E2D" w:rsidP="00E10E2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3261" w:type="dxa"/>
            <w:tcBorders>
              <w:top w:val="single" w:sz="4" w:space="0" w:color="D9D9D9" w:themeColor="background1" w:themeShade="D9"/>
              <w:bottom w:val="single" w:sz="4" w:space="0" w:color="D9D9D9" w:themeColor="background1" w:themeShade="D9"/>
            </w:tcBorders>
            <w:shd w:val="clear" w:color="auto" w:fill="FFFFFF" w:themeFill="background1"/>
          </w:tcPr>
          <w:p w14:paraId="7B17EA53" w14:textId="77777777" w:rsidR="00E10E2D" w:rsidRDefault="00E10E2D" w:rsidP="00E10E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c>
          <w:tcPr>
            <w:tcW w:w="5526" w:type="dxa"/>
            <w:gridSpan w:val="2"/>
            <w:tcBorders>
              <w:top w:val="single" w:sz="4" w:space="0" w:color="D9D9D9" w:themeColor="background1" w:themeShade="D9"/>
              <w:bottom w:val="single" w:sz="4" w:space="0" w:color="D9D9D9" w:themeColor="background1" w:themeShade="D9"/>
            </w:tcBorders>
            <w:shd w:val="clear" w:color="auto" w:fill="FFFFFF" w:themeFill="background1"/>
          </w:tcPr>
          <w:p w14:paraId="5F857799" w14:textId="77777777" w:rsidR="00E10E2D" w:rsidRDefault="00E10E2D" w:rsidP="00E10E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18"/>
                <w:szCs w:val="18"/>
              </w:rPr>
            </w:pPr>
          </w:p>
        </w:tc>
      </w:tr>
      <w:tr w:rsidR="00200878" w14:paraId="78F92A85" w14:textId="77777777" w:rsidTr="004354E2">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2F7C86C7" w14:textId="77777777" w:rsidR="00200878" w:rsidRDefault="00200878" w:rsidP="004354E2">
            <w:pPr>
              <w:ind w:left="392"/>
              <w:rPr>
                <w:rFonts w:asciiTheme="minorHAnsi" w:hAnsiTheme="minorHAnsi" w:cstheme="minorHAnsi"/>
                <w:color w:val="000000" w:themeColor="text1"/>
                <w:sz w:val="18"/>
                <w:szCs w:val="18"/>
              </w:rPr>
            </w:pPr>
            <w:r>
              <w:rPr>
                <w:rFonts w:asciiTheme="minorHAnsi" w:hAnsiTheme="minorHAnsi" w:cstheme="minorHAnsi"/>
                <w:b w:val="0"/>
                <w:bCs w:val="0"/>
                <w:color w:val="000000" w:themeColor="text1"/>
                <w:sz w:val="18"/>
                <w:szCs w:val="18"/>
              </w:rPr>
              <w:t>Sea level change, with implications for blue carbon stability</w:t>
            </w: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574B3B2F" w14:textId="77777777" w:rsidR="00200878" w:rsidRDefault="00200878"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7C2A716E" w14:textId="77777777" w:rsidR="00200878" w:rsidRDefault="00200878"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Civil engineering</w:t>
            </w: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034E96BB" w14:textId="77777777" w:rsidR="00200878" w:rsidRDefault="00200878"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Bidi"/>
                <w:color w:val="000000" w:themeColor="text1"/>
                <w:sz w:val="18"/>
                <w:szCs w:val="18"/>
              </w:rPr>
              <w:t>Managing tidal flow to enhance protection from storms and tidal surges.</w:t>
            </w:r>
          </w:p>
        </w:tc>
      </w:tr>
      <w:tr w:rsidR="00E10E2D" w14:paraId="7BA29C3B" w14:textId="77777777" w:rsidTr="00200878">
        <w:trPr>
          <w:trHeight w:val="363"/>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54442030" w14:textId="77777777" w:rsidR="00E10E2D" w:rsidRDefault="00E10E2D" w:rsidP="00E10E2D">
            <w:pPr>
              <w:ind w:left="401"/>
              <w:rPr>
                <w:rFonts w:asciiTheme="minorHAnsi" w:hAnsiTheme="minorHAnsi" w:cstheme="minorHAnsi"/>
                <w:b w:val="0"/>
                <w:bCs w:val="0"/>
                <w:color w:val="000000" w:themeColor="text1"/>
                <w:sz w:val="18"/>
                <w:szCs w:val="18"/>
              </w:rPr>
            </w:pPr>
            <w:r>
              <w:rPr>
                <w:rFonts w:asciiTheme="minorHAnsi" w:hAnsiTheme="minorHAnsi" w:cstheme="minorHAnsi"/>
                <w:b w:val="0"/>
                <w:bCs w:val="0"/>
                <w:color w:val="000000" w:themeColor="text1"/>
                <w:sz w:val="18"/>
                <w:szCs w:val="18"/>
              </w:rPr>
              <w:t>Drought-induced mortality in crops and trees, with possibility of recruitment failure.</w:t>
            </w: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7D31"/>
            <w:vAlign w:val="center"/>
            <w:hideMark/>
          </w:tcPr>
          <w:p w14:paraId="5493AA60" w14:textId="77777777" w:rsidR="00E10E2D" w:rsidRDefault="00E10E2D" w:rsidP="00E10E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44E57BEF" w14:textId="77777777" w:rsidR="00E10E2D" w:rsidRDefault="00E10E2D" w:rsidP="00E10E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Select alternative sites with less climate risk</w:t>
            </w: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32D0498E" w14:textId="77777777" w:rsidR="00E10E2D" w:rsidRDefault="00E10E2D" w:rsidP="00E10E2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Under more extreme climatic conditions, a shift in land use away from these ERF activities may be required</w:t>
            </w:r>
          </w:p>
        </w:tc>
      </w:tr>
      <w:tr w:rsidR="00D05523" w14:paraId="66412CF1" w14:textId="77777777" w:rsidTr="00200878">
        <w:trPr>
          <w:gridAfter w:val="1"/>
          <w:cnfStyle w:val="000000100000" w:firstRow="0" w:lastRow="0" w:firstColumn="0" w:lastColumn="0" w:oddVBand="0" w:evenVBand="0" w:oddHBand="1" w:evenHBand="0" w:firstRowFirstColumn="0" w:firstRowLastColumn="0" w:lastRowFirstColumn="0" w:lastRowLastColumn="0"/>
          <w:wAfter w:w="142" w:type="dxa"/>
          <w:trHeight w:val="29"/>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bottom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6DD53917" w14:textId="77777777" w:rsidR="00D05523" w:rsidRPr="002F1491" w:rsidRDefault="00D05523" w:rsidP="004354E2">
            <w:pPr>
              <w:ind w:left="117"/>
              <w:rPr>
                <w:rFonts w:asciiTheme="minorHAnsi" w:hAnsiTheme="minorHAnsi" w:cstheme="minorHAnsi"/>
                <w:color w:val="000000" w:themeColor="text1"/>
                <w:sz w:val="18"/>
                <w:szCs w:val="18"/>
              </w:rPr>
            </w:pPr>
            <w:r w:rsidRPr="00172591">
              <w:rPr>
                <w:rFonts w:asciiTheme="minorHAnsi" w:hAnsiTheme="minorHAnsi" w:cstheme="minorHAnsi"/>
                <w:color w:val="000000" w:themeColor="text1"/>
                <w:sz w:val="18"/>
                <w:szCs w:val="18"/>
              </w:rPr>
              <w:t>Indirect impacts via climate change impacts on weeds, pests and diseases</w:t>
            </w:r>
          </w:p>
        </w:tc>
        <w:tc>
          <w:tcPr>
            <w:tcW w:w="1279"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7FC137B" w14:textId="77777777" w:rsidR="00D05523" w:rsidRDefault="00D05523" w:rsidP="004354E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3261" w:type="dxa"/>
            <w:tcBorders>
              <w:top w:val="single" w:sz="4" w:space="0" w:color="D9D9D9" w:themeColor="background1" w:themeShade="D9"/>
              <w:bottom w:val="single" w:sz="4" w:space="0" w:color="D9D9D9" w:themeColor="background1" w:themeShade="D9"/>
            </w:tcBorders>
            <w:shd w:val="clear" w:color="auto" w:fill="FFFFFF" w:themeFill="background1"/>
          </w:tcPr>
          <w:p w14:paraId="0C840D5C" w14:textId="77777777" w:rsidR="00D05523" w:rsidRDefault="00D0552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c>
          <w:tcPr>
            <w:tcW w:w="5384" w:type="dxa"/>
            <w:tcBorders>
              <w:top w:val="single" w:sz="4" w:space="0" w:color="D9D9D9" w:themeColor="background1" w:themeShade="D9"/>
              <w:bottom w:val="single" w:sz="4" w:space="0" w:color="D9D9D9" w:themeColor="background1" w:themeShade="D9"/>
            </w:tcBorders>
            <w:shd w:val="clear" w:color="auto" w:fill="FFFFFF" w:themeFill="background1"/>
          </w:tcPr>
          <w:p w14:paraId="41013453" w14:textId="77777777" w:rsidR="00D05523" w:rsidRDefault="00D05523" w:rsidP="004354E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18"/>
                <w:szCs w:val="18"/>
              </w:rPr>
            </w:pPr>
          </w:p>
        </w:tc>
      </w:tr>
      <w:tr w:rsidR="00200878" w14:paraId="452FD4D3" w14:textId="77777777" w:rsidTr="00200878">
        <w:trPr>
          <w:trHeight w:val="275"/>
        </w:trPr>
        <w:tc>
          <w:tcPr>
            <w:cnfStyle w:val="001000000000" w:firstRow="0" w:lastRow="0" w:firstColumn="1" w:lastColumn="0" w:oddVBand="0" w:evenVBand="0" w:oddHBand="0" w:evenHBand="0" w:firstRowFirstColumn="0" w:firstRowLastColumn="0" w:lastRowFirstColumn="0" w:lastRowLastColumn="0"/>
            <w:tcW w:w="395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Mar>
              <w:top w:w="28" w:type="dxa"/>
              <w:left w:w="28" w:type="dxa"/>
              <w:bottom w:w="28" w:type="dxa"/>
              <w:right w:w="28" w:type="dxa"/>
            </w:tcMar>
            <w:vAlign w:val="center"/>
            <w:hideMark/>
          </w:tcPr>
          <w:p w14:paraId="6721A49B" w14:textId="77777777" w:rsidR="00200878" w:rsidRDefault="00200878" w:rsidP="004354E2">
            <w:pPr>
              <w:ind w:left="401"/>
              <w:rPr>
                <w:rFonts w:asciiTheme="minorHAnsi" w:hAnsiTheme="minorHAnsi" w:cstheme="minorHAnsi"/>
                <w:color w:val="000000" w:themeColor="text1"/>
                <w:sz w:val="18"/>
                <w:szCs w:val="18"/>
              </w:rPr>
            </w:pPr>
            <w:r>
              <w:rPr>
                <w:rFonts w:asciiTheme="minorHAnsi" w:hAnsiTheme="minorHAnsi" w:cstheme="minorHAnsi"/>
                <w:b w:val="0"/>
                <w:bCs w:val="0"/>
                <w:sz w:val="18"/>
                <w:szCs w:val="18"/>
              </w:rPr>
              <w:t>Extended range of pests/diseases; Increased over-wintering resulting in faster build-up in the growing season</w:t>
            </w:r>
          </w:p>
        </w:tc>
        <w:tc>
          <w:tcPr>
            <w:tcW w:w="127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hideMark/>
          </w:tcPr>
          <w:p w14:paraId="10B4BFFA" w14:textId="77777777" w:rsidR="00200878" w:rsidRDefault="00200878" w:rsidP="004354E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w:t>
            </w:r>
          </w:p>
        </w:tc>
        <w:tc>
          <w:tcPr>
            <w:tcW w:w="326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135A25B" w14:textId="77777777" w:rsidR="00200878" w:rsidRDefault="00200878"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552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1A229F2" w14:textId="77777777" w:rsidR="00200878" w:rsidRDefault="00200878" w:rsidP="004354E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r>
    </w:tbl>
    <w:p w14:paraId="7DF7B95A" w14:textId="77777777" w:rsidR="008910E9" w:rsidRDefault="008910E9" w:rsidP="008910E9">
      <w:pPr>
        <w:pStyle w:val="BodyText"/>
      </w:pPr>
    </w:p>
    <w:p w14:paraId="718DCEC3" w14:textId="77777777" w:rsidR="00C41537" w:rsidRDefault="00C41537" w:rsidP="008910E9">
      <w:pPr>
        <w:pStyle w:val="BodyText"/>
      </w:pPr>
    </w:p>
    <w:p w14:paraId="1B06D29A" w14:textId="74A17837" w:rsidR="00C41537" w:rsidRDefault="00C41537" w:rsidP="008910E9">
      <w:pPr>
        <w:pStyle w:val="BodyText"/>
        <w:sectPr w:rsidR="00C41537" w:rsidSect="006F6F22">
          <w:pgSz w:w="16838" w:h="11906" w:orient="landscape" w:code="9"/>
          <w:pgMar w:top="1134" w:right="1134" w:bottom="1134" w:left="1134" w:header="510" w:footer="624" w:gutter="0"/>
          <w:cols w:space="850"/>
          <w:docGrid w:linePitch="360"/>
        </w:sectPr>
      </w:pPr>
    </w:p>
    <w:p w14:paraId="0EDCA667" w14:textId="6A730BF1" w:rsidR="00BF6A9A" w:rsidRDefault="009A1C03" w:rsidP="00BF6A9A">
      <w:pPr>
        <w:pStyle w:val="Heading1"/>
      </w:pPr>
      <w:bookmarkStart w:id="237" w:name="_Ref45982757"/>
      <w:bookmarkStart w:id="238" w:name="_Toc52873104"/>
      <w:bookmarkStart w:id="239" w:name="_Toc53075135"/>
      <w:r>
        <w:lastRenderedPageBreak/>
        <w:t>Summary</w:t>
      </w:r>
      <w:bookmarkEnd w:id="237"/>
      <w:bookmarkEnd w:id="238"/>
      <w:bookmarkEnd w:id="239"/>
    </w:p>
    <w:p w14:paraId="365EF03E" w14:textId="77C95F5A" w:rsidR="00CA2776" w:rsidRDefault="00CA2776" w:rsidP="00CA2776">
      <w:pPr>
        <w:pStyle w:val="BodyText"/>
      </w:pPr>
      <w:r>
        <w:t xml:space="preserve">For each of the 18 identified risk factors in </w:t>
      </w:r>
      <w:r>
        <w:fldChar w:fldCharType="begin"/>
      </w:r>
      <w:r>
        <w:instrText xml:space="preserve"> REF _Ref48744346 \h </w:instrText>
      </w:r>
      <w:r>
        <w:fldChar w:fldCharType="separate"/>
      </w:r>
      <w:r w:rsidR="00235F13">
        <w:t xml:space="preserve">Table </w:t>
      </w:r>
      <w:r w:rsidR="00235F13">
        <w:rPr>
          <w:noProof/>
        </w:rPr>
        <w:t>10</w:t>
      </w:r>
      <w:r>
        <w:fldChar w:fldCharType="end"/>
      </w:r>
      <w:r>
        <w:t xml:space="preserve"> an assessment was made o</w:t>
      </w:r>
      <w:r w:rsidR="006C58A6">
        <w:t>f</w:t>
      </w:r>
      <w:r>
        <w:t xml:space="preserve"> the level of overall risk associated with each class of activity, based on a combination of a review of the current literature, </w:t>
      </w:r>
      <w:r w:rsidR="006C58A6">
        <w:t xml:space="preserve">a review of </w:t>
      </w:r>
      <w:r>
        <w:t xml:space="preserve">projected changes in the underlying climate variables, and expert </w:t>
      </w:r>
      <w:r w:rsidRPr="005E0898">
        <w:rPr>
          <w:color w:val="auto"/>
          <w:szCs w:val="24"/>
        </w:rPr>
        <w:t>opinion (</w:t>
      </w:r>
      <w:r w:rsidR="005E0898" w:rsidRPr="005E0898">
        <w:rPr>
          <w:color w:val="auto"/>
          <w:szCs w:val="24"/>
        </w:rPr>
        <w:fldChar w:fldCharType="begin"/>
      </w:r>
      <w:r w:rsidR="005E0898" w:rsidRPr="005E0898">
        <w:rPr>
          <w:color w:val="auto"/>
          <w:szCs w:val="24"/>
        </w:rPr>
        <w:instrText xml:space="preserve"> REF _Ref49779585 \h  \* MERGEFORMAT </w:instrText>
      </w:r>
      <w:r w:rsidR="005E0898" w:rsidRPr="005E0898">
        <w:rPr>
          <w:color w:val="auto"/>
          <w:szCs w:val="24"/>
        </w:rPr>
      </w:r>
      <w:r w:rsidR="005E0898" w:rsidRPr="005E0898">
        <w:rPr>
          <w:color w:val="auto"/>
          <w:szCs w:val="24"/>
        </w:rPr>
        <w:fldChar w:fldCharType="separate"/>
      </w:r>
      <w:r w:rsidR="00235F13" w:rsidRPr="00235F13">
        <w:rPr>
          <w:rFonts w:asciiTheme="minorHAnsi" w:hAnsiTheme="minorHAnsi" w:cstheme="minorHAnsi"/>
          <w:color w:val="auto"/>
          <w:szCs w:val="24"/>
        </w:rPr>
        <w:t xml:space="preserve">Table </w:t>
      </w:r>
      <w:r w:rsidR="00235F13" w:rsidRPr="00235F13">
        <w:rPr>
          <w:rFonts w:asciiTheme="minorHAnsi" w:hAnsiTheme="minorHAnsi" w:cstheme="minorHAnsi"/>
          <w:noProof/>
          <w:color w:val="auto"/>
          <w:szCs w:val="24"/>
        </w:rPr>
        <w:t>27</w:t>
      </w:r>
      <w:r w:rsidR="005E0898" w:rsidRPr="005E0898">
        <w:rPr>
          <w:color w:val="auto"/>
          <w:szCs w:val="24"/>
        </w:rPr>
        <w:fldChar w:fldCharType="end"/>
      </w:r>
      <w:r w:rsidRPr="005E0898">
        <w:rPr>
          <w:color w:val="auto"/>
          <w:szCs w:val="24"/>
        </w:rPr>
        <w:t>).</w:t>
      </w:r>
      <w:r w:rsidRPr="005E0898">
        <w:rPr>
          <w:color w:val="auto"/>
        </w:rPr>
        <w:t xml:space="preserve"> </w:t>
      </w:r>
      <w:r w:rsidR="004B38A5">
        <w:t xml:space="preserve">The classification was separated into risks to maintenance and accumulation, and overall risk. </w:t>
      </w:r>
      <w:r w:rsidR="002F231C">
        <w:t>T</w:t>
      </w:r>
      <w:r>
        <w:t>here was marked variability across the risk profiles, with some activity classes being most sensitive to changes in disturbance regimes (Management of intertidal ecosystems)</w:t>
      </w:r>
      <w:r w:rsidR="002F231C">
        <w:t>;</w:t>
      </w:r>
      <w:r>
        <w:t xml:space="preserve"> some activity classes being most sensitive to changes in climate change factors (</w:t>
      </w:r>
      <w:r w:rsidR="006C58A6">
        <w:t>M</w:t>
      </w:r>
      <w:r>
        <w:t>anagement of agricultural soils; Planting of new forests)</w:t>
      </w:r>
      <w:r w:rsidR="002F231C">
        <w:t>;</w:t>
      </w:r>
      <w:r>
        <w:t xml:space="preserve"> and some activities indicating relatively even sensitivity to both factors (Re-establish native forest cover; Protect existing forests; Savanna fire management). The maximum risk rating allocated was ‘High’ corresponding to a likelihood of the risk factor recurring into the future, and a potential consequence of ‘Major’, nominally tagged as either a loss of up to 50-80% of the stored carbon (or </w:t>
      </w:r>
      <w:r w:rsidR="009A3FF7">
        <w:t xml:space="preserve">reduced accumulation of </w:t>
      </w:r>
      <w:r>
        <w:t xml:space="preserve">up to 20-50% of that expected). </w:t>
      </w:r>
    </w:p>
    <w:p w14:paraId="73334E5E" w14:textId="61F8ED80" w:rsidR="00CA2776" w:rsidRDefault="004B38A5" w:rsidP="00CA2776">
      <w:pPr>
        <w:pStyle w:val="BodyText"/>
      </w:pPr>
      <w:r>
        <w:t>Of the identified risk factors drought-induced stress, heat stress, and increased aridity/reduced soil water availability were the most prevalent</w:t>
      </w:r>
      <w:r w:rsidR="00CA2776">
        <w:t xml:space="preserve">. Changes to fire regimes were also a commonly identified risk factor, although only for Planting of new forests and Savanna fire management were the risks considered to be higher than ‘Low’. Risk factors associated with the potential impacts of pests and diseases, and changes to exposure to frost, were generally uncertain and are marked in the table with question marks. These can be considered gaps requiring further research. </w:t>
      </w:r>
    </w:p>
    <w:p w14:paraId="5251E1C0" w14:textId="19EA74ED" w:rsidR="002623E2" w:rsidRDefault="002623E2" w:rsidP="00CA2776">
      <w:pPr>
        <w:pStyle w:val="BodyText"/>
      </w:pPr>
      <w:r>
        <w:t>Some identified climate factors might be expected to have a positive impact on carbon sequestration in ecosystems, such as via the increasing atmospheric CO</w:t>
      </w:r>
      <w:r w:rsidRPr="00A75AC4">
        <w:rPr>
          <w:vertAlign w:val="subscript"/>
        </w:rPr>
        <w:t>2</w:t>
      </w:r>
      <w:r>
        <w:t xml:space="preserve"> concentration that has been implicated in increasing woodiness across arid Australia, and changes in rainfall patterns that might increase rates of tree and grass production. Such climate-driven changes in carbon storage interact with, and potentially enhance, the outcomes of changes in land management, and hence may have implications for the additionality requirements under the ERF.</w:t>
      </w:r>
    </w:p>
    <w:p w14:paraId="12524FCE" w14:textId="2C35D9A4" w:rsidR="00CA2776" w:rsidRDefault="00CA2776" w:rsidP="00CA2776">
      <w:pPr>
        <w:pStyle w:val="BodyText"/>
      </w:pPr>
      <w:r>
        <w:t xml:space="preserve">To integrate the findings </w:t>
      </w:r>
      <w:r w:rsidR="00914732">
        <w:t xml:space="preserve">across all </w:t>
      </w:r>
      <w:r>
        <w:t xml:space="preserve">risk factors a simple index was formulated that summed up, for each class of activity, the risk ratings. </w:t>
      </w:r>
      <w:r w:rsidR="002174D6">
        <w:t>Risk ratings of ‘Low’ were assigned a value of 1; risk ratings of ‘Low/Medium’ or ‘Medium’ were assigned a values of 3; and risk ratings of ‘</w:t>
      </w:r>
      <w:r w:rsidR="00914732">
        <w:t>M</w:t>
      </w:r>
      <w:r w:rsidR="002174D6">
        <w:t>edium/</w:t>
      </w:r>
      <w:r w:rsidR="00914732">
        <w:t>H</w:t>
      </w:r>
      <w:r w:rsidR="002174D6">
        <w:t>igh’ or ‘High’ were assigned a values of 6. Risk ratings marked as uncertain were excluded, and hence had a value 0</w:t>
      </w:r>
      <w:r>
        <w:t xml:space="preserve">. </w:t>
      </w:r>
      <w:r w:rsidR="00441C1E">
        <w:t xml:space="preserve">Because a simple and transparent index was desired, there was no further attempt to weight the risk factors by uncertainty. </w:t>
      </w:r>
      <w:r>
        <w:t>This index therefore combines a measure of both how many risk factors were identified for each class of activity, and the relative magnitude of those factors (</w:t>
      </w:r>
      <w:r w:rsidR="002F231C">
        <w:fldChar w:fldCharType="begin"/>
      </w:r>
      <w:r w:rsidR="002F231C">
        <w:instrText xml:space="preserve"> REF _Ref48744471 \h </w:instrText>
      </w:r>
      <w:r w:rsidR="002F231C">
        <w:fldChar w:fldCharType="separate"/>
      </w:r>
      <w:r w:rsidR="00235F13">
        <w:t xml:space="preserve">Figure </w:t>
      </w:r>
      <w:r w:rsidR="00235F13">
        <w:rPr>
          <w:noProof/>
        </w:rPr>
        <w:t>19</w:t>
      </w:r>
      <w:r w:rsidR="002F231C">
        <w:fldChar w:fldCharType="end"/>
      </w:r>
      <w:r>
        <w:t xml:space="preserve">). </w:t>
      </w:r>
    </w:p>
    <w:p w14:paraId="66FCC8FC" w14:textId="28679DC3" w:rsidR="00430DD5" w:rsidRDefault="00CA2776" w:rsidP="00CA2776">
      <w:pPr>
        <w:pStyle w:val="BodyText"/>
      </w:pPr>
      <w:r>
        <w:t>The index suggests Management of agricultural soils and Planting of new forests have the highest composite risk rating</w:t>
      </w:r>
      <w:r w:rsidR="00430DD5">
        <w:t xml:space="preserve">. This is </w:t>
      </w:r>
      <w:r>
        <w:t>followed by Savanna fire management, Management of intertidal ecosystems and Re-establishment of native forest cover, which have intermediate values</w:t>
      </w:r>
      <w:r w:rsidR="00BF2234">
        <w:t xml:space="preserve">. </w:t>
      </w:r>
      <w:r>
        <w:t xml:space="preserve">Protection of existing forests </w:t>
      </w:r>
      <w:r w:rsidR="00430DD5">
        <w:t>h</w:t>
      </w:r>
      <w:r>
        <w:t xml:space="preserve">as the lowest risk profile. </w:t>
      </w:r>
      <w:r w:rsidR="00430DD5">
        <w:t>The index also shows the different methodology categories have different risk profiles with respect to accumulation risks and maintenance risks (</w:t>
      </w:r>
      <w:r w:rsidR="00430DD5">
        <w:fldChar w:fldCharType="begin"/>
      </w:r>
      <w:r w:rsidR="00430DD5">
        <w:instrText xml:space="preserve"> REF _Ref48744471 \h </w:instrText>
      </w:r>
      <w:r w:rsidR="00430DD5">
        <w:fldChar w:fldCharType="separate"/>
      </w:r>
      <w:r w:rsidR="00235F13">
        <w:t xml:space="preserve">Figure </w:t>
      </w:r>
      <w:r w:rsidR="00235F13">
        <w:rPr>
          <w:noProof/>
        </w:rPr>
        <w:t>19</w:t>
      </w:r>
      <w:r w:rsidR="00430DD5">
        <w:fldChar w:fldCharType="end"/>
      </w:r>
      <w:r w:rsidR="00430DD5">
        <w:t xml:space="preserve">). For the activities involving soil carbon sequestration (management </w:t>
      </w:r>
      <w:r w:rsidR="00430DD5">
        <w:lastRenderedPageBreak/>
        <w:t xml:space="preserve">of agricultural soils and management of intertidal ecosystems) the risks are evenly split, with all risk factors identified as having potential impacts on both accumulation and maintenance. This is because changes in soil carbon are driven by changes in the rates organic matter input, as well as losses of soil carbon from respiration, and the impacts of climate change can effect both pathways. Further work is required to tease apart the relative sensitivities to soil carbon loss and gain for each climate impact factor. For the Planting </w:t>
      </w:r>
      <w:r w:rsidR="00CD3D3D">
        <w:t xml:space="preserve">of </w:t>
      </w:r>
      <w:r w:rsidR="00430DD5">
        <w:t>new forests, Savanna fire management and Re-establishment of native forest cover categories risks to the accumulation of carbon were greater than risks to the maintenance of that carbon, mostly arising from potential impacts to plant growth and decomposition processes. For the protection of existing forests category, only maintenance risks are significant, given the carbon store is present at the start of the project.</w:t>
      </w:r>
    </w:p>
    <w:p w14:paraId="0004100E" w14:textId="3311363A" w:rsidR="00826105" w:rsidRDefault="00CA2776" w:rsidP="00CA2776">
      <w:pPr>
        <w:pStyle w:val="BodyText"/>
        <w:sectPr w:rsidR="00826105" w:rsidSect="00F03C3C">
          <w:headerReference w:type="even" r:id="rId97"/>
          <w:headerReference w:type="default" r:id="rId98"/>
          <w:headerReference w:type="first" r:id="rId99"/>
          <w:footerReference w:type="first" r:id="rId100"/>
          <w:pgSz w:w="11906" w:h="16838" w:code="9"/>
          <w:pgMar w:top="1134" w:right="1134" w:bottom="1134" w:left="1134" w:header="510" w:footer="624" w:gutter="0"/>
          <w:cols w:space="850"/>
          <w:docGrid w:linePitch="360"/>
        </w:sectPr>
      </w:pPr>
      <w:r>
        <w:t xml:space="preserve">Although the index cannot be used as a basis for quantifying potential carbon losses, in conjunction with the more detailed information </w:t>
      </w:r>
      <w:r w:rsidRPr="009D360E">
        <w:rPr>
          <w:color w:val="auto"/>
          <w:szCs w:val="24"/>
        </w:rPr>
        <w:t>in</w:t>
      </w:r>
      <w:r w:rsidR="002F231C" w:rsidRPr="009D360E">
        <w:rPr>
          <w:color w:val="auto"/>
          <w:szCs w:val="24"/>
        </w:rPr>
        <w:t xml:space="preserve"> </w:t>
      </w:r>
      <w:r w:rsidR="009D360E" w:rsidRPr="009D360E">
        <w:rPr>
          <w:color w:val="auto"/>
          <w:szCs w:val="24"/>
        </w:rPr>
        <w:fldChar w:fldCharType="begin"/>
      </w:r>
      <w:r w:rsidR="009D360E" w:rsidRPr="009D360E">
        <w:rPr>
          <w:color w:val="auto"/>
          <w:szCs w:val="24"/>
        </w:rPr>
        <w:instrText xml:space="preserve"> REF _Ref49779585 \h  \* MERGEFORMAT </w:instrText>
      </w:r>
      <w:r w:rsidR="009D360E" w:rsidRPr="009D360E">
        <w:rPr>
          <w:color w:val="auto"/>
          <w:szCs w:val="24"/>
        </w:rPr>
      </w:r>
      <w:r w:rsidR="009D360E" w:rsidRPr="009D360E">
        <w:rPr>
          <w:color w:val="auto"/>
          <w:szCs w:val="24"/>
        </w:rPr>
        <w:fldChar w:fldCharType="separate"/>
      </w:r>
      <w:r w:rsidR="00235F13" w:rsidRPr="00235F13">
        <w:rPr>
          <w:rFonts w:asciiTheme="minorHAnsi" w:hAnsiTheme="minorHAnsi" w:cstheme="minorHAnsi"/>
          <w:color w:val="auto"/>
          <w:szCs w:val="24"/>
        </w:rPr>
        <w:t xml:space="preserve">Table </w:t>
      </w:r>
      <w:r w:rsidR="00235F13" w:rsidRPr="00235F13">
        <w:rPr>
          <w:rFonts w:asciiTheme="minorHAnsi" w:hAnsiTheme="minorHAnsi" w:cstheme="minorHAnsi"/>
          <w:noProof/>
          <w:color w:val="auto"/>
          <w:szCs w:val="24"/>
        </w:rPr>
        <w:t>27</w:t>
      </w:r>
      <w:r w:rsidR="009D360E" w:rsidRPr="009D360E">
        <w:rPr>
          <w:color w:val="auto"/>
          <w:szCs w:val="24"/>
        </w:rPr>
        <w:fldChar w:fldCharType="end"/>
      </w:r>
      <w:r w:rsidRPr="009D360E">
        <w:rPr>
          <w:color w:val="auto"/>
        </w:rPr>
        <w:t xml:space="preserve"> </w:t>
      </w:r>
      <w:r>
        <w:t>this ranking could be used as a basis for prioritising attention on the methodologies and associated risk factors that are suggested to be most vulnerable. This could include further investigation of the policy settings underlying each methodology to determine if they could be modified further to alleviate exposure to carbon loss, and to prioritise further research effort on those sectors and activities deemed to be most at risk.</w:t>
      </w:r>
    </w:p>
    <w:p w14:paraId="1C66B338" w14:textId="042D9BC7" w:rsidR="00826105" w:rsidRDefault="00602780" w:rsidP="00826105">
      <w:pPr>
        <w:pStyle w:val="Caption"/>
        <w:rPr>
          <w:color w:val="C00000"/>
        </w:rPr>
      </w:pPr>
      <w:r w:rsidRPr="00602780">
        <w:rPr>
          <w:noProof/>
        </w:rPr>
        <w:lastRenderedPageBreak/>
        <w:drawing>
          <wp:anchor distT="0" distB="0" distL="114300" distR="114300" simplePos="0" relativeHeight="251656191" behindDoc="0" locked="0" layoutInCell="1" allowOverlap="1" wp14:anchorId="64BDC8C7" wp14:editId="49AA1871">
            <wp:simplePos x="0" y="0"/>
            <wp:positionH relativeFrom="margin">
              <wp:align>left</wp:align>
            </wp:positionH>
            <wp:positionV relativeFrom="page">
              <wp:posOffset>489865</wp:posOffset>
            </wp:positionV>
            <wp:extent cx="8830310" cy="6120130"/>
            <wp:effectExtent l="0" t="0" r="8890" b="0"/>
            <wp:wrapNone/>
            <wp:docPr id="1068683819" name="Picture 106868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830310" cy="6120130"/>
                    </a:xfrm>
                    <a:prstGeom prst="rect">
                      <a:avLst/>
                    </a:prstGeom>
                  </pic:spPr>
                </pic:pic>
              </a:graphicData>
            </a:graphic>
            <wp14:sizeRelH relativeFrom="page">
              <wp14:pctWidth>0</wp14:pctWidth>
            </wp14:sizeRelH>
            <wp14:sizeRelV relativeFrom="page">
              <wp14:pctHeight>0</wp14:pctHeight>
            </wp14:sizeRelV>
          </wp:anchor>
        </w:drawing>
      </w:r>
      <w:r w:rsidR="00826105">
        <w:rPr>
          <w:noProof/>
        </w:rPr>
        <mc:AlternateContent>
          <mc:Choice Requires="wps">
            <w:drawing>
              <wp:anchor distT="0" distB="0" distL="114300" distR="114300" simplePos="0" relativeHeight="251658301" behindDoc="0" locked="0" layoutInCell="1" allowOverlap="1" wp14:anchorId="03105CAC" wp14:editId="63EAF773">
                <wp:simplePos x="0" y="0"/>
                <wp:positionH relativeFrom="column">
                  <wp:posOffset>0</wp:posOffset>
                </wp:positionH>
                <wp:positionV relativeFrom="paragraph">
                  <wp:posOffset>-635</wp:posOffset>
                </wp:positionV>
                <wp:extent cx="4737253" cy="1123720"/>
                <wp:effectExtent l="0" t="0" r="6350" b="635"/>
                <wp:wrapNone/>
                <wp:docPr id="1853651908" name="Text Box 1853651908"/>
                <wp:cNvGraphicFramePr/>
                <a:graphic xmlns:a="http://schemas.openxmlformats.org/drawingml/2006/main">
                  <a:graphicData uri="http://schemas.microsoft.com/office/word/2010/wordprocessingShape">
                    <wps:wsp>
                      <wps:cNvSpPr txBox="1"/>
                      <wps:spPr>
                        <a:xfrm>
                          <a:off x="0" y="0"/>
                          <a:ext cx="4737253" cy="1123720"/>
                        </a:xfrm>
                        <a:prstGeom prst="rect">
                          <a:avLst/>
                        </a:prstGeom>
                        <a:solidFill>
                          <a:schemeClr val="lt1"/>
                        </a:solidFill>
                        <a:ln w="6350">
                          <a:noFill/>
                        </a:ln>
                      </wps:spPr>
                      <wps:txbx>
                        <w:txbxContent>
                          <w:p w14:paraId="2518BDE4" w14:textId="368575AE" w:rsidR="00A264AF" w:rsidRPr="00473A38" w:rsidRDefault="00A264AF" w:rsidP="00826105">
                            <w:pPr>
                              <w:rPr>
                                <w:rFonts w:asciiTheme="minorHAnsi" w:hAnsiTheme="minorHAnsi" w:cstheme="minorHAnsi"/>
                                <w:color w:val="007E9A" w:themeColor="accent1" w:themeShade="BF"/>
                                <w:sz w:val="20"/>
                                <w:szCs w:val="20"/>
                              </w:rPr>
                            </w:pPr>
                            <w:bookmarkStart w:id="240" w:name="_Ref49779585"/>
                            <w:bookmarkStart w:id="241" w:name="_Toc52971082"/>
                            <w:r w:rsidRPr="00826105">
                              <w:rPr>
                                <w:rFonts w:asciiTheme="minorHAnsi" w:hAnsiTheme="minorHAnsi" w:cstheme="minorHAnsi"/>
                                <w:b/>
                                <w:bCs/>
                                <w:color w:val="007E9A" w:themeColor="accent1" w:themeShade="BF"/>
                                <w:sz w:val="20"/>
                                <w:szCs w:val="20"/>
                              </w:rPr>
                              <w:t xml:space="preserve">Table </w:t>
                            </w:r>
                            <w:r w:rsidRPr="00826105">
                              <w:rPr>
                                <w:rFonts w:asciiTheme="minorHAnsi" w:hAnsiTheme="minorHAnsi" w:cstheme="minorHAnsi"/>
                                <w:b/>
                                <w:bCs/>
                                <w:noProof/>
                                <w:color w:val="007E9A" w:themeColor="accent1" w:themeShade="BF"/>
                                <w:sz w:val="20"/>
                                <w:szCs w:val="20"/>
                              </w:rPr>
                              <w:fldChar w:fldCharType="begin"/>
                            </w:r>
                            <w:r w:rsidRPr="00826105">
                              <w:rPr>
                                <w:rFonts w:asciiTheme="minorHAnsi" w:hAnsiTheme="minorHAnsi" w:cstheme="minorHAnsi"/>
                                <w:b/>
                                <w:bCs/>
                                <w:noProof/>
                                <w:color w:val="007E9A" w:themeColor="accent1" w:themeShade="BF"/>
                                <w:sz w:val="20"/>
                                <w:szCs w:val="20"/>
                              </w:rPr>
                              <w:instrText xml:space="preserve"> SEQ Table \* ARABIC </w:instrText>
                            </w:r>
                            <w:r w:rsidRPr="00826105">
                              <w:rPr>
                                <w:rFonts w:asciiTheme="minorHAnsi" w:hAnsiTheme="minorHAnsi" w:cstheme="minorHAnsi"/>
                                <w:b/>
                                <w:bCs/>
                                <w:noProof/>
                                <w:color w:val="007E9A" w:themeColor="accent1" w:themeShade="BF"/>
                                <w:sz w:val="20"/>
                                <w:szCs w:val="20"/>
                              </w:rPr>
                              <w:fldChar w:fldCharType="separate"/>
                            </w:r>
                            <w:r>
                              <w:rPr>
                                <w:rFonts w:asciiTheme="minorHAnsi" w:hAnsiTheme="minorHAnsi" w:cstheme="minorHAnsi"/>
                                <w:b/>
                                <w:bCs/>
                                <w:noProof/>
                                <w:color w:val="007E9A" w:themeColor="accent1" w:themeShade="BF"/>
                                <w:sz w:val="20"/>
                                <w:szCs w:val="20"/>
                              </w:rPr>
                              <w:t>27</w:t>
                            </w:r>
                            <w:r w:rsidRPr="00826105">
                              <w:rPr>
                                <w:rFonts w:asciiTheme="minorHAnsi" w:hAnsiTheme="minorHAnsi" w:cstheme="minorHAnsi"/>
                                <w:b/>
                                <w:bCs/>
                                <w:noProof/>
                                <w:color w:val="007E9A" w:themeColor="accent1" w:themeShade="BF"/>
                                <w:sz w:val="20"/>
                                <w:szCs w:val="20"/>
                              </w:rPr>
                              <w:fldChar w:fldCharType="end"/>
                            </w:r>
                            <w:bookmarkEnd w:id="240"/>
                            <w:r w:rsidRPr="00826105">
                              <w:rPr>
                                <w:rFonts w:asciiTheme="minorHAnsi" w:hAnsiTheme="minorHAnsi" w:cstheme="minorHAnsi"/>
                                <w:b/>
                                <w:bCs/>
                                <w:noProof/>
                                <w:color w:val="007E9A" w:themeColor="accent1" w:themeShade="BF"/>
                                <w:sz w:val="20"/>
                                <w:szCs w:val="20"/>
                              </w:rPr>
                              <w:t>.</w:t>
                            </w:r>
                            <w:r w:rsidRPr="00826105">
                              <w:rPr>
                                <w:rFonts w:asciiTheme="minorHAnsi" w:hAnsiTheme="minorHAnsi" w:cstheme="minorHAnsi"/>
                                <w:noProof/>
                                <w:sz w:val="18"/>
                                <w:szCs w:val="18"/>
                              </w:rPr>
                              <w:t xml:space="preserve"> </w:t>
                            </w:r>
                            <w:r w:rsidRPr="00473A38">
                              <w:rPr>
                                <w:rFonts w:asciiTheme="minorHAnsi" w:hAnsiTheme="minorHAnsi" w:cstheme="minorHAnsi"/>
                                <w:noProof/>
                                <w:color w:val="007E9A" w:themeColor="accent1" w:themeShade="BF"/>
                                <w:sz w:val="20"/>
                                <w:szCs w:val="20"/>
                              </w:rPr>
                              <w:t>R</w:t>
                            </w:r>
                            <w:r w:rsidRPr="00473A38">
                              <w:rPr>
                                <w:rFonts w:asciiTheme="minorHAnsi" w:hAnsiTheme="minorHAnsi" w:cstheme="minorHAnsi"/>
                                <w:color w:val="007E9A" w:themeColor="accent1" w:themeShade="BF"/>
                                <w:sz w:val="20"/>
                                <w:szCs w:val="20"/>
                              </w:rPr>
                              <w:t xml:space="preserve">isk assessment summary. </w:t>
                            </w:r>
                            <w:r>
                              <w:rPr>
                                <w:rFonts w:asciiTheme="minorHAnsi" w:hAnsiTheme="minorHAnsi" w:cstheme="minorHAnsi"/>
                                <w:color w:val="007E9A" w:themeColor="accent1" w:themeShade="BF"/>
                                <w:sz w:val="20"/>
                                <w:szCs w:val="20"/>
                              </w:rPr>
                              <w:t>Risk assessments are shown for each combination of impact factor and activity category, separated by maintenance, accumulation and combined risks. Note each impact factor can contribute to both maintenance and accumulation risk. Overall rating is based on a simple weighted sum across all risk factors to give a composite score for each activity category and risk type. The weightings were: Not rated = 0; Low risk = 1; Medium risk = 3; High risk = 6.</w:t>
                            </w:r>
                            <w:bookmarkEnd w:id="2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105CAC" id="Text Box 1853651908" o:spid="_x0000_s1084" type="#_x0000_t202" style="position:absolute;margin-left:0;margin-top:-.05pt;width:373pt;height:88.5pt;z-index:2516583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" fillcolor="white [3201]" stroked="f" strokeweight=".5pt">
                <v:textbox>
                  <w:txbxContent>
                    <w:p w14:paraId="2518BDE4" w14:textId="368575AE" w:rsidR="00A264AF" w:rsidRPr="00473A38" w:rsidRDefault="00A264AF" w:rsidP="00826105">
                      <w:pPr>
                        <w:rPr>
                          <w:rFonts w:asciiTheme="minorHAnsi" w:hAnsiTheme="minorHAnsi" w:cstheme="minorHAnsi"/>
                          <w:color w:val="007E9A" w:themeColor="accent1" w:themeShade="BF"/>
                          <w:sz w:val="20"/>
                          <w:szCs w:val="20"/>
                        </w:rPr>
                      </w:pPr>
                      <w:bookmarkStart w:id="242" w:name="_Ref49779585"/>
                      <w:bookmarkStart w:id="243" w:name="_Toc52971082"/>
                      <w:r w:rsidRPr="00826105">
                        <w:rPr>
                          <w:rFonts w:asciiTheme="minorHAnsi" w:hAnsiTheme="minorHAnsi" w:cstheme="minorHAnsi"/>
                          <w:b/>
                          <w:bCs/>
                          <w:color w:val="007E9A" w:themeColor="accent1" w:themeShade="BF"/>
                          <w:sz w:val="20"/>
                          <w:szCs w:val="20"/>
                        </w:rPr>
                        <w:t xml:space="preserve">Table </w:t>
                      </w:r>
                      <w:r w:rsidRPr="00826105">
                        <w:rPr>
                          <w:rFonts w:asciiTheme="minorHAnsi" w:hAnsiTheme="minorHAnsi" w:cstheme="minorHAnsi"/>
                          <w:b/>
                          <w:bCs/>
                          <w:noProof/>
                          <w:color w:val="007E9A" w:themeColor="accent1" w:themeShade="BF"/>
                          <w:sz w:val="20"/>
                          <w:szCs w:val="20"/>
                        </w:rPr>
                        <w:fldChar w:fldCharType="begin"/>
                      </w:r>
                      <w:r w:rsidRPr="00826105">
                        <w:rPr>
                          <w:rFonts w:asciiTheme="minorHAnsi" w:hAnsiTheme="minorHAnsi" w:cstheme="minorHAnsi"/>
                          <w:b/>
                          <w:bCs/>
                          <w:noProof/>
                          <w:color w:val="007E9A" w:themeColor="accent1" w:themeShade="BF"/>
                          <w:sz w:val="20"/>
                          <w:szCs w:val="20"/>
                        </w:rPr>
                        <w:instrText xml:space="preserve"> SEQ Table \* ARABIC </w:instrText>
                      </w:r>
                      <w:r w:rsidRPr="00826105">
                        <w:rPr>
                          <w:rFonts w:asciiTheme="minorHAnsi" w:hAnsiTheme="minorHAnsi" w:cstheme="minorHAnsi"/>
                          <w:b/>
                          <w:bCs/>
                          <w:noProof/>
                          <w:color w:val="007E9A" w:themeColor="accent1" w:themeShade="BF"/>
                          <w:sz w:val="20"/>
                          <w:szCs w:val="20"/>
                        </w:rPr>
                        <w:fldChar w:fldCharType="separate"/>
                      </w:r>
                      <w:r>
                        <w:rPr>
                          <w:rFonts w:asciiTheme="minorHAnsi" w:hAnsiTheme="minorHAnsi" w:cstheme="minorHAnsi"/>
                          <w:b/>
                          <w:bCs/>
                          <w:noProof/>
                          <w:color w:val="007E9A" w:themeColor="accent1" w:themeShade="BF"/>
                          <w:sz w:val="20"/>
                          <w:szCs w:val="20"/>
                        </w:rPr>
                        <w:t>27</w:t>
                      </w:r>
                      <w:r w:rsidRPr="00826105">
                        <w:rPr>
                          <w:rFonts w:asciiTheme="minorHAnsi" w:hAnsiTheme="minorHAnsi" w:cstheme="minorHAnsi"/>
                          <w:b/>
                          <w:bCs/>
                          <w:noProof/>
                          <w:color w:val="007E9A" w:themeColor="accent1" w:themeShade="BF"/>
                          <w:sz w:val="20"/>
                          <w:szCs w:val="20"/>
                        </w:rPr>
                        <w:fldChar w:fldCharType="end"/>
                      </w:r>
                      <w:bookmarkEnd w:id="242"/>
                      <w:r w:rsidRPr="00826105">
                        <w:rPr>
                          <w:rFonts w:asciiTheme="minorHAnsi" w:hAnsiTheme="minorHAnsi" w:cstheme="minorHAnsi"/>
                          <w:b/>
                          <w:bCs/>
                          <w:noProof/>
                          <w:color w:val="007E9A" w:themeColor="accent1" w:themeShade="BF"/>
                          <w:sz w:val="20"/>
                          <w:szCs w:val="20"/>
                        </w:rPr>
                        <w:t>.</w:t>
                      </w:r>
                      <w:r w:rsidRPr="00826105">
                        <w:rPr>
                          <w:rFonts w:asciiTheme="minorHAnsi" w:hAnsiTheme="minorHAnsi" w:cstheme="minorHAnsi"/>
                          <w:noProof/>
                          <w:sz w:val="18"/>
                          <w:szCs w:val="18"/>
                        </w:rPr>
                        <w:t xml:space="preserve"> </w:t>
                      </w:r>
                      <w:r w:rsidRPr="00473A38">
                        <w:rPr>
                          <w:rFonts w:asciiTheme="minorHAnsi" w:hAnsiTheme="minorHAnsi" w:cstheme="minorHAnsi"/>
                          <w:noProof/>
                          <w:color w:val="007E9A" w:themeColor="accent1" w:themeShade="BF"/>
                          <w:sz w:val="20"/>
                          <w:szCs w:val="20"/>
                        </w:rPr>
                        <w:t>R</w:t>
                      </w:r>
                      <w:r w:rsidRPr="00473A38">
                        <w:rPr>
                          <w:rFonts w:asciiTheme="minorHAnsi" w:hAnsiTheme="minorHAnsi" w:cstheme="minorHAnsi"/>
                          <w:color w:val="007E9A" w:themeColor="accent1" w:themeShade="BF"/>
                          <w:sz w:val="20"/>
                          <w:szCs w:val="20"/>
                        </w:rPr>
                        <w:t xml:space="preserve">isk assessment summary. </w:t>
                      </w:r>
                      <w:r>
                        <w:rPr>
                          <w:rFonts w:asciiTheme="minorHAnsi" w:hAnsiTheme="minorHAnsi" w:cstheme="minorHAnsi"/>
                          <w:color w:val="007E9A" w:themeColor="accent1" w:themeShade="BF"/>
                          <w:sz w:val="20"/>
                          <w:szCs w:val="20"/>
                        </w:rPr>
                        <w:t>Risk assessments are shown for each combination of impact factor and activity category, separated by maintenance, accumulation and combined risks. Note each impact factor can contribute to both maintenance and accumulation risk. Overall rating is based on a simple weighted sum across all risk factors to give a composite score for each activity category and risk type. The weightings were: Not rated = 0; Low risk = 1; Medium risk = 3; High risk = 6.</w:t>
                      </w:r>
                      <w:bookmarkEnd w:id="243"/>
                    </w:p>
                  </w:txbxContent>
                </v:textbox>
              </v:shape>
            </w:pict>
          </mc:Fallback>
        </mc:AlternateContent>
      </w:r>
    </w:p>
    <w:p w14:paraId="2CB13B7D" w14:textId="263981C1" w:rsidR="00826105" w:rsidRDefault="00826105">
      <w:pPr>
        <w:rPr>
          <w:color w:val="C00000"/>
        </w:rPr>
      </w:pPr>
    </w:p>
    <w:p w14:paraId="00861711" w14:textId="2F9485C6" w:rsidR="00826105" w:rsidRDefault="00826105">
      <w:pPr>
        <w:rPr>
          <w:rFonts w:ascii="Arial" w:eastAsiaTheme="minorHAnsi" w:hAnsi="Arial" w:cs="Arial"/>
          <w:color w:val="C00000"/>
          <w:lang w:eastAsia="zh-CN" w:bidi="th-TH"/>
        </w:rPr>
      </w:pPr>
    </w:p>
    <w:p w14:paraId="52F14F7D" w14:textId="309F9594" w:rsidR="008910E9" w:rsidRDefault="008910E9">
      <w:pPr>
        <w:rPr>
          <w:rFonts w:ascii="Arial" w:eastAsiaTheme="minorHAnsi" w:hAnsi="Arial" w:cs="Arial"/>
          <w:color w:val="C00000"/>
          <w:lang w:eastAsia="zh-CN" w:bidi="th-TH"/>
        </w:rPr>
      </w:pPr>
    </w:p>
    <w:p w14:paraId="3BE3E486" w14:textId="77777777" w:rsidR="00826105" w:rsidRDefault="00826105">
      <w:pPr>
        <w:rPr>
          <w:rFonts w:ascii="Arial" w:eastAsiaTheme="minorHAnsi" w:hAnsi="Arial" w:cs="Arial"/>
          <w:color w:val="C00000"/>
          <w:lang w:eastAsia="zh-CN" w:bidi="th-TH"/>
        </w:rPr>
        <w:sectPr w:rsidR="00826105" w:rsidSect="00826105">
          <w:pgSz w:w="16838" w:h="11906" w:orient="landscape" w:code="9"/>
          <w:pgMar w:top="1134" w:right="1134" w:bottom="1134" w:left="1134" w:header="510" w:footer="624" w:gutter="0"/>
          <w:cols w:space="850"/>
          <w:docGrid w:linePitch="360"/>
        </w:sectPr>
      </w:pPr>
    </w:p>
    <w:p w14:paraId="32343B31" w14:textId="3868DF80" w:rsidR="0019377D" w:rsidRDefault="00515B61" w:rsidP="0019377D">
      <w:pPr>
        <w:pStyle w:val="CCSNormalText"/>
        <w:spacing w:line="264" w:lineRule="auto"/>
        <w:rPr>
          <w:color w:val="C00000"/>
        </w:rPr>
      </w:pPr>
      <w:r>
        <w:rPr>
          <w:noProof/>
          <w:color w:val="C00000"/>
          <w:lang w:eastAsia="en-AU" w:bidi="ar-SA"/>
        </w:rPr>
        <w:lastRenderedPageBreak/>
        <w:drawing>
          <wp:inline distT="0" distB="0" distL="0" distR="0" wp14:anchorId="2A52F8C2" wp14:editId="4C1DFA5A">
            <wp:extent cx="5347622" cy="6460338"/>
            <wp:effectExtent l="0" t="0" r="5715" b="0"/>
            <wp:docPr id="1068683822" name="Picture 106868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55287" cy="6469598"/>
                    </a:xfrm>
                    <a:prstGeom prst="rect">
                      <a:avLst/>
                    </a:prstGeom>
                    <a:noFill/>
                  </pic:spPr>
                </pic:pic>
              </a:graphicData>
            </a:graphic>
          </wp:inline>
        </w:drawing>
      </w:r>
    </w:p>
    <w:p w14:paraId="489D32CF" w14:textId="402DFD6C" w:rsidR="00691A37" w:rsidRDefault="00691A37" w:rsidP="00691A37">
      <w:pPr>
        <w:pStyle w:val="Caption"/>
      </w:pPr>
      <w:bookmarkStart w:id="244" w:name="_Ref48744471"/>
      <w:bookmarkStart w:id="245" w:name="_Toc52968249"/>
      <w:r>
        <w:t xml:space="preserve">Figure </w:t>
      </w:r>
      <w:r>
        <w:fldChar w:fldCharType="begin"/>
      </w:r>
      <w:r>
        <w:instrText>SEQ Figure \* ARABIC</w:instrText>
      </w:r>
      <w:r>
        <w:fldChar w:fldCharType="separate"/>
      </w:r>
      <w:r w:rsidR="00235F13">
        <w:rPr>
          <w:noProof/>
        </w:rPr>
        <w:t>19</w:t>
      </w:r>
      <w:r>
        <w:fldChar w:fldCharType="end"/>
      </w:r>
      <w:bookmarkEnd w:id="244"/>
      <w:r>
        <w:t xml:space="preserve">. </w:t>
      </w:r>
      <w:r w:rsidR="00826105" w:rsidRPr="00826105">
        <w:rPr>
          <w:b w:val="0"/>
          <w:bCs w:val="0"/>
        </w:rPr>
        <w:t>Composite relative risk rating for each activity category. (a) Overall risk rating. (b) Separation of risks into maintenance and accumulation. See text for details</w:t>
      </w:r>
      <w:r w:rsidRPr="0021349E">
        <w:rPr>
          <w:b w:val="0"/>
          <w:bCs w:val="0"/>
        </w:rPr>
        <w:t>.</w:t>
      </w:r>
      <w:bookmarkEnd w:id="245"/>
    </w:p>
    <w:p w14:paraId="33613C91" w14:textId="189E89AF" w:rsidR="0019377D" w:rsidRDefault="0019377D" w:rsidP="005873DC">
      <w:pPr>
        <w:pStyle w:val="CCSNormalText"/>
        <w:spacing w:line="264" w:lineRule="auto"/>
        <w:rPr>
          <w:b/>
          <w:bCs/>
          <w:color w:val="C00000"/>
        </w:rPr>
      </w:pPr>
    </w:p>
    <w:p w14:paraId="43FA7D8A" w14:textId="77777777" w:rsidR="002F231C" w:rsidRDefault="002F231C" w:rsidP="002F231C">
      <w:pPr>
        <w:pStyle w:val="BodyText"/>
        <w:rPr>
          <w:i/>
          <w:iCs/>
        </w:rPr>
      </w:pPr>
      <w:r>
        <w:rPr>
          <w:i/>
          <w:iCs/>
        </w:rPr>
        <w:t>Activity-specific findings</w:t>
      </w:r>
    </w:p>
    <w:p w14:paraId="7BAEE68E" w14:textId="77777777" w:rsidR="002F231C" w:rsidRPr="007B57BB" w:rsidRDefault="002F231C" w:rsidP="002F231C">
      <w:pPr>
        <w:pStyle w:val="BodyText"/>
        <w:rPr>
          <w:smallCaps/>
        </w:rPr>
      </w:pPr>
      <w:r w:rsidRPr="007B57BB">
        <w:rPr>
          <w:smallCaps/>
        </w:rPr>
        <w:t>Management of agricultural soils</w:t>
      </w:r>
    </w:p>
    <w:p w14:paraId="7FCFC41A" w14:textId="45A440BA" w:rsidR="002F231C" w:rsidRDefault="002F231C" w:rsidP="002F231C">
      <w:pPr>
        <w:pStyle w:val="BodyText"/>
      </w:pPr>
      <w:r>
        <w:t xml:space="preserve">The dominant risks to sequestration for the Management of agricultural soil activity were associated with climate change impacts on the rates of organic matter input to soil, and the rates of loss through changes to soil respiration and the microbial biota. </w:t>
      </w:r>
      <w:r w:rsidR="00DC444E">
        <w:t xml:space="preserve">Based on the qualitative review undertaken here it was not possible to quantify relative differences in risks between accumulation and maintenance – for example a reduction in plant growth can simultaneously reduce the rate of input (accumulation risk), and by doing so also indirectly increase soil carbon loss (maintenance </w:t>
      </w:r>
      <w:r w:rsidR="00DC444E">
        <w:lastRenderedPageBreak/>
        <w:t xml:space="preserve">risk) through changing the balance between the rates of organic matter accumulation and soil respiration. </w:t>
      </w:r>
      <w:r>
        <w:t>The vulnerability of soil organic car</w:t>
      </w:r>
      <w:r w:rsidR="006C58A6">
        <w:t>bo</w:t>
      </w:r>
      <w:r>
        <w:t>n (SOC) to loss has been recently highlighted by a number of studies suggesting the majority of the spatial and temporal variability observed in SOC can be attributed to non-management related factors. For example</w:t>
      </w:r>
      <w:r w:rsidR="00E53C74">
        <w:t>,</w:t>
      </w:r>
      <w:r>
        <w:t xml:space="preserve"> Badgery et al.</w:t>
      </w:r>
      <w:r w:rsidR="00A63866">
        <w:t xml:space="preserve"> (2020</w:t>
      </w:r>
      <w:r w:rsidR="009E0A6D">
        <w:t>b</w:t>
      </w:r>
      <w:r w:rsidR="00A63866">
        <w:t>)</w:t>
      </w:r>
      <w:r>
        <w:t xml:space="preserve"> showed, across 10 location</w:t>
      </w:r>
      <w:r w:rsidR="00E53C74">
        <w:t>s</w:t>
      </w:r>
      <w:r>
        <w:t xml:space="preserve"> in NSW and over a 16 year period, that all of the SOC gains made over the early years following changes in management, designed specifically to build SOC, were lost by year 16. Moreover, the SOC that did accumulate following management change was predominantly Particulate Organic Carbon (POC), which has a fast turnover rate and this thus most vulnerable to loss. Finally, the patterns of subsequent reversal of the sequestration were similar over widely differing management interventions, suggesting the primary factor controlling the reversal was not solely related to management. The associated risks therefore apply at the portfolio-level, as well as individual projects. </w:t>
      </w:r>
      <w:r w:rsidR="00DC444E">
        <w:t xml:space="preserve">Although the soil measurement methodologies only require the measurement and reporting of total organic carbon, information on the composition of different soil carbon fractions (such as POC) would </w:t>
      </w:r>
      <w:r w:rsidR="00196872">
        <w:t>provide</w:t>
      </w:r>
      <w:r w:rsidR="00DC444E">
        <w:t xml:space="preserve"> valuable additional information for understanding the potential future vulnerability of the sequestered carbon. Zone 1 adaptive measures focus on actions to enhance or maintain rates of organic matter input to the soil, such as pest control, and adjusting the timing of crop establishment. Zone 2 measures involve selecting, or breeding for, species/genotypes more tolerant of extreme climate. Although a number of adaptation options were identified, their effectiveness in helping to secure SOC over the long term remains untested. No specific actions were identified that could be currently undertaken to directly manage respiratory losses of soil carbon, although manipulation of microbial function to enhance soil carbon sequestration is an active area of research</w:t>
      </w:r>
      <w:r>
        <w:t>.</w:t>
      </w:r>
    </w:p>
    <w:p w14:paraId="60A316A6" w14:textId="77777777" w:rsidR="002F231C" w:rsidRDefault="002F231C" w:rsidP="002F231C">
      <w:pPr>
        <w:pStyle w:val="BodyText"/>
        <w:rPr>
          <w:smallCaps/>
        </w:rPr>
      </w:pPr>
    </w:p>
    <w:p w14:paraId="6BA8CC39" w14:textId="77777777" w:rsidR="002F231C" w:rsidRPr="007B57BB" w:rsidRDefault="002F231C" w:rsidP="002F231C">
      <w:pPr>
        <w:pStyle w:val="BodyText"/>
        <w:rPr>
          <w:smallCaps/>
        </w:rPr>
      </w:pPr>
      <w:r>
        <w:rPr>
          <w:smallCaps/>
        </w:rPr>
        <w:t>Planting of new forests</w:t>
      </w:r>
    </w:p>
    <w:p w14:paraId="7F568739" w14:textId="0CDEC565" w:rsidR="00E87670" w:rsidRDefault="002F231C" w:rsidP="002F231C">
      <w:pPr>
        <w:pStyle w:val="BodyText"/>
      </w:pPr>
      <w:r>
        <w:t>The majority of risks identified for the Planting of new forests activity were associated with risks of under delivery, arising from reductions in tree growth (and hence sequestration rates) from persistent increases in temperature, persistent increases in water stress, and disturbances from heat-stress and droughts. The greatest risk period is soon after planting or germination, when plant</w:t>
      </w:r>
      <w:r w:rsidR="009219AE">
        <w:t>s</w:t>
      </w:r>
      <w:r>
        <w:t xml:space="preserve"> are young and more vulnerable to climatic stress. Wildfires were also identified as a particular risk factor, associated with risks to </w:t>
      </w:r>
      <w:r w:rsidR="001803B5">
        <w:t>maintenance of stored carbon</w:t>
      </w:r>
      <w:r>
        <w:t xml:space="preserve">, but predominantly at the project level. </w:t>
      </w:r>
      <w:r w:rsidR="00E87670">
        <w:t xml:space="preserve">Of all the activity categories Planting </w:t>
      </w:r>
      <w:r w:rsidR="00CD3D3D">
        <w:t xml:space="preserve">of </w:t>
      </w:r>
      <w:r w:rsidR="00E87670">
        <w:t>new forests has the widest range of opportunities for adaptation, many of these involving incremental Zone 1 responses. Examples include varying planting species and genetic stock, altering planting configuration to reduce risks of resource limitations, careful site preparation and timing of establishment, and fire risk reduction management (Zone 2). Selective breeding for genotypes that confer increased resilience to climate extremes is a Zone 2 response option. Many of the adaptive measures are currently applied in the context of plantation forestry, but could also be modified for environmental plantings</w:t>
      </w:r>
      <w:r>
        <w:t>.</w:t>
      </w:r>
    </w:p>
    <w:p w14:paraId="45AF9274" w14:textId="6AD346DB" w:rsidR="00E87670" w:rsidRDefault="00E87670" w:rsidP="002F231C">
      <w:pPr>
        <w:pStyle w:val="BodyText"/>
      </w:pPr>
    </w:p>
    <w:p w14:paraId="7B239874" w14:textId="77777777" w:rsidR="00E87670" w:rsidRDefault="00E87670">
      <w:pPr>
        <w:rPr>
          <w:rFonts w:ascii="Calibri" w:eastAsia="Calibri" w:hAnsi="Calibri"/>
          <w:color w:val="000000"/>
          <w:szCs w:val="22"/>
        </w:rPr>
      </w:pPr>
      <w:r>
        <w:br w:type="page"/>
      </w:r>
    </w:p>
    <w:p w14:paraId="7B924DC5" w14:textId="77777777" w:rsidR="002F231C" w:rsidRPr="007B57BB" w:rsidRDefault="002F231C" w:rsidP="002F231C">
      <w:pPr>
        <w:pStyle w:val="BodyText"/>
        <w:rPr>
          <w:smallCaps/>
        </w:rPr>
      </w:pPr>
      <w:r>
        <w:rPr>
          <w:smallCaps/>
        </w:rPr>
        <w:lastRenderedPageBreak/>
        <w:t>Savanna fire management</w:t>
      </w:r>
    </w:p>
    <w:p w14:paraId="36BE7268" w14:textId="428E4759" w:rsidR="002F231C" w:rsidRDefault="002F231C" w:rsidP="002F231C">
      <w:pPr>
        <w:pStyle w:val="BodyText"/>
      </w:pPr>
      <w:r>
        <w:t xml:space="preserve">A persistent increase in water stress was judged to be a high risk to both </w:t>
      </w:r>
      <w:r w:rsidR="001803B5">
        <w:t xml:space="preserve">accumulation </w:t>
      </w:r>
      <w:r>
        <w:t xml:space="preserve">and </w:t>
      </w:r>
      <w:r w:rsidR="001803B5" w:rsidRPr="001803B5">
        <w:t>maintenance</w:t>
      </w:r>
      <w:r>
        <w:t xml:space="preserve"> for the</w:t>
      </w:r>
      <w:r w:rsidR="00EF1CBF">
        <w:t xml:space="preserve"> sequestration component of the</w:t>
      </w:r>
      <w:r>
        <w:t xml:space="preserve"> Savanna fire management activity. This is because a decrease in water availability will lead to a decline in maximum biomass potential, and thus, the potential for sequestration with fire management. For example</w:t>
      </w:r>
      <w:r w:rsidR="00AA4665">
        <w:t>,</w:t>
      </w:r>
      <w:r>
        <w:t xml:space="preserve"> it has been shown that savanna vegetation types with relatively high maximum biomass potential have a much greater the potential for sequestration with fire management when compared to savanna vegetation types with relatively low maximum biomass potential. However, this will be partly negated by increases in water stress also resulting in slower rates of post-fire recovery and increased seasonality of turnover. These two factors will both increase the extent of abatement potential from fire management when compared to a baseline that has higher fuel accumulation in the late dry season and slow recovery of biomass post-fire. Of all the regions in Australia, the increases in temperature are projected to be the highest in the regions where savanna fire management projects occur. It is also a region that experiences cyclones, and these are projected to intensify. There are several factors that can interactive either lead to increased or decreased opportunities for sequestration, leading to an intermediate-level overall risk rating (Figure </w:t>
      </w:r>
      <w:r w:rsidR="002D7DC2">
        <w:t>S</w:t>
      </w:r>
      <w:r>
        <w:t>1). Savanna burning projects have an extensive history of delivering co-benefits, particularly with respect to indigenous livelihoods and biodiversity outcomes. However</w:t>
      </w:r>
      <w:r w:rsidR="00A018C1">
        <w:t>,</w:t>
      </w:r>
      <w:r>
        <w:t xml:space="preserve"> given the large spatial extent of most projects, and the ubiquitous nature of the risk factors (e.g. temperature increase; cyclone activity) relatively few adaptation opportunities were identified that have the potential to significantly mitigate the identified risks. Control of </w:t>
      </w:r>
      <w:r w:rsidR="002B24B2">
        <w:t>gamba</w:t>
      </w:r>
      <w:r>
        <w:t xml:space="preserve"> grass was identified as a key risk mitigation strategy.</w:t>
      </w:r>
    </w:p>
    <w:p w14:paraId="4337D2BA" w14:textId="77777777" w:rsidR="002F231C" w:rsidRPr="007B57BB" w:rsidRDefault="002F231C" w:rsidP="002F231C">
      <w:pPr>
        <w:pStyle w:val="BodyText"/>
        <w:rPr>
          <w:smallCaps/>
        </w:rPr>
      </w:pPr>
      <w:r>
        <w:rPr>
          <w:smallCaps/>
        </w:rPr>
        <w:t>Management of intertidal ecosystems (Blue Carbon)</w:t>
      </w:r>
    </w:p>
    <w:p w14:paraId="4F9C0655" w14:textId="1C33614D" w:rsidR="002F231C" w:rsidRDefault="002F231C" w:rsidP="002F231C">
      <w:pPr>
        <w:pStyle w:val="BodyText"/>
      </w:pPr>
      <w:r>
        <w:t xml:space="preserve">Given a Blue Carbon methodology is currently being designed, undertaking an initial assessment of potential risk is timely. Intertidal ecosystems can be considered ’high energy’, in that they are subject to regular and profound environmental perturbations, from the daily tidal cycle through to flooding and freshwater inundation. </w:t>
      </w:r>
      <w:r>
        <w:rPr>
          <w:color w:val="auto"/>
        </w:rPr>
        <w:t xml:space="preserve">There are risks to both </w:t>
      </w:r>
      <w:r w:rsidR="001803B5">
        <w:rPr>
          <w:color w:val="auto"/>
        </w:rPr>
        <w:t>accumulation</w:t>
      </w:r>
      <w:r>
        <w:rPr>
          <w:color w:val="auto"/>
        </w:rPr>
        <w:t xml:space="preserve"> and </w:t>
      </w:r>
      <w:r w:rsidR="001803B5">
        <w:rPr>
          <w:color w:val="auto"/>
        </w:rPr>
        <w:t>maintenance for</w:t>
      </w:r>
      <w:r>
        <w:rPr>
          <w:color w:val="auto"/>
        </w:rPr>
        <w:t xml:space="preserve"> sequestration activities in Blue carbon ecosystems, however the primary drivers are connected and interacting, involving changes to sea levels (both short-term declines and long-term increases), drought, flooding and storm impacts, extreme temperatures, and impacts to rates of sedimentation and erosion. Because these factors can cause either accretion or loss of carbon, the magnitude and direction of change in carbon storage is uncertain, and hence identifying where and under what conditions particular sites might be at risk requires further detailed analysis. Because the primary management intervention involves the re-introduction of tidal flows to restore mangrove and tidal marsh ecosystems, this implies candidate project areas will be relatively close to human occupation (compared to the vast expanses of mangrove forest in Northern Australia), and that the management interventions are likely to include modification of existing infrastructure, such as levees and embankments. </w:t>
      </w:r>
      <w:r w:rsidR="00E87670">
        <w:rPr>
          <w:color w:val="auto"/>
        </w:rPr>
        <w:t>Because of this level of control in how projects are designed and implemented, it is possible this could provide Zone 1 opportunities to mitigate against some of the major risk factors, such as carefully designed engineering to simultaneously promote increased tidal flows, but also provide protection to the regenerating systems from disturbances such as tidal surges and storm damage. Adaptive responses to address risks associated with the sensitivity of vegetation to a changing climate are difficult to identify, and may have to rely in the first instance on regular evaluation to assess where vegetation might be at greatest risk, to help inform where the activity should be best targeted in the future</w:t>
      </w:r>
      <w:r>
        <w:rPr>
          <w:color w:val="auto"/>
        </w:rPr>
        <w:t>.</w:t>
      </w:r>
    </w:p>
    <w:p w14:paraId="2FABBFC6" w14:textId="77777777" w:rsidR="002F231C" w:rsidRPr="007B57BB" w:rsidRDefault="002F231C" w:rsidP="002F231C">
      <w:pPr>
        <w:pStyle w:val="BodyText"/>
        <w:rPr>
          <w:smallCaps/>
        </w:rPr>
      </w:pPr>
      <w:r>
        <w:rPr>
          <w:smallCaps/>
        </w:rPr>
        <w:lastRenderedPageBreak/>
        <w:t>Re-establishment of native forest cover</w:t>
      </w:r>
    </w:p>
    <w:p w14:paraId="6AE8E10C" w14:textId="6ADE57C2" w:rsidR="002F231C" w:rsidRDefault="002F231C" w:rsidP="002F231C">
      <w:pPr>
        <w:pStyle w:val="BodyText"/>
      </w:pPr>
      <w:r>
        <w:t xml:space="preserve">This activity includes the Human Induced Regeneration (HIR) methodology that significantly contributes to the current ERF portfolio, in addition to the Native Forest from Managed Regrowth methodology. From the perspective of abatement </w:t>
      </w:r>
      <w:r w:rsidR="00470E93">
        <w:t>accumulation</w:t>
      </w:r>
      <w:r>
        <w:t xml:space="preserve">, the main risks are associated with changes in the climate that affect the survivorship of young regenerating stands, and the growth rates of mature stands. The main drivers were identified to be changes in average and maximum temperature, and the associated variables potential evapotranspiration and relative humidity, which have the potential to reduce net primary productivity, and hence rates of carbon sequestration. Regarding </w:t>
      </w:r>
      <w:r w:rsidR="001803B5">
        <w:t xml:space="preserve">risks to </w:t>
      </w:r>
      <w:r>
        <w:t xml:space="preserve">abatement </w:t>
      </w:r>
      <w:r w:rsidR="001803B5">
        <w:t>maintenance</w:t>
      </w:r>
      <w:r>
        <w:t xml:space="preserve">, the main factor identified was from mortality associated with extreme drought, although the ultimate consequences for carbon abatement are uncertain as they are a function of the combined rates of subsequent debris decay and other losses (such as from termites), and rates of post-drought recovery. The drought risk is exacerbated through the regional concentration of projects in north west </w:t>
      </w:r>
      <w:r w:rsidR="00614590">
        <w:t>N</w:t>
      </w:r>
      <w:r>
        <w:t xml:space="preserve">ew South Wales, and south west Queensland. Because fire is not a major feature in the areas where these activities have been established, or are likely to be established in the future, it was not considered a significant risk factor, although fire does occur within the region, and hence individual project should have in place appropriate fire management plans. The key stage of vulnerability for these projects is during the establishment and early years of growth. The embedded methodological requirements of having to demonstrate a potential for forest cover to be achieved (through e.g. evidence of seedlings or young regrowth), and for having to demonstrate advancement of the vegetation towards forest cover over time, provides strong mitigation against the </w:t>
      </w:r>
      <w:r w:rsidR="00E87670">
        <w:t>impacts of climate change on the vulnerable early stages of regeneration. Other Zone 1 and 2 adaptation responses include fuel management to reduce the likelihood of fire, management of any grazing to protect the vegetation when it is most vulnerable (for example during drought or after fire), and site selection protocols to ensure adequate propagules are present to support regeneration towards the required 20% canopy cover. These could involve ensuring adequate seedlings or vegetative reproduction on-site, or proximity to existing seed sources from adjacent forest stands</w:t>
      </w:r>
      <w:r>
        <w:t>.</w:t>
      </w:r>
    </w:p>
    <w:p w14:paraId="030E8C90" w14:textId="77777777" w:rsidR="002F231C" w:rsidRPr="007B57BB" w:rsidRDefault="002F231C" w:rsidP="002F231C">
      <w:pPr>
        <w:pStyle w:val="BodyText"/>
        <w:rPr>
          <w:smallCaps/>
        </w:rPr>
      </w:pPr>
      <w:r>
        <w:rPr>
          <w:smallCaps/>
        </w:rPr>
        <w:t>Protection of existing forests</w:t>
      </w:r>
    </w:p>
    <w:p w14:paraId="68FA07B7" w14:textId="0F298C87" w:rsidR="00E87670" w:rsidRPr="00D232E2" w:rsidRDefault="002F231C" w:rsidP="00E87670">
      <w:pPr>
        <w:pStyle w:val="BodyText"/>
        <w:rPr>
          <w:color w:val="auto"/>
        </w:rPr>
      </w:pPr>
      <w:r w:rsidRPr="00D232E2">
        <w:rPr>
          <w:color w:val="auto"/>
        </w:rPr>
        <w:t xml:space="preserve">Because </w:t>
      </w:r>
      <w:r>
        <w:rPr>
          <w:color w:val="auto"/>
        </w:rPr>
        <w:t xml:space="preserve">both </w:t>
      </w:r>
      <w:r w:rsidRPr="00D232E2">
        <w:rPr>
          <w:color w:val="auto"/>
        </w:rPr>
        <w:t>the Avoided</w:t>
      </w:r>
      <w:r>
        <w:rPr>
          <w:color w:val="auto"/>
        </w:rPr>
        <w:t xml:space="preserve"> </w:t>
      </w:r>
      <w:r w:rsidRPr="00D232E2">
        <w:rPr>
          <w:color w:val="auto"/>
        </w:rPr>
        <w:t>D</w:t>
      </w:r>
      <w:r>
        <w:rPr>
          <w:color w:val="auto"/>
        </w:rPr>
        <w:t>eforestation</w:t>
      </w:r>
      <w:r w:rsidRPr="00D232E2">
        <w:rPr>
          <w:color w:val="auto"/>
        </w:rPr>
        <w:t xml:space="preserve"> and Avoided</w:t>
      </w:r>
      <w:r>
        <w:rPr>
          <w:color w:val="auto"/>
        </w:rPr>
        <w:t xml:space="preserve"> </w:t>
      </w:r>
      <w:r w:rsidRPr="00D232E2">
        <w:rPr>
          <w:color w:val="auto"/>
        </w:rPr>
        <w:t>C</w:t>
      </w:r>
      <w:r>
        <w:rPr>
          <w:color w:val="auto"/>
        </w:rPr>
        <w:t xml:space="preserve">learing methodologies within this activity class </w:t>
      </w:r>
      <w:r w:rsidRPr="00D232E2">
        <w:rPr>
          <w:color w:val="auto"/>
        </w:rPr>
        <w:t xml:space="preserve">involve the protection of existing forests, the question of risks to </w:t>
      </w:r>
      <w:r w:rsidR="00470E93">
        <w:rPr>
          <w:color w:val="auto"/>
        </w:rPr>
        <w:t>accumulation</w:t>
      </w:r>
      <w:r w:rsidRPr="00D232E2">
        <w:rPr>
          <w:color w:val="auto"/>
        </w:rPr>
        <w:t xml:space="preserve"> are </w:t>
      </w:r>
      <w:r>
        <w:rPr>
          <w:color w:val="auto"/>
        </w:rPr>
        <w:t>not relevant, and risks associated with initial forest regeneration are avoided</w:t>
      </w:r>
      <w:r w:rsidRPr="00D232E2">
        <w:rPr>
          <w:color w:val="auto"/>
        </w:rPr>
        <w:t xml:space="preserve">. The main risks are </w:t>
      </w:r>
      <w:r>
        <w:rPr>
          <w:color w:val="auto"/>
        </w:rPr>
        <w:t xml:space="preserve">therefore </w:t>
      </w:r>
      <w:r w:rsidRPr="00D232E2">
        <w:rPr>
          <w:color w:val="auto"/>
        </w:rPr>
        <w:t xml:space="preserve">associated with </w:t>
      </w:r>
      <w:r w:rsidR="001803B5">
        <w:rPr>
          <w:color w:val="auto"/>
        </w:rPr>
        <w:t xml:space="preserve">the maintenance of </w:t>
      </w:r>
      <w:r w:rsidRPr="00D232E2">
        <w:rPr>
          <w:color w:val="auto"/>
        </w:rPr>
        <w:t>abatement</w:t>
      </w:r>
      <w:r>
        <w:rPr>
          <w:color w:val="auto"/>
        </w:rPr>
        <w:t xml:space="preserve">, which were </w:t>
      </w:r>
      <w:r w:rsidRPr="00D232E2">
        <w:rPr>
          <w:color w:val="auto"/>
        </w:rPr>
        <w:t xml:space="preserve">identified </w:t>
      </w:r>
      <w:r>
        <w:rPr>
          <w:color w:val="auto"/>
        </w:rPr>
        <w:t xml:space="preserve">to be </w:t>
      </w:r>
      <w:r w:rsidRPr="00D232E2">
        <w:rPr>
          <w:color w:val="auto"/>
        </w:rPr>
        <w:t>mortality associated with extreme drought, although as noted the ultimate consequences for carbon abatement are uncertain as they are a function of the combined rates of subsequent debris decay and other losses (such as from termites), and rates of post-drought recovery. Because of the potentially broad spatial scale of drought events, and given the concentration of current projects geographically, there are implications at both the whole portfolio level, as well as the individual project level.</w:t>
      </w:r>
      <w:r>
        <w:rPr>
          <w:color w:val="auto"/>
        </w:rPr>
        <w:t xml:space="preserve"> Opportunities mitigating these risks are limited, but include control of invasive weeds (an existing requirement of the methodology), which also helps mitigate against risks from wildfire – although for Avoided Deforestation, fire risks were assessed to be low, similar to the Re-establishment of native forest cover class, and </w:t>
      </w:r>
      <w:r>
        <w:t>individual project should also have in place appropriate fire management plans</w:t>
      </w:r>
      <w:r>
        <w:rPr>
          <w:color w:val="auto"/>
        </w:rPr>
        <w:t>. In the areas most suited to the Avoided Clearing methodology the fire risk is relatively higher, due to higher productivity and greater contiguity of ground fuels.</w:t>
      </w:r>
      <w:r w:rsidR="00E87670">
        <w:rPr>
          <w:color w:val="auto"/>
        </w:rPr>
        <w:t xml:space="preserve"> Zones 1-2 adaptation responses therefore include </w:t>
      </w:r>
      <w:r w:rsidR="00E87670">
        <w:t xml:space="preserve">fuel management to reduce the likelihood of </w:t>
      </w:r>
      <w:r w:rsidR="00E87670">
        <w:lastRenderedPageBreak/>
        <w:t>fire, and management of any grazing to protect the vegetation when it is most vulnerable (for example following severe drought, or after fire disturbance).</w:t>
      </w:r>
    </w:p>
    <w:p w14:paraId="603325E2" w14:textId="5B06EEEA" w:rsidR="002F231C" w:rsidRPr="00D232E2" w:rsidRDefault="002F231C" w:rsidP="002F231C">
      <w:pPr>
        <w:pStyle w:val="BodyText"/>
        <w:rPr>
          <w:color w:val="auto"/>
        </w:rPr>
      </w:pPr>
    </w:p>
    <w:p w14:paraId="25414A70" w14:textId="77777777" w:rsidR="002F231C" w:rsidRDefault="002F231C" w:rsidP="002F231C">
      <w:pPr>
        <w:pStyle w:val="BodyText"/>
      </w:pPr>
      <w:r w:rsidRPr="007B57BB">
        <w:rPr>
          <w:i/>
          <w:iCs/>
        </w:rPr>
        <w:t>Next steps</w:t>
      </w:r>
    </w:p>
    <w:p w14:paraId="5810ECB9" w14:textId="5D6C5B57" w:rsidR="006A4D8B" w:rsidRDefault="002F231C" w:rsidP="004B73D4">
      <w:pPr>
        <w:pStyle w:val="BodyText"/>
      </w:pPr>
      <w:r>
        <w:t>The qualitative risk assessments undertaken in this study, based on literature review, likely trends in future climate, and expert opinion, provide a starting point for more detailed analysis that could provide more specific, and quantitative, information on the potential losses of abatement under various scenarios of climate, disturbance regimes, and abatement activity. Although the risk rankings developed here cannot be used for quantitative analysis, they could be used as a basis for prioritising attention on the activities within the methodologies that were identified to be most at risk. This could include deeper investigation of current and future policy settings on risk mitigation, and the prioritisation of further research effort on those sectors and activities deemed to be most at risk.</w:t>
      </w:r>
      <w:r w:rsidR="004B73D4">
        <w:t xml:space="preserve"> The current </w:t>
      </w:r>
      <w:r w:rsidR="006A4D8B" w:rsidRPr="006A4D8B">
        <w:t>risk assessments could also be used as a basis to fill knowledge gaps with research, in particular gaps in knowledge around climate change impacts</w:t>
      </w:r>
      <w:r w:rsidR="008B5989">
        <w:t>. F</w:t>
      </w:r>
      <w:r w:rsidR="00AE66DF">
        <w:t>or example</w:t>
      </w:r>
      <w:r w:rsidR="0000011F">
        <w:t>,</w:t>
      </w:r>
      <w:r w:rsidR="008B5989">
        <w:t xml:space="preserve"> future impacts </w:t>
      </w:r>
      <w:r w:rsidR="00B25027">
        <w:t>associated with changing frost days and pests and diseases</w:t>
      </w:r>
      <w:r w:rsidR="0000011F">
        <w:t xml:space="preserve"> were note as particular area</w:t>
      </w:r>
      <w:r w:rsidR="001C6999">
        <w:t>s</w:t>
      </w:r>
      <w:r w:rsidR="0000011F">
        <w:t xml:space="preserve"> requiring further investigation</w:t>
      </w:r>
      <w:r w:rsidR="00AD69BC">
        <w:t>.</w:t>
      </w:r>
    </w:p>
    <w:p w14:paraId="1514CB87" w14:textId="4800E20C" w:rsidR="002F231C" w:rsidRDefault="002F231C" w:rsidP="002F231C">
      <w:pPr>
        <w:pStyle w:val="BodyText"/>
      </w:pPr>
      <w:r>
        <w:t xml:space="preserve">A logical extension of the work presented here is to embed the risk analysis framework developed in the project within a process-based modelling environment capable of simulating changes in plant growth and decomposition, soil organic carbon dynamics, and disturbance regimes, all linked to the key climate drivers. This would allow actual estimates of carbon reversal loss and </w:t>
      </w:r>
      <w:r w:rsidR="00470E93">
        <w:t>reduced accumulation</w:t>
      </w:r>
      <w:r>
        <w:t xml:space="preserve"> to made, e.g. in units Mt CO</w:t>
      </w:r>
      <w:r w:rsidRPr="00BB25DF">
        <w:rPr>
          <w:vertAlign w:val="subscript"/>
        </w:rPr>
        <w:t>2</w:t>
      </w:r>
      <w:r>
        <w:t>e yr</w:t>
      </w:r>
      <w:r w:rsidRPr="00BB25DF">
        <w:rPr>
          <w:vertAlign w:val="superscript"/>
        </w:rPr>
        <w:t>-1</w:t>
      </w:r>
      <w:r>
        <w:t>, and would facilitate more informed decision making from both project proponents, and policy. The component models for undertaking such an assessment currently exist, but the challenge would be in bringing them together within the one analysis framework. This involves linking</w:t>
      </w:r>
      <w:r w:rsidR="00A63866">
        <w:t xml:space="preserve"> together models that predict plant growth (as a function of CO2, temperature, rainfall etc.) and litterfall with the turnover of soil carbon (including the POC, HOC and ROC fractions to allow simulation of realistic rates of decay, and climate vulnerability). Other modules, such as topographically-defined flooding extents and fire spread and intensity models, could then be added to provide an integrated description of the key carbon pools and their drivers.</w:t>
      </w:r>
    </w:p>
    <w:p w14:paraId="15BE098A" w14:textId="0A5B4268" w:rsidR="002F231C" w:rsidRPr="00B402E7" w:rsidRDefault="002F231C" w:rsidP="002F231C">
      <w:pPr>
        <w:pStyle w:val="BodyText"/>
        <w:rPr>
          <w:b/>
          <w:bCs/>
          <w:color w:val="C00000"/>
        </w:rPr>
      </w:pPr>
      <w:r>
        <w:t>An idealised out</w:t>
      </w:r>
      <w:r w:rsidR="00A63866">
        <w:t>put from such an analysis is shown in</w:t>
      </w:r>
      <w:r w:rsidR="009D360E">
        <w:t xml:space="preserve"> </w:t>
      </w:r>
      <w:r w:rsidR="009D360E" w:rsidRPr="009D360E">
        <w:rPr>
          <w:color w:val="auto"/>
          <w:szCs w:val="24"/>
        </w:rPr>
        <w:fldChar w:fldCharType="begin"/>
      </w:r>
      <w:r w:rsidR="009D360E" w:rsidRPr="009D360E">
        <w:rPr>
          <w:color w:val="auto"/>
          <w:szCs w:val="24"/>
        </w:rPr>
        <w:instrText xml:space="preserve"> REF _Ref49782059 \h  \* MERGEFORMAT </w:instrText>
      </w:r>
      <w:r w:rsidR="009D360E" w:rsidRPr="009D360E">
        <w:rPr>
          <w:color w:val="auto"/>
          <w:szCs w:val="24"/>
        </w:rPr>
      </w:r>
      <w:r w:rsidR="009D360E" w:rsidRPr="009D360E">
        <w:rPr>
          <w:color w:val="auto"/>
          <w:szCs w:val="24"/>
        </w:rPr>
        <w:fldChar w:fldCharType="separate"/>
      </w:r>
      <w:r w:rsidR="00235F13" w:rsidRPr="00235F13">
        <w:rPr>
          <w:rFonts w:asciiTheme="minorHAnsi" w:hAnsiTheme="minorHAnsi" w:cstheme="minorHAnsi"/>
          <w:color w:val="auto"/>
          <w:szCs w:val="24"/>
        </w:rPr>
        <w:t xml:space="preserve">Figure </w:t>
      </w:r>
      <w:r w:rsidR="00235F13" w:rsidRPr="00235F13">
        <w:rPr>
          <w:rFonts w:asciiTheme="minorHAnsi" w:hAnsiTheme="minorHAnsi" w:cstheme="minorHAnsi"/>
          <w:noProof/>
          <w:color w:val="auto"/>
          <w:szCs w:val="24"/>
        </w:rPr>
        <w:t>20</w:t>
      </w:r>
      <w:r w:rsidR="009D360E" w:rsidRPr="009D360E">
        <w:rPr>
          <w:color w:val="auto"/>
          <w:szCs w:val="24"/>
        </w:rPr>
        <w:fldChar w:fldCharType="end"/>
      </w:r>
      <w:r w:rsidR="00A63866" w:rsidRPr="009D360E">
        <w:rPr>
          <w:color w:val="auto"/>
          <w:szCs w:val="24"/>
        </w:rPr>
        <w:t>.</w:t>
      </w:r>
      <w:r w:rsidR="00A63866">
        <w:t xml:space="preserve"> The red distributions summarise the range of expected outcomes under a given climate scenario</w:t>
      </w:r>
      <w:r w:rsidR="00B55DCD">
        <w:t>, inclusive of between</w:t>
      </w:r>
      <w:r w:rsidR="00914732">
        <w:t>-</w:t>
      </w:r>
      <w:r w:rsidR="00B55DCD">
        <w:t>GCM variability, and other uncertainties that can be estimated. Comparisons between scenarios can then be made to quantify the magnitude of carbon stock change (or emissions implications), together with an estimate of the certainty of those changes occurring.</w:t>
      </w:r>
    </w:p>
    <w:p w14:paraId="187D686A" w14:textId="4300409D" w:rsidR="000952B0" w:rsidRPr="00B402E7" w:rsidRDefault="001C4245" w:rsidP="001C4245">
      <w:pPr>
        <w:pStyle w:val="BodyText"/>
        <w:jc w:val="right"/>
      </w:pPr>
      <w:r>
        <w:rPr>
          <w:noProof/>
        </w:rPr>
        <w:lastRenderedPageBreak/>
        <mc:AlternateContent>
          <mc:Choice Requires="wps">
            <w:drawing>
              <wp:anchor distT="0" distB="0" distL="114300" distR="114300" simplePos="0" relativeHeight="251658302" behindDoc="0" locked="0" layoutInCell="1" allowOverlap="1" wp14:anchorId="7BBB92B6" wp14:editId="3CE7A9EE">
                <wp:simplePos x="0" y="0"/>
                <wp:positionH relativeFrom="margin">
                  <wp:posOffset>7620</wp:posOffset>
                </wp:positionH>
                <wp:positionV relativeFrom="paragraph">
                  <wp:posOffset>345938</wp:posOffset>
                </wp:positionV>
                <wp:extent cx="3097427" cy="1441622"/>
                <wp:effectExtent l="0" t="0" r="8255" b="6350"/>
                <wp:wrapNone/>
                <wp:docPr id="42" name="Text Box 42"/>
                <wp:cNvGraphicFramePr/>
                <a:graphic xmlns:a="http://schemas.openxmlformats.org/drawingml/2006/main">
                  <a:graphicData uri="http://schemas.microsoft.com/office/word/2010/wordprocessingShape">
                    <wps:wsp>
                      <wps:cNvSpPr txBox="1"/>
                      <wps:spPr>
                        <a:xfrm>
                          <a:off x="0" y="0"/>
                          <a:ext cx="3097427" cy="1441622"/>
                        </a:xfrm>
                        <a:prstGeom prst="rect">
                          <a:avLst/>
                        </a:prstGeom>
                        <a:solidFill>
                          <a:schemeClr val="lt1"/>
                        </a:solidFill>
                        <a:ln w="6350">
                          <a:noFill/>
                        </a:ln>
                      </wps:spPr>
                      <wps:txbx>
                        <w:txbxContent>
                          <w:p w14:paraId="525366A1" w14:textId="768FC0DB" w:rsidR="00A264AF" w:rsidRPr="001C4245" w:rsidRDefault="00A264AF" w:rsidP="001C4245">
                            <w:pPr>
                              <w:rPr>
                                <w:rFonts w:asciiTheme="minorHAnsi" w:hAnsiTheme="minorHAnsi" w:cstheme="minorHAnsi"/>
                                <w:color w:val="007E9A" w:themeColor="accent1" w:themeShade="BF"/>
                                <w:sz w:val="20"/>
                                <w:szCs w:val="20"/>
                              </w:rPr>
                            </w:pPr>
                            <w:bookmarkStart w:id="246" w:name="_Ref49782059"/>
                            <w:bookmarkStart w:id="247" w:name="_Toc52968250"/>
                            <w:r w:rsidRPr="001C4245">
                              <w:rPr>
                                <w:rFonts w:asciiTheme="minorHAnsi" w:hAnsiTheme="minorHAnsi" w:cstheme="minorHAnsi"/>
                                <w:b/>
                                <w:bCs/>
                                <w:color w:val="007E9A" w:themeColor="accent1" w:themeShade="BF"/>
                                <w:sz w:val="20"/>
                                <w:szCs w:val="20"/>
                              </w:rPr>
                              <w:t xml:space="preserve">Figure </w:t>
                            </w:r>
                            <w:r w:rsidRPr="001C4245">
                              <w:rPr>
                                <w:rFonts w:asciiTheme="minorHAnsi" w:hAnsiTheme="minorHAnsi" w:cstheme="minorHAnsi"/>
                                <w:b/>
                                <w:bCs/>
                                <w:color w:val="007E9A" w:themeColor="accent1" w:themeShade="BF"/>
                                <w:sz w:val="20"/>
                                <w:szCs w:val="20"/>
                              </w:rPr>
                              <w:fldChar w:fldCharType="begin"/>
                            </w:r>
                            <w:r w:rsidRPr="001C4245">
                              <w:rPr>
                                <w:rFonts w:asciiTheme="minorHAnsi" w:hAnsiTheme="minorHAnsi" w:cstheme="minorHAnsi"/>
                                <w:b/>
                                <w:bCs/>
                                <w:color w:val="007E9A" w:themeColor="accent1" w:themeShade="BF"/>
                                <w:sz w:val="20"/>
                                <w:szCs w:val="20"/>
                              </w:rPr>
                              <w:instrText>SEQ Figure \* ARABIC</w:instrText>
                            </w:r>
                            <w:r w:rsidRPr="001C4245">
                              <w:rPr>
                                <w:rFonts w:asciiTheme="minorHAnsi" w:hAnsiTheme="minorHAnsi" w:cstheme="minorHAnsi"/>
                                <w:b/>
                                <w:bCs/>
                                <w:color w:val="007E9A" w:themeColor="accent1" w:themeShade="BF"/>
                                <w:sz w:val="20"/>
                                <w:szCs w:val="20"/>
                              </w:rPr>
                              <w:fldChar w:fldCharType="separate"/>
                            </w:r>
                            <w:r>
                              <w:rPr>
                                <w:rFonts w:asciiTheme="minorHAnsi" w:hAnsiTheme="minorHAnsi" w:cstheme="minorHAnsi"/>
                                <w:b/>
                                <w:bCs/>
                                <w:noProof/>
                                <w:color w:val="007E9A" w:themeColor="accent1" w:themeShade="BF"/>
                                <w:sz w:val="20"/>
                                <w:szCs w:val="20"/>
                              </w:rPr>
                              <w:t>20</w:t>
                            </w:r>
                            <w:r w:rsidRPr="001C4245">
                              <w:rPr>
                                <w:rFonts w:asciiTheme="minorHAnsi" w:hAnsiTheme="minorHAnsi" w:cstheme="minorHAnsi"/>
                                <w:b/>
                                <w:bCs/>
                                <w:color w:val="007E9A" w:themeColor="accent1" w:themeShade="BF"/>
                                <w:sz w:val="20"/>
                                <w:szCs w:val="20"/>
                              </w:rPr>
                              <w:fldChar w:fldCharType="end"/>
                            </w:r>
                            <w:bookmarkEnd w:id="246"/>
                            <w:r w:rsidRPr="001C4245">
                              <w:rPr>
                                <w:rFonts w:asciiTheme="minorHAnsi" w:hAnsiTheme="minorHAnsi" w:cstheme="minorHAnsi"/>
                                <w:b/>
                                <w:bCs/>
                                <w:color w:val="007E9A" w:themeColor="accent1" w:themeShade="BF"/>
                                <w:sz w:val="20"/>
                                <w:szCs w:val="20"/>
                              </w:rPr>
                              <w:t>.</w:t>
                            </w:r>
                            <w:r w:rsidRPr="001C4245">
                              <w:rPr>
                                <w:rFonts w:asciiTheme="minorHAnsi" w:hAnsiTheme="minorHAnsi" w:cstheme="minorHAnsi"/>
                                <w:color w:val="007E9A" w:themeColor="accent1" w:themeShade="BF"/>
                                <w:sz w:val="20"/>
                                <w:szCs w:val="20"/>
                              </w:rPr>
                              <w:t xml:space="preserve"> Idealised outputs from a numerical risk assessment, illustrating a range of possible outcomes under current and future climates (the red probability distributions) reflecting both variability and uncertainty, with the risk quantified as the difference in the two distributions (denoted by the arrow).</w:t>
                            </w:r>
                            <w:bookmarkEnd w:id="24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B92B6" id="Text Box 42" o:spid="_x0000_s1085" type="#_x0000_t202" style="position:absolute;left:0;text-align:left;margin-left:.6pt;margin-top:27.25pt;width:243.9pt;height:113.5pt;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" fillcolor="white [3201]" stroked="f" strokeweight=".5pt">
                <v:textbox>
                  <w:txbxContent>
                    <w:p w14:paraId="525366A1" w14:textId="768FC0DB" w:rsidR="00A264AF" w:rsidRPr="001C4245" w:rsidRDefault="00A264AF" w:rsidP="001C4245">
                      <w:pPr>
                        <w:rPr>
                          <w:rFonts w:asciiTheme="minorHAnsi" w:hAnsiTheme="minorHAnsi" w:cstheme="minorHAnsi"/>
                          <w:color w:val="007E9A" w:themeColor="accent1" w:themeShade="BF"/>
                          <w:sz w:val="20"/>
                          <w:szCs w:val="20"/>
                        </w:rPr>
                      </w:pPr>
                      <w:bookmarkStart w:id="248" w:name="_Ref49782059"/>
                      <w:bookmarkStart w:id="249" w:name="_Toc52968250"/>
                      <w:r w:rsidRPr="001C4245">
                        <w:rPr>
                          <w:rFonts w:asciiTheme="minorHAnsi" w:hAnsiTheme="minorHAnsi" w:cstheme="minorHAnsi"/>
                          <w:b/>
                          <w:bCs/>
                          <w:color w:val="007E9A" w:themeColor="accent1" w:themeShade="BF"/>
                          <w:sz w:val="20"/>
                          <w:szCs w:val="20"/>
                        </w:rPr>
                        <w:t xml:space="preserve">Figure </w:t>
                      </w:r>
                      <w:r w:rsidRPr="001C4245">
                        <w:rPr>
                          <w:rFonts w:asciiTheme="minorHAnsi" w:hAnsiTheme="minorHAnsi" w:cstheme="minorHAnsi"/>
                          <w:b/>
                          <w:bCs/>
                          <w:color w:val="007E9A" w:themeColor="accent1" w:themeShade="BF"/>
                          <w:sz w:val="20"/>
                          <w:szCs w:val="20"/>
                        </w:rPr>
                        <w:fldChar w:fldCharType="begin"/>
                      </w:r>
                      <w:r w:rsidRPr="001C4245">
                        <w:rPr>
                          <w:rFonts w:asciiTheme="minorHAnsi" w:hAnsiTheme="minorHAnsi" w:cstheme="minorHAnsi"/>
                          <w:b/>
                          <w:bCs/>
                          <w:color w:val="007E9A" w:themeColor="accent1" w:themeShade="BF"/>
                          <w:sz w:val="20"/>
                          <w:szCs w:val="20"/>
                        </w:rPr>
                        <w:instrText>SEQ Figure \* ARABIC</w:instrText>
                      </w:r>
                      <w:r w:rsidRPr="001C4245">
                        <w:rPr>
                          <w:rFonts w:asciiTheme="minorHAnsi" w:hAnsiTheme="minorHAnsi" w:cstheme="minorHAnsi"/>
                          <w:b/>
                          <w:bCs/>
                          <w:color w:val="007E9A" w:themeColor="accent1" w:themeShade="BF"/>
                          <w:sz w:val="20"/>
                          <w:szCs w:val="20"/>
                        </w:rPr>
                        <w:fldChar w:fldCharType="separate"/>
                      </w:r>
                      <w:r>
                        <w:rPr>
                          <w:rFonts w:asciiTheme="minorHAnsi" w:hAnsiTheme="minorHAnsi" w:cstheme="minorHAnsi"/>
                          <w:b/>
                          <w:bCs/>
                          <w:noProof/>
                          <w:color w:val="007E9A" w:themeColor="accent1" w:themeShade="BF"/>
                          <w:sz w:val="20"/>
                          <w:szCs w:val="20"/>
                        </w:rPr>
                        <w:t>20</w:t>
                      </w:r>
                      <w:r w:rsidRPr="001C4245">
                        <w:rPr>
                          <w:rFonts w:asciiTheme="minorHAnsi" w:hAnsiTheme="minorHAnsi" w:cstheme="minorHAnsi"/>
                          <w:b/>
                          <w:bCs/>
                          <w:color w:val="007E9A" w:themeColor="accent1" w:themeShade="BF"/>
                          <w:sz w:val="20"/>
                          <w:szCs w:val="20"/>
                        </w:rPr>
                        <w:fldChar w:fldCharType="end"/>
                      </w:r>
                      <w:bookmarkEnd w:id="248"/>
                      <w:r w:rsidRPr="001C4245">
                        <w:rPr>
                          <w:rFonts w:asciiTheme="minorHAnsi" w:hAnsiTheme="minorHAnsi" w:cstheme="minorHAnsi"/>
                          <w:b/>
                          <w:bCs/>
                          <w:color w:val="007E9A" w:themeColor="accent1" w:themeShade="BF"/>
                          <w:sz w:val="20"/>
                          <w:szCs w:val="20"/>
                        </w:rPr>
                        <w:t>.</w:t>
                      </w:r>
                      <w:r w:rsidRPr="001C4245">
                        <w:rPr>
                          <w:rFonts w:asciiTheme="minorHAnsi" w:hAnsiTheme="minorHAnsi" w:cstheme="minorHAnsi"/>
                          <w:color w:val="007E9A" w:themeColor="accent1" w:themeShade="BF"/>
                          <w:sz w:val="20"/>
                          <w:szCs w:val="20"/>
                        </w:rPr>
                        <w:t xml:space="preserve"> Idealised outputs from a numerical risk assessment, illustrating a range of possible outcomes under current and future climates (the red probability distributions) reflecting both variability and uncertainty, with the risk quantified as the difference in the two distributions (denoted by the arrow).</w:t>
                      </w:r>
                      <w:bookmarkEnd w:id="249"/>
                    </w:p>
                  </w:txbxContent>
                </v:textbox>
                <w10:wrap anchorx="margin"/>
              </v:shape>
            </w:pict>
          </mc:Fallback>
        </mc:AlternateContent>
      </w:r>
      <w:r w:rsidR="00C93BF1">
        <w:rPr>
          <w:noProof/>
        </w:rPr>
        <w:drawing>
          <wp:inline distT="0" distB="0" distL="0" distR="0" wp14:anchorId="64786074" wp14:editId="1C195C45">
            <wp:extent cx="2990252" cy="2388973"/>
            <wp:effectExtent l="0" t="0" r="635" b="0"/>
            <wp:docPr id="1068683833" name="Picture 106868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034743" cy="2424518"/>
                    </a:xfrm>
                    <a:prstGeom prst="rect">
                      <a:avLst/>
                    </a:prstGeom>
                  </pic:spPr>
                </pic:pic>
              </a:graphicData>
            </a:graphic>
          </wp:inline>
        </w:drawing>
      </w:r>
    </w:p>
    <w:p w14:paraId="606682E0" w14:textId="645D1E28" w:rsidR="00A853C3" w:rsidRDefault="00A853C3" w:rsidP="002D749D">
      <w:pPr>
        <w:pStyle w:val="Heading1"/>
      </w:pPr>
      <w:bookmarkStart w:id="250" w:name="_Toc52873105"/>
      <w:bookmarkStart w:id="251" w:name="_Toc53075136"/>
      <w:r>
        <w:lastRenderedPageBreak/>
        <w:t>References</w:t>
      </w:r>
      <w:bookmarkEnd w:id="250"/>
      <w:bookmarkEnd w:id="251"/>
    </w:p>
    <w:p w14:paraId="734AED3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ABARES. (2011) Australian Bureau of Agricultural and Resource Economics and Sciences: Potential effects of climate change on forests and forestry in Australia. Canberra, Australia., Canberra, Australia.</w:t>
      </w:r>
    </w:p>
    <w:p w14:paraId="1C7B4FB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ABARES. (2016) Land Use of Australia 2010-11., Canberra, May. CC BY 3.0.</w:t>
      </w:r>
    </w:p>
    <w:p w14:paraId="41AD04C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Adam P. (2002) Saltmarshes in a time of change. </w:t>
      </w:r>
      <w:r>
        <w:rPr>
          <w:rFonts w:ascii="Segoe UI" w:eastAsiaTheme="minorHAnsi" w:hAnsi="Segoe UI" w:cs="Segoe UI"/>
          <w:i/>
          <w:iCs/>
          <w:sz w:val="18"/>
          <w:szCs w:val="18"/>
        </w:rPr>
        <w:t>Environmental Conservation</w:t>
      </w:r>
      <w:r>
        <w:rPr>
          <w:rFonts w:ascii="Segoe UI" w:eastAsiaTheme="minorHAnsi" w:hAnsi="Segoe UI" w:cs="Segoe UI"/>
          <w:sz w:val="18"/>
          <w:szCs w:val="18"/>
        </w:rPr>
        <w:t xml:space="preserve"> </w:t>
      </w:r>
      <w:r>
        <w:rPr>
          <w:rFonts w:ascii="Segoe UI" w:eastAsiaTheme="minorHAnsi" w:hAnsi="Segoe UI" w:cs="Segoe UI"/>
          <w:b/>
          <w:bCs/>
          <w:sz w:val="18"/>
          <w:szCs w:val="18"/>
        </w:rPr>
        <w:t>29</w:t>
      </w:r>
      <w:r>
        <w:rPr>
          <w:rFonts w:ascii="Segoe UI" w:eastAsiaTheme="minorHAnsi" w:hAnsi="Segoe UI" w:cs="Segoe UI"/>
          <w:sz w:val="18"/>
          <w:szCs w:val="18"/>
        </w:rPr>
        <w:t>, 39-61.</w:t>
      </w:r>
    </w:p>
    <w:p w14:paraId="259C369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Ainsworth E. &amp; Long S. (2005) What have we learned from 15 years of Free-Air CO2 Enrichment (FACE)? A meta-analytic review of the responses of photosynthesis, canopy properties and plant production to rising CO2. </w:t>
      </w:r>
      <w:r>
        <w:rPr>
          <w:rFonts w:ascii="Segoe UI" w:eastAsiaTheme="minorHAnsi" w:hAnsi="Segoe UI" w:cs="Segoe UI"/>
          <w:i/>
          <w:iCs/>
          <w:sz w:val="18"/>
          <w:szCs w:val="18"/>
        </w:rPr>
        <w:t>The 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165</w:t>
      </w:r>
      <w:r>
        <w:rPr>
          <w:rFonts w:ascii="Segoe UI" w:eastAsiaTheme="minorHAnsi" w:hAnsi="Segoe UI" w:cs="Segoe UI"/>
          <w:sz w:val="18"/>
          <w:szCs w:val="18"/>
        </w:rPr>
        <w:t>, 351-71.</w:t>
      </w:r>
    </w:p>
    <w:p w14:paraId="74E6BD2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Albaladejo J., Ortiz R., Garcia-Franco N., Ruiz-Navarro A., Almagro M., García-Pintado J. &amp; Martínez-Mena M. (2012) Land use and climate change impacts on soil organic carbon stocks in semi-arid Spain. </w:t>
      </w:r>
      <w:r>
        <w:rPr>
          <w:rFonts w:ascii="Segoe UI" w:eastAsiaTheme="minorHAnsi" w:hAnsi="Segoe UI" w:cs="Segoe UI"/>
          <w:i/>
          <w:iCs/>
          <w:sz w:val="18"/>
          <w:szCs w:val="18"/>
        </w:rPr>
        <w:t>Journal of Soils and Sediments</w:t>
      </w:r>
      <w:r>
        <w:rPr>
          <w:rFonts w:ascii="Segoe UI" w:eastAsiaTheme="minorHAnsi" w:hAnsi="Segoe UI" w:cs="Segoe UI"/>
          <w:sz w:val="18"/>
          <w:szCs w:val="18"/>
        </w:rPr>
        <w:t xml:space="preserve"> </w:t>
      </w:r>
      <w:r>
        <w:rPr>
          <w:rFonts w:ascii="Segoe UI" w:eastAsiaTheme="minorHAnsi" w:hAnsi="Segoe UI" w:cs="Segoe UI"/>
          <w:b/>
          <w:bCs/>
          <w:sz w:val="18"/>
          <w:szCs w:val="18"/>
        </w:rPr>
        <w:t>13</w:t>
      </w:r>
      <w:r>
        <w:rPr>
          <w:rFonts w:ascii="Segoe UI" w:eastAsiaTheme="minorHAnsi" w:hAnsi="Segoe UI" w:cs="Segoe UI"/>
          <w:sz w:val="18"/>
          <w:szCs w:val="18"/>
        </w:rPr>
        <w:t>.</w:t>
      </w:r>
    </w:p>
    <w:p w14:paraId="52F2945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Allen C. D., Breshears D. D. &amp; McDowell N. G. (2015) On underestimation of global vulnerability to tree mortality and forest die-off from hotter drought in the Anthropocene. </w:t>
      </w:r>
      <w:r>
        <w:rPr>
          <w:rFonts w:ascii="Segoe UI" w:eastAsiaTheme="minorHAnsi" w:hAnsi="Segoe UI" w:cs="Segoe UI"/>
          <w:i/>
          <w:iCs/>
          <w:sz w:val="18"/>
          <w:szCs w:val="18"/>
        </w:rPr>
        <w:t>Ecosphere</w:t>
      </w:r>
      <w:r>
        <w:rPr>
          <w:rFonts w:ascii="Segoe UI" w:eastAsiaTheme="minorHAnsi" w:hAnsi="Segoe UI" w:cs="Segoe UI"/>
          <w:sz w:val="18"/>
          <w:szCs w:val="18"/>
        </w:rPr>
        <w:t xml:space="preserve"> </w:t>
      </w:r>
      <w:r>
        <w:rPr>
          <w:rFonts w:ascii="Segoe UI" w:eastAsiaTheme="minorHAnsi" w:hAnsi="Segoe UI" w:cs="Segoe UI"/>
          <w:b/>
          <w:bCs/>
          <w:sz w:val="18"/>
          <w:szCs w:val="18"/>
        </w:rPr>
        <w:t>6</w:t>
      </w:r>
      <w:r>
        <w:rPr>
          <w:rFonts w:ascii="Segoe UI" w:eastAsiaTheme="minorHAnsi" w:hAnsi="Segoe UI" w:cs="Segoe UI"/>
          <w:sz w:val="18"/>
          <w:szCs w:val="18"/>
        </w:rPr>
        <w:t>, art129.</w:t>
      </w:r>
    </w:p>
    <w:p w14:paraId="3F32E43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Allen C. D., Macalady A. K., Chenchouni H., Bachelet D., McDowell N., Vennetier M., Kitzberger T., Rigling A., Breshears D. D., Hogg E. H., Gonzalez P., Fensham R., Zhang Z., Castro J., Demidova N., Lim J.-H., Allard G., Running S. W., Semerci A. &amp; Cobb N. (2010) A global overview of drought and heat-induced tree mortality reveals emerging climate change risks for forests.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259</w:t>
      </w:r>
      <w:r>
        <w:rPr>
          <w:rFonts w:ascii="Segoe UI" w:eastAsiaTheme="minorHAnsi" w:hAnsi="Segoe UI" w:cs="Segoe UI"/>
          <w:sz w:val="18"/>
          <w:szCs w:val="18"/>
        </w:rPr>
        <w:t>, 660-84.</w:t>
      </w:r>
    </w:p>
    <w:p w14:paraId="1E6AEF4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Amundson R. &amp; Biardeau L. (2018) Opinion: Soil carbon sequestration is an elusive climate mitigation tool. </w:t>
      </w:r>
      <w:r>
        <w:rPr>
          <w:rFonts w:ascii="Segoe UI" w:eastAsiaTheme="minorHAnsi" w:hAnsi="Segoe UI" w:cs="Segoe UI"/>
          <w:i/>
          <w:iCs/>
          <w:sz w:val="18"/>
          <w:szCs w:val="18"/>
        </w:rPr>
        <w:t>Proceedings of the National Academy of Sciences</w:t>
      </w:r>
      <w:r>
        <w:rPr>
          <w:rFonts w:ascii="Segoe UI" w:eastAsiaTheme="minorHAnsi" w:hAnsi="Segoe UI" w:cs="Segoe UI"/>
          <w:sz w:val="18"/>
          <w:szCs w:val="18"/>
        </w:rPr>
        <w:t xml:space="preserve"> </w:t>
      </w:r>
      <w:r>
        <w:rPr>
          <w:rFonts w:ascii="Segoe UI" w:eastAsiaTheme="minorHAnsi" w:hAnsi="Segoe UI" w:cs="Segoe UI"/>
          <w:b/>
          <w:bCs/>
          <w:sz w:val="18"/>
          <w:szCs w:val="18"/>
        </w:rPr>
        <w:t>115</w:t>
      </w:r>
      <w:r>
        <w:rPr>
          <w:rFonts w:ascii="Segoe UI" w:eastAsiaTheme="minorHAnsi" w:hAnsi="Segoe UI" w:cs="Segoe UI"/>
          <w:sz w:val="18"/>
          <w:szCs w:val="18"/>
        </w:rPr>
        <w:t>, 11652.</w:t>
      </w:r>
    </w:p>
    <w:p w14:paraId="076B091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Angert A., Biraud S., Bonfils C., Henning C., Buermann W., Pinzon J., Tucker C. &amp; Fung I. (2005) Drier summers cancel out the CO2 uptake enhancement induced by warmer springs. </w:t>
      </w:r>
      <w:r>
        <w:rPr>
          <w:rFonts w:ascii="Segoe UI" w:eastAsiaTheme="minorHAnsi" w:hAnsi="Segoe UI" w:cs="Segoe UI"/>
          <w:i/>
          <w:iCs/>
          <w:sz w:val="18"/>
          <w:szCs w:val="18"/>
        </w:rPr>
        <w:t>Proceedings of the National Academy of Sciences of the United States of America</w:t>
      </w:r>
      <w:r>
        <w:rPr>
          <w:rFonts w:ascii="Segoe UI" w:eastAsiaTheme="minorHAnsi" w:hAnsi="Segoe UI" w:cs="Segoe UI"/>
          <w:sz w:val="18"/>
          <w:szCs w:val="18"/>
        </w:rPr>
        <w:t xml:space="preserve"> </w:t>
      </w:r>
      <w:r>
        <w:rPr>
          <w:rFonts w:ascii="Segoe UI" w:eastAsiaTheme="minorHAnsi" w:hAnsi="Segoe UI" w:cs="Segoe UI"/>
          <w:b/>
          <w:bCs/>
          <w:sz w:val="18"/>
          <w:szCs w:val="18"/>
        </w:rPr>
        <w:t>102</w:t>
      </w:r>
      <w:r>
        <w:rPr>
          <w:rFonts w:ascii="Segoe UI" w:eastAsiaTheme="minorHAnsi" w:hAnsi="Segoe UI" w:cs="Segoe UI"/>
          <w:sz w:val="18"/>
          <w:szCs w:val="18"/>
        </w:rPr>
        <w:t>, 10823-7.</w:t>
      </w:r>
    </w:p>
    <w:p w14:paraId="30492A2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App D. (2012) The impact of climate change on the climatology of tropical cyclones in the Australian region, CSIRO Climate Adaption Flagship Working paper. No.11.</w:t>
      </w:r>
    </w:p>
    <w:p w14:paraId="01E1D4E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Asbridge E., Lucas R., Accad A. &amp; Dowling R. (2015) Mangrove Response to Environmental Changes Predicted Under Varying Climates: Case Studies from Australia. </w:t>
      </w:r>
      <w:r>
        <w:rPr>
          <w:rFonts w:ascii="Segoe UI" w:eastAsiaTheme="minorHAnsi" w:hAnsi="Segoe UI" w:cs="Segoe UI"/>
          <w:i/>
          <w:iCs/>
          <w:sz w:val="18"/>
          <w:szCs w:val="18"/>
        </w:rPr>
        <w:t>Current Forestry Reports</w:t>
      </w:r>
      <w:r>
        <w:rPr>
          <w:rFonts w:ascii="Segoe UI" w:eastAsiaTheme="minorHAnsi" w:hAnsi="Segoe UI" w:cs="Segoe UI"/>
          <w:sz w:val="18"/>
          <w:szCs w:val="18"/>
        </w:rPr>
        <w:t xml:space="preserve"> </w:t>
      </w:r>
      <w:r>
        <w:rPr>
          <w:rFonts w:ascii="Segoe UI" w:eastAsiaTheme="minorHAnsi" w:hAnsi="Segoe UI" w:cs="Segoe UI"/>
          <w:b/>
          <w:bCs/>
          <w:sz w:val="18"/>
          <w:szCs w:val="18"/>
        </w:rPr>
        <w:t>1</w:t>
      </w:r>
      <w:r>
        <w:rPr>
          <w:rFonts w:ascii="Segoe UI" w:eastAsiaTheme="minorHAnsi" w:hAnsi="Segoe UI" w:cs="Segoe UI"/>
          <w:sz w:val="18"/>
          <w:szCs w:val="18"/>
        </w:rPr>
        <w:t>, 178-94.</w:t>
      </w:r>
    </w:p>
    <w:p w14:paraId="4FB0B1F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Asbridge E., Lucas R., Ticehurst C. &amp; Bunting P. (2016) Mangrove response to environmental change in Australia's Gulf of Carpentaria. </w:t>
      </w:r>
      <w:r>
        <w:rPr>
          <w:rFonts w:ascii="Segoe UI" w:eastAsiaTheme="minorHAnsi" w:hAnsi="Segoe UI" w:cs="Segoe UI"/>
          <w:i/>
          <w:iCs/>
          <w:sz w:val="18"/>
          <w:szCs w:val="18"/>
        </w:rPr>
        <w:t>Ecology and Evolution</w:t>
      </w:r>
      <w:r>
        <w:rPr>
          <w:rFonts w:ascii="Segoe UI" w:eastAsiaTheme="minorHAnsi" w:hAnsi="Segoe UI" w:cs="Segoe UI"/>
          <w:sz w:val="18"/>
          <w:szCs w:val="18"/>
        </w:rPr>
        <w:t xml:space="preserve"> </w:t>
      </w:r>
      <w:r>
        <w:rPr>
          <w:rFonts w:ascii="Segoe UI" w:eastAsiaTheme="minorHAnsi" w:hAnsi="Segoe UI" w:cs="Segoe UI"/>
          <w:b/>
          <w:bCs/>
          <w:sz w:val="18"/>
          <w:szCs w:val="18"/>
        </w:rPr>
        <w:t>6</w:t>
      </w:r>
      <w:r>
        <w:rPr>
          <w:rFonts w:ascii="Segoe UI" w:eastAsiaTheme="minorHAnsi" w:hAnsi="Segoe UI" w:cs="Segoe UI"/>
          <w:sz w:val="18"/>
          <w:szCs w:val="18"/>
        </w:rPr>
        <w:t>, 3523-39.</w:t>
      </w:r>
    </w:p>
    <w:p w14:paraId="48A88F6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Atkin O., Scheurwater I. &amp; Pons T. (2007) Respiration as a percentage of daily photosynthesis in whole plants is homeostatic at moderate, but not high, growth temperatures. </w:t>
      </w:r>
      <w:r>
        <w:rPr>
          <w:rFonts w:ascii="Segoe UI" w:eastAsiaTheme="minorHAnsi" w:hAnsi="Segoe UI" w:cs="Segoe UI"/>
          <w:i/>
          <w:iCs/>
          <w:sz w:val="18"/>
          <w:szCs w:val="18"/>
        </w:rPr>
        <w:t>The 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174</w:t>
      </w:r>
      <w:r>
        <w:rPr>
          <w:rFonts w:ascii="Segoe UI" w:eastAsiaTheme="minorHAnsi" w:hAnsi="Segoe UI" w:cs="Segoe UI"/>
          <w:sz w:val="18"/>
          <w:szCs w:val="18"/>
        </w:rPr>
        <w:t>, 367-80.</w:t>
      </w:r>
    </w:p>
    <w:p w14:paraId="05931DA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Attiwill P. M. &amp; Adams M. A. (2008) Harnessing forest ecological sciences in the service of stewardship and sustainability: A perspective from ‘down-under’.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256</w:t>
      </w:r>
      <w:r>
        <w:rPr>
          <w:rFonts w:ascii="Segoe UI" w:eastAsiaTheme="minorHAnsi" w:hAnsi="Segoe UI" w:cs="Segoe UI"/>
          <w:sz w:val="18"/>
          <w:szCs w:val="18"/>
        </w:rPr>
        <w:t>, 1636-45.</w:t>
      </w:r>
    </w:p>
    <w:p w14:paraId="77E4FCA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Australian Greenhouse Office. (2006) Climate Change Impacts &amp; Risk Management: A Guide for Business and Government., Canberra.</w:t>
      </w:r>
    </w:p>
    <w:p w14:paraId="26BCCDD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Ayres E., Heath J., Possell M., Black H., Kerstiens G. &amp; Bardgett R. (2004) Tree physiological responses to above‐ground herbivory directly modify below‐ground processes of soil carbon and nitrogen cycling. </w:t>
      </w:r>
      <w:r>
        <w:rPr>
          <w:rFonts w:ascii="Segoe UI" w:eastAsiaTheme="minorHAnsi" w:hAnsi="Segoe UI" w:cs="Segoe UI"/>
          <w:i/>
          <w:iCs/>
          <w:sz w:val="18"/>
          <w:szCs w:val="18"/>
        </w:rPr>
        <w:t>Ecology Letters</w:t>
      </w:r>
      <w:r>
        <w:rPr>
          <w:rFonts w:ascii="Segoe UI" w:eastAsiaTheme="minorHAnsi" w:hAnsi="Segoe UI" w:cs="Segoe UI"/>
          <w:sz w:val="18"/>
          <w:szCs w:val="18"/>
        </w:rPr>
        <w:t xml:space="preserve"> </w:t>
      </w:r>
      <w:r>
        <w:rPr>
          <w:rFonts w:ascii="Segoe UI" w:eastAsiaTheme="minorHAnsi" w:hAnsi="Segoe UI" w:cs="Segoe UI"/>
          <w:b/>
          <w:bCs/>
          <w:sz w:val="18"/>
          <w:szCs w:val="18"/>
        </w:rPr>
        <w:t>7</w:t>
      </w:r>
      <w:r>
        <w:rPr>
          <w:rFonts w:ascii="Segoe UI" w:eastAsiaTheme="minorHAnsi" w:hAnsi="Segoe UI" w:cs="Segoe UI"/>
          <w:sz w:val="18"/>
          <w:szCs w:val="18"/>
        </w:rPr>
        <w:t>, 469-79.</w:t>
      </w:r>
    </w:p>
    <w:p w14:paraId="34305AE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Ayres M. &amp; Lombardero M. (2000) Assessing the consequences of climate change for forest herbivore and pathogens. </w:t>
      </w:r>
      <w:r>
        <w:rPr>
          <w:rFonts w:ascii="Segoe UI" w:eastAsiaTheme="minorHAnsi" w:hAnsi="Segoe UI" w:cs="Segoe UI"/>
          <w:i/>
          <w:iCs/>
          <w:sz w:val="18"/>
          <w:szCs w:val="18"/>
        </w:rPr>
        <w:t>The Science of the total environment</w:t>
      </w:r>
      <w:r>
        <w:rPr>
          <w:rFonts w:ascii="Segoe UI" w:eastAsiaTheme="minorHAnsi" w:hAnsi="Segoe UI" w:cs="Segoe UI"/>
          <w:sz w:val="18"/>
          <w:szCs w:val="18"/>
        </w:rPr>
        <w:t xml:space="preserve"> </w:t>
      </w:r>
      <w:r>
        <w:rPr>
          <w:rFonts w:ascii="Segoe UI" w:eastAsiaTheme="minorHAnsi" w:hAnsi="Segoe UI" w:cs="Segoe UI"/>
          <w:b/>
          <w:bCs/>
          <w:sz w:val="18"/>
          <w:szCs w:val="18"/>
        </w:rPr>
        <w:t>262</w:t>
      </w:r>
      <w:r>
        <w:rPr>
          <w:rFonts w:ascii="Segoe UI" w:eastAsiaTheme="minorHAnsi" w:hAnsi="Segoe UI" w:cs="Segoe UI"/>
          <w:sz w:val="18"/>
          <w:szCs w:val="18"/>
        </w:rPr>
        <w:t>, 263-86.</w:t>
      </w:r>
    </w:p>
    <w:p w14:paraId="3E1B846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Ayres M. P. &amp; Lombardero M. a. J. (2000) Assessing the consequences of global change for forest disturbance from herbivores and pathogens. </w:t>
      </w:r>
      <w:r>
        <w:rPr>
          <w:rFonts w:ascii="Segoe UI" w:eastAsiaTheme="minorHAnsi" w:hAnsi="Segoe UI" w:cs="Segoe UI"/>
          <w:i/>
          <w:iCs/>
          <w:sz w:val="18"/>
          <w:szCs w:val="18"/>
        </w:rPr>
        <w:t>Science of The Total Environment</w:t>
      </w:r>
      <w:r>
        <w:rPr>
          <w:rFonts w:ascii="Segoe UI" w:eastAsiaTheme="minorHAnsi" w:hAnsi="Segoe UI" w:cs="Segoe UI"/>
          <w:sz w:val="18"/>
          <w:szCs w:val="18"/>
        </w:rPr>
        <w:t xml:space="preserve"> </w:t>
      </w:r>
      <w:r>
        <w:rPr>
          <w:rFonts w:ascii="Segoe UI" w:eastAsiaTheme="minorHAnsi" w:hAnsi="Segoe UI" w:cs="Segoe UI"/>
          <w:b/>
          <w:bCs/>
          <w:sz w:val="18"/>
          <w:szCs w:val="18"/>
        </w:rPr>
        <w:t>262</w:t>
      </w:r>
      <w:r>
        <w:rPr>
          <w:rFonts w:ascii="Segoe UI" w:eastAsiaTheme="minorHAnsi" w:hAnsi="Segoe UI" w:cs="Segoe UI"/>
          <w:sz w:val="18"/>
          <w:szCs w:val="18"/>
        </w:rPr>
        <w:t>, 263-86.</w:t>
      </w:r>
    </w:p>
    <w:p w14:paraId="40B2C69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Badgery W., Murphy B., Cowie A., Orgill S., Rawson A., Simmons A. &amp; Crean J. (2020) Soil carbon market-based instrument pilot – the sequestration of soil organic carbon for the purpose of obtaining carbon credits. </w:t>
      </w:r>
      <w:r>
        <w:rPr>
          <w:rFonts w:ascii="Segoe UI" w:eastAsiaTheme="minorHAnsi" w:hAnsi="Segoe UI" w:cs="Segoe UI"/>
          <w:i/>
          <w:iCs/>
          <w:sz w:val="18"/>
          <w:szCs w:val="18"/>
        </w:rPr>
        <w:t>Soil Research</w:t>
      </w:r>
      <w:r>
        <w:rPr>
          <w:rFonts w:ascii="Segoe UI" w:eastAsiaTheme="minorHAnsi" w:hAnsi="Segoe UI" w:cs="Segoe UI"/>
          <w:sz w:val="18"/>
          <w:szCs w:val="18"/>
        </w:rPr>
        <w:t>.</w:t>
      </w:r>
    </w:p>
    <w:p w14:paraId="2578AB8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Badgery W. B., Mwendwa J. M., Anwar M. R., Simmons A. T., Broadfoot K. M., Rohan M. &amp; Singh B. P. (2020) Unexpected increases in soil carbon eventually fell in low rainfall farming systems. </w:t>
      </w:r>
      <w:r>
        <w:rPr>
          <w:rFonts w:ascii="Segoe UI" w:eastAsiaTheme="minorHAnsi" w:hAnsi="Segoe UI" w:cs="Segoe UI"/>
          <w:i/>
          <w:iCs/>
          <w:sz w:val="18"/>
          <w:szCs w:val="18"/>
        </w:rPr>
        <w:t>Journal of Environmental Management</w:t>
      </w:r>
      <w:r>
        <w:rPr>
          <w:rFonts w:ascii="Segoe UI" w:eastAsiaTheme="minorHAnsi" w:hAnsi="Segoe UI" w:cs="Segoe UI"/>
          <w:sz w:val="18"/>
          <w:szCs w:val="18"/>
        </w:rPr>
        <w:t xml:space="preserve"> </w:t>
      </w:r>
      <w:r>
        <w:rPr>
          <w:rFonts w:ascii="Segoe UI" w:eastAsiaTheme="minorHAnsi" w:hAnsi="Segoe UI" w:cs="Segoe UI"/>
          <w:b/>
          <w:bCs/>
          <w:sz w:val="18"/>
          <w:szCs w:val="18"/>
        </w:rPr>
        <w:t>261</w:t>
      </w:r>
      <w:r>
        <w:rPr>
          <w:rFonts w:ascii="Segoe UI" w:eastAsiaTheme="minorHAnsi" w:hAnsi="Segoe UI" w:cs="Segoe UI"/>
          <w:sz w:val="18"/>
          <w:szCs w:val="18"/>
        </w:rPr>
        <w:t>, 110192.</w:t>
      </w:r>
    </w:p>
    <w:p w14:paraId="21582CE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Baker J. S., Cameron J. N., Fagg P. C. &amp; Matthews D. (1988) Effect of timing and rate of hexaxinone application on weed control and early growth of </w:t>
      </w:r>
      <w:r>
        <w:rPr>
          <w:rFonts w:ascii="Segoe UI" w:eastAsiaTheme="minorHAnsi" w:hAnsi="Segoe UI" w:cs="Segoe UI"/>
          <w:i/>
          <w:iCs/>
          <w:sz w:val="18"/>
          <w:szCs w:val="18"/>
        </w:rPr>
        <w:t>Pinus radiata</w:t>
      </w:r>
      <w:r>
        <w:rPr>
          <w:rFonts w:ascii="Segoe UI" w:eastAsiaTheme="minorHAnsi" w:hAnsi="Segoe UI" w:cs="Segoe UI"/>
          <w:sz w:val="18"/>
          <w:szCs w:val="18"/>
        </w:rPr>
        <w:t xml:space="preserve"> on two contrasting sites. </w:t>
      </w:r>
      <w:r>
        <w:rPr>
          <w:rFonts w:ascii="Segoe UI" w:eastAsiaTheme="minorHAnsi" w:hAnsi="Segoe UI" w:cs="Segoe UI"/>
          <w:i/>
          <w:iCs/>
          <w:sz w:val="18"/>
          <w:szCs w:val="18"/>
        </w:rPr>
        <w:t>Australian Forestry</w:t>
      </w:r>
      <w:r>
        <w:rPr>
          <w:rFonts w:ascii="Segoe UI" w:eastAsiaTheme="minorHAnsi" w:hAnsi="Segoe UI" w:cs="Segoe UI"/>
          <w:sz w:val="18"/>
          <w:szCs w:val="18"/>
        </w:rPr>
        <w:t xml:space="preserve"> </w:t>
      </w:r>
      <w:r>
        <w:rPr>
          <w:rFonts w:ascii="Segoe UI" w:eastAsiaTheme="minorHAnsi" w:hAnsi="Segoe UI" w:cs="Segoe UI"/>
          <w:b/>
          <w:bCs/>
          <w:sz w:val="18"/>
          <w:szCs w:val="18"/>
        </w:rPr>
        <w:t>51</w:t>
      </w:r>
      <w:r>
        <w:rPr>
          <w:rFonts w:ascii="Segoe UI" w:eastAsiaTheme="minorHAnsi" w:hAnsi="Segoe UI" w:cs="Segoe UI"/>
          <w:sz w:val="18"/>
          <w:szCs w:val="18"/>
        </w:rPr>
        <w:t>, 92 - 7.</w:t>
      </w:r>
    </w:p>
    <w:p w14:paraId="4EBEBCB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Baldock J., Wheeler I., McKenzie N. &amp; McBratney A. (2012) Soils and climate change: Potential impacts on carbon stocks and greenhouse gas emissions, and future research for Australian agriculture. </w:t>
      </w:r>
      <w:r>
        <w:rPr>
          <w:rFonts w:ascii="Segoe UI" w:eastAsiaTheme="minorHAnsi" w:hAnsi="Segoe UI" w:cs="Segoe UI"/>
          <w:i/>
          <w:iCs/>
          <w:sz w:val="18"/>
          <w:szCs w:val="18"/>
        </w:rPr>
        <w:t>Crop and Pasture Science</w:t>
      </w:r>
      <w:r>
        <w:rPr>
          <w:rFonts w:ascii="Segoe UI" w:eastAsiaTheme="minorHAnsi" w:hAnsi="Segoe UI" w:cs="Segoe UI"/>
          <w:sz w:val="18"/>
          <w:szCs w:val="18"/>
        </w:rPr>
        <w:t xml:space="preserve"> </w:t>
      </w:r>
      <w:r>
        <w:rPr>
          <w:rFonts w:ascii="Segoe UI" w:eastAsiaTheme="minorHAnsi" w:hAnsi="Segoe UI" w:cs="Segoe UI"/>
          <w:b/>
          <w:bCs/>
          <w:sz w:val="18"/>
          <w:szCs w:val="18"/>
        </w:rPr>
        <w:t>63</w:t>
      </w:r>
      <w:r>
        <w:rPr>
          <w:rFonts w:ascii="Segoe UI" w:eastAsiaTheme="minorHAnsi" w:hAnsi="Segoe UI" w:cs="Segoe UI"/>
          <w:sz w:val="18"/>
          <w:szCs w:val="18"/>
        </w:rPr>
        <w:t>, 269.</w:t>
      </w:r>
    </w:p>
    <w:p w14:paraId="065A471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Ballantyne A., Andres R., Houghton R., Stocker B., Wanninkhof R., Anderegg W., Cooper L., DeGrandpre M., Tans P., Miller J., Alden C. &amp; White J. (2015) Audit of the global carbon budget: Estimate errors and their impact on uptake uncertainty. </w:t>
      </w:r>
      <w:r>
        <w:rPr>
          <w:rFonts w:ascii="Segoe UI" w:eastAsiaTheme="minorHAnsi" w:hAnsi="Segoe UI" w:cs="Segoe UI"/>
          <w:i/>
          <w:iCs/>
          <w:sz w:val="18"/>
          <w:szCs w:val="18"/>
        </w:rPr>
        <w:t>Biogeosciences</w:t>
      </w:r>
      <w:r>
        <w:rPr>
          <w:rFonts w:ascii="Segoe UI" w:eastAsiaTheme="minorHAnsi" w:hAnsi="Segoe UI" w:cs="Segoe UI"/>
          <w:sz w:val="18"/>
          <w:szCs w:val="18"/>
        </w:rPr>
        <w:t xml:space="preserve"> </w:t>
      </w:r>
      <w:r>
        <w:rPr>
          <w:rFonts w:ascii="Segoe UI" w:eastAsiaTheme="minorHAnsi" w:hAnsi="Segoe UI" w:cs="Segoe UI"/>
          <w:b/>
          <w:bCs/>
          <w:sz w:val="18"/>
          <w:szCs w:val="18"/>
        </w:rPr>
        <w:t>12</w:t>
      </w:r>
      <w:r>
        <w:rPr>
          <w:rFonts w:ascii="Segoe UI" w:eastAsiaTheme="minorHAnsi" w:hAnsi="Segoe UI" w:cs="Segoe UI"/>
          <w:sz w:val="18"/>
          <w:szCs w:val="18"/>
        </w:rPr>
        <w:t>, 2565-84.</w:t>
      </w:r>
    </w:p>
    <w:p w14:paraId="5066274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Ballantyne A. P., Alden C. B., Miller J. B., Tans P. P. &amp; White J. W. C. (2012) Increase in observed net carbon dioxide uptake by land and oceans during the past 50 years. </w:t>
      </w:r>
      <w:r>
        <w:rPr>
          <w:rFonts w:ascii="Segoe UI" w:eastAsiaTheme="minorHAnsi" w:hAnsi="Segoe UI" w:cs="Segoe UI"/>
          <w:i/>
          <w:iCs/>
          <w:sz w:val="18"/>
          <w:szCs w:val="18"/>
        </w:rPr>
        <w:t>Nature</w:t>
      </w:r>
      <w:r>
        <w:rPr>
          <w:rFonts w:ascii="Segoe UI" w:eastAsiaTheme="minorHAnsi" w:hAnsi="Segoe UI" w:cs="Segoe UI"/>
          <w:sz w:val="18"/>
          <w:szCs w:val="18"/>
        </w:rPr>
        <w:t xml:space="preserve"> </w:t>
      </w:r>
      <w:r>
        <w:rPr>
          <w:rFonts w:ascii="Segoe UI" w:eastAsiaTheme="minorHAnsi" w:hAnsi="Segoe UI" w:cs="Segoe UI"/>
          <w:b/>
          <w:bCs/>
          <w:sz w:val="18"/>
          <w:szCs w:val="18"/>
        </w:rPr>
        <w:t>488</w:t>
      </w:r>
      <w:r>
        <w:rPr>
          <w:rFonts w:ascii="Segoe UI" w:eastAsiaTheme="minorHAnsi" w:hAnsi="Segoe UI" w:cs="Segoe UI"/>
          <w:sz w:val="18"/>
          <w:szCs w:val="18"/>
        </w:rPr>
        <w:t>, 70-2.</w:t>
      </w:r>
    </w:p>
    <w:p w14:paraId="79FEAF0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Barker D., Loveys B., Egerton J., Gorton H., Williams W. &amp; Ball M. (2005) CO2 enrichment predisposes foliage of a eucalypt to freezing injury and reduces spring growth. </w:t>
      </w:r>
      <w:r>
        <w:rPr>
          <w:rFonts w:ascii="Segoe UI" w:eastAsiaTheme="minorHAnsi" w:hAnsi="Segoe UI" w:cs="Segoe UI"/>
          <w:i/>
          <w:iCs/>
          <w:sz w:val="18"/>
          <w:szCs w:val="18"/>
        </w:rPr>
        <w:t>Plant, Cell &amp; Environment</w:t>
      </w:r>
      <w:r>
        <w:rPr>
          <w:rFonts w:ascii="Segoe UI" w:eastAsiaTheme="minorHAnsi" w:hAnsi="Segoe UI" w:cs="Segoe UI"/>
          <w:sz w:val="18"/>
          <w:szCs w:val="18"/>
        </w:rPr>
        <w:t xml:space="preserve"> </w:t>
      </w:r>
      <w:r>
        <w:rPr>
          <w:rFonts w:ascii="Segoe UI" w:eastAsiaTheme="minorHAnsi" w:hAnsi="Segoe UI" w:cs="Segoe UI"/>
          <w:b/>
          <w:bCs/>
          <w:sz w:val="18"/>
          <w:szCs w:val="18"/>
        </w:rPr>
        <w:t>28</w:t>
      </w:r>
      <w:r>
        <w:rPr>
          <w:rFonts w:ascii="Segoe UI" w:eastAsiaTheme="minorHAnsi" w:hAnsi="Segoe UI" w:cs="Segoe UI"/>
          <w:sz w:val="18"/>
          <w:szCs w:val="18"/>
        </w:rPr>
        <w:t>, 1506-15.</w:t>
      </w:r>
    </w:p>
    <w:p w14:paraId="3A8D9BA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Batjes N. (2005) Organic carbon stocks in the soils of Brazil. </w:t>
      </w:r>
      <w:r>
        <w:rPr>
          <w:rFonts w:ascii="Segoe UI" w:eastAsiaTheme="minorHAnsi" w:hAnsi="Segoe UI" w:cs="Segoe UI"/>
          <w:i/>
          <w:iCs/>
          <w:sz w:val="18"/>
          <w:szCs w:val="18"/>
        </w:rPr>
        <w:t>Soil Use and Management 21 (2005) 1</w:t>
      </w:r>
      <w:r>
        <w:rPr>
          <w:rFonts w:ascii="Segoe UI" w:eastAsiaTheme="minorHAnsi" w:hAnsi="Segoe UI" w:cs="Segoe UI"/>
          <w:sz w:val="18"/>
          <w:szCs w:val="18"/>
        </w:rPr>
        <w:t xml:space="preserve"> </w:t>
      </w:r>
      <w:r>
        <w:rPr>
          <w:rFonts w:ascii="Segoe UI" w:eastAsiaTheme="minorHAnsi" w:hAnsi="Segoe UI" w:cs="Segoe UI"/>
          <w:b/>
          <w:bCs/>
          <w:sz w:val="18"/>
          <w:szCs w:val="18"/>
        </w:rPr>
        <w:t>21</w:t>
      </w:r>
      <w:r>
        <w:rPr>
          <w:rFonts w:ascii="Segoe UI" w:eastAsiaTheme="minorHAnsi" w:hAnsi="Segoe UI" w:cs="Segoe UI"/>
          <w:sz w:val="18"/>
          <w:szCs w:val="18"/>
        </w:rPr>
        <w:t>.</w:t>
      </w:r>
    </w:p>
    <w:p w14:paraId="65981B2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Battaglia M. (2012) How much carbon can trees absorb? In: </w:t>
      </w:r>
      <w:r>
        <w:rPr>
          <w:rFonts w:ascii="Segoe UI" w:eastAsiaTheme="minorHAnsi" w:hAnsi="Segoe UI" w:cs="Segoe UI"/>
          <w:i/>
          <w:iCs/>
          <w:sz w:val="18"/>
          <w:szCs w:val="18"/>
        </w:rPr>
        <w:t>The Conversation https://theconversation.com/how-much-carbon-can-trees-absorb-5829</w:t>
      </w:r>
      <w:r>
        <w:rPr>
          <w:rFonts w:ascii="Segoe UI" w:eastAsiaTheme="minorHAnsi" w:hAnsi="Segoe UI" w:cs="Segoe UI"/>
          <w:sz w:val="18"/>
          <w:szCs w:val="18"/>
        </w:rPr>
        <w:t>.</w:t>
      </w:r>
    </w:p>
    <w:p w14:paraId="17573CD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Battaglia M., Beadle C. &amp; Loughhead S. (1996) Photosynthetic temperature responses of </w:t>
      </w:r>
      <w:r>
        <w:rPr>
          <w:rFonts w:ascii="Segoe UI" w:eastAsiaTheme="minorHAnsi" w:hAnsi="Segoe UI" w:cs="Segoe UI"/>
          <w:i/>
          <w:iCs/>
          <w:sz w:val="18"/>
          <w:szCs w:val="18"/>
        </w:rPr>
        <w:t>Eucalyptus globulus</w:t>
      </w:r>
      <w:r>
        <w:rPr>
          <w:rFonts w:ascii="Segoe UI" w:eastAsiaTheme="minorHAnsi" w:hAnsi="Segoe UI" w:cs="Segoe UI"/>
          <w:sz w:val="18"/>
          <w:szCs w:val="18"/>
        </w:rPr>
        <w:t xml:space="preserve"> and </w:t>
      </w:r>
      <w:r>
        <w:rPr>
          <w:rFonts w:ascii="Segoe UI" w:eastAsiaTheme="minorHAnsi" w:hAnsi="Segoe UI" w:cs="Segoe UI"/>
          <w:i/>
          <w:iCs/>
          <w:sz w:val="18"/>
          <w:szCs w:val="18"/>
        </w:rPr>
        <w:t>Eucalyptus nitens</w:t>
      </w:r>
      <w:r>
        <w:rPr>
          <w:rFonts w:ascii="Segoe UI" w:eastAsiaTheme="minorHAnsi" w:hAnsi="Segoe UI" w:cs="Segoe UI"/>
          <w:sz w:val="18"/>
          <w:szCs w:val="18"/>
        </w:rPr>
        <w:t xml:space="preserve">. </w:t>
      </w:r>
      <w:r>
        <w:rPr>
          <w:rFonts w:ascii="Segoe UI" w:eastAsiaTheme="minorHAnsi" w:hAnsi="Segoe UI" w:cs="Segoe UI"/>
          <w:i/>
          <w:iCs/>
          <w:sz w:val="18"/>
          <w:szCs w:val="18"/>
        </w:rPr>
        <w:t>Tree Physiology</w:t>
      </w:r>
      <w:r>
        <w:rPr>
          <w:rFonts w:ascii="Segoe UI" w:eastAsiaTheme="minorHAnsi" w:hAnsi="Segoe UI" w:cs="Segoe UI"/>
          <w:sz w:val="18"/>
          <w:szCs w:val="18"/>
        </w:rPr>
        <w:t xml:space="preserve"> </w:t>
      </w:r>
      <w:r>
        <w:rPr>
          <w:rFonts w:ascii="Segoe UI" w:eastAsiaTheme="minorHAnsi" w:hAnsi="Segoe UI" w:cs="Segoe UI"/>
          <w:b/>
          <w:bCs/>
          <w:sz w:val="18"/>
          <w:szCs w:val="18"/>
        </w:rPr>
        <w:t>16</w:t>
      </w:r>
      <w:r>
        <w:rPr>
          <w:rFonts w:ascii="Segoe UI" w:eastAsiaTheme="minorHAnsi" w:hAnsi="Segoe UI" w:cs="Segoe UI"/>
          <w:sz w:val="18"/>
          <w:szCs w:val="18"/>
        </w:rPr>
        <w:t>, 81-9.</w:t>
      </w:r>
    </w:p>
    <w:p w14:paraId="08C6572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Battaglia M. &amp; Bruce J. (2017) Direct climate change impacts on growth and drought risk in blue gum (</w:t>
      </w:r>
      <w:r>
        <w:rPr>
          <w:rFonts w:ascii="Segoe UI" w:eastAsiaTheme="minorHAnsi" w:hAnsi="Segoe UI" w:cs="Segoe UI"/>
          <w:i/>
          <w:iCs/>
          <w:sz w:val="18"/>
          <w:szCs w:val="18"/>
        </w:rPr>
        <w:t>Eucalyptus globulus</w:t>
      </w:r>
      <w:r>
        <w:rPr>
          <w:rFonts w:ascii="Segoe UI" w:eastAsiaTheme="minorHAnsi" w:hAnsi="Segoe UI" w:cs="Segoe UI"/>
          <w:sz w:val="18"/>
          <w:szCs w:val="18"/>
        </w:rPr>
        <w:t xml:space="preserve">). </w:t>
      </w:r>
      <w:r>
        <w:rPr>
          <w:rFonts w:ascii="Segoe UI" w:eastAsiaTheme="minorHAnsi" w:hAnsi="Segoe UI" w:cs="Segoe UI"/>
          <w:i/>
          <w:iCs/>
          <w:sz w:val="18"/>
          <w:szCs w:val="18"/>
        </w:rPr>
        <w:t>Australian Forestry</w:t>
      </w:r>
      <w:r>
        <w:rPr>
          <w:rFonts w:ascii="Segoe UI" w:eastAsiaTheme="minorHAnsi" w:hAnsi="Segoe UI" w:cs="Segoe UI"/>
          <w:sz w:val="18"/>
          <w:szCs w:val="18"/>
        </w:rPr>
        <w:t xml:space="preserve"> </w:t>
      </w:r>
      <w:r>
        <w:rPr>
          <w:rFonts w:ascii="Segoe UI" w:eastAsiaTheme="minorHAnsi" w:hAnsi="Segoe UI" w:cs="Segoe UI"/>
          <w:b/>
          <w:bCs/>
          <w:sz w:val="18"/>
          <w:szCs w:val="18"/>
        </w:rPr>
        <w:t>80</w:t>
      </w:r>
      <w:r>
        <w:rPr>
          <w:rFonts w:ascii="Segoe UI" w:eastAsiaTheme="minorHAnsi" w:hAnsi="Segoe UI" w:cs="Segoe UI"/>
          <w:sz w:val="18"/>
          <w:szCs w:val="18"/>
        </w:rPr>
        <w:t>, 216 - 27.</w:t>
      </w:r>
    </w:p>
    <w:p w14:paraId="3C0B4D5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Battaglia M., Bruce J., Brack C. L. &amp; Baker T. (2009) Climate change and Australia's plantation estate: analysis of vulnerability and preliminary investigation of adaptation options.   p. 128. CSIRO, Hobart, Australia.</w:t>
      </w:r>
    </w:p>
    <w:p w14:paraId="18A2BCF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Beadle N. C. W. (1981) </w:t>
      </w:r>
      <w:r>
        <w:rPr>
          <w:rFonts w:ascii="Segoe UI" w:eastAsiaTheme="minorHAnsi" w:hAnsi="Segoe UI" w:cs="Segoe UI"/>
          <w:i/>
          <w:iCs/>
          <w:sz w:val="18"/>
          <w:szCs w:val="18"/>
        </w:rPr>
        <w:t>The Vegetation of Australia</w:t>
      </w:r>
      <w:r>
        <w:rPr>
          <w:rFonts w:ascii="Segoe UI" w:eastAsiaTheme="minorHAnsi" w:hAnsi="Segoe UI" w:cs="Segoe UI"/>
          <w:sz w:val="18"/>
          <w:szCs w:val="18"/>
        </w:rPr>
        <w:t>. Cambridge University Press, Cambridge.</w:t>
      </w:r>
    </w:p>
    <w:p w14:paraId="576AC654" w14:textId="77777777" w:rsidR="00C52D92" w:rsidRDefault="00C52D92" w:rsidP="00C52D92">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Bell D. T. (1999) Australian Trees for the Rehabilitation of Waterlogged and Salinity-damaged Landscapes. </w:t>
      </w:r>
      <w:r>
        <w:rPr>
          <w:rFonts w:ascii="Segoe UI" w:eastAsiaTheme="minorHAnsi" w:hAnsi="Segoe UI" w:cs="Segoe UI"/>
          <w:i/>
          <w:iCs/>
          <w:sz w:val="18"/>
          <w:szCs w:val="18"/>
        </w:rPr>
        <w:t>Australian Journal of Botany</w:t>
      </w:r>
      <w:r>
        <w:rPr>
          <w:rFonts w:ascii="Segoe UI" w:eastAsiaTheme="minorHAnsi" w:hAnsi="Segoe UI" w:cs="Segoe UI"/>
          <w:sz w:val="18"/>
          <w:szCs w:val="18"/>
        </w:rPr>
        <w:t xml:space="preserve"> </w:t>
      </w:r>
      <w:r>
        <w:rPr>
          <w:rFonts w:ascii="Segoe UI" w:eastAsiaTheme="minorHAnsi" w:hAnsi="Segoe UI" w:cs="Segoe UI"/>
          <w:b/>
          <w:bCs/>
          <w:sz w:val="18"/>
          <w:szCs w:val="18"/>
        </w:rPr>
        <w:t>47</w:t>
      </w:r>
      <w:r>
        <w:rPr>
          <w:rFonts w:ascii="Segoe UI" w:eastAsiaTheme="minorHAnsi" w:hAnsi="Segoe UI" w:cs="Segoe UI"/>
          <w:sz w:val="18"/>
          <w:szCs w:val="18"/>
        </w:rPr>
        <w:t>, 697-716.</w:t>
      </w:r>
    </w:p>
    <w:p w14:paraId="36477954" w14:textId="77777777" w:rsidR="00C52D92" w:rsidRDefault="00C52D92" w:rsidP="00C52D92">
      <w:pPr>
        <w:autoSpaceDE w:val="0"/>
        <w:autoSpaceDN w:val="0"/>
        <w:adjustRightInd w:val="0"/>
        <w:spacing w:after="40"/>
        <w:ind w:left="567" w:hanging="567"/>
        <w:rPr>
          <w:rFonts w:ascii="Segoe UI" w:eastAsiaTheme="minorHAnsi" w:hAnsi="Segoe UI" w:cs="Segoe UI"/>
          <w:sz w:val="18"/>
          <w:szCs w:val="18"/>
        </w:rPr>
      </w:pPr>
      <w:r>
        <w:rPr>
          <w:rFonts w:ascii="Segoe UI" w:eastAsiaTheme="minorHAnsi" w:hAnsi="Segoe UI" w:cs="Segoe UI"/>
          <w:sz w:val="18"/>
          <w:szCs w:val="18"/>
        </w:rPr>
        <w:t xml:space="preserve">Bennett R. G., Mendham D., Ogden G. &amp; Bartle J. (2015) Enhancing tree belt productivity through capture of short-slope runoff water. </w:t>
      </w:r>
      <w:r>
        <w:rPr>
          <w:rFonts w:ascii="Segoe UI" w:eastAsiaTheme="minorHAnsi" w:hAnsi="Segoe UI" w:cs="Segoe UI"/>
          <w:i/>
          <w:iCs/>
          <w:sz w:val="18"/>
          <w:szCs w:val="18"/>
        </w:rPr>
        <w:t>GCB Bioenergy</w:t>
      </w:r>
      <w:r>
        <w:rPr>
          <w:rFonts w:ascii="Segoe UI" w:eastAsiaTheme="minorHAnsi" w:hAnsi="Segoe UI" w:cs="Segoe UI"/>
          <w:sz w:val="18"/>
          <w:szCs w:val="18"/>
        </w:rPr>
        <w:t xml:space="preserve"> </w:t>
      </w:r>
      <w:r>
        <w:rPr>
          <w:rFonts w:ascii="Segoe UI" w:eastAsiaTheme="minorHAnsi" w:hAnsi="Segoe UI" w:cs="Segoe UI"/>
          <w:b/>
          <w:bCs/>
          <w:sz w:val="18"/>
          <w:szCs w:val="18"/>
        </w:rPr>
        <w:t>7</w:t>
      </w:r>
      <w:r>
        <w:rPr>
          <w:rFonts w:ascii="Segoe UI" w:eastAsiaTheme="minorHAnsi" w:hAnsi="Segoe UI" w:cs="Segoe UI"/>
          <w:sz w:val="18"/>
          <w:szCs w:val="18"/>
        </w:rPr>
        <w:t>, 1107-17.</w:t>
      </w:r>
    </w:p>
    <w:p w14:paraId="6F066C2C" w14:textId="77777777" w:rsidR="00C52D92" w:rsidRDefault="00C52D92" w:rsidP="00C52D92">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Benson M. L., Myers B. J. &amp; Raison R. J. (1992) Dynamics of stem growth of Pinus radiata as affected by water and nitrogen supply.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52</w:t>
      </w:r>
      <w:r>
        <w:rPr>
          <w:rFonts w:ascii="Segoe UI" w:eastAsiaTheme="minorHAnsi" w:hAnsi="Segoe UI" w:cs="Segoe UI"/>
          <w:sz w:val="18"/>
          <w:szCs w:val="18"/>
        </w:rPr>
        <w:t>, 117-37.</w:t>
      </w:r>
    </w:p>
    <w:p w14:paraId="2E5704A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Beringer J., Hutley L. B., Abramson D., Arndt S. K., Briggs P., Bristow M., Canadell J. G., Cernusak L. A., Eamus D., Edwards A. C., Evans B. J., Fest B., Goergen K., Grover S. P., Hacker J., Haverd V., Kanniah K., Livesley S. J., Lynch A., Maier S., Moore C., Raupach M., Russell-Smith J., Scheiter S., Tapper N. J. &amp; Uotila P. (2015) Fire in Australian savannas: from leaf to landscape.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21</w:t>
      </w:r>
      <w:r>
        <w:rPr>
          <w:rFonts w:ascii="Segoe UI" w:eastAsiaTheme="minorHAnsi" w:hAnsi="Segoe UI" w:cs="Segoe UI"/>
          <w:sz w:val="18"/>
          <w:szCs w:val="18"/>
        </w:rPr>
        <w:t>, 62-81.</w:t>
      </w:r>
    </w:p>
    <w:p w14:paraId="5B5ACEC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Berry S. &amp; Roderick M. (2002) CO2 and land-use effects on Australian vegetation over the last two centuries. </w:t>
      </w:r>
      <w:r>
        <w:rPr>
          <w:rFonts w:ascii="Segoe UI" w:eastAsiaTheme="minorHAnsi" w:hAnsi="Segoe UI" w:cs="Segoe UI"/>
          <w:i/>
          <w:iCs/>
          <w:sz w:val="18"/>
          <w:szCs w:val="18"/>
        </w:rPr>
        <w:t>Australian Journal of Botany</w:t>
      </w:r>
      <w:r>
        <w:rPr>
          <w:rFonts w:ascii="Segoe UI" w:eastAsiaTheme="minorHAnsi" w:hAnsi="Segoe UI" w:cs="Segoe UI"/>
          <w:sz w:val="18"/>
          <w:szCs w:val="18"/>
        </w:rPr>
        <w:t xml:space="preserve"> </w:t>
      </w:r>
      <w:r>
        <w:rPr>
          <w:rFonts w:ascii="Segoe UI" w:eastAsiaTheme="minorHAnsi" w:hAnsi="Segoe UI" w:cs="Segoe UI"/>
          <w:b/>
          <w:bCs/>
          <w:sz w:val="18"/>
          <w:szCs w:val="18"/>
        </w:rPr>
        <w:t>50</w:t>
      </w:r>
      <w:r>
        <w:rPr>
          <w:rFonts w:ascii="Segoe UI" w:eastAsiaTheme="minorHAnsi" w:hAnsi="Segoe UI" w:cs="Segoe UI"/>
          <w:sz w:val="18"/>
          <w:szCs w:val="18"/>
        </w:rPr>
        <w:t>, 511-31.</w:t>
      </w:r>
    </w:p>
    <w:p w14:paraId="45BBFDD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Beyer S., Kinnear A., Hutley L., McGuinness K. &amp; Gibb K. (2011) Assessing the relationship between fire and grazing on soil characteristics and mite communities in a semi-arid savanna of northern Australia. </w:t>
      </w:r>
      <w:r>
        <w:rPr>
          <w:rFonts w:ascii="Segoe UI" w:eastAsiaTheme="minorHAnsi" w:hAnsi="Segoe UI" w:cs="Segoe UI"/>
          <w:i/>
          <w:iCs/>
          <w:sz w:val="18"/>
          <w:szCs w:val="18"/>
        </w:rPr>
        <w:t>Pedobiologia</w:t>
      </w:r>
      <w:r>
        <w:rPr>
          <w:rFonts w:ascii="Segoe UI" w:eastAsiaTheme="minorHAnsi" w:hAnsi="Segoe UI" w:cs="Segoe UI"/>
          <w:sz w:val="18"/>
          <w:szCs w:val="18"/>
        </w:rPr>
        <w:t xml:space="preserve"> </w:t>
      </w:r>
      <w:r>
        <w:rPr>
          <w:rFonts w:ascii="Segoe UI" w:eastAsiaTheme="minorHAnsi" w:hAnsi="Segoe UI" w:cs="Segoe UI"/>
          <w:b/>
          <w:bCs/>
          <w:sz w:val="18"/>
          <w:szCs w:val="18"/>
        </w:rPr>
        <w:t>54</w:t>
      </w:r>
      <w:r>
        <w:rPr>
          <w:rFonts w:ascii="Segoe UI" w:eastAsiaTheme="minorHAnsi" w:hAnsi="Segoe UI" w:cs="Segoe UI"/>
          <w:sz w:val="18"/>
          <w:szCs w:val="18"/>
        </w:rPr>
        <w:t>, 195-200.</w:t>
      </w:r>
    </w:p>
    <w:p w14:paraId="5805EE8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Bita C. &amp; Gerats T. (2013) Plant tolerance to high temperature in a changing environment: Scientific fundamentals and production of heat stress-tolerant crops. </w:t>
      </w:r>
      <w:r>
        <w:rPr>
          <w:rFonts w:ascii="Segoe UI" w:eastAsiaTheme="minorHAnsi" w:hAnsi="Segoe UI" w:cs="Segoe UI"/>
          <w:i/>
          <w:iCs/>
          <w:sz w:val="18"/>
          <w:szCs w:val="18"/>
        </w:rPr>
        <w:t>Frontiers in plant science</w:t>
      </w:r>
      <w:r>
        <w:rPr>
          <w:rFonts w:ascii="Segoe UI" w:eastAsiaTheme="minorHAnsi" w:hAnsi="Segoe UI" w:cs="Segoe UI"/>
          <w:sz w:val="18"/>
          <w:szCs w:val="18"/>
        </w:rPr>
        <w:t xml:space="preserve"> </w:t>
      </w:r>
      <w:r>
        <w:rPr>
          <w:rFonts w:ascii="Segoe UI" w:eastAsiaTheme="minorHAnsi" w:hAnsi="Segoe UI" w:cs="Segoe UI"/>
          <w:b/>
          <w:bCs/>
          <w:sz w:val="18"/>
          <w:szCs w:val="18"/>
        </w:rPr>
        <w:t>4</w:t>
      </w:r>
      <w:r>
        <w:rPr>
          <w:rFonts w:ascii="Segoe UI" w:eastAsiaTheme="minorHAnsi" w:hAnsi="Segoe UI" w:cs="Segoe UI"/>
          <w:sz w:val="18"/>
          <w:szCs w:val="18"/>
        </w:rPr>
        <w:t>, 273.</w:t>
      </w:r>
    </w:p>
    <w:p w14:paraId="769BBD0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Blanke M. M. &amp; Lenz F. (1989) Fruit photosynthesis. </w:t>
      </w:r>
      <w:r>
        <w:rPr>
          <w:rFonts w:ascii="Segoe UI" w:eastAsiaTheme="minorHAnsi" w:hAnsi="Segoe UI" w:cs="Segoe UI"/>
          <w:i/>
          <w:iCs/>
          <w:sz w:val="18"/>
          <w:szCs w:val="18"/>
        </w:rPr>
        <w:t>Plant, Cell and Environment</w:t>
      </w:r>
      <w:r>
        <w:rPr>
          <w:rFonts w:ascii="Segoe UI" w:eastAsiaTheme="minorHAnsi" w:hAnsi="Segoe UI" w:cs="Segoe UI"/>
          <w:sz w:val="18"/>
          <w:szCs w:val="18"/>
        </w:rPr>
        <w:t xml:space="preserve"> </w:t>
      </w:r>
      <w:r>
        <w:rPr>
          <w:rFonts w:ascii="Segoe UI" w:eastAsiaTheme="minorHAnsi" w:hAnsi="Segoe UI" w:cs="Segoe UI"/>
          <w:b/>
          <w:bCs/>
          <w:sz w:val="18"/>
          <w:szCs w:val="18"/>
        </w:rPr>
        <w:t>12</w:t>
      </w:r>
      <w:r>
        <w:rPr>
          <w:rFonts w:ascii="Segoe UI" w:eastAsiaTheme="minorHAnsi" w:hAnsi="Segoe UI" w:cs="Segoe UI"/>
          <w:sz w:val="18"/>
          <w:szCs w:val="18"/>
        </w:rPr>
        <w:t>, 31 - 46.</w:t>
      </w:r>
    </w:p>
    <w:p w14:paraId="4FB0950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Bond W., Cook G. &amp; Williams R. (2012) Which trees dominate savannas? The escape hypothesis and eucalypts in northern Australia. </w:t>
      </w:r>
      <w:r>
        <w:rPr>
          <w:rFonts w:ascii="Segoe UI" w:eastAsiaTheme="minorHAnsi" w:hAnsi="Segoe UI" w:cs="Segoe UI"/>
          <w:i/>
          <w:iCs/>
          <w:sz w:val="18"/>
          <w:szCs w:val="18"/>
        </w:rPr>
        <w:t>Austral Ecology</w:t>
      </w:r>
      <w:r>
        <w:rPr>
          <w:rFonts w:ascii="Segoe UI" w:eastAsiaTheme="minorHAnsi" w:hAnsi="Segoe UI" w:cs="Segoe UI"/>
          <w:sz w:val="18"/>
          <w:szCs w:val="18"/>
        </w:rPr>
        <w:t xml:space="preserve"> </w:t>
      </w:r>
      <w:r>
        <w:rPr>
          <w:rFonts w:ascii="Segoe UI" w:eastAsiaTheme="minorHAnsi" w:hAnsi="Segoe UI" w:cs="Segoe UI"/>
          <w:b/>
          <w:bCs/>
          <w:sz w:val="18"/>
          <w:szCs w:val="18"/>
        </w:rPr>
        <w:t>37</w:t>
      </w:r>
      <w:r>
        <w:rPr>
          <w:rFonts w:ascii="Segoe UI" w:eastAsiaTheme="minorHAnsi" w:hAnsi="Segoe UI" w:cs="Segoe UI"/>
          <w:sz w:val="18"/>
          <w:szCs w:val="18"/>
        </w:rPr>
        <w:t>.</w:t>
      </w:r>
    </w:p>
    <w:p w14:paraId="445230B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Bond W. &amp; Midgley G. (2001) A proposed CO2-controlled mechanism of woody plant invasion in grasslands and savannas.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6</w:t>
      </w:r>
      <w:r>
        <w:rPr>
          <w:rFonts w:ascii="Segoe UI" w:eastAsiaTheme="minorHAnsi" w:hAnsi="Segoe UI" w:cs="Segoe UI"/>
          <w:sz w:val="18"/>
          <w:szCs w:val="18"/>
        </w:rPr>
        <w:t>, 865-9.</w:t>
      </w:r>
    </w:p>
    <w:p w14:paraId="2024C4E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Booth T., Broadhurst L., Pinkard E., Prober S., Dillon S. K., Bush D., Pinyopusarerk K., Doran J. C., Ivkovich M. &amp; Young A. (2015) Native forests and climate change: Lessons from eucalypts.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347</w:t>
      </w:r>
      <w:r>
        <w:rPr>
          <w:rFonts w:ascii="Segoe UI" w:eastAsiaTheme="minorHAnsi" w:hAnsi="Segoe UI" w:cs="Segoe UI"/>
          <w:sz w:val="18"/>
          <w:szCs w:val="18"/>
        </w:rPr>
        <w:t>, 18-9.</w:t>
      </w:r>
    </w:p>
    <w:p w14:paraId="3DA2067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Booth T. H. &amp; Jovanovic T. (2005) Tree species selection and climate change in Australia. Australian Greenhouse Office, Canberra.</w:t>
      </w:r>
    </w:p>
    <w:p w14:paraId="0BDEE07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Booth T. H., Jovanovic T. &amp; Harwood C. (2014) A generic method for climate change impact analysis of tree species planting domains. </w:t>
      </w:r>
      <w:r>
        <w:rPr>
          <w:rFonts w:ascii="Segoe UI" w:eastAsiaTheme="minorHAnsi" w:hAnsi="Segoe UI" w:cs="Segoe UI"/>
          <w:i/>
          <w:iCs/>
          <w:sz w:val="18"/>
          <w:szCs w:val="18"/>
        </w:rPr>
        <w:t>New Forests</w:t>
      </w:r>
      <w:r>
        <w:rPr>
          <w:rFonts w:ascii="Segoe UI" w:eastAsiaTheme="minorHAnsi" w:hAnsi="Segoe UI" w:cs="Segoe UI"/>
          <w:sz w:val="18"/>
          <w:szCs w:val="18"/>
        </w:rPr>
        <w:t xml:space="preserve"> </w:t>
      </w:r>
      <w:r>
        <w:rPr>
          <w:rFonts w:ascii="Segoe UI" w:eastAsiaTheme="minorHAnsi" w:hAnsi="Segoe UI" w:cs="Segoe UI"/>
          <w:b/>
          <w:bCs/>
          <w:sz w:val="18"/>
          <w:szCs w:val="18"/>
        </w:rPr>
        <w:t>45</w:t>
      </w:r>
      <w:r>
        <w:rPr>
          <w:rFonts w:ascii="Segoe UI" w:eastAsiaTheme="minorHAnsi" w:hAnsi="Segoe UI" w:cs="Segoe UI"/>
          <w:sz w:val="18"/>
          <w:szCs w:val="18"/>
        </w:rPr>
        <w:t>, 507 - 22.</w:t>
      </w:r>
    </w:p>
    <w:p w14:paraId="0055276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Booth T. H., Jovanovic T. &amp; New M. (2002) A new world climatic mapping program to assist species selection.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163</w:t>
      </w:r>
      <w:r>
        <w:rPr>
          <w:rFonts w:ascii="Segoe UI" w:eastAsiaTheme="minorHAnsi" w:hAnsi="Segoe UI" w:cs="Segoe UI"/>
          <w:sz w:val="18"/>
          <w:szCs w:val="18"/>
        </w:rPr>
        <w:t>, 111-7.</w:t>
      </w:r>
    </w:p>
    <w:p w14:paraId="5DD5071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Bradshaw C. J. A., Bowman D. M. J. S., Bond N. R., Murphy B. P., Moore A. D., Fordham D. A., Thackway R., Lawes M. J., McCallum H., Gregory S. D., Dalal R. C., Boer M. M., Lynch A. J. J., Bradstock R. A., Brook B. W., Henry B. K., Hunt L. P., Fisher D. O., Hunter D., Johnson C. N., Keith D. A., Lefroy E. C., Penman T. D., Meyer W. S., Thomson J. R., </w:t>
      </w:r>
      <w:r>
        <w:rPr>
          <w:rFonts w:ascii="Segoe UI" w:eastAsiaTheme="minorHAnsi" w:hAnsi="Segoe UI" w:cs="Segoe UI"/>
          <w:sz w:val="18"/>
          <w:szCs w:val="18"/>
        </w:rPr>
        <w:lastRenderedPageBreak/>
        <w:t xml:space="preserve">Thornton C. M., VanDerWal J., Williams R. J., Keniger L. &amp; Specht A. (2013) Brave new green world – Consequences of a carbon economy for the conservation of Australian biodiversity. </w:t>
      </w:r>
      <w:r>
        <w:rPr>
          <w:rFonts w:ascii="Segoe UI" w:eastAsiaTheme="minorHAnsi" w:hAnsi="Segoe UI" w:cs="Segoe UI"/>
          <w:i/>
          <w:iCs/>
          <w:sz w:val="18"/>
          <w:szCs w:val="18"/>
        </w:rPr>
        <w:t>Biological Conservation</w:t>
      </w:r>
      <w:r>
        <w:rPr>
          <w:rFonts w:ascii="Segoe UI" w:eastAsiaTheme="minorHAnsi" w:hAnsi="Segoe UI" w:cs="Segoe UI"/>
          <w:sz w:val="18"/>
          <w:szCs w:val="18"/>
        </w:rPr>
        <w:t xml:space="preserve"> </w:t>
      </w:r>
      <w:r>
        <w:rPr>
          <w:rFonts w:ascii="Segoe UI" w:eastAsiaTheme="minorHAnsi" w:hAnsi="Segoe UI" w:cs="Segoe UI"/>
          <w:b/>
          <w:bCs/>
          <w:sz w:val="18"/>
          <w:szCs w:val="18"/>
        </w:rPr>
        <w:t>161</w:t>
      </w:r>
      <w:r>
        <w:rPr>
          <w:rFonts w:ascii="Segoe UI" w:eastAsiaTheme="minorHAnsi" w:hAnsi="Segoe UI" w:cs="Segoe UI"/>
          <w:sz w:val="18"/>
          <w:szCs w:val="18"/>
        </w:rPr>
        <w:t>, 71-90.</w:t>
      </w:r>
    </w:p>
    <w:p w14:paraId="507DB61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Bradstock R. A., Boer M. M., Cary G. J., Price O. F., Williams R. J., Barrett D., Cook G., Gill A. M., Hutley L. B. W., Keith H., Maier S. W., Meyer M., Roxburgh S. H. &amp; Russell-Smith J. (2012) Modelling the potential for prescribed burning to mitigate carbon emissions from wildfires in fire-prone forests of Australia. </w:t>
      </w:r>
      <w:r>
        <w:rPr>
          <w:rFonts w:ascii="Segoe UI" w:eastAsiaTheme="minorHAnsi" w:hAnsi="Segoe UI" w:cs="Segoe UI"/>
          <w:i/>
          <w:iCs/>
          <w:sz w:val="18"/>
          <w:szCs w:val="18"/>
        </w:rPr>
        <w:t>International Journal of Wildland Fire</w:t>
      </w:r>
      <w:r>
        <w:rPr>
          <w:rFonts w:ascii="Segoe UI" w:eastAsiaTheme="minorHAnsi" w:hAnsi="Segoe UI" w:cs="Segoe UI"/>
          <w:sz w:val="18"/>
          <w:szCs w:val="18"/>
        </w:rPr>
        <w:t xml:space="preserve"> </w:t>
      </w:r>
      <w:r>
        <w:rPr>
          <w:rFonts w:ascii="Segoe UI" w:eastAsiaTheme="minorHAnsi" w:hAnsi="Segoe UI" w:cs="Segoe UI"/>
          <w:b/>
          <w:bCs/>
          <w:sz w:val="18"/>
          <w:szCs w:val="18"/>
        </w:rPr>
        <w:t>21</w:t>
      </w:r>
      <w:r>
        <w:rPr>
          <w:rFonts w:ascii="Segoe UI" w:eastAsiaTheme="minorHAnsi" w:hAnsi="Segoe UI" w:cs="Segoe UI"/>
          <w:sz w:val="18"/>
          <w:szCs w:val="18"/>
        </w:rPr>
        <w:t>, 629-39.</w:t>
      </w:r>
    </w:p>
    <w:p w14:paraId="01BEF26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Brand J. E. (2000) The effects of management regime and host species on Sandalwood (Santalum spicatum) recruitment near Paynes Find Western Australia. </w:t>
      </w:r>
      <w:r>
        <w:rPr>
          <w:rFonts w:ascii="Segoe UI" w:eastAsiaTheme="minorHAnsi" w:hAnsi="Segoe UI" w:cs="Segoe UI"/>
          <w:i/>
          <w:iCs/>
          <w:sz w:val="18"/>
          <w:szCs w:val="18"/>
        </w:rPr>
        <w:t>Rangeland Journal - RANGELAND J</w:t>
      </w:r>
      <w:r>
        <w:rPr>
          <w:rFonts w:ascii="Segoe UI" w:eastAsiaTheme="minorHAnsi" w:hAnsi="Segoe UI" w:cs="Segoe UI"/>
          <w:sz w:val="18"/>
          <w:szCs w:val="18"/>
        </w:rPr>
        <w:t xml:space="preserve"> </w:t>
      </w:r>
      <w:r>
        <w:rPr>
          <w:rFonts w:ascii="Segoe UI" w:eastAsiaTheme="minorHAnsi" w:hAnsi="Segoe UI" w:cs="Segoe UI"/>
          <w:b/>
          <w:bCs/>
          <w:sz w:val="18"/>
          <w:szCs w:val="18"/>
        </w:rPr>
        <w:t>22</w:t>
      </w:r>
      <w:r>
        <w:rPr>
          <w:rFonts w:ascii="Segoe UI" w:eastAsiaTheme="minorHAnsi" w:hAnsi="Segoe UI" w:cs="Segoe UI"/>
          <w:sz w:val="18"/>
          <w:szCs w:val="18"/>
        </w:rPr>
        <w:t>.</w:t>
      </w:r>
    </w:p>
    <w:p w14:paraId="156580A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Brevik E. (2013) The Potential Impact of Climate Change on Soil Properties and Processes and Corresponding Influence on Food Security. </w:t>
      </w:r>
      <w:r>
        <w:rPr>
          <w:rFonts w:ascii="Segoe UI" w:eastAsiaTheme="minorHAnsi" w:hAnsi="Segoe UI" w:cs="Segoe UI"/>
          <w:i/>
          <w:iCs/>
          <w:sz w:val="18"/>
          <w:szCs w:val="18"/>
        </w:rPr>
        <w:t>Agriculture</w:t>
      </w:r>
      <w:r>
        <w:rPr>
          <w:rFonts w:ascii="Segoe UI" w:eastAsiaTheme="minorHAnsi" w:hAnsi="Segoe UI" w:cs="Segoe UI"/>
          <w:sz w:val="18"/>
          <w:szCs w:val="18"/>
        </w:rPr>
        <w:t xml:space="preserve"> </w:t>
      </w:r>
      <w:r>
        <w:rPr>
          <w:rFonts w:ascii="Segoe UI" w:eastAsiaTheme="minorHAnsi" w:hAnsi="Segoe UI" w:cs="Segoe UI"/>
          <w:b/>
          <w:bCs/>
          <w:sz w:val="18"/>
          <w:szCs w:val="18"/>
        </w:rPr>
        <w:t>3</w:t>
      </w:r>
      <w:r>
        <w:rPr>
          <w:rFonts w:ascii="Segoe UI" w:eastAsiaTheme="minorHAnsi" w:hAnsi="Segoe UI" w:cs="Segoe UI"/>
          <w:sz w:val="18"/>
          <w:szCs w:val="18"/>
        </w:rPr>
        <w:t>, 398-417.</w:t>
      </w:r>
    </w:p>
    <w:p w14:paraId="720470F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Bu N.-S., Qu J.-F., Li G., Zhao B., Zhang R.-J. &amp; Fang C.-M. (2015) Reclamation of coastal salt marshes promoted carbon loss from previously-sequestered soil carbon pool. </w:t>
      </w:r>
      <w:r>
        <w:rPr>
          <w:rFonts w:ascii="Segoe UI" w:eastAsiaTheme="minorHAnsi" w:hAnsi="Segoe UI" w:cs="Segoe UI"/>
          <w:i/>
          <w:iCs/>
          <w:sz w:val="18"/>
          <w:szCs w:val="18"/>
        </w:rPr>
        <w:t>Ecological Engineering</w:t>
      </w:r>
      <w:r>
        <w:rPr>
          <w:rFonts w:ascii="Segoe UI" w:eastAsiaTheme="minorHAnsi" w:hAnsi="Segoe UI" w:cs="Segoe UI"/>
          <w:sz w:val="18"/>
          <w:szCs w:val="18"/>
        </w:rPr>
        <w:t xml:space="preserve"> </w:t>
      </w:r>
      <w:r>
        <w:rPr>
          <w:rFonts w:ascii="Segoe UI" w:eastAsiaTheme="minorHAnsi" w:hAnsi="Segoe UI" w:cs="Segoe UI"/>
          <w:b/>
          <w:bCs/>
          <w:sz w:val="18"/>
          <w:szCs w:val="18"/>
        </w:rPr>
        <w:t>81</w:t>
      </w:r>
      <w:r>
        <w:rPr>
          <w:rFonts w:ascii="Segoe UI" w:eastAsiaTheme="minorHAnsi" w:hAnsi="Segoe UI" w:cs="Segoe UI"/>
          <w:sz w:val="18"/>
          <w:szCs w:val="18"/>
        </w:rPr>
        <w:t>, 335-9.</w:t>
      </w:r>
    </w:p>
    <w:p w14:paraId="2F6E815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Buczkowski G. &amp; Bertelsmeier C. (2017) Invasive termites in a changing climate: A global perspective. </w:t>
      </w:r>
      <w:r>
        <w:rPr>
          <w:rFonts w:ascii="Segoe UI" w:eastAsiaTheme="minorHAnsi" w:hAnsi="Segoe UI" w:cs="Segoe UI"/>
          <w:i/>
          <w:iCs/>
          <w:sz w:val="18"/>
          <w:szCs w:val="18"/>
        </w:rPr>
        <w:t>Ecology and Evolution</w:t>
      </w:r>
      <w:r>
        <w:rPr>
          <w:rFonts w:ascii="Segoe UI" w:eastAsiaTheme="minorHAnsi" w:hAnsi="Segoe UI" w:cs="Segoe UI"/>
          <w:sz w:val="18"/>
          <w:szCs w:val="18"/>
        </w:rPr>
        <w:t xml:space="preserve"> </w:t>
      </w:r>
      <w:r>
        <w:rPr>
          <w:rFonts w:ascii="Segoe UI" w:eastAsiaTheme="minorHAnsi" w:hAnsi="Segoe UI" w:cs="Segoe UI"/>
          <w:b/>
          <w:bCs/>
          <w:sz w:val="18"/>
          <w:szCs w:val="18"/>
        </w:rPr>
        <w:t>7</w:t>
      </w:r>
      <w:r>
        <w:rPr>
          <w:rFonts w:ascii="Segoe UI" w:eastAsiaTheme="minorHAnsi" w:hAnsi="Segoe UI" w:cs="Segoe UI"/>
          <w:sz w:val="18"/>
          <w:szCs w:val="18"/>
        </w:rPr>
        <w:t>, 974-85.</w:t>
      </w:r>
    </w:p>
    <w:p w14:paraId="3D6560C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Burdon J., Thrall P. &amp; Ericson L. (2006) The Current and Future Dynamics of Disease in Plant Communities. </w:t>
      </w:r>
      <w:r>
        <w:rPr>
          <w:rFonts w:ascii="Segoe UI" w:eastAsiaTheme="minorHAnsi" w:hAnsi="Segoe UI" w:cs="Segoe UI"/>
          <w:i/>
          <w:iCs/>
          <w:sz w:val="18"/>
          <w:szCs w:val="18"/>
        </w:rPr>
        <w:t>Annual review of phytopathology</w:t>
      </w:r>
      <w:r>
        <w:rPr>
          <w:rFonts w:ascii="Segoe UI" w:eastAsiaTheme="minorHAnsi" w:hAnsi="Segoe UI" w:cs="Segoe UI"/>
          <w:sz w:val="18"/>
          <w:szCs w:val="18"/>
        </w:rPr>
        <w:t xml:space="preserve"> </w:t>
      </w:r>
      <w:r>
        <w:rPr>
          <w:rFonts w:ascii="Segoe UI" w:eastAsiaTheme="minorHAnsi" w:hAnsi="Segoe UI" w:cs="Segoe UI"/>
          <w:b/>
          <w:bCs/>
          <w:sz w:val="18"/>
          <w:szCs w:val="18"/>
        </w:rPr>
        <w:t>44</w:t>
      </w:r>
      <w:r>
        <w:rPr>
          <w:rFonts w:ascii="Segoe UI" w:eastAsiaTheme="minorHAnsi" w:hAnsi="Segoe UI" w:cs="Segoe UI"/>
          <w:sz w:val="18"/>
          <w:szCs w:val="18"/>
        </w:rPr>
        <w:t>, 19-39.</w:t>
      </w:r>
    </w:p>
    <w:p w14:paraId="753F125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Burrows D. (2003) The role of insect leaf herbivory on the mangroves Avicennia marina and Rhizophora stylosa.</w:t>
      </w:r>
    </w:p>
    <w:p w14:paraId="0FAEFE6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Burrows G. (2002) Epicormic strand structure in Angophora, Eucalyptus and Lophostemon (Myrtaceae) - Implications for fire resistance and recovery. </w:t>
      </w:r>
      <w:r>
        <w:rPr>
          <w:rFonts w:ascii="Segoe UI" w:eastAsiaTheme="minorHAnsi" w:hAnsi="Segoe UI" w:cs="Segoe UI"/>
          <w:i/>
          <w:iCs/>
          <w:sz w:val="18"/>
          <w:szCs w:val="18"/>
        </w:rPr>
        <w:t>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153</w:t>
      </w:r>
      <w:r>
        <w:rPr>
          <w:rFonts w:ascii="Segoe UI" w:eastAsiaTheme="minorHAnsi" w:hAnsi="Segoe UI" w:cs="Segoe UI"/>
          <w:sz w:val="18"/>
          <w:szCs w:val="18"/>
        </w:rPr>
        <w:t>, 111-31.</w:t>
      </w:r>
    </w:p>
    <w:p w14:paraId="47627FD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Bustamante M., Robledo-Abad C., Harper R., Mbow C., Ravindranat N. H., Sperling F., Haberl H., de Siqueira Pinto A. &amp; Smith P. (2014) Co-benefits, trade-offs, barriers and policies for greenhouse gas mitigation in the agriculture, forestry and other land use (AFOLU) sector.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20</w:t>
      </w:r>
      <w:r>
        <w:rPr>
          <w:rFonts w:ascii="Segoe UI" w:eastAsiaTheme="minorHAnsi" w:hAnsi="Segoe UI" w:cs="Segoe UI"/>
          <w:sz w:val="18"/>
          <w:szCs w:val="18"/>
        </w:rPr>
        <w:t>, 3270-90.</w:t>
      </w:r>
    </w:p>
    <w:p w14:paraId="28CE834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Butcher T. B. &amp; Havel J. J. (1976) Influence of moisture relationships on thinning practice. </w:t>
      </w:r>
      <w:r>
        <w:rPr>
          <w:rFonts w:ascii="Segoe UI" w:eastAsiaTheme="minorHAnsi" w:hAnsi="Segoe UI" w:cs="Segoe UI"/>
          <w:i/>
          <w:iCs/>
          <w:sz w:val="18"/>
          <w:szCs w:val="18"/>
        </w:rPr>
        <w:t>New Zealand journal of forestry science</w:t>
      </w:r>
      <w:r>
        <w:rPr>
          <w:rFonts w:ascii="Segoe UI" w:eastAsiaTheme="minorHAnsi" w:hAnsi="Segoe UI" w:cs="Segoe UI"/>
          <w:sz w:val="18"/>
          <w:szCs w:val="18"/>
        </w:rPr>
        <w:t xml:space="preserve"> </w:t>
      </w:r>
      <w:r>
        <w:rPr>
          <w:rFonts w:ascii="Segoe UI" w:eastAsiaTheme="minorHAnsi" w:hAnsi="Segoe UI" w:cs="Segoe UI"/>
          <w:b/>
          <w:bCs/>
          <w:sz w:val="18"/>
          <w:szCs w:val="18"/>
        </w:rPr>
        <w:t>6</w:t>
      </w:r>
      <w:r>
        <w:rPr>
          <w:rFonts w:ascii="Segoe UI" w:eastAsiaTheme="minorHAnsi" w:hAnsi="Segoe UI" w:cs="Segoe UI"/>
          <w:sz w:val="18"/>
          <w:szCs w:val="18"/>
        </w:rPr>
        <w:t>, 158-70.</w:t>
      </w:r>
    </w:p>
    <w:p w14:paraId="158F8C3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Butler B. D. W. &amp; Fairfax R. J. (2003) Buffel Grass and fire in a Gidgee and Brigalow woodland: A case study from central Queensland. </w:t>
      </w:r>
      <w:r>
        <w:rPr>
          <w:rFonts w:ascii="Segoe UI" w:eastAsiaTheme="minorHAnsi" w:hAnsi="Segoe UI" w:cs="Segoe UI"/>
          <w:i/>
          <w:iCs/>
          <w:sz w:val="18"/>
          <w:szCs w:val="18"/>
        </w:rPr>
        <w:t>Ecological Management &amp; Restoration</w:t>
      </w:r>
      <w:r>
        <w:rPr>
          <w:rFonts w:ascii="Segoe UI" w:eastAsiaTheme="minorHAnsi" w:hAnsi="Segoe UI" w:cs="Segoe UI"/>
          <w:sz w:val="18"/>
          <w:szCs w:val="18"/>
        </w:rPr>
        <w:t xml:space="preserve"> </w:t>
      </w:r>
      <w:r>
        <w:rPr>
          <w:rFonts w:ascii="Segoe UI" w:eastAsiaTheme="minorHAnsi" w:hAnsi="Segoe UI" w:cs="Segoe UI"/>
          <w:b/>
          <w:bCs/>
          <w:sz w:val="18"/>
          <w:szCs w:val="18"/>
        </w:rPr>
        <w:t>4</w:t>
      </w:r>
      <w:r>
        <w:rPr>
          <w:rFonts w:ascii="Segoe UI" w:eastAsiaTheme="minorHAnsi" w:hAnsi="Segoe UI" w:cs="Segoe UI"/>
          <w:sz w:val="18"/>
          <w:szCs w:val="18"/>
        </w:rPr>
        <w:t>, 120-5.</w:t>
      </w:r>
    </w:p>
    <w:p w14:paraId="3F030E1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Canadell J. G., Le Quéré C., Raupach M. R., Field C. B., Buitenhuis E. T., Ciais P., Conway T. J., Gillett N. P., Houghton R. A. &amp; Marland G. (2007) Contributions to accelerating atmospheric CO&amp;lt;sub&amp;gt;2&amp;lt;/sub&amp;gt; growth from economic activity, carbon intensity, and efficiency of natural sinks. </w:t>
      </w:r>
      <w:r>
        <w:rPr>
          <w:rFonts w:ascii="Segoe UI" w:eastAsiaTheme="minorHAnsi" w:hAnsi="Segoe UI" w:cs="Segoe UI"/>
          <w:i/>
          <w:iCs/>
          <w:sz w:val="18"/>
          <w:szCs w:val="18"/>
        </w:rPr>
        <w:t>Proceedings of the National Academy of Sciences</w:t>
      </w:r>
      <w:r>
        <w:rPr>
          <w:rFonts w:ascii="Segoe UI" w:eastAsiaTheme="minorHAnsi" w:hAnsi="Segoe UI" w:cs="Segoe UI"/>
          <w:sz w:val="18"/>
          <w:szCs w:val="18"/>
        </w:rPr>
        <w:t xml:space="preserve"> </w:t>
      </w:r>
      <w:r>
        <w:rPr>
          <w:rFonts w:ascii="Segoe UI" w:eastAsiaTheme="minorHAnsi" w:hAnsi="Segoe UI" w:cs="Segoe UI"/>
          <w:b/>
          <w:bCs/>
          <w:sz w:val="18"/>
          <w:szCs w:val="18"/>
        </w:rPr>
        <w:t>104</w:t>
      </w:r>
      <w:r>
        <w:rPr>
          <w:rFonts w:ascii="Segoe UI" w:eastAsiaTheme="minorHAnsi" w:hAnsi="Segoe UI" w:cs="Segoe UI"/>
          <w:sz w:val="18"/>
          <w:szCs w:val="18"/>
        </w:rPr>
        <w:t>, 18866.</w:t>
      </w:r>
    </w:p>
    <w:p w14:paraId="7341839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Cannicci S., Burrows D., Fratini S., Smith T. J., Offenberg J. &amp; Dahdouh-Guebas F. (2008) Faunal impact on vegetation structure and ecosystem function in mangrove forests: A review. </w:t>
      </w:r>
      <w:r>
        <w:rPr>
          <w:rFonts w:ascii="Segoe UI" w:eastAsiaTheme="minorHAnsi" w:hAnsi="Segoe UI" w:cs="Segoe UI"/>
          <w:i/>
          <w:iCs/>
          <w:sz w:val="18"/>
          <w:szCs w:val="18"/>
        </w:rPr>
        <w:t>Aquatic Botany</w:t>
      </w:r>
      <w:r>
        <w:rPr>
          <w:rFonts w:ascii="Segoe UI" w:eastAsiaTheme="minorHAnsi" w:hAnsi="Segoe UI" w:cs="Segoe UI"/>
          <w:sz w:val="18"/>
          <w:szCs w:val="18"/>
        </w:rPr>
        <w:t xml:space="preserve"> </w:t>
      </w:r>
      <w:r>
        <w:rPr>
          <w:rFonts w:ascii="Segoe UI" w:eastAsiaTheme="minorHAnsi" w:hAnsi="Segoe UI" w:cs="Segoe UI"/>
          <w:b/>
          <w:bCs/>
          <w:sz w:val="18"/>
          <w:szCs w:val="18"/>
        </w:rPr>
        <w:t>89</w:t>
      </w:r>
      <w:r>
        <w:rPr>
          <w:rFonts w:ascii="Segoe UI" w:eastAsiaTheme="minorHAnsi" w:hAnsi="Segoe UI" w:cs="Segoe UI"/>
          <w:sz w:val="18"/>
          <w:szCs w:val="18"/>
        </w:rPr>
        <w:t>, 186-200.</w:t>
      </w:r>
    </w:p>
    <w:p w14:paraId="3361366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Carnegie A. &amp; Angel P. (2005) Creiis lituratus (Froggatt) (Hemiptera: Psyllidae): A new insect pest of Eucalyptus dunnii plantations in sub-tropical Australia. </w:t>
      </w:r>
      <w:r>
        <w:rPr>
          <w:rFonts w:ascii="Segoe UI" w:eastAsiaTheme="minorHAnsi" w:hAnsi="Segoe UI" w:cs="Segoe UI"/>
          <w:i/>
          <w:iCs/>
          <w:sz w:val="18"/>
          <w:szCs w:val="18"/>
        </w:rPr>
        <w:t>Australian Forestry</w:t>
      </w:r>
      <w:r>
        <w:rPr>
          <w:rFonts w:ascii="Segoe UI" w:eastAsiaTheme="minorHAnsi" w:hAnsi="Segoe UI" w:cs="Segoe UI"/>
          <w:sz w:val="18"/>
          <w:szCs w:val="18"/>
        </w:rPr>
        <w:t xml:space="preserve"> </w:t>
      </w:r>
      <w:r>
        <w:rPr>
          <w:rFonts w:ascii="Segoe UI" w:eastAsiaTheme="minorHAnsi" w:hAnsi="Segoe UI" w:cs="Segoe UI"/>
          <w:b/>
          <w:bCs/>
          <w:sz w:val="18"/>
          <w:szCs w:val="18"/>
        </w:rPr>
        <w:t>68</w:t>
      </w:r>
      <w:r>
        <w:rPr>
          <w:rFonts w:ascii="Segoe UI" w:eastAsiaTheme="minorHAnsi" w:hAnsi="Segoe UI" w:cs="Segoe UI"/>
          <w:sz w:val="18"/>
          <w:szCs w:val="18"/>
        </w:rPr>
        <w:t>.</w:t>
      </w:r>
    </w:p>
    <w:p w14:paraId="337005E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Carnegie A. J. &amp; Ades P. K. (2003) Mycosphaerella leaf disease reduces growth of plantation-grown Eucalyptus globulus. </w:t>
      </w:r>
      <w:r>
        <w:rPr>
          <w:rFonts w:ascii="Segoe UI" w:eastAsiaTheme="minorHAnsi" w:hAnsi="Segoe UI" w:cs="Segoe UI"/>
          <w:i/>
          <w:iCs/>
          <w:sz w:val="18"/>
          <w:szCs w:val="18"/>
        </w:rPr>
        <w:t>Australian forestry</w:t>
      </w:r>
      <w:r>
        <w:rPr>
          <w:rFonts w:ascii="Segoe UI" w:eastAsiaTheme="minorHAnsi" w:hAnsi="Segoe UI" w:cs="Segoe UI"/>
          <w:sz w:val="18"/>
          <w:szCs w:val="18"/>
        </w:rPr>
        <w:t xml:space="preserve"> </w:t>
      </w:r>
      <w:r>
        <w:rPr>
          <w:rFonts w:ascii="Segoe UI" w:eastAsiaTheme="minorHAnsi" w:hAnsi="Segoe UI" w:cs="Segoe UI"/>
          <w:b/>
          <w:bCs/>
          <w:sz w:val="18"/>
          <w:szCs w:val="18"/>
        </w:rPr>
        <w:t>66</w:t>
      </w:r>
      <w:r>
        <w:rPr>
          <w:rFonts w:ascii="Segoe UI" w:eastAsiaTheme="minorHAnsi" w:hAnsi="Segoe UI" w:cs="Segoe UI"/>
          <w:sz w:val="18"/>
          <w:szCs w:val="18"/>
        </w:rPr>
        <w:t>, 113-9.</w:t>
      </w:r>
    </w:p>
    <w:p w14:paraId="6B9E25A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CER. (2019) Guidelines on stratification, evidence and records. For projects under the Human-Induced Regeneration of a Permanent Even-Aged Native Forest and Native Forest from Managed Regrowth methods. Australian Government. Canberra.</w:t>
      </w:r>
    </w:p>
    <w:p w14:paraId="2D17A29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CFA. (2011) Aide memoir for preparing a plantation fire management plan.   p. 5. Country Fire Authority, Melbourne, Victoria.</w:t>
      </w:r>
    </w:p>
    <w:p w14:paraId="7EC4EE0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Chakraborty S., Murray G. M., Magarey P. A., Yonow T., O’Brien R. G., Croft B. J., Barbetti M. J., Sivasithamparam K., Old K. M., Dudzinski M. J., Sutherst R. W., Penrose L. J., Archer C. &amp; Emmett R. W. (1998) Potential impact of climate change on plant diseases of economic significance to Australia. </w:t>
      </w:r>
      <w:r>
        <w:rPr>
          <w:rFonts w:ascii="Segoe UI" w:eastAsiaTheme="minorHAnsi" w:hAnsi="Segoe UI" w:cs="Segoe UI"/>
          <w:i/>
          <w:iCs/>
          <w:sz w:val="18"/>
          <w:szCs w:val="18"/>
        </w:rPr>
        <w:t>Australasian Plant Pathology</w:t>
      </w:r>
      <w:r>
        <w:rPr>
          <w:rFonts w:ascii="Segoe UI" w:eastAsiaTheme="minorHAnsi" w:hAnsi="Segoe UI" w:cs="Segoe UI"/>
          <w:sz w:val="18"/>
          <w:szCs w:val="18"/>
        </w:rPr>
        <w:t xml:space="preserve"> </w:t>
      </w:r>
      <w:r>
        <w:rPr>
          <w:rFonts w:ascii="Segoe UI" w:eastAsiaTheme="minorHAnsi" w:hAnsi="Segoe UI" w:cs="Segoe UI"/>
          <w:b/>
          <w:bCs/>
          <w:sz w:val="18"/>
          <w:szCs w:val="18"/>
        </w:rPr>
        <w:t>27</w:t>
      </w:r>
      <w:r>
        <w:rPr>
          <w:rFonts w:ascii="Segoe UI" w:eastAsiaTheme="minorHAnsi" w:hAnsi="Segoe UI" w:cs="Segoe UI"/>
          <w:sz w:val="18"/>
          <w:szCs w:val="18"/>
        </w:rPr>
        <w:t>, 15-35.</w:t>
      </w:r>
    </w:p>
    <w:p w14:paraId="63ECF38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Chan K. Y. &amp; Heenan D. P. (2006) The effects of stubble burning and tillage on soil carbon sequestration and crop productivity in Southeastern Australia. </w:t>
      </w:r>
      <w:r>
        <w:rPr>
          <w:rFonts w:ascii="Segoe UI" w:eastAsiaTheme="minorHAnsi" w:hAnsi="Segoe UI" w:cs="Segoe UI"/>
          <w:i/>
          <w:iCs/>
          <w:sz w:val="18"/>
          <w:szCs w:val="18"/>
        </w:rPr>
        <w:t>Soil Use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21</w:t>
      </w:r>
      <w:r>
        <w:rPr>
          <w:rFonts w:ascii="Segoe UI" w:eastAsiaTheme="minorHAnsi" w:hAnsi="Segoe UI" w:cs="Segoe UI"/>
          <w:sz w:val="18"/>
          <w:szCs w:val="18"/>
        </w:rPr>
        <w:t>, 427-31.</w:t>
      </w:r>
    </w:p>
    <w:p w14:paraId="1446C86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Chapman S. C., Chakraborty S., Dreccer M. F. &amp; Howden S. M. (2012) Plant adaptation to climate change—opportunities and priorities in breeding. </w:t>
      </w:r>
      <w:r>
        <w:rPr>
          <w:rFonts w:ascii="Segoe UI" w:eastAsiaTheme="minorHAnsi" w:hAnsi="Segoe UI" w:cs="Segoe UI"/>
          <w:i/>
          <w:iCs/>
          <w:sz w:val="18"/>
          <w:szCs w:val="18"/>
        </w:rPr>
        <w:t>Crop and Pasture Science</w:t>
      </w:r>
      <w:r>
        <w:rPr>
          <w:rFonts w:ascii="Segoe UI" w:eastAsiaTheme="minorHAnsi" w:hAnsi="Segoe UI" w:cs="Segoe UI"/>
          <w:sz w:val="18"/>
          <w:szCs w:val="18"/>
        </w:rPr>
        <w:t xml:space="preserve"> </w:t>
      </w:r>
      <w:r>
        <w:rPr>
          <w:rFonts w:ascii="Segoe UI" w:eastAsiaTheme="minorHAnsi" w:hAnsi="Segoe UI" w:cs="Segoe UI"/>
          <w:b/>
          <w:bCs/>
          <w:sz w:val="18"/>
          <w:szCs w:val="18"/>
        </w:rPr>
        <w:t>63</w:t>
      </w:r>
      <w:r>
        <w:rPr>
          <w:rFonts w:ascii="Segoe UI" w:eastAsiaTheme="minorHAnsi" w:hAnsi="Segoe UI" w:cs="Segoe UI"/>
          <w:sz w:val="18"/>
          <w:szCs w:val="18"/>
        </w:rPr>
        <w:t>, 251-68.</w:t>
      </w:r>
    </w:p>
    <w:p w14:paraId="7A83BD4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Chen L., Liu L., Qin S., Yang G., Fang K., Zhu B., Kuzyakov Y., Chen P., Xu Y. &amp; Yang Y. (2019) Regulation of priming effect by soil organic matter stability over a broad geographic scale. </w:t>
      </w:r>
      <w:r>
        <w:rPr>
          <w:rFonts w:ascii="Segoe UI" w:eastAsiaTheme="minorHAnsi" w:hAnsi="Segoe UI" w:cs="Segoe UI"/>
          <w:i/>
          <w:iCs/>
          <w:sz w:val="18"/>
          <w:szCs w:val="18"/>
        </w:rPr>
        <w:t>Nature Communications</w:t>
      </w:r>
      <w:r>
        <w:rPr>
          <w:rFonts w:ascii="Segoe UI" w:eastAsiaTheme="minorHAnsi" w:hAnsi="Segoe UI" w:cs="Segoe UI"/>
          <w:sz w:val="18"/>
          <w:szCs w:val="18"/>
        </w:rPr>
        <w:t xml:space="preserve"> </w:t>
      </w:r>
      <w:r>
        <w:rPr>
          <w:rFonts w:ascii="Segoe UI" w:eastAsiaTheme="minorHAnsi" w:hAnsi="Segoe UI" w:cs="Segoe UI"/>
          <w:b/>
          <w:bCs/>
          <w:sz w:val="18"/>
          <w:szCs w:val="18"/>
        </w:rPr>
        <w:t>10</w:t>
      </w:r>
      <w:r>
        <w:rPr>
          <w:rFonts w:ascii="Segoe UI" w:eastAsiaTheme="minorHAnsi" w:hAnsi="Segoe UI" w:cs="Segoe UI"/>
          <w:sz w:val="18"/>
          <w:szCs w:val="18"/>
        </w:rPr>
        <w:t>, 5112.</w:t>
      </w:r>
    </w:p>
    <w:p w14:paraId="2B01827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Chen X., Hutley L. B. &amp; Eamus D. (2003) Carbon balance of a tropical savanna of northern Australia. </w:t>
      </w:r>
      <w:r>
        <w:rPr>
          <w:rFonts w:ascii="Segoe UI" w:eastAsiaTheme="minorHAnsi" w:hAnsi="Segoe UI" w:cs="Segoe UI"/>
          <w:i/>
          <w:iCs/>
          <w:sz w:val="18"/>
          <w:szCs w:val="18"/>
        </w:rPr>
        <w:t>Oecologia</w:t>
      </w:r>
      <w:r>
        <w:rPr>
          <w:rFonts w:ascii="Segoe UI" w:eastAsiaTheme="minorHAnsi" w:hAnsi="Segoe UI" w:cs="Segoe UI"/>
          <w:sz w:val="18"/>
          <w:szCs w:val="18"/>
        </w:rPr>
        <w:t xml:space="preserve"> </w:t>
      </w:r>
      <w:r>
        <w:rPr>
          <w:rFonts w:ascii="Segoe UI" w:eastAsiaTheme="minorHAnsi" w:hAnsi="Segoe UI" w:cs="Segoe UI"/>
          <w:b/>
          <w:bCs/>
          <w:sz w:val="18"/>
          <w:szCs w:val="18"/>
        </w:rPr>
        <w:t>137</w:t>
      </w:r>
      <w:r>
        <w:rPr>
          <w:rFonts w:ascii="Segoe UI" w:eastAsiaTheme="minorHAnsi" w:hAnsi="Segoe UI" w:cs="Segoe UI"/>
          <w:sz w:val="18"/>
          <w:szCs w:val="18"/>
        </w:rPr>
        <w:t>, 405-16.</w:t>
      </w:r>
    </w:p>
    <w:p w14:paraId="73F8080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Cheney N. P. (1985) Fire protection of small native forests. In: </w:t>
      </w:r>
      <w:r>
        <w:rPr>
          <w:rFonts w:ascii="Segoe UI" w:eastAsiaTheme="minorHAnsi" w:hAnsi="Segoe UI" w:cs="Segoe UI"/>
          <w:i/>
          <w:iCs/>
          <w:sz w:val="18"/>
          <w:szCs w:val="18"/>
        </w:rPr>
        <w:t>Institute of Foresters conference</w:t>
      </w:r>
      <w:r>
        <w:rPr>
          <w:rFonts w:ascii="Segoe UI" w:eastAsiaTheme="minorHAnsi" w:hAnsi="Segoe UI" w:cs="Segoe UI"/>
          <w:sz w:val="18"/>
          <w:szCs w:val="18"/>
        </w:rPr>
        <w:t xml:space="preserve">  p. 11. IFA, Hobart, Tasmania.</w:t>
      </w:r>
    </w:p>
    <w:p w14:paraId="0D5979E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Cheney N. P. &amp; Richmond R. R. (1980) The impact of intensive forest management on fire protection with special regard to plantations of eucalypts. In: </w:t>
      </w:r>
      <w:r>
        <w:rPr>
          <w:rFonts w:ascii="Segoe UI" w:eastAsiaTheme="minorHAnsi" w:hAnsi="Segoe UI" w:cs="Segoe UI"/>
          <w:i/>
          <w:iCs/>
          <w:sz w:val="18"/>
          <w:szCs w:val="18"/>
        </w:rPr>
        <w:t>Eleventh Commonwealth Forestry Conference</w:t>
      </w:r>
      <w:r>
        <w:rPr>
          <w:rFonts w:ascii="Segoe UI" w:eastAsiaTheme="minorHAnsi" w:hAnsi="Segoe UI" w:cs="Segoe UI"/>
          <w:sz w:val="18"/>
          <w:szCs w:val="18"/>
        </w:rPr>
        <w:t>.</w:t>
      </w:r>
    </w:p>
    <w:p w14:paraId="3CA60F3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Choat B., Jansen S., Brodribb T. J., Chochard H., Delzon S., Bhaskar R., Bucci S. J., Field T. S., Gleason S. M., JHacke U. G., J. J. A., Lens F., HMaherali H., Martinez-Vilalta J., Mayr S., Mencuccini M., Mitchell P. J., Nardini A., Pittermann J., Pratt R. B., Sperry J. S., Westoby M., Wright I. J. &amp; Zanne A. E. (2012) Global convergence in the vulnerability of forests to drought. </w:t>
      </w:r>
      <w:r>
        <w:rPr>
          <w:rFonts w:ascii="Segoe UI" w:eastAsiaTheme="minorHAnsi" w:hAnsi="Segoe UI" w:cs="Segoe UI"/>
          <w:i/>
          <w:iCs/>
          <w:sz w:val="18"/>
          <w:szCs w:val="18"/>
        </w:rPr>
        <w:t>491</w:t>
      </w:r>
      <w:r>
        <w:rPr>
          <w:rFonts w:ascii="Segoe UI" w:eastAsiaTheme="minorHAnsi" w:hAnsi="Segoe UI" w:cs="Segoe UI"/>
          <w:sz w:val="18"/>
          <w:szCs w:val="18"/>
        </w:rPr>
        <w:t>.</w:t>
      </w:r>
    </w:p>
    <w:p w14:paraId="49A3C18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Ciais P., Reichstein M., Viovy N., Granier A., Ogée J., Allard V., Aubinet M., Buchmann N., Bernhofer C., Carrara A., Chevallier F., de Noblet N., Friend A., Friedlingstein P., Grünwald T., Heinesch B., Keronen P., Knohl A., Krinner G. &amp; Valentini R. (2005) Europe-wide reduction in primary productivity caused by the heat and drought in 2003. </w:t>
      </w:r>
      <w:r>
        <w:rPr>
          <w:rFonts w:ascii="Segoe UI" w:eastAsiaTheme="minorHAnsi" w:hAnsi="Segoe UI" w:cs="Segoe UI"/>
          <w:i/>
          <w:iCs/>
          <w:sz w:val="18"/>
          <w:szCs w:val="18"/>
        </w:rPr>
        <w:t>Nature</w:t>
      </w:r>
      <w:r>
        <w:rPr>
          <w:rFonts w:ascii="Segoe UI" w:eastAsiaTheme="minorHAnsi" w:hAnsi="Segoe UI" w:cs="Segoe UI"/>
          <w:sz w:val="18"/>
          <w:szCs w:val="18"/>
        </w:rPr>
        <w:t xml:space="preserve"> </w:t>
      </w:r>
      <w:r>
        <w:rPr>
          <w:rFonts w:ascii="Segoe UI" w:eastAsiaTheme="minorHAnsi" w:hAnsi="Segoe UI" w:cs="Segoe UI"/>
          <w:b/>
          <w:bCs/>
          <w:sz w:val="18"/>
          <w:szCs w:val="18"/>
        </w:rPr>
        <w:t>437</w:t>
      </w:r>
      <w:r>
        <w:rPr>
          <w:rFonts w:ascii="Segoe UI" w:eastAsiaTheme="minorHAnsi" w:hAnsi="Segoe UI" w:cs="Segoe UI"/>
          <w:sz w:val="18"/>
          <w:szCs w:val="18"/>
        </w:rPr>
        <w:t>, 529-33.</w:t>
      </w:r>
    </w:p>
    <w:p w14:paraId="7B9E70CB" w14:textId="4BB85FAA" w:rsidR="00B6316F" w:rsidRDefault="00B6316F" w:rsidP="00A90EB5">
      <w:pPr>
        <w:autoSpaceDE w:val="0"/>
        <w:autoSpaceDN w:val="0"/>
        <w:adjustRightInd w:val="0"/>
        <w:spacing w:afterLines="40" w:after="96"/>
        <w:ind w:left="567" w:hanging="567"/>
        <w:rPr>
          <w:rFonts w:ascii="Segoe UI" w:eastAsiaTheme="minorHAnsi" w:hAnsi="Segoe UI" w:cs="Segoe UI"/>
          <w:sz w:val="18"/>
          <w:szCs w:val="18"/>
        </w:rPr>
      </w:pPr>
      <w:r w:rsidRPr="00B6316F">
        <w:rPr>
          <w:rFonts w:ascii="Segoe UI" w:eastAsiaTheme="minorHAnsi" w:hAnsi="Segoe UI" w:cs="Segoe UI"/>
          <w:sz w:val="18"/>
          <w:szCs w:val="18"/>
        </w:rPr>
        <w:t>Climate Change Authority (2018) Reaping the rewards: improving farm profitability, reducing emissions, and conserving natural capital. Canberra.</w:t>
      </w:r>
    </w:p>
    <w:p w14:paraId="2A44F3A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Close D., Davidson N. &amp; Watson T. (2008) Health of remnant woodlands in fragments under distinct grazing regimes. </w:t>
      </w:r>
      <w:r>
        <w:rPr>
          <w:rFonts w:ascii="Segoe UI" w:eastAsiaTheme="minorHAnsi" w:hAnsi="Segoe UI" w:cs="Segoe UI"/>
          <w:i/>
          <w:iCs/>
          <w:sz w:val="18"/>
          <w:szCs w:val="18"/>
        </w:rPr>
        <w:t>Biological Conservation</w:t>
      </w:r>
      <w:r>
        <w:rPr>
          <w:rFonts w:ascii="Segoe UI" w:eastAsiaTheme="minorHAnsi" w:hAnsi="Segoe UI" w:cs="Segoe UI"/>
          <w:sz w:val="18"/>
          <w:szCs w:val="18"/>
        </w:rPr>
        <w:t xml:space="preserve"> </w:t>
      </w:r>
      <w:r>
        <w:rPr>
          <w:rFonts w:ascii="Segoe UI" w:eastAsiaTheme="minorHAnsi" w:hAnsi="Segoe UI" w:cs="Segoe UI"/>
          <w:b/>
          <w:bCs/>
          <w:sz w:val="18"/>
          <w:szCs w:val="18"/>
        </w:rPr>
        <w:t>141</w:t>
      </w:r>
      <w:r>
        <w:rPr>
          <w:rFonts w:ascii="Segoe UI" w:eastAsiaTheme="minorHAnsi" w:hAnsi="Segoe UI" w:cs="Segoe UI"/>
          <w:sz w:val="18"/>
          <w:szCs w:val="18"/>
        </w:rPr>
        <w:t>, 2395-402.</w:t>
      </w:r>
    </w:p>
    <w:p w14:paraId="3243EE5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Close D. C., Beadle C., Brown P. H. &amp; Holz G. K. (2000) Cold-induced photoinhibition affects establishment of </w:t>
      </w:r>
      <w:r>
        <w:rPr>
          <w:rFonts w:ascii="Segoe UI" w:eastAsiaTheme="minorHAnsi" w:hAnsi="Segoe UI" w:cs="Segoe UI"/>
          <w:i/>
          <w:iCs/>
          <w:sz w:val="18"/>
          <w:szCs w:val="18"/>
        </w:rPr>
        <w:t>Eucalyptus nitens</w:t>
      </w:r>
      <w:r>
        <w:rPr>
          <w:rFonts w:ascii="Segoe UI" w:eastAsiaTheme="minorHAnsi" w:hAnsi="Segoe UI" w:cs="Segoe UI"/>
          <w:sz w:val="18"/>
          <w:szCs w:val="18"/>
        </w:rPr>
        <w:t xml:space="preserve"> (Deane and Maiden) Maiden and Eucalyptus globulus Labill. </w:t>
      </w:r>
      <w:r>
        <w:rPr>
          <w:rFonts w:ascii="Segoe UI" w:eastAsiaTheme="minorHAnsi" w:hAnsi="Segoe UI" w:cs="Segoe UI"/>
          <w:i/>
          <w:iCs/>
          <w:sz w:val="18"/>
          <w:szCs w:val="18"/>
        </w:rPr>
        <w:t>Trees structure and function</w:t>
      </w:r>
      <w:r>
        <w:rPr>
          <w:rFonts w:ascii="Segoe UI" w:eastAsiaTheme="minorHAnsi" w:hAnsi="Segoe UI" w:cs="Segoe UI"/>
          <w:sz w:val="18"/>
          <w:szCs w:val="18"/>
        </w:rPr>
        <w:t xml:space="preserve"> </w:t>
      </w:r>
      <w:r>
        <w:rPr>
          <w:rFonts w:ascii="Segoe UI" w:eastAsiaTheme="minorHAnsi" w:hAnsi="Segoe UI" w:cs="Segoe UI"/>
          <w:b/>
          <w:bCs/>
          <w:sz w:val="18"/>
          <w:szCs w:val="18"/>
        </w:rPr>
        <w:t>15</w:t>
      </w:r>
      <w:r>
        <w:rPr>
          <w:rFonts w:ascii="Segoe UI" w:eastAsiaTheme="minorHAnsi" w:hAnsi="Segoe UI" w:cs="Segoe UI"/>
          <w:sz w:val="18"/>
          <w:szCs w:val="18"/>
        </w:rPr>
        <w:t>, 32 - 41.</w:t>
      </w:r>
    </w:p>
    <w:p w14:paraId="731B3A9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Close D. C. &amp; Davidson N. J. (2003) Revegetation to combat tree decline in the Midlands and Derwent Valley Lowlands of Tasmania: Practices for improved plant establishment. </w:t>
      </w:r>
      <w:r>
        <w:rPr>
          <w:rFonts w:ascii="Segoe UI" w:eastAsiaTheme="minorHAnsi" w:hAnsi="Segoe UI" w:cs="Segoe UI"/>
          <w:i/>
          <w:iCs/>
          <w:sz w:val="18"/>
          <w:szCs w:val="18"/>
        </w:rPr>
        <w:t>Ecological Management &amp; Restoration</w:t>
      </w:r>
      <w:r>
        <w:rPr>
          <w:rFonts w:ascii="Segoe UI" w:eastAsiaTheme="minorHAnsi" w:hAnsi="Segoe UI" w:cs="Segoe UI"/>
          <w:sz w:val="18"/>
          <w:szCs w:val="18"/>
        </w:rPr>
        <w:t xml:space="preserve"> </w:t>
      </w:r>
      <w:r>
        <w:rPr>
          <w:rFonts w:ascii="Segoe UI" w:eastAsiaTheme="minorHAnsi" w:hAnsi="Segoe UI" w:cs="Segoe UI"/>
          <w:b/>
          <w:bCs/>
          <w:sz w:val="18"/>
          <w:szCs w:val="18"/>
        </w:rPr>
        <w:t>4</w:t>
      </w:r>
      <w:r>
        <w:rPr>
          <w:rFonts w:ascii="Segoe UI" w:eastAsiaTheme="minorHAnsi" w:hAnsi="Segoe UI" w:cs="Segoe UI"/>
          <w:sz w:val="18"/>
          <w:szCs w:val="18"/>
        </w:rPr>
        <w:t>, 29-36.</w:t>
      </w:r>
    </w:p>
    <w:p w14:paraId="76A2F15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Coetsee C., Bond W. &amp; February E. (2010) Frequent fire affects soil nitrogen and carbon in an African savanna by changing woody cover. </w:t>
      </w:r>
      <w:r>
        <w:rPr>
          <w:rFonts w:ascii="Segoe UI" w:eastAsiaTheme="minorHAnsi" w:hAnsi="Segoe UI" w:cs="Segoe UI"/>
          <w:i/>
          <w:iCs/>
          <w:sz w:val="18"/>
          <w:szCs w:val="18"/>
        </w:rPr>
        <w:t>Oecologia</w:t>
      </w:r>
      <w:r>
        <w:rPr>
          <w:rFonts w:ascii="Segoe UI" w:eastAsiaTheme="minorHAnsi" w:hAnsi="Segoe UI" w:cs="Segoe UI"/>
          <w:sz w:val="18"/>
          <w:szCs w:val="18"/>
        </w:rPr>
        <w:t xml:space="preserve"> </w:t>
      </w:r>
      <w:r>
        <w:rPr>
          <w:rFonts w:ascii="Segoe UI" w:eastAsiaTheme="minorHAnsi" w:hAnsi="Segoe UI" w:cs="Segoe UI"/>
          <w:b/>
          <w:bCs/>
          <w:sz w:val="18"/>
          <w:szCs w:val="18"/>
        </w:rPr>
        <w:t>162</w:t>
      </w:r>
      <w:r>
        <w:rPr>
          <w:rFonts w:ascii="Segoe UI" w:eastAsiaTheme="minorHAnsi" w:hAnsi="Segoe UI" w:cs="Segoe UI"/>
          <w:sz w:val="18"/>
          <w:szCs w:val="18"/>
        </w:rPr>
        <w:t>, 1027-34.</w:t>
      </w:r>
    </w:p>
    <w:p w14:paraId="6412869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Commonwealth of Australia. (2017) Review of the emissions reduction fund. Canberra.</w:t>
      </w:r>
    </w:p>
    <w:p w14:paraId="639A4A6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Commonwealth of Australia. (2019) Towards an emissions reduction fund method for blue carbon. https://publications.industry.gov.au/publications/climate-change/system/files/resources/fb1cbdf3-3c2f-46ea-a259-d53d7568c9d2/files/erf-blue-carbon-2019.pdf.</w:t>
      </w:r>
    </w:p>
    <w:p w14:paraId="3124D86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Conant R. T., Ryan M. G., Ågren G. I., Birge H. E., Davidson E. A., Eliasson P. E., Evans S. E., Frey S. D., Giardina C. P., Hopkins F. M., Hyvönen R., Kirschbaum M. U. F., Lavallee J. M., Leifeld J., Parton W. J., Megan Steinweg J., Wallenstein M. D., Martin Wetterstedt J. Å. &amp; Bradford M. A. (2011) Temperature and soil organic matter decomposition rates – synthesis of current knowledge and a way forward.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17</w:t>
      </w:r>
      <w:r>
        <w:rPr>
          <w:rFonts w:ascii="Segoe UI" w:eastAsiaTheme="minorHAnsi" w:hAnsi="Segoe UI" w:cs="Segoe UI"/>
          <w:sz w:val="18"/>
          <w:szCs w:val="18"/>
        </w:rPr>
        <w:t>, 3392-404.</w:t>
      </w:r>
    </w:p>
    <w:p w14:paraId="6D8E23A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Cook G. (2006) Fuel Dynamics, Nutrients, and Atmospheric Chemistry.   pp. 47-58.</w:t>
      </w:r>
    </w:p>
    <w:p w14:paraId="00FBC2A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Cook G. D. &amp; Meyer C. P. (2017) </w:t>
      </w:r>
      <w:r>
        <w:rPr>
          <w:rFonts w:ascii="Segoe UI" w:eastAsiaTheme="minorHAnsi" w:hAnsi="Segoe UI" w:cs="Segoe UI"/>
          <w:i/>
          <w:iCs/>
          <w:sz w:val="18"/>
          <w:szCs w:val="18"/>
        </w:rPr>
        <w:t xml:space="preserve">Seasonal variation in fine fuel accumulation in savannas. </w:t>
      </w:r>
      <w:r>
        <w:rPr>
          <w:rFonts w:ascii="Segoe UI" w:eastAsiaTheme="minorHAnsi" w:hAnsi="Segoe UI" w:cs="Segoe UI"/>
          <w:sz w:val="18"/>
          <w:szCs w:val="18"/>
        </w:rPr>
        <w:t>. CSIRO, Australia.</w:t>
      </w:r>
    </w:p>
    <w:p w14:paraId="556623B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Cooke B. D. &amp; Hunt L. P. (1987) Practical and economic aspects of rabbit control in hilly semiarid South Australia. </w:t>
      </w:r>
      <w:r>
        <w:rPr>
          <w:rFonts w:ascii="Segoe UI" w:eastAsiaTheme="minorHAnsi" w:hAnsi="Segoe UI" w:cs="Segoe UI"/>
          <w:i/>
          <w:iCs/>
          <w:sz w:val="18"/>
          <w:szCs w:val="18"/>
        </w:rPr>
        <w:t>Wildlife Research</w:t>
      </w:r>
      <w:r>
        <w:rPr>
          <w:rFonts w:ascii="Segoe UI" w:eastAsiaTheme="minorHAnsi" w:hAnsi="Segoe UI" w:cs="Segoe UI"/>
          <w:sz w:val="18"/>
          <w:szCs w:val="18"/>
        </w:rPr>
        <w:t xml:space="preserve"> </w:t>
      </w:r>
      <w:r>
        <w:rPr>
          <w:rFonts w:ascii="Segoe UI" w:eastAsiaTheme="minorHAnsi" w:hAnsi="Segoe UI" w:cs="Segoe UI"/>
          <w:b/>
          <w:bCs/>
          <w:sz w:val="18"/>
          <w:szCs w:val="18"/>
        </w:rPr>
        <w:t>14</w:t>
      </w:r>
      <w:r>
        <w:rPr>
          <w:rFonts w:ascii="Segoe UI" w:eastAsiaTheme="minorHAnsi" w:hAnsi="Segoe UI" w:cs="Segoe UI"/>
          <w:sz w:val="18"/>
          <w:szCs w:val="18"/>
        </w:rPr>
        <w:t>, 219-23.</w:t>
      </w:r>
    </w:p>
    <w:p w14:paraId="4A74975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Crowther T. W., Todd-Brown K. E. O., Rowe C. W., Wieder W. R., Carey J. C., Machmuller M. B., Snoek B. L., Fang S., Zhou G., Allison S. D., Blair J. M., Bridgham S. D., Burton A. J., Carrillo Y., Reich P. B., Clark J. S., Classen A. T., Dijkstra F. A., Elberling B., Emmett B. A., Estiarte M., Frey S. D., Guo J., Harte J., Jiang L., Johnson B. R., Kröel-Dulay G., Larsen K. S., Laudon H., Lavallee J. M., Luo Y., Lupascu M., Ma L. N., Marhan S., Michelsen A., Mohan J., Niu S., Pendall E., Peñuelas J., Pfeifer-Meister L., Poll C., Reinsch S., Reynolds L. L., Schmidt I. K., Sistla S., Sokol N. W., Templer P. H., Treseder K. K., Welker J. M. &amp; Bradford M. A. (2016) Quantifying global soil carbon losses in response to warming. </w:t>
      </w:r>
      <w:r>
        <w:rPr>
          <w:rFonts w:ascii="Segoe UI" w:eastAsiaTheme="minorHAnsi" w:hAnsi="Segoe UI" w:cs="Segoe UI"/>
          <w:i/>
          <w:iCs/>
          <w:sz w:val="18"/>
          <w:szCs w:val="18"/>
        </w:rPr>
        <w:t>Nature</w:t>
      </w:r>
      <w:r>
        <w:rPr>
          <w:rFonts w:ascii="Segoe UI" w:eastAsiaTheme="minorHAnsi" w:hAnsi="Segoe UI" w:cs="Segoe UI"/>
          <w:sz w:val="18"/>
          <w:szCs w:val="18"/>
        </w:rPr>
        <w:t xml:space="preserve"> </w:t>
      </w:r>
      <w:r>
        <w:rPr>
          <w:rFonts w:ascii="Segoe UI" w:eastAsiaTheme="minorHAnsi" w:hAnsi="Segoe UI" w:cs="Segoe UI"/>
          <w:b/>
          <w:bCs/>
          <w:sz w:val="18"/>
          <w:szCs w:val="18"/>
        </w:rPr>
        <w:t>540</w:t>
      </w:r>
      <w:r>
        <w:rPr>
          <w:rFonts w:ascii="Segoe UI" w:eastAsiaTheme="minorHAnsi" w:hAnsi="Segoe UI" w:cs="Segoe UI"/>
          <w:sz w:val="18"/>
          <w:szCs w:val="18"/>
        </w:rPr>
        <w:t>, 104-8.</w:t>
      </w:r>
    </w:p>
    <w:p w14:paraId="75DEDFE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CSIRO. (2012) Climate and water availability in south-eastern Australia: A synthesis of findings from Phase 2 of the South Eastern Australian Climate Initiative (SEACI), CSIRO, Australia, September 2012, 41 pp.</w:t>
      </w:r>
    </w:p>
    <w:p w14:paraId="0241D34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CSIRO &amp; Bureau of Meteorology. (2015) Climate Change in Australia Information for Australia’s Natural Resource Management Regions: Technical Report, CSIRO and Bureau of Meteorology, Australia.</w:t>
      </w:r>
    </w:p>
    <w:p w14:paraId="3253239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CSIRO &amp; Bureau of Meteorology. (2016) State of the Climate 2016. CSIRO and Bureau of Meteorology, Australia.</w:t>
      </w:r>
    </w:p>
    <w:p w14:paraId="3A88EE5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Csurhes S. (2005) An assessment of the potential impact of Andropogon gayanus (gamba grass) on the economy, environment and people of Queensland., Brisbane.</w:t>
      </w:r>
    </w:p>
    <w:p w14:paraId="322C369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Csurhes S. &amp; Hanna-Jones M. (2016) Invasive plant risk assessment. Gamba grass (Andropogon gayanus). Department of Agriculture and Fisheries, Biosecurity Queensland. Queensland Government. .</w:t>
      </w:r>
    </w:p>
    <w:p w14:paraId="6537983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Cuff N. &amp; Brocklehurst P. (2015) Leaf and coarse fuel accumulation and relationships with vegetation attributes in ‘evergreen’ tropical eucalypt savannas. In: </w:t>
      </w:r>
      <w:r>
        <w:rPr>
          <w:rFonts w:ascii="Segoe UI" w:eastAsiaTheme="minorHAnsi" w:hAnsi="Segoe UI" w:cs="Segoe UI"/>
          <w:i/>
          <w:iCs/>
          <w:sz w:val="18"/>
          <w:szCs w:val="18"/>
        </w:rPr>
        <w:t>Carbon accounting and savanna fire management</w:t>
      </w:r>
      <w:r>
        <w:rPr>
          <w:rFonts w:ascii="Segoe UI" w:eastAsiaTheme="minorHAnsi" w:hAnsi="Segoe UI" w:cs="Segoe UI"/>
          <w:sz w:val="18"/>
          <w:szCs w:val="18"/>
        </w:rPr>
        <w:t xml:space="preserve"> (eds B. Murphy, A. Edwards, M. Meyer and J. Russell-Smith) pp. 169-81. CSIRO, Melbourne.</w:t>
      </w:r>
    </w:p>
    <w:p w14:paraId="20D79A3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Cullen B., Eckard R. &amp; Rawnsley R. (2012) Resistance of pasture production to projected climate changes in south-eastern Australia. </w:t>
      </w:r>
      <w:r>
        <w:rPr>
          <w:rFonts w:ascii="Segoe UI" w:eastAsiaTheme="minorHAnsi" w:hAnsi="Segoe UI" w:cs="Segoe UI"/>
          <w:i/>
          <w:iCs/>
          <w:sz w:val="18"/>
          <w:szCs w:val="18"/>
        </w:rPr>
        <w:t>Crop and Pasture Science</w:t>
      </w:r>
      <w:r>
        <w:rPr>
          <w:rFonts w:ascii="Segoe UI" w:eastAsiaTheme="minorHAnsi" w:hAnsi="Segoe UI" w:cs="Segoe UI"/>
          <w:sz w:val="18"/>
          <w:szCs w:val="18"/>
        </w:rPr>
        <w:t xml:space="preserve"> </w:t>
      </w:r>
      <w:r>
        <w:rPr>
          <w:rFonts w:ascii="Segoe UI" w:eastAsiaTheme="minorHAnsi" w:hAnsi="Segoe UI" w:cs="Segoe UI"/>
          <w:b/>
          <w:bCs/>
          <w:sz w:val="18"/>
          <w:szCs w:val="18"/>
        </w:rPr>
        <w:t>63</w:t>
      </w:r>
      <w:r>
        <w:rPr>
          <w:rFonts w:ascii="Segoe UI" w:eastAsiaTheme="minorHAnsi" w:hAnsi="Segoe UI" w:cs="Segoe UI"/>
          <w:sz w:val="18"/>
          <w:szCs w:val="18"/>
        </w:rPr>
        <w:t>, 77-86.</w:t>
      </w:r>
    </w:p>
    <w:p w14:paraId="0A445C8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Cunningham S. &amp; Read J. (2006) Foliar temperature tolerance of temperate and tropical evergreen rain forest trees of Australia. </w:t>
      </w:r>
      <w:r>
        <w:rPr>
          <w:rFonts w:ascii="Segoe UI" w:eastAsiaTheme="minorHAnsi" w:hAnsi="Segoe UI" w:cs="Segoe UI"/>
          <w:i/>
          <w:iCs/>
          <w:sz w:val="18"/>
          <w:szCs w:val="18"/>
        </w:rPr>
        <w:t>Tree Physiology</w:t>
      </w:r>
      <w:r>
        <w:rPr>
          <w:rFonts w:ascii="Segoe UI" w:eastAsiaTheme="minorHAnsi" w:hAnsi="Segoe UI" w:cs="Segoe UI"/>
          <w:sz w:val="18"/>
          <w:szCs w:val="18"/>
        </w:rPr>
        <w:t xml:space="preserve"> </w:t>
      </w:r>
      <w:r>
        <w:rPr>
          <w:rFonts w:ascii="Segoe UI" w:eastAsiaTheme="minorHAnsi" w:hAnsi="Segoe UI" w:cs="Segoe UI"/>
          <w:b/>
          <w:bCs/>
          <w:sz w:val="18"/>
          <w:szCs w:val="18"/>
        </w:rPr>
        <w:t>26</w:t>
      </w:r>
      <w:r>
        <w:rPr>
          <w:rFonts w:ascii="Segoe UI" w:eastAsiaTheme="minorHAnsi" w:hAnsi="Segoe UI" w:cs="Segoe UI"/>
          <w:sz w:val="18"/>
          <w:szCs w:val="18"/>
        </w:rPr>
        <w:t>, 1435-43.</w:t>
      </w:r>
    </w:p>
    <w:p w14:paraId="7B9F002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Curtis E., Knight C., Petrou K. &amp; Leigh A. (2014) A comparative analysis of photosynthetic recovery from thermal stress: A desert plant case study. </w:t>
      </w:r>
      <w:r>
        <w:rPr>
          <w:rFonts w:ascii="Segoe UI" w:eastAsiaTheme="minorHAnsi" w:hAnsi="Segoe UI" w:cs="Segoe UI"/>
          <w:i/>
          <w:iCs/>
          <w:sz w:val="18"/>
          <w:szCs w:val="18"/>
        </w:rPr>
        <w:t>Oecologia</w:t>
      </w:r>
      <w:r>
        <w:rPr>
          <w:rFonts w:ascii="Segoe UI" w:eastAsiaTheme="minorHAnsi" w:hAnsi="Segoe UI" w:cs="Segoe UI"/>
          <w:sz w:val="18"/>
          <w:szCs w:val="18"/>
        </w:rPr>
        <w:t xml:space="preserve"> </w:t>
      </w:r>
      <w:r>
        <w:rPr>
          <w:rFonts w:ascii="Segoe UI" w:eastAsiaTheme="minorHAnsi" w:hAnsi="Segoe UI" w:cs="Segoe UI"/>
          <w:b/>
          <w:bCs/>
          <w:sz w:val="18"/>
          <w:szCs w:val="18"/>
        </w:rPr>
        <w:t>175</w:t>
      </w:r>
      <w:r>
        <w:rPr>
          <w:rFonts w:ascii="Segoe UI" w:eastAsiaTheme="minorHAnsi" w:hAnsi="Segoe UI" w:cs="Segoe UI"/>
          <w:sz w:val="18"/>
          <w:szCs w:val="18"/>
        </w:rPr>
        <w:t>.</w:t>
      </w:r>
    </w:p>
    <w:p w14:paraId="1DD6F40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Curtis P. S. (1996) A meta-analysis of leaf gas exchange and nitrogen in trees grown under elevated carbon dioxide. </w:t>
      </w:r>
      <w:r>
        <w:rPr>
          <w:rFonts w:ascii="Segoe UI" w:eastAsiaTheme="minorHAnsi" w:hAnsi="Segoe UI" w:cs="Segoe UI"/>
          <w:i/>
          <w:iCs/>
          <w:sz w:val="18"/>
          <w:szCs w:val="18"/>
        </w:rPr>
        <w:t>Plant, Cell &amp; Environment</w:t>
      </w:r>
      <w:r>
        <w:rPr>
          <w:rFonts w:ascii="Segoe UI" w:eastAsiaTheme="minorHAnsi" w:hAnsi="Segoe UI" w:cs="Segoe UI"/>
          <w:sz w:val="18"/>
          <w:szCs w:val="18"/>
        </w:rPr>
        <w:t xml:space="preserve"> </w:t>
      </w:r>
      <w:r>
        <w:rPr>
          <w:rFonts w:ascii="Segoe UI" w:eastAsiaTheme="minorHAnsi" w:hAnsi="Segoe UI" w:cs="Segoe UI"/>
          <w:b/>
          <w:bCs/>
          <w:sz w:val="18"/>
          <w:szCs w:val="18"/>
        </w:rPr>
        <w:t>19</w:t>
      </w:r>
      <w:r>
        <w:rPr>
          <w:rFonts w:ascii="Segoe UI" w:eastAsiaTheme="minorHAnsi" w:hAnsi="Segoe UI" w:cs="Segoe UI"/>
          <w:sz w:val="18"/>
          <w:szCs w:val="18"/>
        </w:rPr>
        <w:t>, 127-37.</w:t>
      </w:r>
    </w:p>
    <w:p w14:paraId="5A5D5CA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Daryanto S., Eldridge D. J. &amp; Throop H. L. (2013) Managing semi-arid woodlands for carbon storage: Grazing and shrub effects on above- and belowground carbon. </w:t>
      </w:r>
      <w:r>
        <w:rPr>
          <w:rFonts w:ascii="Segoe UI" w:eastAsiaTheme="minorHAnsi" w:hAnsi="Segoe UI" w:cs="Segoe UI"/>
          <w:i/>
          <w:iCs/>
          <w:sz w:val="18"/>
          <w:szCs w:val="18"/>
        </w:rPr>
        <w:t>Agriculture, Ecosystems &amp; Environment</w:t>
      </w:r>
      <w:r>
        <w:rPr>
          <w:rFonts w:ascii="Segoe UI" w:eastAsiaTheme="minorHAnsi" w:hAnsi="Segoe UI" w:cs="Segoe UI"/>
          <w:sz w:val="18"/>
          <w:szCs w:val="18"/>
        </w:rPr>
        <w:t xml:space="preserve"> </w:t>
      </w:r>
      <w:r>
        <w:rPr>
          <w:rFonts w:ascii="Segoe UI" w:eastAsiaTheme="minorHAnsi" w:hAnsi="Segoe UI" w:cs="Segoe UI"/>
          <w:b/>
          <w:bCs/>
          <w:sz w:val="18"/>
          <w:szCs w:val="18"/>
        </w:rPr>
        <w:t>169</w:t>
      </w:r>
      <w:r>
        <w:rPr>
          <w:rFonts w:ascii="Segoe UI" w:eastAsiaTheme="minorHAnsi" w:hAnsi="Segoe UI" w:cs="Segoe UI"/>
          <w:sz w:val="18"/>
          <w:szCs w:val="18"/>
        </w:rPr>
        <w:t>, 1-11.</w:t>
      </w:r>
    </w:p>
    <w:p w14:paraId="4AB7786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Demenois J., Torquebiau E., Arnoult M. H., Eglin T., Masse D., Assouma M. H., Blanfort V., Chenu C., Chapuis-Lardy L., Medoc J.-M. &amp; Sall S. N. (2020) Barriers and Strategies to Boost Soil Carbon Sequestration in Agriculture. </w:t>
      </w:r>
      <w:r>
        <w:rPr>
          <w:rFonts w:ascii="Segoe UI" w:eastAsiaTheme="minorHAnsi" w:hAnsi="Segoe UI" w:cs="Segoe UI"/>
          <w:i/>
          <w:iCs/>
          <w:sz w:val="18"/>
          <w:szCs w:val="18"/>
        </w:rPr>
        <w:t>Frontiers in Sustainable Food Systems</w:t>
      </w:r>
      <w:r>
        <w:rPr>
          <w:rFonts w:ascii="Segoe UI" w:eastAsiaTheme="minorHAnsi" w:hAnsi="Segoe UI" w:cs="Segoe UI"/>
          <w:sz w:val="18"/>
          <w:szCs w:val="18"/>
        </w:rPr>
        <w:t xml:space="preserve"> </w:t>
      </w:r>
      <w:r>
        <w:rPr>
          <w:rFonts w:ascii="Segoe UI" w:eastAsiaTheme="minorHAnsi" w:hAnsi="Segoe UI" w:cs="Segoe UI"/>
          <w:b/>
          <w:bCs/>
          <w:sz w:val="18"/>
          <w:szCs w:val="18"/>
        </w:rPr>
        <w:t>4</w:t>
      </w:r>
      <w:r>
        <w:rPr>
          <w:rFonts w:ascii="Segoe UI" w:eastAsiaTheme="minorHAnsi" w:hAnsi="Segoe UI" w:cs="Segoe UI"/>
          <w:sz w:val="18"/>
          <w:szCs w:val="18"/>
        </w:rPr>
        <w:t>, 37.</w:t>
      </w:r>
    </w:p>
    <w:p w14:paraId="7B92370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Desprez-Loustau M.-L., Marcais B., Nageleisen L.-M., Piou D. &amp; Vannini A. (2006) Interactive effect of drought and pathogens in forest trees. </w:t>
      </w:r>
      <w:r>
        <w:rPr>
          <w:rFonts w:ascii="Segoe UI" w:eastAsiaTheme="minorHAnsi" w:hAnsi="Segoe UI" w:cs="Segoe UI"/>
          <w:i/>
          <w:iCs/>
          <w:sz w:val="18"/>
          <w:szCs w:val="18"/>
        </w:rPr>
        <w:t>http://dx.doi.org/10.1051/forest:2006040</w:t>
      </w:r>
      <w:r>
        <w:rPr>
          <w:rFonts w:ascii="Segoe UI" w:eastAsiaTheme="minorHAnsi" w:hAnsi="Segoe UI" w:cs="Segoe UI"/>
          <w:sz w:val="18"/>
          <w:szCs w:val="18"/>
        </w:rPr>
        <w:t xml:space="preserve"> </w:t>
      </w:r>
      <w:r>
        <w:rPr>
          <w:rFonts w:ascii="Segoe UI" w:eastAsiaTheme="minorHAnsi" w:hAnsi="Segoe UI" w:cs="Segoe UI"/>
          <w:b/>
          <w:bCs/>
          <w:sz w:val="18"/>
          <w:szCs w:val="18"/>
        </w:rPr>
        <w:t>63</w:t>
      </w:r>
      <w:r>
        <w:rPr>
          <w:rFonts w:ascii="Segoe UI" w:eastAsiaTheme="minorHAnsi" w:hAnsi="Segoe UI" w:cs="Segoe UI"/>
          <w:sz w:val="18"/>
          <w:szCs w:val="18"/>
        </w:rPr>
        <w:t>.</w:t>
      </w:r>
    </w:p>
    <w:p w14:paraId="3355987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Diaz S., Lavorel S., McIntyre S., Falczuk V., Casanoves F., Milchunas D., Skarpe C., Rusch G., Sternberg M., Noy-Meir I., Landsberg J., Zhang W. E. I., Clark H. &amp; Campbell B. (2006) Plant trait responses to grazing - A global synthesis.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13</w:t>
      </w:r>
      <w:r>
        <w:rPr>
          <w:rFonts w:ascii="Segoe UI" w:eastAsiaTheme="minorHAnsi" w:hAnsi="Segoe UI" w:cs="Segoe UI"/>
          <w:sz w:val="18"/>
          <w:szCs w:val="18"/>
        </w:rPr>
        <w:t>, 313-41.</w:t>
      </w:r>
    </w:p>
    <w:p w14:paraId="75C75C4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Don A., Schumacher J., Scherer-Lorenzen M., Scholten T. &amp; Schulze E.-D. (2007) Spatial and vertical variation of soil carbon at two grassland sites — Implications for measuring soil carbon stocks. </w:t>
      </w:r>
      <w:r>
        <w:rPr>
          <w:rFonts w:ascii="Segoe UI" w:eastAsiaTheme="minorHAnsi" w:hAnsi="Segoe UI" w:cs="Segoe UI"/>
          <w:i/>
          <w:iCs/>
          <w:sz w:val="18"/>
          <w:szCs w:val="18"/>
        </w:rPr>
        <w:t>Geoderma</w:t>
      </w:r>
      <w:r>
        <w:rPr>
          <w:rFonts w:ascii="Segoe UI" w:eastAsiaTheme="minorHAnsi" w:hAnsi="Segoe UI" w:cs="Segoe UI"/>
          <w:sz w:val="18"/>
          <w:szCs w:val="18"/>
        </w:rPr>
        <w:t xml:space="preserve"> </w:t>
      </w:r>
      <w:r>
        <w:rPr>
          <w:rFonts w:ascii="Segoe UI" w:eastAsiaTheme="minorHAnsi" w:hAnsi="Segoe UI" w:cs="Segoe UI"/>
          <w:b/>
          <w:bCs/>
          <w:sz w:val="18"/>
          <w:szCs w:val="18"/>
        </w:rPr>
        <w:t>141</w:t>
      </w:r>
      <w:r>
        <w:rPr>
          <w:rFonts w:ascii="Segoe UI" w:eastAsiaTheme="minorHAnsi" w:hAnsi="Segoe UI" w:cs="Segoe UI"/>
          <w:sz w:val="18"/>
          <w:szCs w:val="18"/>
        </w:rPr>
        <w:t>, 272-82.</w:t>
      </w:r>
    </w:p>
    <w:p w14:paraId="7C2B24F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Donohue R., Roderick M., McVicar T. &amp; Farquhar G. (2013) Impact of CO2 fertilization on maximum foliage cover across the globe’s warm, arid environment. </w:t>
      </w:r>
      <w:r>
        <w:rPr>
          <w:rFonts w:ascii="Segoe UI" w:eastAsiaTheme="minorHAnsi" w:hAnsi="Segoe UI" w:cs="Segoe UI"/>
          <w:i/>
          <w:iCs/>
          <w:sz w:val="18"/>
          <w:szCs w:val="18"/>
        </w:rPr>
        <w:t>Geophysical Research Letters</w:t>
      </w:r>
      <w:r>
        <w:rPr>
          <w:rFonts w:ascii="Segoe UI" w:eastAsiaTheme="minorHAnsi" w:hAnsi="Segoe UI" w:cs="Segoe UI"/>
          <w:sz w:val="18"/>
          <w:szCs w:val="18"/>
        </w:rPr>
        <w:t xml:space="preserve"> </w:t>
      </w:r>
      <w:r>
        <w:rPr>
          <w:rFonts w:ascii="Segoe UI" w:eastAsiaTheme="minorHAnsi" w:hAnsi="Segoe UI" w:cs="Segoe UI"/>
          <w:b/>
          <w:bCs/>
          <w:sz w:val="18"/>
          <w:szCs w:val="18"/>
        </w:rPr>
        <w:t>40</w:t>
      </w:r>
      <w:r>
        <w:rPr>
          <w:rFonts w:ascii="Segoe UI" w:eastAsiaTheme="minorHAnsi" w:hAnsi="Segoe UI" w:cs="Segoe UI"/>
          <w:sz w:val="18"/>
          <w:szCs w:val="18"/>
        </w:rPr>
        <w:t>.</w:t>
      </w:r>
    </w:p>
    <w:p w14:paraId="1E35312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Dowdy A. (2020) Climatology of thunderstorms, convective rainfall and dry lightning environments in Australia. </w:t>
      </w:r>
      <w:r>
        <w:rPr>
          <w:rFonts w:ascii="Segoe UI" w:eastAsiaTheme="minorHAnsi" w:hAnsi="Segoe UI" w:cs="Segoe UI"/>
          <w:i/>
          <w:iCs/>
          <w:sz w:val="18"/>
          <w:szCs w:val="18"/>
        </w:rPr>
        <w:t>Climate Dynamics</w:t>
      </w:r>
      <w:r>
        <w:rPr>
          <w:rFonts w:ascii="Segoe UI" w:eastAsiaTheme="minorHAnsi" w:hAnsi="Segoe UI" w:cs="Segoe UI"/>
          <w:sz w:val="18"/>
          <w:szCs w:val="18"/>
        </w:rPr>
        <w:t xml:space="preserve"> </w:t>
      </w:r>
      <w:r>
        <w:rPr>
          <w:rFonts w:ascii="Segoe UI" w:eastAsiaTheme="minorHAnsi" w:hAnsi="Segoe UI" w:cs="Segoe UI"/>
          <w:b/>
          <w:bCs/>
          <w:sz w:val="18"/>
          <w:szCs w:val="18"/>
        </w:rPr>
        <w:t>54</w:t>
      </w:r>
      <w:r>
        <w:rPr>
          <w:rFonts w:ascii="Segoe UI" w:eastAsiaTheme="minorHAnsi" w:hAnsi="Segoe UI" w:cs="Segoe UI"/>
          <w:sz w:val="18"/>
          <w:szCs w:val="18"/>
        </w:rPr>
        <w:t>.</w:t>
      </w:r>
    </w:p>
    <w:p w14:paraId="79AB8BE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Downes G., Hudson I., Raymond C., Dean G., Michell A., Schimleck L., Evans R. &amp; Muneri A. (1997) </w:t>
      </w:r>
      <w:r>
        <w:rPr>
          <w:rFonts w:ascii="Segoe UI" w:eastAsiaTheme="minorHAnsi" w:hAnsi="Segoe UI" w:cs="Segoe UI"/>
          <w:i/>
          <w:iCs/>
          <w:sz w:val="18"/>
          <w:szCs w:val="18"/>
        </w:rPr>
        <w:t>Sampling plantation eucalypts for wood and fibre properties</w:t>
      </w:r>
      <w:r>
        <w:rPr>
          <w:rFonts w:ascii="Segoe UI" w:eastAsiaTheme="minorHAnsi" w:hAnsi="Segoe UI" w:cs="Segoe UI"/>
          <w:sz w:val="18"/>
          <w:szCs w:val="18"/>
        </w:rPr>
        <w:t>.</w:t>
      </w:r>
    </w:p>
    <w:p w14:paraId="4522AB2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Drew D., Downes G., O’Grady A., Read J. &amp; Worledge D. (2009) High resolution temporal variation in wood properties in irrigated and nonirrigated Eucalyptus globulus. </w:t>
      </w:r>
      <w:r>
        <w:rPr>
          <w:rFonts w:ascii="Segoe UI" w:eastAsiaTheme="minorHAnsi" w:hAnsi="Segoe UI" w:cs="Segoe UI"/>
          <w:i/>
          <w:iCs/>
          <w:sz w:val="18"/>
          <w:szCs w:val="18"/>
        </w:rPr>
        <w:t>Annals of Forest Science - ANN FOR SCI</w:t>
      </w:r>
      <w:r>
        <w:rPr>
          <w:rFonts w:ascii="Segoe UI" w:eastAsiaTheme="minorHAnsi" w:hAnsi="Segoe UI" w:cs="Segoe UI"/>
          <w:sz w:val="18"/>
          <w:szCs w:val="18"/>
        </w:rPr>
        <w:t xml:space="preserve"> </w:t>
      </w:r>
      <w:r>
        <w:rPr>
          <w:rFonts w:ascii="Segoe UI" w:eastAsiaTheme="minorHAnsi" w:hAnsi="Segoe UI" w:cs="Segoe UI"/>
          <w:b/>
          <w:bCs/>
          <w:sz w:val="18"/>
          <w:szCs w:val="18"/>
        </w:rPr>
        <w:t>66</w:t>
      </w:r>
      <w:r>
        <w:rPr>
          <w:rFonts w:ascii="Segoe UI" w:eastAsiaTheme="minorHAnsi" w:hAnsi="Segoe UI" w:cs="Segoe UI"/>
          <w:sz w:val="18"/>
          <w:szCs w:val="18"/>
        </w:rPr>
        <w:t>, 406-.</w:t>
      </w:r>
    </w:p>
    <w:p w14:paraId="5E0CE4C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Duke N., Kovacs J., Griffiths A., Preece L., Hill D., Van Oosterzee P., Mackenzie J., Morning H. &amp; Burrows D. (2017) Large-scale dieback of mangroves in Australia. </w:t>
      </w:r>
      <w:r>
        <w:rPr>
          <w:rFonts w:ascii="Segoe UI" w:eastAsiaTheme="minorHAnsi" w:hAnsi="Segoe UI" w:cs="Segoe UI"/>
          <w:i/>
          <w:iCs/>
          <w:sz w:val="18"/>
          <w:szCs w:val="18"/>
        </w:rPr>
        <w:t>Marine and Freshwater Research</w:t>
      </w:r>
      <w:r>
        <w:rPr>
          <w:rFonts w:ascii="Segoe UI" w:eastAsiaTheme="minorHAnsi" w:hAnsi="Segoe UI" w:cs="Segoe UI"/>
          <w:sz w:val="18"/>
          <w:szCs w:val="18"/>
        </w:rPr>
        <w:t xml:space="preserve"> </w:t>
      </w:r>
      <w:r>
        <w:rPr>
          <w:rFonts w:ascii="Segoe UI" w:eastAsiaTheme="minorHAnsi" w:hAnsi="Segoe UI" w:cs="Segoe UI"/>
          <w:b/>
          <w:bCs/>
          <w:sz w:val="18"/>
          <w:szCs w:val="18"/>
        </w:rPr>
        <w:t>68</w:t>
      </w:r>
      <w:r>
        <w:rPr>
          <w:rFonts w:ascii="Segoe UI" w:eastAsiaTheme="minorHAnsi" w:hAnsi="Segoe UI" w:cs="Segoe UI"/>
          <w:sz w:val="18"/>
          <w:szCs w:val="18"/>
        </w:rPr>
        <w:t>, 1816-29.</w:t>
      </w:r>
    </w:p>
    <w:p w14:paraId="2FB1E94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Duncan D., Dorrough J., White M. &amp; Moxham C. (2008) Blowing in the wind? Nutrient enrichment of remnant woodlands in an agricultural landscape. </w:t>
      </w:r>
      <w:r>
        <w:rPr>
          <w:rFonts w:ascii="Segoe UI" w:eastAsiaTheme="minorHAnsi" w:hAnsi="Segoe UI" w:cs="Segoe UI"/>
          <w:i/>
          <w:iCs/>
          <w:sz w:val="18"/>
          <w:szCs w:val="18"/>
        </w:rPr>
        <w:t>Landscape Ecology</w:t>
      </w:r>
      <w:r>
        <w:rPr>
          <w:rFonts w:ascii="Segoe UI" w:eastAsiaTheme="minorHAnsi" w:hAnsi="Segoe UI" w:cs="Segoe UI"/>
          <w:sz w:val="18"/>
          <w:szCs w:val="18"/>
        </w:rPr>
        <w:t xml:space="preserve"> </w:t>
      </w:r>
      <w:r>
        <w:rPr>
          <w:rFonts w:ascii="Segoe UI" w:eastAsiaTheme="minorHAnsi" w:hAnsi="Segoe UI" w:cs="Segoe UI"/>
          <w:b/>
          <w:bCs/>
          <w:sz w:val="18"/>
          <w:szCs w:val="18"/>
        </w:rPr>
        <w:t>23</w:t>
      </w:r>
      <w:r>
        <w:rPr>
          <w:rFonts w:ascii="Segoe UI" w:eastAsiaTheme="minorHAnsi" w:hAnsi="Segoe UI" w:cs="Segoe UI"/>
          <w:sz w:val="18"/>
          <w:szCs w:val="18"/>
        </w:rPr>
        <w:t>, 107-19.</w:t>
      </w:r>
    </w:p>
    <w:p w14:paraId="574E549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Dutkowski G. W. (1995) Genetic variation in drought susceptibility of Eucalyptus globulus ssp. globulus in plantations in Western Australia. In: </w:t>
      </w:r>
      <w:r>
        <w:rPr>
          <w:rFonts w:ascii="Segoe UI" w:eastAsiaTheme="minorHAnsi" w:hAnsi="Segoe UI" w:cs="Segoe UI"/>
          <w:i/>
          <w:iCs/>
          <w:sz w:val="18"/>
          <w:szCs w:val="18"/>
        </w:rPr>
        <w:t>Eucalypt plantations: improving fibre yield and quality</w:t>
      </w:r>
      <w:r>
        <w:rPr>
          <w:rFonts w:ascii="Segoe UI" w:eastAsiaTheme="minorHAnsi" w:hAnsi="Segoe UI" w:cs="Segoe UI"/>
          <w:sz w:val="18"/>
          <w:szCs w:val="18"/>
        </w:rPr>
        <w:t xml:space="preserve"> (eds B. M. Potts, N. M. G. Borralho, J. B. Reid, W. N. Tibbits and C. A. Raymond). CRC for Temperate Hardwood Forestry, Hobart, Australia.</w:t>
      </w:r>
    </w:p>
    <w:p w14:paraId="730F962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Eady S., Grundy M., Battaglia M. &amp; Keating B. (2009) An analysis of greenhouse gas mitigation and carbon biosequestration opportunities from rural land use. CSIRO, St Lucia, QLD.</w:t>
      </w:r>
    </w:p>
    <w:p w14:paraId="3800D8B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Eamus D. &amp; Jarvis P. G. (2004) The Direct Effects of Increase in the Global Atmospheric CO2 Concentration on Natural and Commercial Temperate Trees and Forests. </w:t>
      </w:r>
      <w:r>
        <w:rPr>
          <w:rFonts w:ascii="Segoe UI" w:eastAsiaTheme="minorHAnsi" w:hAnsi="Segoe UI" w:cs="Segoe UI"/>
          <w:i/>
          <w:iCs/>
          <w:sz w:val="18"/>
          <w:szCs w:val="18"/>
        </w:rPr>
        <w:t>Advances in Ecological Research</w:t>
      </w:r>
      <w:r>
        <w:rPr>
          <w:rFonts w:ascii="Segoe UI" w:eastAsiaTheme="minorHAnsi" w:hAnsi="Segoe UI" w:cs="Segoe UI"/>
          <w:sz w:val="18"/>
          <w:szCs w:val="18"/>
        </w:rPr>
        <w:t xml:space="preserve"> </w:t>
      </w:r>
      <w:r>
        <w:rPr>
          <w:rFonts w:ascii="Segoe UI" w:eastAsiaTheme="minorHAnsi" w:hAnsi="Segoe UI" w:cs="Segoe UI"/>
          <w:b/>
          <w:bCs/>
          <w:sz w:val="18"/>
          <w:szCs w:val="18"/>
        </w:rPr>
        <w:t>19</w:t>
      </w:r>
      <w:r>
        <w:rPr>
          <w:rFonts w:ascii="Segoe UI" w:eastAsiaTheme="minorHAnsi" w:hAnsi="Segoe UI" w:cs="Segoe UI"/>
          <w:sz w:val="18"/>
          <w:szCs w:val="18"/>
        </w:rPr>
        <w:t>, 1-55.</w:t>
      </w:r>
    </w:p>
    <w:p w14:paraId="1387EB3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Eamus D. &amp; Palmer A. (2008) Is Climate Change a Possible Explanation for Woody Thickening in Arid and Semi-Arid Regions? </w:t>
      </w:r>
      <w:r>
        <w:rPr>
          <w:rFonts w:ascii="Segoe UI" w:eastAsiaTheme="minorHAnsi" w:hAnsi="Segoe UI" w:cs="Segoe UI"/>
          <w:i/>
          <w:iCs/>
          <w:sz w:val="18"/>
          <w:szCs w:val="18"/>
        </w:rPr>
        <w:t>Research Letters in Ecology</w:t>
      </w:r>
      <w:r>
        <w:rPr>
          <w:rFonts w:ascii="Segoe UI" w:eastAsiaTheme="minorHAnsi" w:hAnsi="Segoe UI" w:cs="Segoe UI"/>
          <w:sz w:val="18"/>
          <w:szCs w:val="18"/>
        </w:rPr>
        <w:t xml:space="preserve"> </w:t>
      </w:r>
      <w:r>
        <w:rPr>
          <w:rFonts w:ascii="Segoe UI" w:eastAsiaTheme="minorHAnsi" w:hAnsi="Segoe UI" w:cs="Segoe UI"/>
          <w:b/>
          <w:bCs/>
          <w:sz w:val="18"/>
          <w:szCs w:val="18"/>
        </w:rPr>
        <w:t>2007</w:t>
      </w:r>
      <w:r>
        <w:rPr>
          <w:rFonts w:ascii="Segoe UI" w:eastAsiaTheme="minorHAnsi" w:hAnsi="Segoe UI" w:cs="Segoe UI"/>
          <w:sz w:val="18"/>
          <w:szCs w:val="18"/>
        </w:rPr>
        <w:t>.</w:t>
      </w:r>
    </w:p>
    <w:p w14:paraId="60581A1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Eldridge D., Val J. &amp; James A. (2010) Abiotic effects predominate under prolonged livestock‐induced disturbance. </w:t>
      </w:r>
      <w:r>
        <w:rPr>
          <w:rFonts w:ascii="Segoe UI" w:eastAsiaTheme="minorHAnsi" w:hAnsi="Segoe UI" w:cs="Segoe UI"/>
          <w:i/>
          <w:iCs/>
          <w:sz w:val="18"/>
          <w:szCs w:val="18"/>
        </w:rPr>
        <w:t>Austral Ecology</w:t>
      </w:r>
      <w:r>
        <w:rPr>
          <w:rFonts w:ascii="Segoe UI" w:eastAsiaTheme="minorHAnsi" w:hAnsi="Segoe UI" w:cs="Segoe UI"/>
          <w:sz w:val="18"/>
          <w:szCs w:val="18"/>
        </w:rPr>
        <w:t xml:space="preserve"> </w:t>
      </w:r>
      <w:r>
        <w:rPr>
          <w:rFonts w:ascii="Segoe UI" w:eastAsiaTheme="minorHAnsi" w:hAnsi="Segoe UI" w:cs="Segoe UI"/>
          <w:b/>
          <w:bCs/>
          <w:sz w:val="18"/>
          <w:szCs w:val="18"/>
        </w:rPr>
        <w:t>36</w:t>
      </w:r>
      <w:r>
        <w:rPr>
          <w:rFonts w:ascii="Segoe UI" w:eastAsiaTheme="minorHAnsi" w:hAnsi="Segoe UI" w:cs="Segoe UI"/>
          <w:sz w:val="18"/>
          <w:szCs w:val="18"/>
        </w:rPr>
        <w:t>, 367-77.</w:t>
      </w:r>
    </w:p>
    <w:p w14:paraId="2EEDAE2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England J., Franks E., Weston C. &amp; Polglase P. (2013) Early growth of environmental plantings in relation to site and management factors. </w:t>
      </w:r>
      <w:r>
        <w:rPr>
          <w:rFonts w:ascii="Segoe UI" w:eastAsiaTheme="minorHAnsi" w:hAnsi="Segoe UI" w:cs="Segoe UI"/>
          <w:i/>
          <w:iCs/>
          <w:sz w:val="18"/>
          <w:szCs w:val="18"/>
        </w:rPr>
        <w:t>Ecological Management &amp; Restoration</w:t>
      </w:r>
      <w:r>
        <w:rPr>
          <w:rFonts w:ascii="Segoe UI" w:eastAsiaTheme="minorHAnsi" w:hAnsi="Segoe UI" w:cs="Segoe UI"/>
          <w:sz w:val="18"/>
          <w:szCs w:val="18"/>
        </w:rPr>
        <w:t xml:space="preserve"> </w:t>
      </w:r>
      <w:r>
        <w:rPr>
          <w:rFonts w:ascii="Segoe UI" w:eastAsiaTheme="minorHAnsi" w:hAnsi="Segoe UI" w:cs="Segoe UI"/>
          <w:b/>
          <w:bCs/>
          <w:sz w:val="18"/>
          <w:szCs w:val="18"/>
        </w:rPr>
        <w:t>14</w:t>
      </w:r>
      <w:r>
        <w:rPr>
          <w:rFonts w:ascii="Segoe UI" w:eastAsiaTheme="minorHAnsi" w:hAnsi="Segoe UI" w:cs="Segoe UI"/>
          <w:sz w:val="18"/>
          <w:szCs w:val="18"/>
        </w:rPr>
        <w:t>.</w:t>
      </w:r>
    </w:p>
    <w:p w14:paraId="6F3F318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England J. R., Paul K. I., Cunningham S. C., Madhavan D. B., Baker T. G., Read Z., Wilson B. R., Cavagnaro T. R., Lewis T., Perring M. P., Herrmann T. &amp; Polglase P. J. (2016) Previous land use and climate influence differences in soil organic carbon following reforestation of agricultural land with mixed-species plantings. </w:t>
      </w:r>
      <w:r>
        <w:rPr>
          <w:rFonts w:ascii="Segoe UI" w:eastAsiaTheme="minorHAnsi" w:hAnsi="Segoe UI" w:cs="Segoe UI"/>
          <w:i/>
          <w:iCs/>
          <w:sz w:val="18"/>
          <w:szCs w:val="18"/>
        </w:rPr>
        <w:t>Agriculture, Ecosystems &amp; Environment</w:t>
      </w:r>
      <w:r>
        <w:rPr>
          <w:rFonts w:ascii="Segoe UI" w:eastAsiaTheme="minorHAnsi" w:hAnsi="Segoe UI" w:cs="Segoe UI"/>
          <w:sz w:val="18"/>
          <w:szCs w:val="18"/>
        </w:rPr>
        <w:t xml:space="preserve"> </w:t>
      </w:r>
      <w:r>
        <w:rPr>
          <w:rFonts w:ascii="Segoe UI" w:eastAsiaTheme="minorHAnsi" w:hAnsi="Segoe UI" w:cs="Segoe UI"/>
          <w:b/>
          <w:bCs/>
          <w:sz w:val="18"/>
          <w:szCs w:val="18"/>
        </w:rPr>
        <w:t>227</w:t>
      </w:r>
      <w:r>
        <w:rPr>
          <w:rFonts w:ascii="Segoe UI" w:eastAsiaTheme="minorHAnsi" w:hAnsi="Segoe UI" w:cs="Segoe UI"/>
          <w:sz w:val="18"/>
          <w:szCs w:val="18"/>
        </w:rPr>
        <w:t>, 61-72.</w:t>
      </w:r>
    </w:p>
    <w:p w14:paraId="665B478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ERAC. (2019) Review of the Human-Induced Regeneration and Native Forest from Managed Regrowth methods. Final Report. Emissions Reduction Assurance Committee. Canberra.</w:t>
      </w:r>
    </w:p>
    <w:p w14:paraId="56D3F74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Eyre T. J., Wang J., Venz M. F., Chilcott C. &amp; Whish G. (2009) Buffel grass in Queenslands semi-arid woodlands: response to local and landscape scale variables, and relationship with grass, forb and reptile species. </w:t>
      </w:r>
      <w:r>
        <w:rPr>
          <w:rFonts w:ascii="Segoe UI" w:eastAsiaTheme="minorHAnsi" w:hAnsi="Segoe UI" w:cs="Segoe UI"/>
          <w:i/>
          <w:iCs/>
          <w:sz w:val="18"/>
          <w:szCs w:val="18"/>
        </w:rPr>
        <w:t>The Rangeland Journal</w:t>
      </w:r>
      <w:r>
        <w:rPr>
          <w:rFonts w:ascii="Segoe UI" w:eastAsiaTheme="minorHAnsi" w:hAnsi="Segoe UI" w:cs="Segoe UI"/>
          <w:sz w:val="18"/>
          <w:szCs w:val="18"/>
        </w:rPr>
        <w:t xml:space="preserve"> </w:t>
      </w:r>
      <w:r>
        <w:rPr>
          <w:rFonts w:ascii="Segoe UI" w:eastAsiaTheme="minorHAnsi" w:hAnsi="Segoe UI" w:cs="Segoe UI"/>
          <w:b/>
          <w:bCs/>
          <w:sz w:val="18"/>
          <w:szCs w:val="18"/>
        </w:rPr>
        <w:t>31</w:t>
      </w:r>
      <w:r>
        <w:rPr>
          <w:rFonts w:ascii="Segoe UI" w:eastAsiaTheme="minorHAnsi" w:hAnsi="Segoe UI" w:cs="Segoe UI"/>
          <w:sz w:val="18"/>
          <w:szCs w:val="18"/>
        </w:rPr>
        <w:t>, 293-305.</w:t>
      </w:r>
    </w:p>
    <w:p w14:paraId="1CC18A6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Fahad S., Bajwa A. A., Nazir U., Anjum S. A., Farooq A., Zohaib A., Sadia S., Nasim W., Adkins S., Saud S., Ihsan M. Z., Alharby H., Wu C., Wang D. &amp; Huang J. (2017) Crop Production under Drought and Heat Stress: Plant Responses and Management Options. </w:t>
      </w:r>
      <w:r>
        <w:rPr>
          <w:rFonts w:ascii="Segoe UI" w:eastAsiaTheme="minorHAnsi" w:hAnsi="Segoe UI" w:cs="Segoe UI"/>
          <w:i/>
          <w:iCs/>
          <w:sz w:val="18"/>
          <w:szCs w:val="18"/>
        </w:rPr>
        <w:t>Frontiers in Plant Science</w:t>
      </w:r>
      <w:r>
        <w:rPr>
          <w:rFonts w:ascii="Segoe UI" w:eastAsiaTheme="minorHAnsi" w:hAnsi="Segoe UI" w:cs="Segoe UI"/>
          <w:sz w:val="18"/>
          <w:szCs w:val="18"/>
        </w:rPr>
        <w:t xml:space="preserve"> </w:t>
      </w:r>
      <w:r>
        <w:rPr>
          <w:rFonts w:ascii="Segoe UI" w:eastAsiaTheme="minorHAnsi" w:hAnsi="Segoe UI" w:cs="Segoe UI"/>
          <w:b/>
          <w:bCs/>
          <w:sz w:val="18"/>
          <w:szCs w:val="18"/>
        </w:rPr>
        <w:t>8</w:t>
      </w:r>
      <w:r>
        <w:rPr>
          <w:rFonts w:ascii="Segoe UI" w:eastAsiaTheme="minorHAnsi" w:hAnsi="Segoe UI" w:cs="Segoe UI"/>
          <w:sz w:val="18"/>
          <w:szCs w:val="18"/>
        </w:rPr>
        <w:t>, 1147.</w:t>
      </w:r>
    </w:p>
    <w:p w14:paraId="47E83D3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Farquhar G. D. (1997) Carbon Dioxide and Vegetation. </w:t>
      </w:r>
      <w:r>
        <w:rPr>
          <w:rFonts w:ascii="Segoe UI" w:eastAsiaTheme="minorHAnsi" w:hAnsi="Segoe UI" w:cs="Segoe UI"/>
          <w:i/>
          <w:iCs/>
          <w:sz w:val="18"/>
          <w:szCs w:val="18"/>
        </w:rPr>
        <w:t>Science</w:t>
      </w:r>
      <w:r>
        <w:rPr>
          <w:rFonts w:ascii="Segoe UI" w:eastAsiaTheme="minorHAnsi" w:hAnsi="Segoe UI" w:cs="Segoe UI"/>
          <w:sz w:val="18"/>
          <w:szCs w:val="18"/>
        </w:rPr>
        <w:t xml:space="preserve"> </w:t>
      </w:r>
      <w:r>
        <w:rPr>
          <w:rFonts w:ascii="Segoe UI" w:eastAsiaTheme="minorHAnsi" w:hAnsi="Segoe UI" w:cs="Segoe UI"/>
          <w:b/>
          <w:bCs/>
          <w:sz w:val="18"/>
          <w:szCs w:val="18"/>
        </w:rPr>
        <w:t>278</w:t>
      </w:r>
      <w:r>
        <w:rPr>
          <w:rFonts w:ascii="Segoe UI" w:eastAsiaTheme="minorHAnsi" w:hAnsi="Segoe UI" w:cs="Segoe UI"/>
          <w:sz w:val="18"/>
          <w:szCs w:val="18"/>
        </w:rPr>
        <w:t>, 1411.</w:t>
      </w:r>
    </w:p>
    <w:p w14:paraId="3380EA4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Fensham R. (2007) Leichhardt's maps: 100 Years of change in vegetation structure in inland Queensland. </w:t>
      </w:r>
      <w:r>
        <w:rPr>
          <w:rFonts w:ascii="Segoe UI" w:eastAsiaTheme="minorHAnsi" w:hAnsi="Segoe UI" w:cs="Segoe UI"/>
          <w:i/>
          <w:iCs/>
          <w:sz w:val="18"/>
          <w:szCs w:val="18"/>
        </w:rPr>
        <w:t>Journal of Biogeography</w:t>
      </w:r>
      <w:r>
        <w:rPr>
          <w:rFonts w:ascii="Segoe UI" w:eastAsiaTheme="minorHAnsi" w:hAnsi="Segoe UI" w:cs="Segoe UI"/>
          <w:sz w:val="18"/>
          <w:szCs w:val="18"/>
        </w:rPr>
        <w:t xml:space="preserve"> </w:t>
      </w:r>
      <w:r>
        <w:rPr>
          <w:rFonts w:ascii="Segoe UI" w:eastAsiaTheme="minorHAnsi" w:hAnsi="Segoe UI" w:cs="Segoe UI"/>
          <w:b/>
          <w:bCs/>
          <w:sz w:val="18"/>
          <w:szCs w:val="18"/>
        </w:rPr>
        <w:t>0</w:t>
      </w:r>
      <w:r>
        <w:rPr>
          <w:rFonts w:ascii="Segoe UI" w:eastAsiaTheme="minorHAnsi" w:hAnsi="Segoe UI" w:cs="Segoe UI"/>
          <w:sz w:val="18"/>
          <w:szCs w:val="18"/>
        </w:rPr>
        <w:t>.</w:t>
      </w:r>
    </w:p>
    <w:p w14:paraId="73A87F5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Fensham R. &amp; Fairfax R. (2007) Effect of photoscale, interpreter bias and land type on woody crown-cover estimates from aerial photography. </w:t>
      </w:r>
      <w:r>
        <w:rPr>
          <w:rFonts w:ascii="Segoe UI" w:eastAsiaTheme="minorHAnsi" w:hAnsi="Segoe UI" w:cs="Segoe UI"/>
          <w:i/>
          <w:iCs/>
          <w:sz w:val="18"/>
          <w:szCs w:val="18"/>
        </w:rPr>
        <w:t>Aust. J. Bot.</w:t>
      </w:r>
      <w:r>
        <w:rPr>
          <w:rFonts w:ascii="Segoe UI" w:eastAsiaTheme="minorHAnsi" w:hAnsi="Segoe UI" w:cs="Segoe UI"/>
          <w:sz w:val="18"/>
          <w:szCs w:val="18"/>
        </w:rPr>
        <w:t xml:space="preserve"> </w:t>
      </w:r>
      <w:r>
        <w:rPr>
          <w:rFonts w:ascii="Segoe UI" w:eastAsiaTheme="minorHAnsi" w:hAnsi="Segoe UI" w:cs="Segoe UI"/>
          <w:b/>
          <w:bCs/>
          <w:sz w:val="18"/>
          <w:szCs w:val="18"/>
        </w:rPr>
        <w:t>55</w:t>
      </w:r>
      <w:r>
        <w:rPr>
          <w:rFonts w:ascii="Segoe UI" w:eastAsiaTheme="minorHAnsi" w:hAnsi="Segoe UI" w:cs="Segoe UI"/>
          <w:sz w:val="18"/>
          <w:szCs w:val="18"/>
        </w:rPr>
        <w:t>.</w:t>
      </w:r>
    </w:p>
    <w:p w14:paraId="2229BC0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Fensham R., Fairfax R. &amp; Ward D. (2008) Drought-induced tree death in Savanna.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15</w:t>
      </w:r>
      <w:r>
        <w:rPr>
          <w:rFonts w:ascii="Segoe UI" w:eastAsiaTheme="minorHAnsi" w:hAnsi="Segoe UI" w:cs="Segoe UI"/>
          <w:sz w:val="18"/>
          <w:szCs w:val="18"/>
        </w:rPr>
        <w:t>, 380-7.</w:t>
      </w:r>
    </w:p>
    <w:p w14:paraId="361FB5A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Fensham R. J., Fairfax R. J. &amp; Archer S. R. (2005) Rainfall, land use and woody vegetation cover change in semi-arid Australian savanna. </w:t>
      </w:r>
      <w:r>
        <w:rPr>
          <w:rFonts w:ascii="Segoe UI" w:eastAsiaTheme="minorHAnsi" w:hAnsi="Segoe UI" w:cs="Segoe UI"/>
          <w:i/>
          <w:iCs/>
          <w:sz w:val="18"/>
          <w:szCs w:val="18"/>
        </w:rPr>
        <w:t>Journal of Ecology</w:t>
      </w:r>
      <w:r>
        <w:rPr>
          <w:rFonts w:ascii="Segoe UI" w:eastAsiaTheme="minorHAnsi" w:hAnsi="Segoe UI" w:cs="Segoe UI"/>
          <w:sz w:val="18"/>
          <w:szCs w:val="18"/>
        </w:rPr>
        <w:t xml:space="preserve"> </w:t>
      </w:r>
      <w:r>
        <w:rPr>
          <w:rFonts w:ascii="Segoe UI" w:eastAsiaTheme="minorHAnsi" w:hAnsi="Segoe UI" w:cs="Segoe UI"/>
          <w:b/>
          <w:bCs/>
          <w:sz w:val="18"/>
          <w:szCs w:val="18"/>
        </w:rPr>
        <w:t>93</w:t>
      </w:r>
      <w:r>
        <w:rPr>
          <w:rFonts w:ascii="Segoe UI" w:eastAsiaTheme="minorHAnsi" w:hAnsi="Segoe UI" w:cs="Segoe UI"/>
          <w:sz w:val="18"/>
          <w:szCs w:val="18"/>
        </w:rPr>
        <w:t>, 596-606.</w:t>
      </w:r>
    </w:p>
    <w:p w14:paraId="7988C8B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Fensham R. J., Fairfax R. J. &amp; Buckley Y. M. (2008) An experimental study of fire and moisture stress on the survivorship of savanna eucalypt seedlings. </w:t>
      </w:r>
      <w:r>
        <w:rPr>
          <w:rFonts w:ascii="Segoe UI" w:eastAsiaTheme="minorHAnsi" w:hAnsi="Segoe UI" w:cs="Segoe UI"/>
          <w:i/>
          <w:iCs/>
          <w:sz w:val="18"/>
          <w:szCs w:val="18"/>
        </w:rPr>
        <w:t>Australian Journal of Botany</w:t>
      </w:r>
      <w:r>
        <w:rPr>
          <w:rFonts w:ascii="Segoe UI" w:eastAsiaTheme="minorHAnsi" w:hAnsi="Segoe UI" w:cs="Segoe UI"/>
          <w:sz w:val="18"/>
          <w:szCs w:val="18"/>
        </w:rPr>
        <w:t xml:space="preserve"> </w:t>
      </w:r>
      <w:r>
        <w:rPr>
          <w:rFonts w:ascii="Segoe UI" w:eastAsiaTheme="minorHAnsi" w:hAnsi="Segoe UI" w:cs="Segoe UI"/>
          <w:b/>
          <w:bCs/>
          <w:sz w:val="18"/>
          <w:szCs w:val="18"/>
        </w:rPr>
        <w:t>56</w:t>
      </w:r>
      <w:r>
        <w:rPr>
          <w:rFonts w:ascii="Segoe UI" w:eastAsiaTheme="minorHAnsi" w:hAnsi="Segoe UI" w:cs="Segoe UI"/>
          <w:sz w:val="18"/>
          <w:szCs w:val="18"/>
        </w:rPr>
        <w:t>, 693-7.</w:t>
      </w:r>
    </w:p>
    <w:p w14:paraId="0F88264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Fensham R. J., Fairfax R. J. &amp; Dwyer J. M. (2012) Potential aboveground biomass in drought-prone forest used for rangeland pastoralism. </w:t>
      </w:r>
      <w:r>
        <w:rPr>
          <w:rFonts w:ascii="Segoe UI" w:eastAsiaTheme="minorHAnsi" w:hAnsi="Segoe UI" w:cs="Segoe UI"/>
          <w:i/>
          <w:iCs/>
          <w:sz w:val="18"/>
          <w:szCs w:val="18"/>
        </w:rPr>
        <w:t>Ecological Applications</w:t>
      </w:r>
      <w:r>
        <w:rPr>
          <w:rFonts w:ascii="Segoe UI" w:eastAsiaTheme="minorHAnsi" w:hAnsi="Segoe UI" w:cs="Segoe UI"/>
          <w:sz w:val="18"/>
          <w:szCs w:val="18"/>
        </w:rPr>
        <w:t xml:space="preserve"> </w:t>
      </w:r>
      <w:r>
        <w:rPr>
          <w:rFonts w:ascii="Segoe UI" w:eastAsiaTheme="minorHAnsi" w:hAnsi="Segoe UI" w:cs="Segoe UI"/>
          <w:b/>
          <w:bCs/>
          <w:sz w:val="18"/>
          <w:szCs w:val="18"/>
        </w:rPr>
        <w:t>23</w:t>
      </w:r>
      <w:r>
        <w:rPr>
          <w:rFonts w:ascii="Segoe UI" w:eastAsiaTheme="minorHAnsi" w:hAnsi="Segoe UI" w:cs="Segoe UI"/>
          <w:sz w:val="18"/>
          <w:szCs w:val="18"/>
        </w:rPr>
        <w:t>, 894-903.</w:t>
      </w:r>
    </w:p>
    <w:p w14:paraId="7530AAD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Fensham R. J. &amp; Holman J. E. (1999) Temporal and spatial patterns in drought related tree dieback in Australian savanna. </w:t>
      </w:r>
      <w:r>
        <w:rPr>
          <w:rFonts w:ascii="Segoe UI" w:eastAsiaTheme="minorHAnsi" w:hAnsi="Segoe UI" w:cs="Segoe UI"/>
          <w:i/>
          <w:iCs/>
          <w:sz w:val="18"/>
          <w:szCs w:val="18"/>
        </w:rPr>
        <w:t>Journal of Applied Ecology,</w:t>
      </w:r>
      <w:r>
        <w:rPr>
          <w:rFonts w:ascii="Segoe UI" w:eastAsiaTheme="minorHAnsi" w:hAnsi="Segoe UI" w:cs="Segoe UI"/>
          <w:b/>
          <w:bCs/>
          <w:sz w:val="18"/>
          <w:szCs w:val="18"/>
        </w:rPr>
        <w:t xml:space="preserve"> 36</w:t>
      </w:r>
      <w:r>
        <w:rPr>
          <w:rFonts w:ascii="Segoe UI" w:eastAsiaTheme="minorHAnsi" w:hAnsi="Segoe UI" w:cs="Segoe UI"/>
          <w:sz w:val="18"/>
          <w:szCs w:val="18"/>
        </w:rPr>
        <w:t>, 1035–50.</w:t>
      </w:r>
    </w:p>
    <w:p w14:paraId="6716AD0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Fensham R. J., Laffineur B. &amp; Allen C. D. (2019) To what extent is drought-induced tree mortality a natural phenomenon? </w:t>
      </w:r>
      <w:r>
        <w:rPr>
          <w:rFonts w:ascii="Segoe UI" w:eastAsiaTheme="minorHAnsi" w:hAnsi="Segoe UI" w:cs="Segoe UI"/>
          <w:i/>
          <w:iCs/>
          <w:sz w:val="18"/>
          <w:szCs w:val="18"/>
        </w:rPr>
        <w:t>Global Ecology and Biogeography</w:t>
      </w:r>
      <w:r>
        <w:rPr>
          <w:rFonts w:ascii="Segoe UI" w:eastAsiaTheme="minorHAnsi" w:hAnsi="Segoe UI" w:cs="Segoe UI"/>
          <w:sz w:val="18"/>
          <w:szCs w:val="18"/>
        </w:rPr>
        <w:t xml:space="preserve"> </w:t>
      </w:r>
      <w:r>
        <w:rPr>
          <w:rFonts w:ascii="Segoe UI" w:eastAsiaTheme="minorHAnsi" w:hAnsi="Segoe UI" w:cs="Segoe UI"/>
          <w:b/>
          <w:bCs/>
          <w:sz w:val="18"/>
          <w:szCs w:val="18"/>
        </w:rPr>
        <w:t>28</w:t>
      </w:r>
      <w:r>
        <w:rPr>
          <w:rFonts w:ascii="Segoe UI" w:eastAsiaTheme="minorHAnsi" w:hAnsi="Segoe UI" w:cs="Segoe UI"/>
          <w:sz w:val="18"/>
          <w:szCs w:val="18"/>
        </w:rPr>
        <w:t>, 365-73.</w:t>
      </w:r>
    </w:p>
    <w:p w14:paraId="6BF9DFB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Fensholt R., Langanke T., Rasmussen K., Reenberg A., Prince S., Tucker C., Scholes R., Le Q. B., Bondeau A., Eastman R., Epstein H., Gaughan A., Helldén U., Mbow C., Olsson L., Paruelo J., Schweitzer C., Seaquist J. &amp; Wessels K. (2012) Greenness in semi-arid areas across the globe 1981–2007 — an Earth Observing Satellite based analysis of trends and drivers. </w:t>
      </w:r>
      <w:r>
        <w:rPr>
          <w:rFonts w:ascii="Segoe UI" w:eastAsiaTheme="minorHAnsi" w:hAnsi="Segoe UI" w:cs="Segoe UI"/>
          <w:i/>
          <w:iCs/>
          <w:sz w:val="18"/>
          <w:szCs w:val="18"/>
        </w:rPr>
        <w:t>Remote Sensing of Environment</w:t>
      </w:r>
      <w:r>
        <w:rPr>
          <w:rFonts w:ascii="Segoe UI" w:eastAsiaTheme="minorHAnsi" w:hAnsi="Segoe UI" w:cs="Segoe UI"/>
          <w:sz w:val="18"/>
          <w:szCs w:val="18"/>
        </w:rPr>
        <w:t xml:space="preserve"> </w:t>
      </w:r>
      <w:r>
        <w:rPr>
          <w:rFonts w:ascii="Segoe UI" w:eastAsiaTheme="minorHAnsi" w:hAnsi="Segoe UI" w:cs="Segoe UI"/>
          <w:b/>
          <w:bCs/>
          <w:sz w:val="18"/>
          <w:szCs w:val="18"/>
        </w:rPr>
        <w:t>121</w:t>
      </w:r>
      <w:r>
        <w:rPr>
          <w:rFonts w:ascii="Segoe UI" w:eastAsiaTheme="minorHAnsi" w:hAnsi="Segoe UI" w:cs="Segoe UI"/>
          <w:sz w:val="18"/>
          <w:szCs w:val="18"/>
        </w:rPr>
        <w:t>, 144–58.</w:t>
      </w:r>
    </w:p>
    <w:p w14:paraId="6C07F2A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Fleming A., Stitzlein C., Jakku E. &amp; Fielke S. (2019) Missed opportunity? Framing actions around co-benefits for carbon mitigation in Australian agriculture. </w:t>
      </w:r>
      <w:r>
        <w:rPr>
          <w:rFonts w:ascii="Segoe UI" w:eastAsiaTheme="minorHAnsi" w:hAnsi="Segoe UI" w:cs="Segoe UI"/>
          <w:i/>
          <w:iCs/>
          <w:sz w:val="18"/>
          <w:szCs w:val="18"/>
        </w:rPr>
        <w:t>Land Use Policy</w:t>
      </w:r>
      <w:r>
        <w:rPr>
          <w:rFonts w:ascii="Segoe UI" w:eastAsiaTheme="minorHAnsi" w:hAnsi="Segoe UI" w:cs="Segoe UI"/>
          <w:sz w:val="18"/>
          <w:szCs w:val="18"/>
        </w:rPr>
        <w:t xml:space="preserve"> </w:t>
      </w:r>
      <w:r>
        <w:rPr>
          <w:rFonts w:ascii="Segoe UI" w:eastAsiaTheme="minorHAnsi" w:hAnsi="Segoe UI" w:cs="Segoe UI"/>
          <w:b/>
          <w:bCs/>
          <w:sz w:val="18"/>
          <w:szCs w:val="18"/>
        </w:rPr>
        <w:t>85</w:t>
      </w:r>
      <w:r>
        <w:rPr>
          <w:rFonts w:ascii="Segoe UI" w:eastAsiaTheme="minorHAnsi" w:hAnsi="Segoe UI" w:cs="Segoe UI"/>
          <w:sz w:val="18"/>
          <w:szCs w:val="18"/>
        </w:rPr>
        <w:t>, 230-8.</w:t>
      </w:r>
    </w:p>
    <w:p w14:paraId="07F3D63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Fontaine S., Barot S., Barré P., Bdioui N., Mary B. &amp; Rumpel C. (2007) Stability of organic C in deep soil layers controlled by fresh C supply. </w:t>
      </w:r>
      <w:r>
        <w:rPr>
          <w:rFonts w:ascii="Segoe UI" w:eastAsiaTheme="minorHAnsi" w:hAnsi="Segoe UI" w:cs="Segoe UI"/>
          <w:i/>
          <w:iCs/>
          <w:sz w:val="18"/>
          <w:szCs w:val="18"/>
        </w:rPr>
        <w:t>Nature</w:t>
      </w:r>
      <w:r>
        <w:rPr>
          <w:rFonts w:ascii="Segoe UI" w:eastAsiaTheme="minorHAnsi" w:hAnsi="Segoe UI" w:cs="Segoe UI"/>
          <w:sz w:val="18"/>
          <w:szCs w:val="18"/>
        </w:rPr>
        <w:t xml:space="preserve"> </w:t>
      </w:r>
      <w:r>
        <w:rPr>
          <w:rFonts w:ascii="Segoe UI" w:eastAsiaTheme="minorHAnsi" w:hAnsi="Segoe UI" w:cs="Segoe UI"/>
          <w:b/>
          <w:bCs/>
          <w:sz w:val="18"/>
          <w:szCs w:val="18"/>
        </w:rPr>
        <w:t>450</w:t>
      </w:r>
      <w:r>
        <w:rPr>
          <w:rFonts w:ascii="Segoe UI" w:eastAsiaTheme="minorHAnsi" w:hAnsi="Segoe UI" w:cs="Segoe UI"/>
          <w:sz w:val="18"/>
          <w:szCs w:val="18"/>
        </w:rPr>
        <w:t>, 277-80.</w:t>
      </w:r>
    </w:p>
    <w:p w14:paraId="306ED49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Forestry Plantations Queensland. (2009) Profitable sustainable plantation forests.</w:t>
      </w:r>
    </w:p>
    <w:p w14:paraId="26DDF34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Foulkes J., de Preu N., Sinclair R., Thurgate N., Sparrow B. &amp; White A. (2014) Chenopod and Acacia Shrublands. In: </w:t>
      </w:r>
      <w:r>
        <w:rPr>
          <w:rFonts w:ascii="Segoe UI" w:eastAsiaTheme="minorHAnsi" w:hAnsi="Segoe UI" w:cs="Segoe UI"/>
          <w:i/>
          <w:iCs/>
          <w:sz w:val="18"/>
          <w:szCs w:val="18"/>
        </w:rPr>
        <w:t>Biodiversity and Environmental Change. Monitoring, Challenges and Decisions</w:t>
      </w:r>
      <w:r>
        <w:rPr>
          <w:rFonts w:ascii="Segoe UI" w:eastAsiaTheme="minorHAnsi" w:hAnsi="Segoe UI" w:cs="Segoe UI"/>
          <w:sz w:val="18"/>
          <w:szCs w:val="18"/>
        </w:rPr>
        <w:t xml:space="preserve"> (eds D. B. Lindenmayer, E. Burns, N. Thurgate and A. Lowe) pp. 439-78. CSIRO Publishing, Collingwood.</w:t>
      </w:r>
    </w:p>
    <w:p w14:paraId="2BC9D50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Franks A. (2002) The ecological consequences of Buffel Grass (Cenchrus ciliaris) establishment within remnant vegetation of Queensland. </w:t>
      </w:r>
      <w:r>
        <w:rPr>
          <w:rFonts w:ascii="Segoe UI" w:eastAsiaTheme="minorHAnsi" w:hAnsi="Segoe UI" w:cs="Segoe UI"/>
          <w:i/>
          <w:iCs/>
          <w:sz w:val="18"/>
          <w:szCs w:val="18"/>
        </w:rPr>
        <w:t>Pacific Conservation Biology</w:t>
      </w:r>
      <w:r>
        <w:rPr>
          <w:rFonts w:ascii="Segoe UI" w:eastAsiaTheme="minorHAnsi" w:hAnsi="Segoe UI" w:cs="Segoe UI"/>
          <w:sz w:val="18"/>
          <w:szCs w:val="18"/>
        </w:rPr>
        <w:t xml:space="preserve"> </w:t>
      </w:r>
      <w:r>
        <w:rPr>
          <w:rFonts w:ascii="Segoe UI" w:eastAsiaTheme="minorHAnsi" w:hAnsi="Segoe UI" w:cs="Segoe UI"/>
          <w:b/>
          <w:bCs/>
          <w:sz w:val="18"/>
          <w:szCs w:val="18"/>
        </w:rPr>
        <w:t>8</w:t>
      </w:r>
      <w:r>
        <w:rPr>
          <w:rFonts w:ascii="Segoe UI" w:eastAsiaTheme="minorHAnsi" w:hAnsi="Segoe UI" w:cs="Segoe UI"/>
          <w:sz w:val="18"/>
          <w:szCs w:val="18"/>
        </w:rPr>
        <w:t>, 99-107.</w:t>
      </w:r>
    </w:p>
    <w:p w14:paraId="78FDAA1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Freebairn D., Littleboy M., Smith G. D. &amp; Coughlan K. J. (1991) Optimising soil surface management in response to climatic risk. </w:t>
      </w:r>
      <w:r>
        <w:rPr>
          <w:rFonts w:ascii="Segoe UI" w:eastAsiaTheme="minorHAnsi" w:hAnsi="Segoe UI" w:cs="Segoe UI"/>
          <w:i/>
          <w:iCs/>
          <w:sz w:val="18"/>
          <w:szCs w:val="18"/>
        </w:rPr>
        <w:t>Climatic risk in crop production. Proc. international symposium, Brisbane, 1990</w:t>
      </w:r>
      <w:r>
        <w:rPr>
          <w:rFonts w:ascii="Segoe UI" w:eastAsiaTheme="minorHAnsi" w:hAnsi="Segoe UI" w:cs="Segoe UI"/>
          <w:sz w:val="18"/>
          <w:szCs w:val="18"/>
        </w:rPr>
        <w:t>, 283-305.</w:t>
      </w:r>
    </w:p>
    <w:p w14:paraId="3673BBB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Galik C. S. &amp; Jackson R. B. (2009) Risks to forest carbon offset projects in a changing climate.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257</w:t>
      </w:r>
      <w:r>
        <w:rPr>
          <w:rFonts w:ascii="Segoe UI" w:eastAsiaTheme="minorHAnsi" w:hAnsi="Segoe UI" w:cs="Segoe UI"/>
          <w:sz w:val="18"/>
          <w:szCs w:val="18"/>
        </w:rPr>
        <w:t>, 2209-16.</w:t>
      </w:r>
    </w:p>
    <w:p w14:paraId="10F5BA6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Gallagher R., Beaumont L., Downey P., Hughes L. &amp; Leishman M. (2006) </w:t>
      </w:r>
      <w:r>
        <w:rPr>
          <w:rFonts w:ascii="Segoe UI" w:eastAsiaTheme="minorHAnsi" w:hAnsi="Segoe UI" w:cs="Segoe UI"/>
          <w:i/>
          <w:iCs/>
          <w:sz w:val="18"/>
          <w:szCs w:val="18"/>
        </w:rPr>
        <w:t>Assessing the potential impacts of climate change on weeds in New South Wales: establishing priorities</w:t>
      </w:r>
      <w:r>
        <w:rPr>
          <w:rFonts w:ascii="Segoe UI" w:eastAsiaTheme="minorHAnsi" w:hAnsi="Segoe UI" w:cs="Segoe UI"/>
          <w:sz w:val="18"/>
          <w:szCs w:val="18"/>
        </w:rPr>
        <w:t>.</w:t>
      </w:r>
    </w:p>
    <w:p w14:paraId="3DFC76C7" w14:textId="7D00A9FB"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Gauthier P. G., Crous K. Y., Gohar A., Duan H. L., Weerasinghe L. K., Ellsworth D. s., Tjoelker M. G., Evans J. R., Tissue D. T. &amp; Atkin O. K. (2014) Drought increses heat tolerance of leaf respiration in Eucalyptus globulus saplings </w:t>
      </w:r>
      <w:r w:rsidR="00755CDB">
        <w:rPr>
          <w:rFonts w:ascii="Segoe UI" w:eastAsiaTheme="minorHAnsi" w:hAnsi="Segoe UI" w:cs="Segoe UI"/>
          <w:sz w:val="18"/>
          <w:szCs w:val="18"/>
        </w:rPr>
        <w:t>growth</w:t>
      </w:r>
      <w:r>
        <w:rPr>
          <w:rFonts w:ascii="Segoe UI" w:eastAsiaTheme="minorHAnsi" w:hAnsi="Segoe UI" w:cs="Segoe UI"/>
          <w:sz w:val="18"/>
          <w:szCs w:val="18"/>
        </w:rPr>
        <w:t xml:space="preserve"> under both ambient and elevated </w:t>
      </w:r>
      <w:r w:rsidR="00755CDB">
        <w:rPr>
          <w:rFonts w:ascii="Segoe UI" w:eastAsiaTheme="minorHAnsi" w:hAnsi="Segoe UI" w:cs="Segoe UI"/>
          <w:sz w:val="18"/>
          <w:szCs w:val="18"/>
        </w:rPr>
        <w:t>atmospheric</w:t>
      </w:r>
      <w:r>
        <w:rPr>
          <w:rFonts w:ascii="Segoe UI" w:eastAsiaTheme="minorHAnsi" w:hAnsi="Segoe UI" w:cs="Segoe UI"/>
          <w:sz w:val="18"/>
          <w:szCs w:val="18"/>
        </w:rPr>
        <w:t xml:space="preserve"> [CO2} and temperature. </w:t>
      </w:r>
      <w:r>
        <w:rPr>
          <w:rFonts w:ascii="Segoe UI" w:eastAsiaTheme="minorHAnsi" w:hAnsi="Segoe UI" w:cs="Segoe UI"/>
          <w:i/>
          <w:iCs/>
          <w:sz w:val="18"/>
          <w:szCs w:val="18"/>
        </w:rPr>
        <w:t>Journal of Experimental Botany</w:t>
      </w:r>
      <w:r>
        <w:rPr>
          <w:rFonts w:ascii="Segoe UI" w:eastAsiaTheme="minorHAnsi" w:hAnsi="Segoe UI" w:cs="Segoe UI"/>
          <w:sz w:val="18"/>
          <w:szCs w:val="18"/>
        </w:rPr>
        <w:t xml:space="preserve"> </w:t>
      </w:r>
      <w:r>
        <w:rPr>
          <w:rFonts w:ascii="Segoe UI" w:eastAsiaTheme="minorHAnsi" w:hAnsi="Segoe UI" w:cs="Segoe UI"/>
          <w:b/>
          <w:bCs/>
          <w:sz w:val="18"/>
          <w:szCs w:val="18"/>
        </w:rPr>
        <w:t>65</w:t>
      </w:r>
      <w:r>
        <w:rPr>
          <w:rFonts w:ascii="Segoe UI" w:eastAsiaTheme="minorHAnsi" w:hAnsi="Segoe UI" w:cs="Segoe UI"/>
          <w:sz w:val="18"/>
          <w:szCs w:val="18"/>
        </w:rPr>
        <w:t>, 6471 - 85.</w:t>
      </w:r>
    </w:p>
    <w:p w14:paraId="1965921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Geddes D. (2006) Fire behaviour in hardwood plantations. . In: </w:t>
      </w:r>
      <w:r>
        <w:rPr>
          <w:rFonts w:ascii="Segoe UI" w:eastAsiaTheme="minorHAnsi" w:hAnsi="Segoe UI" w:cs="Segoe UI"/>
          <w:i/>
          <w:iCs/>
          <w:sz w:val="18"/>
          <w:szCs w:val="18"/>
        </w:rPr>
        <w:t xml:space="preserve">Australian Forest Growers conference proceedings. </w:t>
      </w:r>
      <w:r>
        <w:rPr>
          <w:rFonts w:ascii="Segoe UI" w:eastAsiaTheme="minorHAnsi" w:hAnsi="Segoe UI" w:cs="Segoe UI"/>
          <w:sz w:val="18"/>
          <w:szCs w:val="18"/>
        </w:rPr>
        <w:t>pp. 283-90. Australian Forest Growers,.</w:t>
      </w:r>
    </w:p>
    <w:p w14:paraId="68A1BE5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Ghahramani A., Kokic P. N., Moore A. D., Zheng B., Chapman S. C., Howden M. S. &amp; Crimp S. J. (2015) The value of adapting to climate change in Australian wheat farm systems: farm to cross-regional scale. </w:t>
      </w:r>
      <w:r>
        <w:rPr>
          <w:rFonts w:ascii="Segoe UI" w:eastAsiaTheme="minorHAnsi" w:hAnsi="Segoe UI" w:cs="Segoe UI"/>
          <w:i/>
          <w:iCs/>
          <w:sz w:val="18"/>
          <w:szCs w:val="18"/>
        </w:rPr>
        <w:t>Agriculture, Ecosystems &amp; Environment</w:t>
      </w:r>
      <w:r>
        <w:rPr>
          <w:rFonts w:ascii="Segoe UI" w:eastAsiaTheme="minorHAnsi" w:hAnsi="Segoe UI" w:cs="Segoe UI"/>
          <w:sz w:val="18"/>
          <w:szCs w:val="18"/>
        </w:rPr>
        <w:t xml:space="preserve"> </w:t>
      </w:r>
      <w:r>
        <w:rPr>
          <w:rFonts w:ascii="Segoe UI" w:eastAsiaTheme="minorHAnsi" w:hAnsi="Segoe UI" w:cs="Segoe UI"/>
          <w:b/>
          <w:bCs/>
          <w:sz w:val="18"/>
          <w:szCs w:val="18"/>
        </w:rPr>
        <w:t>211</w:t>
      </w:r>
      <w:r>
        <w:rPr>
          <w:rFonts w:ascii="Segoe UI" w:eastAsiaTheme="minorHAnsi" w:hAnsi="Segoe UI" w:cs="Segoe UI"/>
          <w:sz w:val="18"/>
          <w:szCs w:val="18"/>
        </w:rPr>
        <w:t>, 112-25.</w:t>
      </w:r>
    </w:p>
    <w:p w14:paraId="200EF3F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Ghahramani A. &amp; Moore A. D. (2016) Impact of climate changes on existing crop-livestock farming systems. </w:t>
      </w:r>
      <w:r>
        <w:rPr>
          <w:rFonts w:ascii="Segoe UI" w:eastAsiaTheme="minorHAnsi" w:hAnsi="Segoe UI" w:cs="Segoe UI"/>
          <w:i/>
          <w:iCs/>
          <w:sz w:val="18"/>
          <w:szCs w:val="18"/>
        </w:rPr>
        <w:t>Agricultural Systems</w:t>
      </w:r>
      <w:r>
        <w:rPr>
          <w:rFonts w:ascii="Segoe UI" w:eastAsiaTheme="minorHAnsi" w:hAnsi="Segoe UI" w:cs="Segoe UI"/>
          <w:sz w:val="18"/>
          <w:szCs w:val="18"/>
        </w:rPr>
        <w:t xml:space="preserve"> </w:t>
      </w:r>
      <w:r>
        <w:rPr>
          <w:rFonts w:ascii="Segoe UI" w:eastAsiaTheme="minorHAnsi" w:hAnsi="Segoe UI" w:cs="Segoe UI"/>
          <w:b/>
          <w:bCs/>
          <w:sz w:val="18"/>
          <w:szCs w:val="18"/>
        </w:rPr>
        <w:t>146</w:t>
      </w:r>
      <w:r>
        <w:rPr>
          <w:rFonts w:ascii="Segoe UI" w:eastAsiaTheme="minorHAnsi" w:hAnsi="Segoe UI" w:cs="Segoe UI"/>
          <w:sz w:val="18"/>
          <w:szCs w:val="18"/>
        </w:rPr>
        <w:t>, 142-55.</w:t>
      </w:r>
    </w:p>
    <w:p w14:paraId="78B2B3C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Gieger T. &amp; Thomas F. M. (2002) Effects of defoliation and drought stress on biomass partitioning and water relations of Quercus robur and Quercus petraea. </w:t>
      </w:r>
      <w:r>
        <w:rPr>
          <w:rFonts w:ascii="Segoe UI" w:eastAsiaTheme="minorHAnsi" w:hAnsi="Segoe UI" w:cs="Segoe UI"/>
          <w:i/>
          <w:iCs/>
          <w:sz w:val="18"/>
          <w:szCs w:val="18"/>
        </w:rPr>
        <w:t>Basic and Applied Ecology</w:t>
      </w:r>
      <w:r>
        <w:rPr>
          <w:rFonts w:ascii="Segoe UI" w:eastAsiaTheme="minorHAnsi" w:hAnsi="Segoe UI" w:cs="Segoe UI"/>
          <w:sz w:val="18"/>
          <w:szCs w:val="18"/>
        </w:rPr>
        <w:t xml:space="preserve"> </w:t>
      </w:r>
      <w:r>
        <w:rPr>
          <w:rFonts w:ascii="Segoe UI" w:eastAsiaTheme="minorHAnsi" w:hAnsi="Segoe UI" w:cs="Segoe UI"/>
          <w:b/>
          <w:bCs/>
          <w:sz w:val="18"/>
          <w:szCs w:val="18"/>
        </w:rPr>
        <w:t>3</w:t>
      </w:r>
      <w:r>
        <w:rPr>
          <w:rFonts w:ascii="Segoe UI" w:eastAsiaTheme="minorHAnsi" w:hAnsi="Segoe UI" w:cs="Segoe UI"/>
          <w:sz w:val="18"/>
          <w:szCs w:val="18"/>
        </w:rPr>
        <w:t>, 171-81.</w:t>
      </w:r>
    </w:p>
    <w:p w14:paraId="7AA6EF9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Good M., Clarke P., Price J. &amp; Reid N. (2014) Seasonality and facilitation drive tree establishment in a semi-arid floodplain savanna. </w:t>
      </w:r>
      <w:r>
        <w:rPr>
          <w:rFonts w:ascii="Segoe UI" w:eastAsiaTheme="minorHAnsi" w:hAnsi="Segoe UI" w:cs="Segoe UI"/>
          <w:i/>
          <w:iCs/>
          <w:sz w:val="18"/>
          <w:szCs w:val="18"/>
        </w:rPr>
        <w:t>Oecologia</w:t>
      </w:r>
      <w:r>
        <w:rPr>
          <w:rFonts w:ascii="Segoe UI" w:eastAsiaTheme="minorHAnsi" w:hAnsi="Segoe UI" w:cs="Segoe UI"/>
          <w:sz w:val="18"/>
          <w:szCs w:val="18"/>
        </w:rPr>
        <w:t xml:space="preserve"> </w:t>
      </w:r>
      <w:r>
        <w:rPr>
          <w:rFonts w:ascii="Segoe UI" w:eastAsiaTheme="minorHAnsi" w:hAnsi="Segoe UI" w:cs="Segoe UI"/>
          <w:b/>
          <w:bCs/>
          <w:sz w:val="18"/>
          <w:szCs w:val="18"/>
        </w:rPr>
        <w:t>175</w:t>
      </w:r>
      <w:r>
        <w:rPr>
          <w:rFonts w:ascii="Segoe UI" w:eastAsiaTheme="minorHAnsi" w:hAnsi="Segoe UI" w:cs="Segoe UI"/>
          <w:sz w:val="18"/>
          <w:szCs w:val="18"/>
        </w:rPr>
        <w:t>.</w:t>
      </w:r>
    </w:p>
    <w:p w14:paraId="714182A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Grace J., José J., Meir P., Miranda H. &amp; Montes R. (2006) Productivity and carbon fluxes of tropical savannas. </w:t>
      </w:r>
      <w:r>
        <w:rPr>
          <w:rFonts w:ascii="Segoe UI" w:eastAsiaTheme="minorHAnsi" w:hAnsi="Segoe UI" w:cs="Segoe UI"/>
          <w:i/>
          <w:iCs/>
          <w:sz w:val="18"/>
          <w:szCs w:val="18"/>
        </w:rPr>
        <w:t>Journal of Biogeography</w:t>
      </w:r>
      <w:r>
        <w:rPr>
          <w:rFonts w:ascii="Segoe UI" w:eastAsiaTheme="minorHAnsi" w:hAnsi="Segoe UI" w:cs="Segoe UI"/>
          <w:sz w:val="18"/>
          <w:szCs w:val="18"/>
        </w:rPr>
        <w:t xml:space="preserve"> </w:t>
      </w:r>
      <w:r>
        <w:rPr>
          <w:rFonts w:ascii="Segoe UI" w:eastAsiaTheme="minorHAnsi" w:hAnsi="Segoe UI" w:cs="Segoe UI"/>
          <w:b/>
          <w:bCs/>
          <w:sz w:val="18"/>
          <w:szCs w:val="18"/>
        </w:rPr>
        <w:t>33</w:t>
      </w:r>
      <w:r>
        <w:rPr>
          <w:rFonts w:ascii="Segoe UI" w:eastAsiaTheme="minorHAnsi" w:hAnsi="Segoe UI" w:cs="Segoe UI"/>
          <w:sz w:val="18"/>
          <w:szCs w:val="18"/>
        </w:rPr>
        <w:t>, 387-400.</w:t>
      </w:r>
    </w:p>
    <w:p w14:paraId="793D95E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Graham S., McGinness H. &amp; O’Connell D. (2009) Effects of management techniques on the establishment of eucalypt seedlings on farmland: A review. </w:t>
      </w:r>
      <w:r>
        <w:rPr>
          <w:rFonts w:ascii="Segoe UI" w:eastAsiaTheme="minorHAnsi" w:hAnsi="Segoe UI" w:cs="Segoe UI"/>
          <w:i/>
          <w:iCs/>
          <w:sz w:val="18"/>
          <w:szCs w:val="18"/>
        </w:rPr>
        <w:t>Agroforestry Systems</w:t>
      </w:r>
      <w:r>
        <w:rPr>
          <w:rFonts w:ascii="Segoe UI" w:eastAsiaTheme="minorHAnsi" w:hAnsi="Segoe UI" w:cs="Segoe UI"/>
          <w:sz w:val="18"/>
          <w:szCs w:val="18"/>
        </w:rPr>
        <w:t xml:space="preserve"> </w:t>
      </w:r>
      <w:r>
        <w:rPr>
          <w:rFonts w:ascii="Segoe UI" w:eastAsiaTheme="minorHAnsi" w:hAnsi="Segoe UI" w:cs="Segoe UI"/>
          <w:b/>
          <w:bCs/>
          <w:sz w:val="18"/>
          <w:szCs w:val="18"/>
        </w:rPr>
        <w:t>77</w:t>
      </w:r>
      <w:r>
        <w:rPr>
          <w:rFonts w:ascii="Segoe UI" w:eastAsiaTheme="minorHAnsi" w:hAnsi="Segoe UI" w:cs="Segoe UI"/>
          <w:sz w:val="18"/>
          <w:szCs w:val="18"/>
        </w:rPr>
        <w:t>, 59-81.</w:t>
      </w:r>
    </w:p>
    <w:p w14:paraId="4AABE3E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Gray J. M. &amp; Bishop T. F. A. (2019) Mapping change in key soil properties due to climate change over south-eastern Australia. </w:t>
      </w:r>
      <w:r>
        <w:rPr>
          <w:rFonts w:ascii="Segoe UI" w:eastAsiaTheme="minorHAnsi" w:hAnsi="Segoe UI" w:cs="Segoe UI"/>
          <w:i/>
          <w:iCs/>
          <w:sz w:val="18"/>
          <w:szCs w:val="18"/>
        </w:rPr>
        <w:t>Soil Research</w:t>
      </w:r>
      <w:r>
        <w:rPr>
          <w:rFonts w:ascii="Segoe UI" w:eastAsiaTheme="minorHAnsi" w:hAnsi="Segoe UI" w:cs="Segoe UI"/>
          <w:sz w:val="18"/>
          <w:szCs w:val="18"/>
        </w:rPr>
        <w:t xml:space="preserve"> </w:t>
      </w:r>
      <w:r>
        <w:rPr>
          <w:rFonts w:ascii="Segoe UI" w:eastAsiaTheme="minorHAnsi" w:hAnsi="Segoe UI" w:cs="Segoe UI"/>
          <w:b/>
          <w:bCs/>
          <w:sz w:val="18"/>
          <w:szCs w:val="18"/>
        </w:rPr>
        <w:t>57</w:t>
      </w:r>
      <w:r>
        <w:rPr>
          <w:rFonts w:ascii="Segoe UI" w:eastAsiaTheme="minorHAnsi" w:hAnsi="Segoe UI" w:cs="Segoe UI"/>
          <w:sz w:val="18"/>
          <w:szCs w:val="18"/>
        </w:rPr>
        <w:t>, 467-81.</w:t>
      </w:r>
    </w:p>
    <w:p w14:paraId="3F52146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Groom P., Lamont B., Leighton S., Leighton P. &amp; Burrows C. (2004) Heat damage in sclerophylls is influenced by their leaf properties and plant environment. </w:t>
      </w:r>
      <w:r>
        <w:rPr>
          <w:rFonts w:ascii="Segoe UI" w:eastAsiaTheme="minorHAnsi" w:hAnsi="Segoe UI" w:cs="Segoe UI"/>
          <w:i/>
          <w:iCs/>
          <w:sz w:val="18"/>
          <w:szCs w:val="18"/>
        </w:rPr>
        <w:t>Ecoscience</w:t>
      </w:r>
      <w:r>
        <w:rPr>
          <w:rFonts w:ascii="Segoe UI" w:eastAsiaTheme="minorHAnsi" w:hAnsi="Segoe UI" w:cs="Segoe UI"/>
          <w:sz w:val="18"/>
          <w:szCs w:val="18"/>
        </w:rPr>
        <w:t xml:space="preserve"> </w:t>
      </w:r>
      <w:r>
        <w:rPr>
          <w:rFonts w:ascii="Segoe UI" w:eastAsiaTheme="minorHAnsi" w:hAnsi="Segoe UI" w:cs="Segoe UI"/>
          <w:b/>
          <w:bCs/>
          <w:sz w:val="18"/>
          <w:szCs w:val="18"/>
        </w:rPr>
        <w:t>11</w:t>
      </w:r>
      <w:r>
        <w:rPr>
          <w:rFonts w:ascii="Segoe UI" w:eastAsiaTheme="minorHAnsi" w:hAnsi="Segoe UI" w:cs="Segoe UI"/>
          <w:sz w:val="18"/>
          <w:szCs w:val="18"/>
        </w:rPr>
        <w:t>.</w:t>
      </w:r>
    </w:p>
    <w:p w14:paraId="4AE61301" w14:textId="16906333"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Hallegatte S. (2009) Strategies to adapt to an </w:t>
      </w:r>
      <w:r w:rsidR="00755CDB">
        <w:rPr>
          <w:rFonts w:ascii="Segoe UI" w:eastAsiaTheme="minorHAnsi" w:hAnsi="Segoe UI" w:cs="Segoe UI"/>
          <w:sz w:val="18"/>
          <w:szCs w:val="18"/>
        </w:rPr>
        <w:t>uncertain</w:t>
      </w:r>
      <w:r>
        <w:rPr>
          <w:rFonts w:ascii="Segoe UI" w:eastAsiaTheme="minorHAnsi" w:hAnsi="Segoe UI" w:cs="Segoe UI"/>
          <w:sz w:val="18"/>
          <w:szCs w:val="18"/>
        </w:rPr>
        <w:t xml:space="preserve"> climate change. </w:t>
      </w:r>
      <w:r>
        <w:rPr>
          <w:rFonts w:ascii="Segoe UI" w:eastAsiaTheme="minorHAnsi" w:hAnsi="Segoe UI" w:cs="Segoe UI"/>
          <w:i/>
          <w:iCs/>
          <w:sz w:val="18"/>
          <w:szCs w:val="18"/>
        </w:rPr>
        <w:t xml:space="preserve">Global Environmental Change </w:t>
      </w:r>
      <w:r>
        <w:rPr>
          <w:rFonts w:ascii="Segoe UI" w:eastAsiaTheme="minorHAnsi" w:hAnsi="Segoe UI" w:cs="Segoe UI"/>
          <w:b/>
          <w:bCs/>
          <w:sz w:val="18"/>
          <w:szCs w:val="18"/>
        </w:rPr>
        <w:t>19</w:t>
      </w:r>
      <w:r>
        <w:rPr>
          <w:rFonts w:ascii="Segoe UI" w:eastAsiaTheme="minorHAnsi" w:hAnsi="Segoe UI" w:cs="Segoe UI"/>
          <w:sz w:val="18"/>
          <w:szCs w:val="18"/>
        </w:rPr>
        <w:t>, 240 - 7.</w:t>
      </w:r>
    </w:p>
    <w:p w14:paraId="7773E7C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Harrison M. T., Cullen B. R. &amp; Rawnsley R. P. (2016) Modelling the sensitivity of agricultural systems to climate change and extreme climatic events. </w:t>
      </w:r>
      <w:r>
        <w:rPr>
          <w:rFonts w:ascii="Segoe UI" w:eastAsiaTheme="minorHAnsi" w:hAnsi="Segoe UI" w:cs="Segoe UI"/>
          <w:i/>
          <w:iCs/>
          <w:sz w:val="18"/>
          <w:szCs w:val="18"/>
        </w:rPr>
        <w:t>Agricultural Systems</w:t>
      </w:r>
      <w:r>
        <w:rPr>
          <w:rFonts w:ascii="Segoe UI" w:eastAsiaTheme="minorHAnsi" w:hAnsi="Segoe UI" w:cs="Segoe UI"/>
          <w:sz w:val="18"/>
          <w:szCs w:val="18"/>
        </w:rPr>
        <w:t xml:space="preserve"> </w:t>
      </w:r>
      <w:r>
        <w:rPr>
          <w:rFonts w:ascii="Segoe UI" w:eastAsiaTheme="minorHAnsi" w:hAnsi="Segoe UI" w:cs="Segoe UI"/>
          <w:b/>
          <w:bCs/>
          <w:sz w:val="18"/>
          <w:szCs w:val="18"/>
        </w:rPr>
        <w:t>148</w:t>
      </w:r>
      <w:r>
        <w:rPr>
          <w:rFonts w:ascii="Segoe UI" w:eastAsiaTheme="minorHAnsi" w:hAnsi="Segoe UI" w:cs="Segoe UI"/>
          <w:sz w:val="18"/>
          <w:szCs w:val="18"/>
        </w:rPr>
        <w:t>, 135-48.</w:t>
      </w:r>
    </w:p>
    <w:p w14:paraId="3490868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Haverd V., Ahlström A., Smith B. &amp; Canadell J. (2016) Carbon cycle responses of semi-arid ecosystems to positive asymmetry in rainfall.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23</w:t>
      </w:r>
      <w:r>
        <w:rPr>
          <w:rFonts w:ascii="Segoe UI" w:eastAsiaTheme="minorHAnsi" w:hAnsi="Segoe UI" w:cs="Segoe UI"/>
          <w:sz w:val="18"/>
          <w:szCs w:val="18"/>
        </w:rPr>
        <w:t>.</w:t>
      </w:r>
    </w:p>
    <w:p w14:paraId="2785C7F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Hennessy K., Lucas C., Nicholls N., Bathols J., Suppiah R. &amp; Ricketts J. (2005) Climate Change Impacts on Fire-Weather in South-East Australia.</w:t>
      </w:r>
    </w:p>
    <w:p w14:paraId="5255A0F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Hennessy K., Webb L. &amp; Clarke J. (2015) Chapter 9. Using Climate Change Data in Impact Assessment and Adaptation Planning. In: </w:t>
      </w:r>
      <w:r>
        <w:rPr>
          <w:rFonts w:ascii="Segoe UI" w:eastAsiaTheme="minorHAnsi" w:hAnsi="Segoe UI" w:cs="Segoe UI"/>
          <w:i/>
          <w:iCs/>
          <w:sz w:val="18"/>
          <w:szCs w:val="18"/>
        </w:rPr>
        <w:t>Climate Change in Australia Information for Australia’s Natural Resource Management Regions: Technical Report, CSIRO and Bureau of Meteorology, Australia.</w:t>
      </w:r>
      <w:r>
        <w:rPr>
          <w:rFonts w:ascii="Segoe UI" w:eastAsiaTheme="minorHAnsi" w:hAnsi="Segoe UI" w:cs="Segoe UI"/>
          <w:sz w:val="18"/>
          <w:szCs w:val="18"/>
        </w:rPr>
        <w:t xml:space="preserve"> (eds P. Whetton, M. Ekström, C. Gerbing, M. Grose, J. Bhend, L. Webb and J. Risbey).</w:t>
      </w:r>
    </w:p>
    <w:p w14:paraId="3A0D8AE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Henskens F. L., Battaglia M., Cherry M. L. &amp; Beadle C. L. (2001) Physiological basis of spacing effects on tree growth and form in Eucalyptus globulus. </w:t>
      </w:r>
      <w:r>
        <w:rPr>
          <w:rFonts w:ascii="Segoe UI" w:eastAsiaTheme="minorHAnsi" w:hAnsi="Segoe UI" w:cs="Segoe UI"/>
          <w:i/>
          <w:iCs/>
          <w:sz w:val="18"/>
          <w:szCs w:val="18"/>
        </w:rPr>
        <w:t>Trees</w:t>
      </w:r>
      <w:r>
        <w:rPr>
          <w:rFonts w:ascii="Segoe UI" w:eastAsiaTheme="minorHAnsi" w:hAnsi="Segoe UI" w:cs="Segoe UI"/>
          <w:sz w:val="18"/>
          <w:szCs w:val="18"/>
        </w:rPr>
        <w:t>, 365 - 77.</w:t>
      </w:r>
    </w:p>
    <w:p w14:paraId="3495E7C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Higgins S. &amp; Scheiter S. (2012) Atmospheric CO2 forces abrupt vegetation shifts locally, but not globally. </w:t>
      </w:r>
      <w:r>
        <w:rPr>
          <w:rFonts w:ascii="Segoe UI" w:eastAsiaTheme="minorHAnsi" w:hAnsi="Segoe UI" w:cs="Segoe UI"/>
          <w:i/>
          <w:iCs/>
          <w:sz w:val="18"/>
          <w:szCs w:val="18"/>
        </w:rPr>
        <w:t>Nature</w:t>
      </w:r>
      <w:r>
        <w:rPr>
          <w:rFonts w:ascii="Segoe UI" w:eastAsiaTheme="minorHAnsi" w:hAnsi="Segoe UI" w:cs="Segoe UI"/>
          <w:sz w:val="18"/>
          <w:szCs w:val="18"/>
        </w:rPr>
        <w:t xml:space="preserve"> </w:t>
      </w:r>
      <w:r>
        <w:rPr>
          <w:rFonts w:ascii="Segoe UI" w:eastAsiaTheme="minorHAnsi" w:hAnsi="Segoe UI" w:cs="Segoe UI"/>
          <w:b/>
          <w:bCs/>
          <w:sz w:val="18"/>
          <w:szCs w:val="18"/>
        </w:rPr>
        <w:t>488</w:t>
      </w:r>
      <w:r>
        <w:rPr>
          <w:rFonts w:ascii="Segoe UI" w:eastAsiaTheme="minorHAnsi" w:hAnsi="Segoe UI" w:cs="Segoe UI"/>
          <w:sz w:val="18"/>
          <w:szCs w:val="18"/>
        </w:rPr>
        <w:t>, 209-12.</w:t>
      </w:r>
    </w:p>
    <w:p w14:paraId="75EA8C4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Hikosaka K., Ishikawa K., Borjigidai A., Muller O. &amp; Onoda Y. (2006) Temperature acclimation of photosynthesis: Mechanisms involved in the changes in temperature dependence of photosynthetic rate. </w:t>
      </w:r>
      <w:r>
        <w:rPr>
          <w:rFonts w:ascii="Segoe UI" w:eastAsiaTheme="minorHAnsi" w:hAnsi="Segoe UI" w:cs="Segoe UI"/>
          <w:i/>
          <w:iCs/>
          <w:sz w:val="18"/>
          <w:szCs w:val="18"/>
        </w:rPr>
        <w:t>Journal of experimental botany</w:t>
      </w:r>
      <w:r>
        <w:rPr>
          <w:rFonts w:ascii="Segoe UI" w:eastAsiaTheme="minorHAnsi" w:hAnsi="Segoe UI" w:cs="Segoe UI"/>
          <w:sz w:val="18"/>
          <w:szCs w:val="18"/>
        </w:rPr>
        <w:t xml:space="preserve"> </w:t>
      </w:r>
      <w:r>
        <w:rPr>
          <w:rFonts w:ascii="Segoe UI" w:eastAsiaTheme="minorHAnsi" w:hAnsi="Segoe UI" w:cs="Segoe UI"/>
          <w:b/>
          <w:bCs/>
          <w:sz w:val="18"/>
          <w:szCs w:val="18"/>
        </w:rPr>
        <w:t>57</w:t>
      </w:r>
      <w:r>
        <w:rPr>
          <w:rFonts w:ascii="Segoe UI" w:eastAsiaTheme="minorHAnsi" w:hAnsi="Segoe UI" w:cs="Segoe UI"/>
          <w:sz w:val="18"/>
          <w:szCs w:val="18"/>
        </w:rPr>
        <w:t>, 291-302.</w:t>
      </w:r>
    </w:p>
    <w:p w14:paraId="42151DD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Hirota M., Holmgren M., Nes E. &amp; Scheffer M. (2011) Global Resilience of Tropical Forest and Savanna to Critical Transitions. </w:t>
      </w:r>
      <w:r>
        <w:rPr>
          <w:rFonts w:ascii="Segoe UI" w:eastAsiaTheme="minorHAnsi" w:hAnsi="Segoe UI" w:cs="Segoe UI"/>
          <w:i/>
          <w:iCs/>
          <w:sz w:val="18"/>
          <w:szCs w:val="18"/>
        </w:rPr>
        <w:t>Science (New York, N.Y.)</w:t>
      </w:r>
      <w:r>
        <w:rPr>
          <w:rFonts w:ascii="Segoe UI" w:eastAsiaTheme="minorHAnsi" w:hAnsi="Segoe UI" w:cs="Segoe UI"/>
          <w:sz w:val="18"/>
          <w:szCs w:val="18"/>
        </w:rPr>
        <w:t xml:space="preserve"> </w:t>
      </w:r>
      <w:r>
        <w:rPr>
          <w:rFonts w:ascii="Segoe UI" w:eastAsiaTheme="minorHAnsi" w:hAnsi="Segoe UI" w:cs="Segoe UI"/>
          <w:b/>
          <w:bCs/>
          <w:sz w:val="18"/>
          <w:szCs w:val="18"/>
        </w:rPr>
        <w:t>334</w:t>
      </w:r>
      <w:r>
        <w:rPr>
          <w:rFonts w:ascii="Segoe UI" w:eastAsiaTheme="minorHAnsi" w:hAnsi="Segoe UI" w:cs="Segoe UI"/>
          <w:sz w:val="18"/>
          <w:szCs w:val="18"/>
        </w:rPr>
        <w:t>, 232-5.</w:t>
      </w:r>
    </w:p>
    <w:p w14:paraId="3F27BAF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Hoffmann A. A., Chown S. L. &amp; Clusella-Trullas S. (2013) Upper thermal limits in terrestrial ectotherms: how constrained are they? </w:t>
      </w:r>
      <w:r>
        <w:rPr>
          <w:rFonts w:ascii="Segoe UI" w:eastAsiaTheme="minorHAnsi" w:hAnsi="Segoe UI" w:cs="Segoe UI"/>
          <w:i/>
          <w:iCs/>
          <w:sz w:val="18"/>
          <w:szCs w:val="18"/>
        </w:rPr>
        <w:t>Functional Ecology</w:t>
      </w:r>
      <w:r>
        <w:rPr>
          <w:rFonts w:ascii="Segoe UI" w:eastAsiaTheme="minorHAnsi" w:hAnsi="Segoe UI" w:cs="Segoe UI"/>
          <w:sz w:val="18"/>
          <w:szCs w:val="18"/>
        </w:rPr>
        <w:t xml:space="preserve"> </w:t>
      </w:r>
      <w:r>
        <w:rPr>
          <w:rFonts w:ascii="Segoe UI" w:eastAsiaTheme="minorHAnsi" w:hAnsi="Segoe UI" w:cs="Segoe UI"/>
          <w:b/>
          <w:bCs/>
          <w:sz w:val="18"/>
          <w:szCs w:val="18"/>
        </w:rPr>
        <w:t>27</w:t>
      </w:r>
      <w:r>
        <w:rPr>
          <w:rFonts w:ascii="Segoe UI" w:eastAsiaTheme="minorHAnsi" w:hAnsi="Segoe UI" w:cs="Segoe UI"/>
          <w:sz w:val="18"/>
          <w:szCs w:val="18"/>
        </w:rPr>
        <w:t>, 934 - 49.</w:t>
      </w:r>
    </w:p>
    <w:p w14:paraId="723C967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Houghton R., House J., Pongratz J., Werf G., Defries R., Hansen M., Le Quéré C. &amp; Ramankutty N. (2012) Chapter G2 Carbon emissions from land use and land-cover change. </w:t>
      </w:r>
      <w:r>
        <w:rPr>
          <w:rFonts w:ascii="Segoe UI" w:eastAsiaTheme="minorHAnsi" w:hAnsi="Segoe UI" w:cs="Segoe UI"/>
          <w:i/>
          <w:iCs/>
          <w:sz w:val="18"/>
          <w:szCs w:val="18"/>
        </w:rPr>
        <w:t>Biogeosciences</w:t>
      </w:r>
      <w:r>
        <w:rPr>
          <w:rFonts w:ascii="Segoe UI" w:eastAsiaTheme="minorHAnsi" w:hAnsi="Segoe UI" w:cs="Segoe UI"/>
          <w:sz w:val="18"/>
          <w:szCs w:val="18"/>
        </w:rPr>
        <w:t xml:space="preserve"> </w:t>
      </w:r>
      <w:r>
        <w:rPr>
          <w:rFonts w:ascii="Segoe UI" w:eastAsiaTheme="minorHAnsi" w:hAnsi="Segoe UI" w:cs="Segoe UI"/>
          <w:b/>
          <w:bCs/>
          <w:sz w:val="18"/>
          <w:szCs w:val="18"/>
        </w:rPr>
        <w:t>9</w:t>
      </w:r>
      <w:r>
        <w:rPr>
          <w:rFonts w:ascii="Segoe UI" w:eastAsiaTheme="minorHAnsi" w:hAnsi="Segoe UI" w:cs="Segoe UI"/>
          <w:sz w:val="18"/>
          <w:szCs w:val="18"/>
        </w:rPr>
        <w:t>, 5125-42.</w:t>
      </w:r>
    </w:p>
    <w:p w14:paraId="1964E29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Howden S. M., Crimp S. J. &amp; Nelson R. M. (2010) Australian agriculture in a climate of change. In: </w:t>
      </w:r>
      <w:r>
        <w:rPr>
          <w:rFonts w:ascii="Segoe UI" w:eastAsiaTheme="minorHAnsi" w:hAnsi="Segoe UI" w:cs="Segoe UI"/>
          <w:i/>
          <w:iCs/>
          <w:sz w:val="18"/>
          <w:szCs w:val="18"/>
        </w:rPr>
        <w:t>GREENHOUSE 2009: Climate change and resources</w:t>
      </w:r>
      <w:r>
        <w:rPr>
          <w:rFonts w:ascii="Segoe UI" w:eastAsiaTheme="minorHAnsi" w:hAnsi="Segoe UI" w:cs="Segoe UI"/>
          <w:sz w:val="18"/>
          <w:szCs w:val="18"/>
        </w:rPr>
        <w:t xml:space="preserve"> (eds I. Jubb and P. Holper). CSIRO Publishing.</w:t>
      </w:r>
    </w:p>
    <w:p w14:paraId="4E559DD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Hunter M. (2001) Effects of Elevated Atmospheric Carbon Dioxide on Insect-Plant Interactions. </w:t>
      </w:r>
      <w:r>
        <w:rPr>
          <w:rFonts w:ascii="Segoe UI" w:eastAsiaTheme="minorHAnsi" w:hAnsi="Segoe UI" w:cs="Segoe UI"/>
          <w:i/>
          <w:iCs/>
          <w:sz w:val="18"/>
          <w:szCs w:val="18"/>
        </w:rPr>
        <w:t>Agricultural and Forest Entomology</w:t>
      </w:r>
      <w:r>
        <w:rPr>
          <w:rFonts w:ascii="Segoe UI" w:eastAsiaTheme="minorHAnsi" w:hAnsi="Segoe UI" w:cs="Segoe UI"/>
          <w:sz w:val="18"/>
          <w:szCs w:val="18"/>
        </w:rPr>
        <w:t xml:space="preserve"> </w:t>
      </w:r>
      <w:r>
        <w:rPr>
          <w:rFonts w:ascii="Segoe UI" w:eastAsiaTheme="minorHAnsi" w:hAnsi="Segoe UI" w:cs="Segoe UI"/>
          <w:b/>
          <w:bCs/>
          <w:sz w:val="18"/>
          <w:szCs w:val="18"/>
        </w:rPr>
        <w:t>3</w:t>
      </w:r>
      <w:r>
        <w:rPr>
          <w:rFonts w:ascii="Segoe UI" w:eastAsiaTheme="minorHAnsi" w:hAnsi="Segoe UI" w:cs="Segoe UI"/>
          <w:sz w:val="18"/>
          <w:szCs w:val="18"/>
        </w:rPr>
        <w:t>, 153-9.</w:t>
      </w:r>
    </w:p>
    <w:p w14:paraId="4594F28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Huth N. I., Carberry P. S., Cocks B., Graham S., McGinness H. &amp; O’Connell D. (2008) Managing drought risk in eucalypt seedling establishment: An analysis using experiment and model.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255</w:t>
      </w:r>
      <w:r>
        <w:rPr>
          <w:rFonts w:ascii="Segoe UI" w:eastAsiaTheme="minorHAnsi" w:hAnsi="Segoe UI" w:cs="Segoe UI"/>
          <w:sz w:val="18"/>
          <w:szCs w:val="18"/>
        </w:rPr>
        <w:t>, 3307-17.</w:t>
      </w:r>
    </w:p>
    <w:p w14:paraId="7E2A2D4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Hyvönen R., Ågren G. I., Linder S., Persson T., Cotrufo M. F., Ekblad A., Freeman M., Grelle A., Janssens I., Jarvis P., Kellomäki S., Lindroth A., Loustau D., Lundmark T., Norby R., Oren R., Pilegaard K., Ryan M., Sigurdsson B. &amp; Wallin G. (2007) The likely impact of elevated [CO2], nitrogen deposition, increased temperature and management on carbon sequestration in temperate and boreal forest ecosystems: A literature review. </w:t>
      </w:r>
      <w:r>
        <w:rPr>
          <w:rFonts w:ascii="Segoe UI" w:eastAsiaTheme="minorHAnsi" w:hAnsi="Segoe UI" w:cs="Segoe UI"/>
          <w:i/>
          <w:iCs/>
          <w:sz w:val="18"/>
          <w:szCs w:val="18"/>
        </w:rPr>
        <w:t>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173</w:t>
      </w:r>
      <w:r>
        <w:rPr>
          <w:rFonts w:ascii="Segoe UI" w:eastAsiaTheme="minorHAnsi" w:hAnsi="Segoe UI" w:cs="Segoe UI"/>
          <w:sz w:val="18"/>
          <w:szCs w:val="18"/>
        </w:rPr>
        <w:t>, 463-80.</w:t>
      </w:r>
    </w:p>
    <w:p w14:paraId="33186BD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Inouye D. (2000) The ecological and evolutionary significance of frost in the context of climate change. </w:t>
      </w:r>
      <w:r>
        <w:rPr>
          <w:rFonts w:ascii="Segoe UI" w:eastAsiaTheme="minorHAnsi" w:hAnsi="Segoe UI" w:cs="Segoe UI"/>
          <w:i/>
          <w:iCs/>
          <w:sz w:val="18"/>
          <w:szCs w:val="18"/>
        </w:rPr>
        <w:t>Ecology Letters</w:t>
      </w:r>
      <w:r>
        <w:rPr>
          <w:rFonts w:ascii="Segoe UI" w:eastAsiaTheme="minorHAnsi" w:hAnsi="Segoe UI" w:cs="Segoe UI"/>
          <w:sz w:val="18"/>
          <w:szCs w:val="18"/>
        </w:rPr>
        <w:t xml:space="preserve"> </w:t>
      </w:r>
      <w:r>
        <w:rPr>
          <w:rFonts w:ascii="Segoe UI" w:eastAsiaTheme="minorHAnsi" w:hAnsi="Segoe UI" w:cs="Segoe UI"/>
          <w:b/>
          <w:bCs/>
          <w:sz w:val="18"/>
          <w:szCs w:val="18"/>
        </w:rPr>
        <w:t>3</w:t>
      </w:r>
      <w:r>
        <w:rPr>
          <w:rFonts w:ascii="Segoe UI" w:eastAsiaTheme="minorHAnsi" w:hAnsi="Segoe UI" w:cs="Segoe UI"/>
          <w:sz w:val="18"/>
          <w:szCs w:val="18"/>
        </w:rPr>
        <w:t>.</w:t>
      </w:r>
    </w:p>
    <w:p w14:paraId="4AECF52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Jenkinson D. S., Adams D. E. &amp; Wild A. (1991) Model estimates of CO2 emissions from soil in response to global warming. </w:t>
      </w:r>
      <w:r>
        <w:rPr>
          <w:rFonts w:ascii="Segoe UI" w:eastAsiaTheme="minorHAnsi" w:hAnsi="Segoe UI" w:cs="Segoe UI"/>
          <w:i/>
          <w:iCs/>
          <w:sz w:val="18"/>
          <w:szCs w:val="18"/>
        </w:rPr>
        <w:t>Nature</w:t>
      </w:r>
      <w:r>
        <w:rPr>
          <w:rFonts w:ascii="Segoe UI" w:eastAsiaTheme="minorHAnsi" w:hAnsi="Segoe UI" w:cs="Segoe UI"/>
          <w:sz w:val="18"/>
          <w:szCs w:val="18"/>
        </w:rPr>
        <w:t xml:space="preserve"> </w:t>
      </w:r>
      <w:r>
        <w:rPr>
          <w:rFonts w:ascii="Segoe UI" w:eastAsiaTheme="minorHAnsi" w:hAnsi="Segoe UI" w:cs="Segoe UI"/>
          <w:b/>
          <w:bCs/>
          <w:sz w:val="18"/>
          <w:szCs w:val="18"/>
        </w:rPr>
        <w:t>351</w:t>
      </w:r>
      <w:r>
        <w:rPr>
          <w:rFonts w:ascii="Segoe UI" w:eastAsiaTheme="minorHAnsi" w:hAnsi="Segoe UI" w:cs="Segoe UI"/>
          <w:sz w:val="18"/>
          <w:szCs w:val="18"/>
        </w:rPr>
        <w:t>, 304-6.</w:t>
      </w:r>
    </w:p>
    <w:p w14:paraId="7F86F81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Jiang M., Medlyn B. E., Drake J. E., Duursma R. A., Anderson I. C., Barton C. V. M., Boer M. M., Carrillo Y., Castañeda-Gómez L., Collins L., Crous K. Y., De Kauwe M. G., dos Santos B. M., Emmerson K. M., Facey S. L., Gherlenda A. N., Gimeno T. E., Hasegawa S., Johnson S. N., Kännaste A., Macdonald C. A., Mahmud K., Moore B. D., Nazaries L., Neilson E. H. J., Nielsen U. N., Niinemets Ü., Noh N. J., Ochoa-Hueso R., Pathare V. S., Pendall E., Pihlblad J., Piñeiro J., Powell J. R., Power S. A., Reich P. B., Renchon A. A., Riegler M., Rinnan R., Rymer P. D., Salomón R. L., Singh B. K., Smith B., Tjoelker M. G., Walker J. K. M., Wujeska-Klause A., Yang J., Zaehle S. &amp; Ellsworth D. S. (2020) The fate of carbon in a mature forest under carbon dioxide enrichment. </w:t>
      </w:r>
      <w:r>
        <w:rPr>
          <w:rFonts w:ascii="Segoe UI" w:eastAsiaTheme="minorHAnsi" w:hAnsi="Segoe UI" w:cs="Segoe UI"/>
          <w:i/>
          <w:iCs/>
          <w:sz w:val="18"/>
          <w:szCs w:val="18"/>
        </w:rPr>
        <w:t>Nature</w:t>
      </w:r>
      <w:r>
        <w:rPr>
          <w:rFonts w:ascii="Segoe UI" w:eastAsiaTheme="minorHAnsi" w:hAnsi="Segoe UI" w:cs="Segoe UI"/>
          <w:sz w:val="18"/>
          <w:szCs w:val="18"/>
        </w:rPr>
        <w:t xml:space="preserve"> </w:t>
      </w:r>
      <w:r>
        <w:rPr>
          <w:rFonts w:ascii="Segoe UI" w:eastAsiaTheme="minorHAnsi" w:hAnsi="Segoe UI" w:cs="Segoe UI"/>
          <w:b/>
          <w:bCs/>
          <w:sz w:val="18"/>
          <w:szCs w:val="18"/>
        </w:rPr>
        <w:t>580</w:t>
      </w:r>
      <w:r>
        <w:rPr>
          <w:rFonts w:ascii="Segoe UI" w:eastAsiaTheme="minorHAnsi" w:hAnsi="Segoe UI" w:cs="Segoe UI"/>
          <w:sz w:val="18"/>
          <w:szCs w:val="18"/>
        </w:rPr>
        <w:t>, 227-31.</w:t>
      </w:r>
    </w:p>
    <w:p w14:paraId="77E9944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Jobbágy E. &amp; Jackson R. (2000) The Vertical Distribution of Soil Organic Carbon and Its Relation to Climate and Vegetation. </w:t>
      </w:r>
      <w:r>
        <w:rPr>
          <w:rFonts w:ascii="Segoe UI" w:eastAsiaTheme="minorHAnsi" w:hAnsi="Segoe UI" w:cs="Segoe UI"/>
          <w:i/>
          <w:iCs/>
          <w:sz w:val="18"/>
          <w:szCs w:val="18"/>
        </w:rPr>
        <w:t>ECOLOGICAL APPLICATIONS</w:t>
      </w:r>
      <w:r>
        <w:rPr>
          <w:rFonts w:ascii="Segoe UI" w:eastAsiaTheme="minorHAnsi" w:hAnsi="Segoe UI" w:cs="Segoe UI"/>
          <w:sz w:val="18"/>
          <w:szCs w:val="18"/>
        </w:rPr>
        <w:t xml:space="preserve"> </w:t>
      </w:r>
      <w:r>
        <w:rPr>
          <w:rFonts w:ascii="Segoe UI" w:eastAsiaTheme="minorHAnsi" w:hAnsi="Segoe UI" w:cs="Segoe UI"/>
          <w:b/>
          <w:bCs/>
          <w:sz w:val="18"/>
          <w:szCs w:val="18"/>
        </w:rPr>
        <w:t>10</w:t>
      </w:r>
      <w:r>
        <w:rPr>
          <w:rFonts w:ascii="Segoe UI" w:eastAsiaTheme="minorHAnsi" w:hAnsi="Segoe UI" w:cs="Segoe UI"/>
          <w:sz w:val="18"/>
          <w:szCs w:val="18"/>
        </w:rPr>
        <w:t>, 423-36.</w:t>
      </w:r>
    </w:p>
    <w:p w14:paraId="56E9571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Joyce L. A., Kellomaki S., Louman B., Ogden A. E., Parrotta J. &amp; Thompson I. (2009) Management and Adaptation. In: </w:t>
      </w:r>
      <w:r>
        <w:rPr>
          <w:rFonts w:ascii="Segoe UI" w:eastAsiaTheme="minorHAnsi" w:hAnsi="Segoe UI" w:cs="Segoe UI"/>
          <w:i/>
          <w:iCs/>
          <w:sz w:val="18"/>
          <w:szCs w:val="18"/>
        </w:rPr>
        <w:t>Adaptation of forests and people to climate change - a global assessment report</w:t>
      </w:r>
      <w:r>
        <w:rPr>
          <w:rFonts w:ascii="Segoe UI" w:eastAsiaTheme="minorHAnsi" w:hAnsi="Segoe UI" w:cs="Segoe UI"/>
          <w:sz w:val="18"/>
          <w:szCs w:val="18"/>
        </w:rPr>
        <w:t xml:space="preserve"> (eds R. Seppala, A. Buck and P. Katila) Vol. IUFRO World Series Volume 22 pp. 135 - 86. IUFRO.</w:t>
      </w:r>
    </w:p>
    <w:p w14:paraId="50BF8A6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Julien Y., Sobrino J. &amp; Verhoef W. (2006) Julien Y, Sobrino JA, Verhoef W. Changes in land surface temperatures and NDVI values over Europe between 1982 and 1999. Remote Sensing of Environment. </w:t>
      </w:r>
      <w:r>
        <w:rPr>
          <w:rFonts w:ascii="Segoe UI" w:eastAsiaTheme="minorHAnsi" w:hAnsi="Segoe UI" w:cs="Segoe UI"/>
          <w:i/>
          <w:iCs/>
          <w:sz w:val="18"/>
          <w:szCs w:val="18"/>
        </w:rPr>
        <w:t>Remote Sensing of Environment</w:t>
      </w:r>
      <w:r>
        <w:rPr>
          <w:rFonts w:ascii="Segoe UI" w:eastAsiaTheme="minorHAnsi" w:hAnsi="Segoe UI" w:cs="Segoe UI"/>
          <w:sz w:val="18"/>
          <w:szCs w:val="18"/>
        </w:rPr>
        <w:t xml:space="preserve"> </w:t>
      </w:r>
      <w:r>
        <w:rPr>
          <w:rFonts w:ascii="Segoe UI" w:eastAsiaTheme="minorHAnsi" w:hAnsi="Segoe UI" w:cs="Segoe UI"/>
          <w:b/>
          <w:bCs/>
          <w:sz w:val="18"/>
          <w:szCs w:val="18"/>
        </w:rPr>
        <w:t>103</w:t>
      </w:r>
      <w:r>
        <w:rPr>
          <w:rFonts w:ascii="Segoe UI" w:eastAsiaTheme="minorHAnsi" w:hAnsi="Segoe UI" w:cs="Segoe UI"/>
          <w:sz w:val="18"/>
          <w:szCs w:val="18"/>
        </w:rPr>
        <w:t>, 43-55.</w:t>
      </w:r>
    </w:p>
    <w:p w14:paraId="5F2CE12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Kainulainen P., Holopainen J. K. &amp; Holopainen T. (1998) The influence of elevated CO2 and O3 concentrations on Scots pine needles: changes in starch and secondary metabolites over three exposure years. </w:t>
      </w:r>
      <w:r>
        <w:rPr>
          <w:rFonts w:ascii="Segoe UI" w:eastAsiaTheme="minorHAnsi" w:hAnsi="Segoe UI" w:cs="Segoe UI"/>
          <w:i/>
          <w:iCs/>
          <w:sz w:val="18"/>
          <w:szCs w:val="18"/>
        </w:rPr>
        <w:t>Oecologia</w:t>
      </w:r>
      <w:r>
        <w:rPr>
          <w:rFonts w:ascii="Segoe UI" w:eastAsiaTheme="minorHAnsi" w:hAnsi="Segoe UI" w:cs="Segoe UI"/>
          <w:sz w:val="18"/>
          <w:szCs w:val="18"/>
        </w:rPr>
        <w:t xml:space="preserve"> </w:t>
      </w:r>
      <w:r>
        <w:rPr>
          <w:rFonts w:ascii="Segoe UI" w:eastAsiaTheme="minorHAnsi" w:hAnsi="Segoe UI" w:cs="Segoe UI"/>
          <w:b/>
          <w:bCs/>
          <w:sz w:val="18"/>
          <w:szCs w:val="18"/>
        </w:rPr>
        <w:t>114</w:t>
      </w:r>
      <w:r>
        <w:rPr>
          <w:rFonts w:ascii="Segoe UI" w:eastAsiaTheme="minorHAnsi" w:hAnsi="Segoe UI" w:cs="Segoe UI"/>
          <w:sz w:val="18"/>
          <w:szCs w:val="18"/>
        </w:rPr>
        <w:t>, 455-60.</w:t>
      </w:r>
    </w:p>
    <w:p w14:paraId="57C6E2F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Kallenbach C. M., Wallenstein M. D., Schipanksi M. E. &amp; Grandy A. S. (2019) Managing Agroecosystems for Soil Microbial Carbon Use Efficiency: Ecological Unknowns, Potential Outcomes, and a Path Forward. </w:t>
      </w:r>
      <w:r>
        <w:rPr>
          <w:rFonts w:ascii="Segoe UI" w:eastAsiaTheme="minorHAnsi" w:hAnsi="Segoe UI" w:cs="Segoe UI"/>
          <w:i/>
          <w:iCs/>
          <w:sz w:val="18"/>
          <w:szCs w:val="18"/>
        </w:rPr>
        <w:t>Frontiers in Microbiology</w:t>
      </w:r>
      <w:r>
        <w:rPr>
          <w:rFonts w:ascii="Segoe UI" w:eastAsiaTheme="minorHAnsi" w:hAnsi="Segoe UI" w:cs="Segoe UI"/>
          <w:sz w:val="18"/>
          <w:szCs w:val="18"/>
        </w:rPr>
        <w:t xml:space="preserve"> </w:t>
      </w:r>
      <w:r>
        <w:rPr>
          <w:rFonts w:ascii="Segoe UI" w:eastAsiaTheme="minorHAnsi" w:hAnsi="Segoe UI" w:cs="Segoe UI"/>
          <w:b/>
          <w:bCs/>
          <w:sz w:val="18"/>
          <w:szCs w:val="18"/>
        </w:rPr>
        <w:t>10</w:t>
      </w:r>
      <w:r>
        <w:rPr>
          <w:rFonts w:ascii="Segoe UI" w:eastAsiaTheme="minorHAnsi" w:hAnsi="Segoe UI" w:cs="Segoe UI"/>
          <w:sz w:val="18"/>
          <w:szCs w:val="18"/>
        </w:rPr>
        <w:t>, 1146.</w:t>
      </w:r>
    </w:p>
    <w:p w14:paraId="03FF293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Kanniah K., Beringer J. &amp; Hutley L. (2013) Response of gross primary productivity to interannual variability in rainfall: Results of a remote sensing based light use efficiency model. </w:t>
      </w:r>
      <w:r>
        <w:rPr>
          <w:rFonts w:ascii="Segoe UI" w:eastAsiaTheme="minorHAnsi" w:hAnsi="Segoe UI" w:cs="Segoe UI"/>
          <w:i/>
          <w:iCs/>
          <w:sz w:val="18"/>
          <w:szCs w:val="18"/>
        </w:rPr>
        <w:t>Progress in Physical Geography</w:t>
      </w:r>
      <w:r>
        <w:rPr>
          <w:rFonts w:ascii="Segoe UI" w:eastAsiaTheme="minorHAnsi" w:hAnsi="Segoe UI" w:cs="Segoe UI"/>
          <w:sz w:val="18"/>
          <w:szCs w:val="18"/>
        </w:rPr>
        <w:t xml:space="preserve"> </w:t>
      </w:r>
      <w:r>
        <w:rPr>
          <w:rFonts w:ascii="Segoe UI" w:eastAsiaTheme="minorHAnsi" w:hAnsi="Segoe UI" w:cs="Segoe UI"/>
          <w:b/>
          <w:bCs/>
          <w:sz w:val="18"/>
          <w:szCs w:val="18"/>
        </w:rPr>
        <w:t>37</w:t>
      </w:r>
      <w:r>
        <w:rPr>
          <w:rFonts w:ascii="Segoe UI" w:eastAsiaTheme="minorHAnsi" w:hAnsi="Segoe UI" w:cs="Segoe UI"/>
          <w:sz w:val="18"/>
          <w:szCs w:val="18"/>
        </w:rPr>
        <w:t>, 642-63.</w:t>
      </w:r>
    </w:p>
    <w:p w14:paraId="6EDC7E3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Karunaratne S. B., Bishop T. F. A., Odeh I. O. A., Baldock J. A. &amp; Marchant B. P. (2014) Estimating change in soil organic carbon using legacy data as the baseline: issues, approaches and lessons to learn. </w:t>
      </w:r>
      <w:r>
        <w:rPr>
          <w:rFonts w:ascii="Segoe UI" w:eastAsiaTheme="minorHAnsi" w:hAnsi="Segoe UI" w:cs="Segoe UI"/>
          <w:i/>
          <w:iCs/>
          <w:sz w:val="18"/>
          <w:szCs w:val="18"/>
        </w:rPr>
        <w:t>Soil Research</w:t>
      </w:r>
      <w:r>
        <w:rPr>
          <w:rFonts w:ascii="Segoe UI" w:eastAsiaTheme="minorHAnsi" w:hAnsi="Segoe UI" w:cs="Segoe UI"/>
          <w:sz w:val="18"/>
          <w:szCs w:val="18"/>
        </w:rPr>
        <w:t xml:space="preserve"> </w:t>
      </w:r>
      <w:r>
        <w:rPr>
          <w:rFonts w:ascii="Segoe UI" w:eastAsiaTheme="minorHAnsi" w:hAnsi="Segoe UI" w:cs="Segoe UI"/>
          <w:b/>
          <w:bCs/>
          <w:sz w:val="18"/>
          <w:szCs w:val="18"/>
        </w:rPr>
        <w:t>52</w:t>
      </w:r>
      <w:r>
        <w:rPr>
          <w:rFonts w:ascii="Segoe UI" w:eastAsiaTheme="minorHAnsi" w:hAnsi="Segoe UI" w:cs="Segoe UI"/>
          <w:sz w:val="18"/>
          <w:szCs w:val="18"/>
        </w:rPr>
        <w:t>, 349-65.</w:t>
      </w:r>
    </w:p>
    <w:p w14:paraId="1BE1F08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Kelleway J., Serrano O., Baldock J., Cannard T., Lavery P., Lovelock C., Macreadie P., Masque P., Saintilan N. &amp; Steven A. (2017) Technical review of opportunities for coastal blue carbon ecosystem enhancement through the Australian Government’s Emissions Reduction Fund. Canberra, Australia: Department of the Environment and Energy, Commonwealth of Australia.</w:t>
      </w:r>
    </w:p>
    <w:p w14:paraId="45D50C8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Kirono D. G. C., Kent D. M., Hennessy K. J. &amp; Mpelasoka F. (2011) Characteristics of Australian droughts under enhanced greenhouse conditions: Results from 14 global climate models. </w:t>
      </w:r>
      <w:r>
        <w:rPr>
          <w:rFonts w:ascii="Segoe UI" w:eastAsiaTheme="minorHAnsi" w:hAnsi="Segoe UI" w:cs="Segoe UI"/>
          <w:i/>
          <w:iCs/>
          <w:sz w:val="18"/>
          <w:szCs w:val="18"/>
        </w:rPr>
        <w:t>Journal of Arid Environments</w:t>
      </w:r>
      <w:r>
        <w:rPr>
          <w:rFonts w:ascii="Segoe UI" w:eastAsiaTheme="minorHAnsi" w:hAnsi="Segoe UI" w:cs="Segoe UI"/>
          <w:sz w:val="18"/>
          <w:szCs w:val="18"/>
        </w:rPr>
        <w:t xml:space="preserve"> </w:t>
      </w:r>
      <w:r>
        <w:rPr>
          <w:rFonts w:ascii="Segoe UI" w:eastAsiaTheme="minorHAnsi" w:hAnsi="Segoe UI" w:cs="Segoe UI"/>
          <w:b/>
          <w:bCs/>
          <w:sz w:val="18"/>
          <w:szCs w:val="18"/>
        </w:rPr>
        <w:t>75</w:t>
      </w:r>
      <w:r>
        <w:rPr>
          <w:rFonts w:ascii="Segoe UI" w:eastAsiaTheme="minorHAnsi" w:hAnsi="Segoe UI" w:cs="Segoe UI"/>
          <w:sz w:val="18"/>
          <w:szCs w:val="18"/>
        </w:rPr>
        <w:t>, 566-75.</w:t>
      </w:r>
    </w:p>
    <w:p w14:paraId="194EC50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Kirschbaum M. (2004) Direct and Indirect Climate Change Effects on Photosynthesis and Transpiration. </w:t>
      </w:r>
      <w:r>
        <w:rPr>
          <w:rFonts w:ascii="Segoe UI" w:eastAsiaTheme="minorHAnsi" w:hAnsi="Segoe UI" w:cs="Segoe UI"/>
          <w:i/>
          <w:iCs/>
          <w:sz w:val="18"/>
          <w:szCs w:val="18"/>
        </w:rPr>
        <w:t>Plant biology (Stuttgart, Germany)</w:t>
      </w:r>
      <w:r>
        <w:rPr>
          <w:rFonts w:ascii="Segoe UI" w:eastAsiaTheme="minorHAnsi" w:hAnsi="Segoe UI" w:cs="Segoe UI"/>
          <w:sz w:val="18"/>
          <w:szCs w:val="18"/>
        </w:rPr>
        <w:t xml:space="preserve"> </w:t>
      </w:r>
      <w:r>
        <w:rPr>
          <w:rFonts w:ascii="Segoe UI" w:eastAsiaTheme="minorHAnsi" w:hAnsi="Segoe UI" w:cs="Segoe UI"/>
          <w:b/>
          <w:bCs/>
          <w:sz w:val="18"/>
          <w:szCs w:val="18"/>
        </w:rPr>
        <w:t>6</w:t>
      </w:r>
      <w:r>
        <w:rPr>
          <w:rFonts w:ascii="Segoe UI" w:eastAsiaTheme="minorHAnsi" w:hAnsi="Segoe UI" w:cs="Segoe UI"/>
          <w:sz w:val="18"/>
          <w:szCs w:val="18"/>
        </w:rPr>
        <w:t>, 242-53.</w:t>
      </w:r>
    </w:p>
    <w:p w14:paraId="7DE96E8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Körner C., Asshoff R., Bignucolo O., Hättenschwiler S., Keel S., Peláez-Riedl S., Pepin S., Siegwolf R. &amp; Zotz G. (2005) Ecology: Carbon flux and growth in mature deciduous forest trees exposed to elevated CO2. </w:t>
      </w:r>
      <w:r>
        <w:rPr>
          <w:rFonts w:ascii="Segoe UI" w:eastAsiaTheme="minorHAnsi" w:hAnsi="Segoe UI" w:cs="Segoe UI"/>
          <w:i/>
          <w:iCs/>
          <w:sz w:val="18"/>
          <w:szCs w:val="18"/>
        </w:rPr>
        <w:t>Science (New York, N.Y.)</w:t>
      </w:r>
      <w:r>
        <w:rPr>
          <w:rFonts w:ascii="Segoe UI" w:eastAsiaTheme="minorHAnsi" w:hAnsi="Segoe UI" w:cs="Segoe UI"/>
          <w:sz w:val="18"/>
          <w:szCs w:val="18"/>
        </w:rPr>
        <w:t xml:space="preserve"> </w:t>
      </w:r>
      <w:r>
        <w:rPr>
          <w:rFonts w:ascii="Segoe UI" w:eastAsiaTheme="minorHAnsi" w:hAnsi="Segoe UI" w:cs="Segoe UI"/>
          <w:b/>
          <w:bCs/>
          <w:sz w:val="18"/>
          <w:szCs w:val="18"/>
        </w:rPr>
        <w:t>309</w:t>
      </w:r>
      <w:r>
        <w:rPr>
          <w:rFonts w:ascii="Segoe UI" w:eastAsiaTheme="minorHAnsi" w:hAnsi="Segoe UI" w:cs="Segoe UI"/>
          <w:sz w:val="18"/>
          <w:szCs w:val="18"/>
        </w:rPr>
        <w:t>, 1360-2.</w:t>
      </w:r>
    </w:p>
    <w:p w14:paraId="7F428B8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Kriticos D., Crossman N., Ota N. &amp; Scott J. (2010) </w:t>
      </w:r>
      <w:r>
        <w:rPr>
          <w:rFonts w:ascii="Segoe UI" w:eastAsiaTheme="minorHAnsi" w:hAnsi="Segoe UI" w:cs="Segoe UI"/>
          <w:i/>
          <w:iCs/>
          <w:sz w:val="18"/>
          <w:szCs w:val="18"/>
        </w:rPr>
        <w:t>Climate change and invasive plants in South Australia</w:t>
      </w:r>
      <w:r>
        <w:rPr>
          <w:rFonts w:ascii="Segoe UI" w:eastAsiaTheme="minorHAnsi" w:hAnsi="Segoe UI" w:cs="Segoe UI"/>
          <w:sz w:val="18"/>
          <w:szCs w:val="18"/>
        </w:rPr>
        <w:t>.</w:t>
      </w:r>
    </w:p>
    <w:p w14:paraId="36EFD3B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Kriticos D. J., Sutherst R. W., Brown J. R., Adkins S. W. &amp; Maywald G. F. (2003) Climate change and the potential distribution of an invasive alien plant: Acacia nilotica ssp. indica in Australia. </w:t>
      </w:r>
      <w:r>
        <w:rPr>
          <w:rFonts w:ascii="Segoe UI" w:eastAsiaTheme="minorHAnsi" w:hAnsi="Segoe UI" w:cs="Segoe UI"/>
          <w:i/>
          <w:iCs/>
          <w:sz w:val="18"/>
          <w:szCs w:val="18"/>
        </w:rPr>
        <w:t>Journal of Applied Ecology</w:t>
      </w:r>
      <w:r>
        <w:rPr>
          <w:rFonts w:ascii="Segoe UI" w:eastAsiaTheme="minorHAnsi" w:hAnsi="Segoe UI" w:cs="Segoe UI"/>
          <w:sz w:val="18"/>
          <w:szCs w:val="18"/>
        </w:rPr>
        <w:t xml:space="preserve"> </w:t>
      </w:r>
      <w:r>
        <w:rPr>
          <w:rFonts w:ascii="Segoe UI" w:eastAsiaTheme="minorHAnsi" w:hAnsi="Segoe UI" w:cs="Segoe UI"/>
          <w:b/>
          <w:bCs/>
          <w:sz w:val="18"/>
          <w:szCs w:val="18"/>
        </w:rPr>
        <w:t>40</w:t>
      </w:r>
      <w:r>
        <w:rPr>
          <w:rFonts w:ascii="Segoe UI" w:eastAsiaTheme="minorHAnsi" w:hAnsi="Segoe UI" w:cs="Segoe UI"/>
          <w:sz w:val="18"/>
          <w:szCs w:val="18"/>
        </w:rPr>
        <w:t>, 111-24.</w:t>
      </w:r>
    </w:p>
    <w:p w14:paraId="299A28A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Kuzyakov Y., Friedel J. &amp; Stahr K. (2000) Kuzyakov Y, Friedel JK, Stahr K.. Review of mechanisms and quantification of priming effects. Soil Biol Biochem 32: 1485-1498. </w:t>
      </w:r>
      <w:r>
        <w:rPr>
          <w:rFonts w:ascii="Segoe UI" w:eastAsiaTheme="minorHAnsi" w:hAnsi="Segoe UI" w:cs="Segoe UI"/>
          <w:i/>
          <w:iCs/>
          <w:sz w:val="18"/>
          <w:szCs w:val="18"/>
        </w:rPr>
        <w:t>Soil Biology and Biochemistry</w:t>
      </w:r>
      <w:r>
        <w:rPr>
          <w:rFonts w:ascii="Segoe UI" w:eastAsiaTheme="minorHAnsi" w:hAnsi="Segoe UI" w:cs="Segoe UI"/>
          <w:sz w:val="18"/>
          <w:szCs w:val="18"/>
        </w:rPr>
        <w:t xml:space="preserve"> </w:t>
      </w:r>
      <w:r>
        <w:rPr>
          <w:rFonts w:ascii="Segoe UI" w:eastAsiaTheme="minorHAnsi" w:hAnsi="Segoe UI" w:cs="Segoe UI"/>
          <w:b/>
          <w:bCs/>
          <w:sz w:val="18"/>
          <w:szCs w:val="18"/>
        </w:rPr>
        <w:t>32</w:t>
      </w:r>
      <w:r>
        <w:rPr>
          <w:rFonts w:ascii="Segoe UI" w:eastAsiaTheme="minorHAnsi" w:hAnsi="Segoe UI" w:cs="Segoe UI"/>
          <w:sz w:val="18"/>
          <w:szCs w:val="18"/>
        </w:rPr>
        <w:t>, 1485.</w:t>
      </w:r>
    </w:p>
    <w:p w14:paraId="1A16CE0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Lacey P. (2008) Burning Under Young Eucalypts. In: </w:t>
      </w:r>
      <w:r>
        <w:rPr>
          <w:rFonts w:ascii="Segoe UI" w:eastAsiaTheme="minorHAnsi" w:hAnsi="Segoe UI" w:cs="Segoe UI"/>
          <w:i/>
          <w:iCs/>
          <w:sz w:val="18"/>
          <w:szCs w:val="18"/>
        </w:rPr>
        <w:t>School of Physical, Environmental, and Mathematical Sciences</w:t>
      </w:r>
      <w:r>
        <w:rPr>
          <w:rFonts w:ascii="Segoe UI" w:eastAsiaTheme="minorHAnsi" w:hAnsi="Segoe UI" w:cs="Segoe UI"/>
          <w:sz w:val="18"/>
          <w:szCs w:val="18"/>
        </w:rPr>
        <w:t>. University of New South Wales.</w:t>
      </w:r>
    </w:p>
    <w:p w14:paraId="77EB05A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Lajtha K., Townsend K., Kramer M., Swanston C., Bowden R. &amp; Nadelhoffer K. (2014) Changes to particulate versus mineral-associated soil carbon after 50 years of litter manipulation in forest and prairie experimental ecosystems. </w:t>
      </w:r>
      <w:r>
        <w:rPr>
          <w:rFonts w:ascii="Segoe UI" w:eastAsiaTheme="minorHAnsi" w:hAnsi="Segoe UI" w:cs="Segoe UI"/>
          <w:i/>
          <w:iCs/>
          <w:sz w:val="18"/>
          <w:szCs w:val="18"/>
        </w:rPr>
        <w:t>Biogeochemistry</w:t>
      </w:r>
      <w:r>
        <w:rPr>
          <w:rFonts w:ascii="Segoe UI" w:eastAsiaTheme="minorHAnsi" w:hAnsi="Segoe UI" w:cs="Segoe UI"/>
          <w:sz w:val="18"/>
          <w:szCs w:val="18"/>
        </w:rPr>
        <w:t xml:space="preserve"> </w:t>
      </w:r>
      <w:r>
        <w:rPr>
          <w:rFonts w:ascii="Segoe UI" w:eastAsiaTheme="minorHAnsi" w:hAnsi="Segoe UI" w:cs="Segoe UI"/>
          <w:b/>
          <w:bCs/>
          <w:sz w:val="18"/>
          <w:szCs w:val="18"/>
        </w:rPr>
        <w:t>168</w:t>
      </w:r>
      <w:r>
        <w:rPr>
          <w:rFonts w:ascii="Segoe UI" w:eastAsiaTheme="minorHAnsi" w:hAnsi="Segoe UI" w:cs="Segoe UI"/>
          <w:sz w:val="18"/>
          <w:szCs w:val="18"/>
        </w:rPr>
        <w:t>, 1-20.</w:t>
      </w:r>
    </w:p>
    <w:p w14:paraId="0E450EC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Lange R. T. &amp; Graham C. R. (1983) Rabbits and the failure of regeneration in Australian arid zone Acacia. </w:t>
      </w:r>
      <w:r>
        <w:rPr>
          <w:rFonts w:ascii="Segoe UI" w:eastAsiaTheme="minorHAnsi" w:hAnsi="Segoe UI" w:cs="Segoe UI"/>
          <w:i/>
          <w:iCs/>
          <w:sz w:val="18"/>
          <w:szCs w:val="18"/>
        </w:rPr>
        <w:t>Australian Journal of Ecology</w:t>
      </w:r>
      <w:r>
        <w:rPr>
          <w:rFonts w:ascii="Segoe UI" w:eastAsiaTheme="minorHAnsi" w:hAnsi="Segoe UI" w:cs="Segoe UI"/>
          <w:sz w:val="18"/>
          <w:szCs w:val="18"/>
        </w:rPr>
        <w:t xml:space="preserve"> </w:t>
      </w:r>
      <w:r>
        <w:rPr>
          <w:rFonts w:ascii="Segoe UI" w:eastAsiaTheme="minorHAnsi" w:hAnsi="Segoe UI" w:cs="Segoe UI"/>
          <w:b/>
          <w:bCs/>
          <w:sz w:val="18"/>
          <w:szCs w:val="18"/>
        </w:rPr>
        <w:t>8</w:t>
      </w:r>
      <w:r>
        <w:rPr>
          <w:rFonts w:ascii="Segoe UI" w:eastAsiaTheme="minorHAnsi" w:hAnsi="Segoe UI" w:cs="Segoe UI"/>
          <w:sz w:val="18"/>
          <w:szCs w:val="18"/>
        </w:rPr>
        <w:t>, 377-81.</w:t>
      </w:r>
    </w:p>
    <w:p w14:paraId="0A5558E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Lawler I., Foley W., Woodrow I. &amp; Cork S. (1996) The effects of elevated CO2 atmospheres on the nutritional quality of Eucalyptus foliage and its interaction with soil nutrient and light availability. </w:t>
      </w:r>
      <w:r>
        <w:rPr>
          <w:rFonts w:ascii="Segoe UI" w:eastAsiaTheme="minorHAnsi" w:hAnsi="Segoe UI" w:cs="Segoe UI"/>
          <w:i/>
          <w:iCs/>
          <w:sz w:val="18"/>
          <w:szCs w:val="18"/>
        </w:rPr>
        <w:t>Oecologia</w:t>
      </w:r>
      <w:r>
        <w:rPr>
          <w:rFonts w:ascii="Segoe UI" w:eastAsiaTheme="minorHAnsi" w:hAnsi="Segoe UI" w:cs="Segoe UI"/>
          <w:sz w:val="18"/>
          <w:szCs w:val="18"/>
        </w:rPr>
        <w:t xml:space="preserve"> </w:t>
      </w:r>
      <w:r>
        <w:rPr>
          <w:rFonts w:ascii="Segoe UI" w:eastAsiaTheme="minorHAnsi" w:hAnsi="Segoe UI" w:cs="Segoe UI"/>
          <w:b/>
          <w:bCs/>
          <w:sz w:val="18"/>
          <w:szCs w:val="18"/>
        </w:rPr>
        <w:t>109</w:t>
      </w:r>
      <w:r>
        <w:rPr>
          <w:rFonts w:ascii="Segoe UI" w:eastAsiaTheme="minorHAnsi" w:hAnsi="Segoe UI" w:cs="Segoe UI"/>
          <w:sz w:val="18"/>
          <w:szCs w:val="18"/>
        </w:rPr>
        <w:t>, 59-68.</w:t>
      </w:r>
    </w:p>
    <w:p w14:paraId="073FDFD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Lee J. M., Clark A. J. &amp; Roche J. R. (2013) Climate-change effects and adaptation options for temperate pasture-based dairy farming systems: a review. </w:t>
      </w:r>
      <w:r>
        <w:rPr>
          <w:rFonts w:ascii="Segoe UI" w:eastAsiaTheme="minorHAnsi" w:hAnsi="Segoe UI" w:cs="Segoe UI"/>
          <w:i/>
          <w:iCs/>
          <w:sz w:val="18"/>
          <w:szCs w:val="18"/>
        </w:rPr>
        <w:t>Grass and Forage Science</w:t>
      </w:r>
      <w:r>
        <w:rPr>
          <w:rFonts w:ascii="Segoe UI" w:eastAsiaTheme="minorHAnsi" w:hAnsi="Segoe UI" w:cs="Segoe UI"/>
          <w:sz w:val="18"/>
          <w:szCs w:val="18"/>
        </w:rPr>
        <w:t xml:space="preserve"> </w:t>
      </w:r>
      <w:r>
        <w:rPr>
          <w:rFonts w:ascii="Segoe UI" w:eastAsiaTheme="minorHAnsi" w:hAnsi="Segoe UI" w:cs="Segoe UI"/>
          <w:b/>
          <w:bCs/>
          <w:sz w:val="18"/>
          <w:szCs w:val="18"/>
        </w:rPr>
        <w:t>68</w:t>
      </w:r>
      <w:r>
        <w:rPr>
          <w:rFonts w:ascii="Segoe UI" w:eastAsiaTheme="minorHAnsi" w:hAnsi="Segoe UI" w:cs="Segoe UI"/>
          <w:sz w:val="18"/>
          <w:szCs w:val="18"/>
        </w:rPr>
        <w:t>, 485-503.</w:t>
      </w:r>
    </w:p>
    <w:p w14:paraId="387A4F9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Lehmann C., Ratnam J. &amp; Hutley L. (2009) Which of these continents is not like the other? Comparisons of tropical savanna systems. </w:t>
      </w:r>
      <w:r>
        <w:rPr>
          <w:rFonts w:ascii="Segoe UI" w:eastAsiaTheme="minorHAnsi" w:hAnsi="Segoe UI" w:cs="Segoe UI"/>
          <w:i/>
          <w:iCs/>
          <w:sz w:val="18"/>
          <w:szCs w:val="18"/>
        </w:rPr>
        <w:t>The 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181</w:t>
      </w:r>
      <w:r>
        <w:rPr>
          <w:rFonts w:ascii="Segoe UI" w:eastAsiaTheme="minorHAnsi" w:hAnsi="Segoe UI" w:cs="Segoe UI"/>
          <w:sz w:val="18"/>
          <w:szCs w:val="18"/>
        </w:rPr>
        <w:t>, 508-11.</w:t>
      </w:r>
    </w:p>
    <w:p w14:paraId="474BEE3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Lesslie R., Thackway R., Smith J. &amp; Lesslie. (2010) A national-level Vegetation Assets, States and Transitions (VAST) dataset for Australia (version 2.0).</w:t>
      </w:r>
    </w:p>
    <w:p w14:paraId="46FF24E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Liedloff A. &amp; Cook G. (2007) Modelling the effects of rainfall variability and fire on tree populations in an Australian tropical savanna with the FLAMES simulation model. </w:t>
      </w:r>
      <w:r>
        <w:rPr>
          <w:rFonts w:ascii="Segoe UI" w:eastAsiaTheme="minorHAnsi" w:hAnsi="Segoe UI" w:cs="Segoe UI"/>
          <w:i/>
          <w:iCs/>
          <w:sz w:val="18"/>
          <w:szCs w:val="18"/>
        </w:rPr>
        <w:t>Ecological Modelling</w:t>
      </w:r>
      <w:r>
        <w:rPr>
          <w:rFonts w:ascii="Segoe UI" w:eastAsiaTheme="minorHAnsi" w:hAnsi="Segoe UI" w:cs="Segoe UI"/>
          <w:sz w:val="18"/>
          <w:szCs w:val="18"/>
        </w:rPr>
        <w:t xml:space="preserve"> </w:t>
      </w:r>
      <w:r>
        <w:rPr>
          <w:rFonts w:ascii="Segoe UI" w:eastAsiaTheme="minorHAnsi" w:hAnsi="Segoe UI" w:cs="Segoe UI"/>
          <w:b/>
          <w:bCs/>
          <w:sz w:val="18"/>
          <w:szCs w:val="18"/>
        </w:rPr>
        <w:t>201</w:t>
      </w:r>
      <w:r>
        <w:rPr>
          <w:rFonts w:ascii="Segoe UI" w:eastAsiaTheme="minorHAnsi" w:hAnsi="Segoe UI" w:cs="Segoe UI"/>
          <w:sz w:val="18"/>
          <w:szCs w:val="18"/>
        </w:rPr>
        <w:t>, 269-82.</w:t>
      </w:r>
    </w:p>
    <w:p w14:paraId="45367E3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Liski J., Korotkov A., Prins C., Karjalainen T., Victor D. &amp; Kauppi P. (2003) Increased Carbon Sink in Temperate and Boreal Forests. </w:t>
      </w:r>
      <w:r>
        <w:rPr>
          <w:rFonts w:ascii="Segoe UI" w:eastAsiaTheme="minorHAnsi" w:hAnsi="Segoe UI" w:cs="Segoe UI"/>
          <w:i/>
          <w:iCs/>
          <w:sz w:val="18"/>
          <w:szCs w:val="18"/>
        </w:rPr>
        <w:t>Climatic Change</w:t>
      </w:r>
      <w:r>
        <w:rPr>
          <w:rFonts w:ascii="Segoe UI" w:eastAsiaTheme="minorHAnsi" w:hAnsi="Segoe UI" w:cs="Segoe UI"/>
          <w:sz w:val="18"/>
          <w:szCs w:val="18"/>
        </w:rPr>
        <w:t xml:space="preserve"> </w:t>
      </w:r>
      <w:r>
        <w:rPr>
          <w:rFonts w:ascii="Segoe UI" w:eastAsiaTheme="minorHAnsi" w:hAnsi="Segoe UI" w:cs="Segoe UI"/>
          <w:b/>
          <w:bCs/>
          <w:sz w:val="18"/>
          <w:szCs w:val="18"/>
        </w:rPr>
        <w:t>61</w:t>
      </w:r>
      <w:r>
        <w:rPr>
          <w:rFonts w:ascii="Segoe UI" w:eastAsiaTheme="minorHAnsi" w:hAnsi="Segoe UI" w:cs="Segoe UI"/>
          <w:sz w:val="18"/>
          <w:szCs w:val="18"/>
        </w:rPr>
        <w:t>, 89-99.</w:t>
      </w:r>
    </w:p>
    <w:p w14:paraId="5695D45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Liski J., Nissinen A. R. I., Erhard M. &amp; Taskinen O. (2003) Climatic effects on litter decomposition from Arctic tundra to tropical rainforest.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9</w:t>
      </w:r>
      <w:r>
        <w:rPr>
          <w:rFonts w:ascii="Segoe UI" w:eastAsiaTheme="minorHAnsi" w:hAnsi="Segoe UI" w:cs="Segoe UI"/>
          <w:sz w:val="18"/>
          <w:szCs w:val="18"/>
        </w:rPr>
        <w:t>, 575-84.</w:t>
      </w:r>
    </w:p>
    <w:p w14:paraId="4CFFA97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Loch A. &amp; Matsuki M. (2010) Effects of defoliation by Eucalyptus Weevil, Gonipterus scutellatus, and chrysomelid beetles on growth of Eucalyptus globulus in southwestern Australia. </w:t>
      </w:r>
      <w:r>
        <w:rPr>
          <w:rFonts w:ascii="Segoe UI" w:eastAsiaTheme="minorHAnsi" w:hAnsi="Segoe UI" w:cs="Segoe UI"/>
          <w:i/>
          <w:iCs/>
          <w:sz w:val="18"/>
          <w:szCs w:val="18"/>
        </w:rPr>
        <w:t>Forest Ecology and Management - FOREST ECOL MANAGE</w:t>
      </w:r>
      <w:r>
        <w:rPr>
          <w:rFonts w:ascii="Segoe UI" w:eastAsiaTheme="minorHAnsi" w:hAnsi="Segoe UI" w:cs="Segoe UI"/>
          <w:sz w:val="18"/>
          <w:szCs w:val="18"/>
        </w:rPr>
        <w:t xml:space="preserve"> </w:t>
      </w:r>
      <w:r>
        <w:rPr>
          <w:rFonts w:ascii="Segoe UI" w:eastAsiaTheme="minorHAnsi" w:hAnsi="Segoe UI" w:cs="Segoe UI"/>
          <w:b/>
          <w:bCs/>
          <w:sz w:val="18"/>
          <w:szCs w:val="18"/>
        </w:rPr>
        <w:t>260</w:t>
      </w:r>
      <w:r>
        <w:rPr>
          <w:rFonts w:ascii="Segoe UI" w:eastAsiaTheme="minorHAnsi" w:hAnsi="Segoe UI" w:cs="Segoe UI"/>
          <w:sz w:val="18"/>
          <w:szCs w:val="18"/>
        </w:rPr>
        <w:t>, 1324-32.</w:t>
      </w:r>
    </w:p>
    <w:p w14:paraId="07159D0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Long S., Ainsworth E., Rogers A. &amp; Ort D. (2004) Rising Atmospheric Carbon Dioxide: Plants FACE the future. </w:t>
      </w:r>
      <w:r>
        <w:rPr>
          <w:rFonts w:ascii="Segoe UI" w:eastAsiaTheme="minorHAnsi" w:hAnsi="Segoe UI" w:cs="Segoe UI"/>
          <w:i/>
          <w:iCs/>
          <w:sz w:val="18"/>
          <w:szCs w:val="18"/>
        </w:rPr>
        <w:t>Annual Review of Plant Biology</w:t>
      </w:r>
      <w:r>
        <w:rPr>
          <w:rFonts w:ascii="Segoe UI" w:eastAsiaTheme="minorHAnsi" w:hAnsi="Segoe UI" w:cs="Segoe UI"/>
          <w:sz w:val="18"/>
          <w:szCs w:val="18"/>
        </w:rPr>
        <w:t xml:space="preserve"> </w:t>
      </w:r>
      <w:r>
        <w:rPr>
          <w:rFonts w:ascii="Segoe UI" w:eastAsiaTheme="minorHAnsi" w:hAnsi="Segoe UI" w:cs="Segoe UI"/>
          <w:b/>
          <w:bCs/>
          <w:sz w:val="18"/>
          <w:szCs w:val="18"/>
        </w:rPr>
        <w:t>55</w:t>
      </w:r>
      <w:r>
        <w:rPr>
          <w:rFonts w:ascii="Segoe UI" w:eastAsiaTheme="minorHAnsi" w:hAnsi="Segoe UI" w:cs="Segoe UI"/>
          <w:sz w:val="18"/>
          <w:szCs w:val="18"/>
        </w:rPr>
        <w:t>, 591-628.</w:t>
      </w:r>
    </w:p>
    <w:p w14:paraId="63365BC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Lonsdale W. &amp; Braithwaite R. (2006) Assessing the effects of fire on vegetation in tropical savannas. </w:t>
      </w:r>
      <w:r>
        <w:rPr>
          <w:rFonts w:ascii="Segoe UI" w:eastAsiaTheme="minorHAnsi" w:hAnsi="Segoe UI" w:cs="Segoe UI"/>
          <w:i/>
          <w:iCs/>
          <w:sz w:val="18"/>
          <w:szCs w:val="18"/>
        </w:rPr>
        <w:t>Australian Journal of Ecology</w:t>
      </w:r>
      <w:r>
        <w:rPr>
          <w:rFonts w:ascii="Segoe UI" w:eastAsiaTheme="minorHAnsi" w:hAnsi="Segoe UI" w:cs="Segoe UI"/>
          <w:sz w:val="18"/>
          <w:szCs w:val="18"/>
        </w:rPr>
        <w:t xml:space="preserve"> </w:t>
      </w:r>
      <w:r>
        <w:rPr>
          <w:rFonts w:ascii="Segoe UI" w:eastAsiaTheme="minorHAnsi" w:hAnsi="Segoe UI" w:cs="Segoe UI"/>
          <w:b/>
          <w:bCs/>
          <w:sz w:val="18"/>
          <w:szCs w:val="18"/>
        </w:rPr>
        <w:t>16</w:t>
      </w:r>
      <w:r>
        <w:rPr>
          <w:rFonts w:ascii="Segoe UI" w:eastAsiaTheme="minorHAnsi" w:hAnsi="Segoe UI" w:cs="Segoe UI"/>
          <w:sz w:val="18"/>
          <w:szCs w:val="18"/>
        </w:rPr>
        <w:t>, 363-74.</w:t>
      </w:r>
    </w:p>
    <w:p w14:paraId="376CB92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Loreau M. (2010) </w:t>
      </w:r>
      <w:r>
        <w:rPr>
          <w:rFonts w:ascii="Segoe UI" w:eastAsiaTheme="minorHAnsi" w:hAnsi="Segoe UI" w:cs="Segoe UI"/>
          <w:i/>
          <w:iCs/>
          <w:sz w:val="18"/>
          <w:szCs w:val="18"/>
        </w:rPr>
        <w:t>From Populations to Ecosystems: Theoretical Foundations for a New Ecological Synthesis.</w:t>
      </w:r>
      <w:r>
        <w:rPr>
          <w:rFonts w:ascii="Segoe UI" w:eastAsiaTheme="minorHAnsi" w:hAnsi="Segoe UI" w:cs="Segoe UI"/>
          <w:sz w:val="18"/>
          <w:szCs w:val="18"/>
        </w:rPr>
        <w:t xml:space="preserve"> Princeton University Press, Princeton.</w:t>
      </w:r>
    </w:p>
    <w:p w14:paraId="6107629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Lovelock C., Adame F., Bennion V., Hayes M., O’Mara J., Reef R. &amp; Santini N. (2014) Contemporary Rates of Carbon Sequestration Through Vertical Accretion of Sediments in Mangrove Forests and Saltmarshes of South East Queensland, Australia. </w:t>
      </w:r>
      <w:r>
        <w:rPr>
          <w:rFonts w:ascii="Segoe UI" w:eastAsiaTheme="minorHAnsi" w:hAnsi="Segoe UI" w:cs="Segoe UI"/>
          <w:i/>
          <w:iCs/>
          <w:sz w:val="18"/>
          <w:szCs w:val="18"/>
        </w:rPr>
        <w:t>Estuaries and Coasts</w:t>
      </w:r>
      <w:r>
        <w:rPr>
          <w:rFonts w:ascii="Segoe UI" w:eastAsiaTheme="minorHAnsi" w:hAnsi="Segoe UI" w:cs="Segoe UI"/>
          <w:sz w:val="18"/>
          <w:szCs w:val="18"/>
        </w:rPr>
        <w:t xml:space="preserve"> </w:t>
      </w:r>
      <w:r>
        <w:rPr>
          <w:rFonts w:ascii="Segoe UI" w:eastAsiaTheme="minorHAnsi" w:hAnsi="Segoe UI" w:cs="Segoe UI"/>
          <w:b/>
          <w:bCs/>
          <w:sz w:val="18"/>
          <w:szCs w:val="18"/>
        </w:rPr>
        <w:t>37</w:t>
      </w:r>
      <w:r>
        <w:rPr>
          <w:rFonts w:ascii="Segoe UI" w:eastAsiaTheme="minorHAnsi" w:hAnsi="Segoe UI" w:cs="Segoe UI"/>
          <w:sz w:val="18"/>
          <w:szCs w:val="18"/>
        </w:rPr>
        <w:t>, 763-71.</w:t>
      </w:r>
    </w:p>
    <w:p w14:paraId="735ECDE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Lovelock C. E., Atwood T., Baldock J., Duarte C. M., Hickey S., Lavery P. S., Masque P., Macreadie P. I., Ricart A. M., Serrano O. &amp; Steven A. (2017) Assessing the risk of carbon dioxide emissions from blue carbon ecosystems. </w:t>
      </w:r>
      <w:r>
        <w:rPr>
          <w:rFonts w:ascii="Segoe UI" w:eastAsiaTheme="minorHAnsi" w:hAnsi="Segoe UI" w:cs="Segoe UI"/>
          <w:i/>
          <w:iCs/>
          <w:sz w:val="18"/>
          <w:szCs w:val="18"/>
        </w:rPr>
        <w:t>Frontiers in Ecology and the Environment</w:t>
      </w:r>
      <w:r>
        <w:rPr>
          <w:rFonts w:ascii="Segoe UI" w:eastAsiaTheme="minorHAnsi" w:hAnsi="Segoe UI" w:cs="Segoe UI"/>
          <w:sz w:val="18"/>
          <w:szCs w:val="18"/>
        </w:rPr>
        <w:t xml:space="preserve"> </w:t>
      </w:r>
      <w:r>
        <w:rPr>
          <w:rFonts w:ascii="Segoe UI" w:eastAsiaTheme="minorHAnsi" w:hAnsi="Segoe UI" w:cs="Segoe UI"/>
          <w:b/>
          <w:bCs/>
          <w:sz w:val="18"/>
          <w:szCs w:val="18"/>
        </w:rPr>
        <w:t>15</w:t>
      </w:r>
      <w:r>
        <w:rPr>
          <w:rFonts w:ascii="Segoe UI" w:eastAsiaTheme="minorHAnsi" w:hAnsi="Segoe UI" w:cs="Segoe UI"/>
          <w:sz w:val="18"/>
          <w:szCs w:val="18"/>
        </w:rPr>
        <w:t>, 257-65.</w:t>
      </w:r>
    </w:p>
    <w:p w14:paraId="170E82A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Lovelock C. E., Feller I. C., Reef R., Hickey S. &amp; Ball M. C. (2017) Mangrove dieback during fluctuating sea levels. </w:t>
      </w:r>
      <w:r>
        <w:rPr>
          <w:rFonts w:ascii="Segoe UI" w:eastAsiaTheme="minorHAnsi" w:hAnsi="Segoe UI" w:cs="Segoe UI"/>
          <w:i/>
          <w:iCs/>
          <w:sz w:val="18"/>
          <w:szCs w:val="18"/>
        </w:rPr>
        <w:t>Scientific Reports</w:t>
      </w:r>
      <w:r>
        <w:rPr>
          <w:rFonts w:ascii="Segoe UI" w:eastAsiaTheme="minorHAnsi" w:hAnsi="Segoe UI" w:cs="Segoe UI"/>
          <w:sz w:val="18"/>
          <w:szCs w:val="18"/>
        </w:rPr>
        <w:t xml:space="preserve"> </w:t>
      </w:r>
      <w:r>
        <w:rPr>
          <w:rFonts w:ascii="Segoe UI" w:eastAsiaTheme="minorHAnsi" w:hAnsi="Segoe UI" w:cs="Segoe UI"/>
          <w:b/>
          <w:bCs/>
          <w:sz w:val="18"/>
          <w:szCs w:val="18"/>
        </w:rPr>
        <w:t>7</w:t>
      </w:r>
      <w:r>
        <w:rPr>
          <w:rFonts w:ascii="Segoe UI" w:eastAsiaTheme="minorHAnsi" w:hAnsi="Segoe UI" w:cs="Segoe UI"/>
          <w:sz w:val="18"/>
          <w:szCs w:val="18"/>
        </w:rPr>
        <w:t>, 1680.</w:t>
      </w:r>
    </w:p>
    <w:p w14:paraId="22B6B88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Low T. (2008) Climate Change and Invasive Species: A Review of Interactions. Canberra: Biological Diversity Advisory Committee. .</w:t>
      </w:r>
    </w:p>
    <w:p w14:paraId="56D0E80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Lucas R., Accad A., Randall L., Bunting P. &amp; Armston J. (2008) Assessing Human Impacts on Australian Forests through Integration of Remote Sensing Data.   pp. 213-39.</w:t>
      </w:r>
    </w:p>
    <w:p w14:paraId="27634DF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Luo Z., Eady S., Sharma B., Grant T., Liu D. L., Cowie A., Farquharson R., Simmons A., Crawford D., Searle R. &amp; Moore A. (2019) Mapping future soil carbon change and its uncertainty in croplands using simple surrogates of a complex farming system model. </w:t>
      </w:r>
      <w:r>
        <w:rPr>
          <w:rFonts w:ascii="Segoe UI" w:eastAsiaTheme="minorHAnsi" w:hAnsi="Segoe UI" w:cs="Segoe UI"/>
          <w:i/>
          <w:iCs/>
          <w:sz w:val="18"/>
          <w:szCs w:val="18"/>
        </w:rPr>
        <w:t>Geoderma</w:t>
      </w:r>
      <w:r>
        <w:rPr>
          <w:rFonts w:ascii="Segoe UI" w:eastAsiaTheme="minorHAnsi" w:hAnsi="Segoe UI" w:cs="Segoe UI"/>
          <w:sz w:val="18"/>
          <w:szCs w:val="18"/>
        </w:rPr>
        <w:t xml:space="preserve"> </w:t>
      </w:r>
      <w:r>
        <w:rPr>
          <w:rFonts w:ascii="Segoe UI" w:eastAsiaTheme="minorHAnsi" w:hAnsi="Segoe UI" w:cs="Segoe UI"/>
          <w:b/>
          <w:bCs/>
          <w:sz w:val="18"/>
          <w:szCs w:val="18"/>
        </w:rPr>
        <w:t>337</w:t>
      </w:r>
      <w:r>
        <w:rPr>
          <w:rFonts w:ascii="Segoe UI" w:eastAsiaTheme="minorHAnsi" w:hAnsi="Segoe UI" w:cs="Segoe UI"/>
          <w:sz w:val="18"/>
          <w:szCs w:val="18"/>
        </w:rPr>
        <w:t>, 311-21.</w:t>
      </w:r>
    </w:p>
    <w:p w14:paraId="27B286E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Lutze J., Roden J., Holly C., Wolfe J., Egerton J. &amp; Ball M. (2002) Elevated atmospheric [CO2] promotes frost damage in evergreen tree seedlings. </w:t>
      </w:r>
      <w:r>
        <w:rPr>
          <w:rFonts w:ascii="Segoe UI" w:eastAsiaTheme="minorHAnsi" w:hAnsi="Segoe UI" w:cs="Segoe UI"/>
          <w:i/>
          <w:iCs/>
          <w:sz w:val="18"/>
          <w:szCs w:val="18"/>
        </w:rPr>
        <w:t>Plant, Cell &amp; Environment</w:t>
      </w:r>
      <w:r>
        <w:rPr>
          <w:rFonts w:ascii="Segoe UI" w:eastAsiaTheme="minorHAnsi" w:hAnsi="Segoe UI" w:cs="Segoe UI"/>
          <w:sz w:val="18"/>
          <w:szCs w:val="18"/>
        </w:rPr>
        <w:t xml:space="preserve"> </w:t>
      </w:r>
      <w:r>
        <w:rPr>
          <w:rFonts w:ascii="Segoe UI" w:eastAsiaTheme="minorHAnsi" w:hAnsi="Segoe UI" w:cs="Segoe UI"/>
          <w:b/>
          <w:bCs/>
          <w:sz w:val="18"/>
          <w:szCs w:val="18"/>
        </w:rPr>
        <w:t>21</w:t>
      </w:r>
      <w:r>
        <w:rPr>
          <w:rFonts w:ascii="Segoe UI" w:eastAsiaTheme="minorHAnsi" w:hAnsi="Segoe UI" w:cs="Segoe UI"/>
          <w:sz w:val="18"/>
          <w:szCs w:val="18"/>
        </w:rPr>
        <w:t>, 631-5.</w:t>
      </w:r>
    </w:p>
    <w:p w14:paraId="06EEDA3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Macfarlane C. (1998) The potential for high temperature stress of trees of Eucalytpus globulus in south-western Australia during summer-autumn.  A report to Bunnings Treefarms Pty Ltd. Perth. The University of Western Australia.</w:t>
      </w:r>
    </w:p>
    <w:p w14:paraId="14351DB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Mackensen J., Bauhus J. &amp; Webber E. (2003) Decomposition rates of coarse woody debris—A review with particular emphasis on Australian tree species. </w:t>
      </w:r>
      <w:r>
        <w:rPr>
          <w:rFonts w:ascii="Segoe UI" w:eastAsiaTheme="minorHAnsi" w:hAnsi="Segoe UI" w:cs="Segoe UI"/>
          <w:i/>
          <w:iCs/>
          <w:sz w:val="18"/>
          <w:szCs w:val="18"/>
        </w:rPr>
        <w:t>Australian Journal of Botany</w:t>
      </w:r>
      <w:r>
        <w:rPr>
          <w:rFonts w:ascii="Segoe UI" w:eastAsiaTheme="minorHAnsi" w:hAnsi="Segoe UI" w:cs="Segoe UI"/>
          <w:sz w:val="18"/>
          <w:szCs w:val="18"/>
        </w:rPr>
        <w:t xml:space="preserve"> </w:t>
      </w:r>
      <w:r>
        <w:rPr>
          <w:rFonts w:ascii="Segoe UI" w:eastAsiaTheme="minorHAnsi" w:hAnsi="Segoe UI" w:cs="Segoe UI"/>
          <w:b/>
          <w:bCs/>
          <w:sz w:val="18"/>
          <w:szCs w:val="18"/>
        </w:rPr>
        <w:t>51</w:t>
      </w:r>
      <w:r>
        <w:rPr>
          <w:rFonts w:ascii="Segoe UI" w:eastAsiaTheme="minorHAnsi" w:hAnsi="Segoe UI" w:cs="Segoe UI"/>
          <w:sz w:val="18"/>
          <w:szCs w:val="18"/>
        </w:rPr>
        <w:t>, 27-37.</w:t>
      </w:r>
    </w:p>
    <w:p w14:paraId="54C274E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Martin T., Murphy H., Liedloff A., Thomas C., Chadès I., Cook G., Fensham R., McIvor J. &amp; Van Klinken R. (2015) Buffel grass and climate change: a framework for projecting invasive species distributions when data are scarce. </w:t>
      </w:r>
      <w:r>
        <w:rPr>
          <w:rFonts w:ascii="Segoe UI" w:eastAsiaTheme="minorHAnsi" w:hAnsi="Segoe UI" w:cs="Segoe UI"/>
          <w:i/>
          <w:iCs/>
          <w:sz w:val="18"/>
          <w:szCs w:val="18"/>
        </w:rPr>
        <w:t>Biological Invasions</w:t>
      </w:r>
      <w:r>
        <w:rPr>
          <w:rFonts w:ascii="Segoe UI" w:eastAsiaTheme="minorHAnsi" w:hAnsi="Segoe UI" w:cs="Segoe UI"/>
          <w:sz w:val="18"/>
          <w:szCs w:val="18"/>
        </w:rPr>
        <w:t xml:space="preserve"> </w:t>
      </w:r>
      <w:r>
        <w:rPr>
          <w:rFonts w:ascii="Segoe UI" w:eastAsiaTheme="minorHAnsi" w:hAnsi="Segoe UI" w:cs="Segoe UI"/>
          <w:b/>
          <w:bCs/>
          <w:sz w:val="18"/>
          <w:szCs w:val="18"/>
        </w:rPr>
        <w:t>17</w:t>
      </w:r>
      <w:r>
        <w:rPr>
          <w:rFonts w:ascii="Segoe UI" w:eastAsiaTheme="minorHAnsi" w:hAnsi="Segoe UI" w:cs="Segoe UI"/>
          <w:sz w:val="18"/>
          <w:szCs w:val="18"/>
        </w:rPr>
        <w:t>.</w:t>
      </w:r>
    </w:p>
    <w:p w14:paraId="430BF0A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Matias M., Combe M., Barbera C. &amp; Mouquet N. (2013) Ecological strategies shape the insurance potential of biodiversity. </w:t>
      </w:r>
      <w:r>
        <w:rPr>
          <w:rFonts w:ascii="Segoe UI" w:eastAsiaTheme="minorHAnsi" w:hAnsi="Segoe UI" w:cs="Segoe UI"/>
          <w:i/>
          <w:iCs/>
          <w:sz w:val="18"/>
          <w:szCs w:val="18"/>
        </w:rPr>
        <w:t>Frontiers in Microbiology</w:t>
      </w:r>
      <w:r>
        <w:rPr>
          <w:rFonts w:ascii="Segoe UI" w:eastAsiaTheme="minorHAnsi" w:hAnsi="Segoe UI" w:cs="Segoe UI"/>
          <w:sz w:val="18"/>
          <w:szCs w:val="18"/>
        </w:rPr>
        <w:t xml:space="preserve"> </w:t>
      </w:r>
      <w:r>
        <w:rPr>
          <w:rFonts w:ascii="Segoe UI" w:eastAsiaTheme="minorHAnsi" w:hAnsi="Segoe UI" w:cs="Segoe UI"/>
          <w:b/>
          <w:bCs/>
          <w:sz w:val="18"/>
          <w:szCs w:val="18"/>
        </w:rPr>
        <w:t>3</w:t>
      </w:r>
      <w:r>
        <w:rPr>
          <w:rFonts w:ascii="Segoe UI" w:eastAsiaTheme="minorHAnsi" w:hAnsi="Segoe UI" w:cs="Segoe UI"/>
          <w:sz w:val="18"/>
          <w:szCs w:val="18"/>
        </w:rPr>
        <w:t>, 432.</w:t>
      </w:r>
    </w:p>
    <w:p w14:paraId="3C1C009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Matsuki M. &amp; Tovar F. (2012) IPMG Pest Notes - Heteronyx beetles. In.: Industry Pest management Group, Western Australia.</w:t>
      </w:r>
    </w:p>
    <w:p w14:paraId="1950B85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Matthews S., Nguyen K. &amp; McGregor J. (2011) Modelling fuel moisture under climate change. </w:t>
      </w:r>
      <w:r>
        <w:rPr>
          <w:rFonts w:ascii="Segoe UI" w:eastAsiaTheme="minorHAnsi" w:hAnsi="Segoe UI" w:cs="Segoe UI"/>
          <w:i/>
          <w:iCs/>
          <w:sz w:val="18"/>
          <w:szCs w:val="18"/>
        </w:rPr>
        <w:t>International Journal of Climate Change Strategies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3</w:t>
      </w:r>
      <w:r>
        <w:rPr>
          <w:rFonts w:ascii="Segoe UI" w:eastAsiaTheme="minorHAnsi" w:hAnsi="Segoe UI" w:cs="Segoe UI"/>
          <w:sz w:val="18"/>
          <w:szCs w:val="18"/>
        </w:rPr>
        <w:t>, 6-15.</w:t>
      </w:r>
    </w:p>
    <w:p w14:paraId="48BBCC2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Matusick G., Ruthrof K. X., Brouwers N. C., Dell B. &amp; Hardy G. S. J. (2013) Sudden forest canopy collapse corresponding with extreme drought and heat in a mediterranean-type eucalypt forest in southwestern Australia. </w:t>
      </w:r>
      <w:r>
        <w:rPr>
          <w:rFonts w:ascii="Segoe UI" w:eastAsiaTheme="minorHAnsi" w:hAnsi="Segoe UI" w:cs="Segoe UI"/>
          <w:i/>
          <w:iCs/>
          <w:sz w:val="18"/>
          <w:szCs w:val="18"/>
        </w:rPr>
        <w:t>European Journal of Forest Research</w:t>
      </w:r>
      <w:r>
        <w:rPr>
          <w:rFonts w:ascii="Segoe UI" w:eastAsiaTheme="minorHAnsi" w:hAnsi="Segoe UI" w:cs="Segoe UI"/>
          <w:sz w:val="18"/>
          <w:szCs w:val="18"/>
        </w:rPr>
        <w:t xml:space="preserve"> </w:t>
      </w:r>
      <w:r>
        <w:rPr>
          <w:rFonts w:ascii="Segoe UI" w:eastAsiaTheme="minorHAnsi" w:hAnsi="Segoe UI" w:cs="Segoe UI"/>
          <w:b/>
          <w:bCs/>
          <w:sz w:val="18"/>
          <w:szCs w:val="18"/>
        </w:rPr>
        <w:t>132</w:t>
      </w:r>
      <w:r>
        <w:rPr>
          <w:rFonts w:ascii="Segoe UI" w:eastAsiaTheme="minorHAnsi" w:hAnsi="Segoe UI" w:cs="Segoe UI"/>
          <w:sz w:val="18"/>
          <w:szCs w:val="18"/>
        </w:rPr>
        <w:t>, 497-510.</w:t>
      </w:r>
    </w:p>
    <w:p w14:paraId="6792B32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McFadyen R. (2008) Winning the lottery: return on investment from weed biocontrol programs. In: </w:t>
      </w:r>
      <w:r>
        <w:rPr>
          <w:rFonts w:ascii="Segoe UI" w:eastAsiaTheme="minorHAnsi" w:hAnsi="Segoe UI" w:cs="Segoe UI"/>
          <w:i/>
          <w:iCs/>
          <w:sz w:val="18"/>
          <w:szCs w:val="18"/>
        </w:rPr>
        <w:t>Sixteenth Australian Weeds Conference</w:t>
      </w:r>
      <w:r>
        <w:rPr>
          <w:rFonts w:ascii="Segoe UI" w:eastAsiaTheme="minorHAnsi" w:hAnsi="Segoe UI" w:cs="Segoe UI"/>
          <w:sz w:val="18"/>
          <w:szCs w:val="18"/>
        </w:rPr>
        <w:t xml:space="preserve"> (eds P. D. van Klinken, V. A. Osten, F. D. Panetta and J. C. Scanlan) p. 398. Queensland Weeds Society, Brisbane.</w:t>
      </w:r>
    </w:p>
    <w:p w14:paraId="01EFBC9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McLeod E., Chmura G. L., Bouillon S., Salm R., Björk M., Duarte C. M., Lovelock C. E., Schlesinger W. H. &amp; Silliman B. R. (2011) A blueprint for blue carbon: toward an improved understanding of the role of vegetated coastal habitats in sequestering CO2. </w:t>
      </w:r>
      <w:r>
        <w:rPr>
          <w:rFonts w:ascii="Segoe UI" w:eastAsiaTheme="minorHAnsi" w:hAnsi="Segoe UI" w:cs="Segoe UI"/>
          <w:i/>
          <w:iCs/>
          <w:sz w:val="18"/>
          <w:szCs w:val="18"/>
        </w:rPr>
        <w:t>Frontiers in Ecology and the Environment</w:t>
      </w:r>
      <w:r>
        <w:rPr>
          <w:rFonts w:ascii="Segoe UI" w:eastAsiaTheme="minorHAnsi" w:hAnsi="Segoe UI" w:cs="Segoe UI"/>
          <w:sz w:val="18"/>
          <w:szCs w:val="18"/>
        </w:rPr>
        <w:t xml:space="preserve"> </w:t>
      </w:r>
      <w:r>
        <w:rPr>
          <w:rFonts w:ascii="Segoe UI" w:eastAsiaTheme="minorHAnsi" w:hAnsi="Segoe UI" w:cs="Segoe UI"/>
          <w:b/>
          <w:bCs/>
          <w:sz w:val="18"/>
          <w:szCs w:val="18"/>
        </w:rPr>
        <w:t>9</w:t>
      </w:r>
      <w:r>
        <w:rPr>
          <w:rFonts w:ascii="Segoe UI" w:eastAsiaTheme="minorHAnsi" w:hAnsi="Segoe UI" w:cs="Segoe UI"/>
          <w:sz w:val="18"/>
          <w:szCs w:val="18"/>
        </w:rPr>
        <w:t>, 552-60.</w:t>
      </w:r>
    </w:p>
    <w:p w14:paraId="65234D3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Medlyn B., Badeck F.-W., Pury D. D., Barton C., Broadmeadow M., Ceulemans R., Angelis P., Forstreuter M., Jach M., Kellomäki S., Laitat E., Marek M., Philippot S., Rey A., Strassemeyer J., Laitinen K., Liozon R., Portier B., Roberntz P., Wang K. &amp; Jstbid P. G. (1999) Effects of elevated (CO2) on photosynthesis in European forest species: a meta-analysis of model parameters.</w:t>
      </w:r>
    </w:p>
    <w:p w14:paraId="1655243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Medlyn B., Barton C., Broadmeadow M., Ceulemans R., Angelis P., Forstreuter M., Freeman M., Jackson S., Kellomäki S., Laitat E., Roberntz P., Sigurdsson B., Strassemeyer J., Ky W., Curtis P. &amp; Jarvis P. (2008) Stomatal conductance of forest species after long-term exposure to elevated CO2 concentration: A synthesis. </w:t>
      </w:r>
      <w:r>
        <w:rPr>
          <w:rFonts w:ascii="Segoe UI" w:eastAsiaTheme="minorHAnsi" w:hAnsi="Segoe UI" w:cs="Segoe UI"/>
          <w:i/>
          <w:iCs/>
          <w:sz w:val="18"/>
          <w:szCs w:val="18"/>
        </w:rPr>
        <w:t>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149</w:t>
      </w:r>
      <w:r>
        <w:rPr>
          <w:rFonts w:ascii="Segoe UI" w:eastAsiaTheme="minorHAnsi" w:hAnsi="Segoe UI" w:cs="Segoe UI"/>
          <w:sz w:val="18"/>
          <w:szCs w:val="18"/>
        </w:rPr>
        <w:t>, 247-64.</w:t>
      </w:r>
    </w:p>
    <w:p w14:paraId="5B5A896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Meier E., Thorburn P., Bell L., Harrison M. &amp; Biggs J. (2020) Greenhouse Gas Emissions From Cropping and Grazed Pastures Are Similar: A Simulation Analysis in Australia. </w:t>
      </w:r>
      <w:r>
        <w:rPr>
          <w:rFonts w:ascii="Segoe UI" w:eastAsiaTheme="minorHAnsi" w:hAnsi="Segoe UI" w:cs="Segoe UI"/>
          <w:i/>
          <w:iCs/>
          <w:sz w:val="18"/>
          <w:szCs w:val="18"/>
        </w:rPr>
        <w:t>Frontiers in Sustainable Food Systems</w:t>
      </w:r>
      <w:r>
        <w:rPr>
          <w:rFonts w:ascii="Segoe UI" w:eastAsiaTheme="minorHAnsi" w:hAnsi="Segoe UI" w:cs="Segoe UI"/>
          <w:sz w:val="18"/>
          <w:szCs w:val="18"/>
        </w:rPr>
        <w:t xml:space="preserve"> </w:t>
      </w:r>
      <w:r>
        <w:rPr>
          <w:rFonts w:ascii="Segoe UI" w:eastAsiaTheme="minorHAnsi" w:hAnsi="Segoe UI" w:cs="Segoe UI"/>
          <w:b/>
          <w:bCs/>
          <w:sz w:val="18"/>
          <w:szCs w:val="18"/>
        </w:rPr>
        <w:t>3</w:t>
      </w:r>
      <w:r>
        <w:rPr>
          <w:rFonts w:ascii="Segoe UI" w:eastAsiaTheme="minorHAnsi" w:hAnsi="Segoe UI" w:cs="Segoe UI"/>
          <w:sz w:val="18"/>
          <w:szCs w:val="18"/>
        </w:rPr>
        <w:t>.</w:t>
      </w:r>
    </w:p>
    <w:p w14:paraId="3B55015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Mencuccini M., Minunno F., Salmon Y., Martinez-Vilalta J. &amp; Holtta T. (2015) Coordination of physiological traits involved in drought-induced mortality of woody plants. </w:t>
      </w:r>
      <w:r>
        <w:rPr>
          <w:rFonts w:ascii="Segoe UI" w:eastAsiaTheme="minorHAnsi" w:hAnsi="Segoe UI" w:cs="Segoe UI"/>
          <w:i/>
          <w:iCs/>
          <w:sz w:val="18"/>
          <w:szCs w:val="18"/>
        </w:rPr>
        <w:t>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208</w:t>
      </w:r>
      <w:r>
        <w:rPr>
          <w:rFonts w:ascii="Segoe UI" w:eastAsiaTheme="minorHAnsi" w:hAnsi="Segoe UI" w:cs="Segoe UI"/>
          <w:sz w:val="18"/>
          <w:szCs w:val="18"/>
        </w:rPr>
        <w:t>, 396 - 409.</w:t>
      </w:r>
    </w:p>
    <w:p w14:paraId="47213BC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Mendham D., White D. A., Battaglia M., Kinal J., Walker S. N., Rance S., McGrath J. F. &amp; Abou Arra S. (2007) Managing the trade-off between productivity and risk in the bluegum plantations of south-western Australia. CSIRO, Canberra.</w:t>
      </w:r>
    </w:p>
    <w:p w14:paraId="60FFEF1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Meyer R. S., Cullen B. R., Whetton P. H., Robertson F. A. &amp; Eckard R. J. (2018) Potential impacts of climate change on soil organic carbon and productivity in pastures of south eastern Australia. </w:t>
      </w:r>
      <w:r>
        <w:rPr>
          <w:rFonts w:ascii="Segoe UI" w:eastAsiaTheme="minorHAnsi" w:hAnsi="Segoe UI" w:cs="Segoe UI"/>
          <w:i/>
          <w:iCs/>
          <w:sz w:val="18"/>
          <w:szCs w:val="18"/>
        </w:rPr>
        <w:t>Agricultural Systems</w:t>
      </w:r>
      <w:r>
        <w:rPr>
          <w:rFonts w:ascii="Segoe UI" w:eastAsiaTheme="minorHAnsi" w:hAnsi="Segoe UI" w:cs="Segoe UI"/>
          <w:sz w:val="18"/>
          <w:szCs w:val="18"/>
        </w:rPr>
        <w:t xml:space="preserve"> </w:t>
      </w:r>
      <w:r>
        <w:rPr>
          <w:rFonts w:ascii="Segoe UI" w:eastAsiaTheme="minorHAnsi" w:hAnsi="Segoe UI" w:cs="Segoe UI"/>
          <w:b/>
          <w:bCs/>
          <w:sz w:val="18"/>
          <w:szCs w:val="18"/>
        </w:rPr>
        <w:t>167</w:t>
      </w:r>
      <w:r>
        <w:rPr>
          <w:rFonts w:ascii="Segoe UI" w:eastAsiaTheme="minorHAnsi" w:hAnsi="Segoe UI" w:cs="Segoe UI"/>
          <w:sz w:val="18"/>
          <w:szCs w:val="18"/>
        </w:rPr>
        <w:t>, 34-46.</w:t>
      </w:r>
    </w:p>
    <w:p w14:paraId="5584AB2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Michler J. D., Baylis K., Arends-Kuenning M. &amp; Mazvimavi K. (2019) Conservation agriculture and climate resilience. </w:t>
      </w:r>
      <w:r>
        <w:rPr>
          <w:rFonts w:ascii="Segoe UI" w:eastAsiaTheme="minorHAnsi" w:hAnsi="Segoe UI" w:cs="Segoe UI"/>
          <w:i/>
          <w:iCs/>
          <w:sz w:val="18"/>
          <w:szCs w:val="18"/>
        </w:rPr>
        <w:t>Journal of Environmental Economics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93</w:t>
      </w:r>
      <w:r>
        <w:rPr>
          <w:rFonts w:ascii="Segoe UI" w:eastAsiaTheme="minorHAnsi" w:hAnsi="Segoe UI" w:cs="Segoe UI"/>
          <w:sz w:val="18"/>
          <w:szCs w:val="18"/>
        </w:rPr>
        <w:t>, 148-69.</w:t>
      </w:r>
    </w:p>
    <w:p w14:paraId="5DA7214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Minasny B., Malone B. P., McBratney A. B., Angers D. A., Arrouays D., Chambers A., Chaplot V., Chen Z.-S., Cheng K., Das B. S., Field D. J., Gimona A., Hedley C. B., Hong S. Y., Mandal B., Marchant B. P., Martin M., McConkey B. G., Mulder V. L., O'Rourke S., Richer-de-Forges A. C., Odeh I., Padarian J., Paustian K., Pan G., Poggio L., Savin I., Stolbovoy V., Stockmann U., Sulaeman Y., Tsui C.-C., Vågen T.-G., van Wesemael B. &amp; Winowiecki L. (2017) Soil carbon 4 per mille. </w:t>
      </w:r>
      <w:r>
        <w:rPr>
          <w:rFonts w:ascii="Segoe UI" w:eastAsiaTheme="minorHAnsi" w:hAnsi="Segoe UI" w:cs="Segoe UI"/>
          <w:i/>
          <w:iCs/>
          <w:sz w:val="18"/>
          <w:szCs w:val="18"/>
        </w:rPr>
        <w:t>Geoderma</w:t>
      </w:r>
      <w:r>
        <w:rPr>
          <w:rFonts w:ascii="Segoe UI" w:eastAsiaTheme="minorHAnsi" w:hAnsi="Segoe UI" w:cs="Segoe UI"/>
          <w:sz w:val="18"/>
          <w:szCs w:val="18"/>
        </w:rPr>
        <w:t xml:space="preserve"> </w:t>
      </w:r>
      <w:r>
        <w:rPr>
          <w:rFonts w:ascii="Segoe UI" w:eastAsiaTheme="minorHAnsi" w:hAnsi="Segoe UI" w:cs="Segoe UI"/>
          <w:b/>
          <w:bCs/>
          <w:sz w:val="18"/>
          <w:szCs w:val="18"/>
        </w:rPr>
        <w:t>292</w:t>
      </w:r>
      <w:r>
        <w:rPr>
          <w:rFonts w:ascii="Segoe UI" w:eastAsiaTheme="minorHAnsi" w:hAnsi="Segoe UI" w:cs="Segoe UI"/>
          <w:sz w:val="18"/>
          <w:szCs w:val="18"/>
        </w:rPr>
        <w:t>, 59-86.</w:t>
      </w:r>
    </w:p>
    <w:p w14:paraId="6FB3A0E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Mitchell M. R. (1989) Susceptibility to termite attack of various tree species planted in Zimbabwe. In: </w:t>
      </w:r>
      <w:r>
        <w:rPr>
          <w:rFonts w:ascii="Segoe UI" w:eastAsiaTheme="minorHAnsi" w:hAnsi="Segoe UI" w:cs="Segoe UI"/>
          <w:i/>
          <w:iCs/>
          <w:sz w:val="18"/>
          <w:szCs w:val="18"/>
        </w:rPr>
        <w:t>ACIAR Mohograph</w:t>
      </w:r>
      <w:r>
        <w:rPr>
          <w:rFonts w:ascii="Segoe UI" w:eastAsiaTheme="minorHAnsi" w:hAnsi="Segoe UI" w:cs="Segoe UI"/>
          <w:sz w:val="18"/>
          <w:szCs w:val="18"/>
        </w:rPr>
        <w:t xml:space="preserve">  pp. 215-27. ACIAR, Canberra, Australia.</w:t>
      </w:r>
    </w:p>
    <w:p w14:paraId="5930225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Mitchell P. J., Battaglia M. &amp; Pinkard E. A. (2013) Counting the costs of multiple stressors: is the whole greater than the sum of the parts? </w:t>
      </w:r>
      <w:r>
        <w:rPr>
          <w:rFonts w:ascii="Segoe UI" w:eastAsiaTheme="minorHAnsi" w:hAnsi="Segoe UI" w:cs="Segoe UI"/>
          <w:i/>
          <w:iCs/>
          <w:sz w:val="18"/>
          <w:szCs w:val="18"/>
        </w:rPr>
        <w:t>Tree Physiology</w:t>
      </w:r>
      <w:r>
        <w:rPr>
          <w:rFonts w:ascii="Segoe UI" w:eastAsiaTheme="minorHAnsi" w:hAnsi="Segoe UI" w:cs="Segoe UI"/>
          <w:sz w:val="18"/>
          <w:szCs w:val="18"/>
        </w:rPr>
        <w:t xml:space="preserve"> </w:t>
      </w:r>
      <w:r>
        <w:rPr>
          <w:rFonts w:ascii="Segoe UI" w:eastAsiaTheme="minorHAnsi" w:hAnsi="Segoe UI" w:cs="Segoe UI"/>
          <w:b/>
          <w:bCs/>
          <w:sz w:val="18"/>
          <w:szCs w:val="18"/>
        </w:rPr>
        <w:t>33</w:t>
      </w:r>
      <w:r>
        <w:rPr>
          <w:rFonts w:ascii="Segoe UI" w:eastAsiaTheme="minorHAnsi" w:hAnsi="Segoe UI" w:cs="Segoe UI"/>
          <w:sz w:val="18"/>
          <w:szCs w:val="18"/>
        </w:rPr>
        <w:t>, 447-50.</w:t>
      </w:r>
    </w:p>
    <w:p w14:paraId="26A269C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Mitchell P. J., O'Grady A. P., Hayes K. R. &amp; Pinkard E. A. (2014) Exposure of trees to drought-induced die-off is defined by a common climatic threshold across different vegetation types. </w:t>
      </w:r>
      <w:r>
        <w:rPr>
          <w:rFonts w:ascii="Segoe UI" w:eastAsiaTheme="minorHAnsi" w:hAnsi="Segoe UI" w:cs="Segoe UI"/>
          <w:i/>
          <w:iCs/>
          <w:sz w:val="18"/>
          <w:szCs w:val="18"/>
        </w:rPr>
        <w:t>Ecology and Evolution</w:t>
      </w:r>
      <w:r>
        <w:rPr>
          <w:rFonts w:ascii="Segoe UI" w:eastAsiaTheme="minorHAnsi" w:hAnsi="Segoe UI" w:cs="Segoe UI"/>
          <w:sz w:val="18"/>
          <w:szCs w:val="18"/>
        </w:rPr>
        <w:t xml:space="preserve"> </w:t>
      </w:r>
      <w:r>
        <w:rPr>
          <w:rFonts w:ascii="Segoe UI" w:eastAsiaTheme="minorHAnsi" w:hAnsi="Segoe UI" w:cs="Segoe UI"/>
          <w:b/>
          <w:bCs/>
          <w:sz w:val="18"/>
          <w:szCs w:val="18"/>
        </w:rPr>
        <w:t>4</w:t>
      </w:r>
      <w:r>
        <w:rPr>
          <w:rFonts w:ascii="Segoe UI" w:eastAsiaTheme="minorHAnsi" w:hAnsi="Segoe UI" w:cs="Segoe UI"/>
          <w:sz w:val="18"/>
          <w:szCs w:val="18"/>
        </w:rPr>
        <w:t>, 1088-101.</w:t>
      </w:r>
    </w:p>
    <w:p w14:paraId="3FC1C38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Morris J. D. &amp; Thompson L. A. J. (1983) The role of trees in dryland salinity control. </w:t>
      </w:r>
      <w:r>
        <w:rPr>
          <w:rFonts w:ascii="Segoe UI" w:eastAsiaTheme="minorHAnsi" w:hAnsi="Segoe UI" w:cs="Segoe UI"/>
          <w:i/>
          <w:iCs/>
          <w:sz w:val="18"/>
          <w:szCs w:val="18"/>
        </w:rPr>
        <w:t>Proceedings of the Royal Society of Victoria</w:t>
      </w:r>
      <w:r>
        <w:rPr>
          <w:rFonts w:ascii="Segoe UI" w:eastAsiaTheme="minorHAnsi" w:hAnsi="Segoe UI" w:cs="Segoe UI"/>
          <w:sz w:val="18"/>
          <w:szCs w:val="18"/>
        </w:rPr>
        <w:t xml:space="preserve"> </w:t>
      </w:r>
      <w:r>
        <w:rPr>
          <w:rFonts w:ascii="Segoe UI" w:eastAsiaTheme="minorHAnsi" w:hAnsi="Segoe UI" w:cs="Segoe UI"/>
          <w:b/>
          <w:bCs/>
          <w:sz w:val="18"/>
          <w:szCs w:val="18"/>
        </w:rPr>
        <w:t>95</w:t>
      </w:r>
      <w:r>
        <w:rPr>
          <w:rFonts w:ascii="Segoe UI" w:eastAsiaTheme="minorHAnsi" w:hAnsi="Segoe UI" w:cs="Segoe UI"/>
          <w:sz w:val="18"/>
          <w:szCs w:val="18"/>
        </w:rPr>
        <w:t>, 123-31.</w:t>
      </w:r>
    </w:p>
    <w:p w14:paraId="0776D4A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Murphy B., Lehmann C., Russell-Smith J. &amp; Lawes M. (2014) Fire regimes and woody biomass dynamics in Australian savannas. </w:t>
      </w:r>
      <w:r>
        <w:rPr>
          <w:rFonts w:ascii="Segoe UI" w:eastAsiaTheme="minorHAnsi" w:hAnsi="Segoe UI" w:cs="Segoe UI"/>
          <w:i/>
          <w:iCs/>
          <w:sz w:val="18"/>
          <w:szCs w:val="18"/>
        </w:rPr>
        <w:t>Journal of Biogeography</w:t>
      </w:r>
      <w:r>
        <w:rPr>
          <w:rFonts w:ascii="Segoe UI" w:eastAsiaTheme="minorHAnsi" w:hAnsi="Segoe UI" w:cs="Segoe UI"/>
          <w:sz w:val="18"/>
          <w:szCs w:val="18"/>
        </w:rPr>
        <w:t xml:space="preserve"> </w:t>
      </w:r>
      <w:r>
        <w:rPr>
          <w:rFonts w:ascii="Segoe UI" w:eastAsiaTheme="minorHAnsi" w:hAnsi="Segoe UI" w:cs="Segoe UI"/>
          <w:b/>
          <w:bCs/>
          <w:sz w:val="18"/>
          <w:szCs w:val="18"/>
        </w:rPr>
        <w:t>41</w:t>
      </w:r>
      <w:r>
        <w:rPr>
          <w:rFonts w:ascii="Segoe UI" w:eastAsiaTheme="minorHAnsi" w:hAnsi="Segoe UI" w:cs="Segoe UI"/>
          <w:sz w:val="18"/>
          <w:szCs w:val="18"/>
        </w:rPr>
        <w:t>.</w:t>
      </w:r>
    </w:p>
    <w:p w14:paraId="74C8F6D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Nano C. &amp; Clarke P. J. (2008) Variegated desert vegetation: Covariation of edaphic and fire variables provides a framework for understanding mulga-spinifex coexistence. </w:t>
      </w:r>
      <w:r>
        <w:rPr>
          <w:rFonts w:ascii="Segoe UI" w:eastAsiaTheme="minorHAnsi" w:hAnsi="Segoe UI" w:cs="Segoe UI"/>
          <w:i/>
          <w:iCs/>
          <w:sz w:val="18"/>
          <w:szCs w:val="18"/>
        </w:rPr>
        <w:t>Austral Ecology</w:t>
      </w:r>
      <w:r>
        <w:rPr>
          <w:rFonts w:ascii="Segoe UI" w:eastAsiaTheme="minorHAnsi" w:hAnsi="Segoe UI" w:cs="Segoe UI"/>
          <w:sz w:val="18"/>
          <w:szCs w:val="18"/>
        </w:rPr>
        <w:t xml:space="preserve"> </w:t>
      </w:r>
      <w:r>
        <w:rPr>
          <w:rFonts w:ascii="Segoe UI" w:eastAsiaTheme="minorHAnsi" w:hAnsi="Segoe UI" w:cs="Segoe UI"/>
          <w:b/>
          <w:bCs/>
          <w:sz w:val="18"/>
          <w:szCs w:val="18"/>
        </w:rPr>
        <w:t>33</w:t>
      </w:r>
      <w:r>
        <w:rPr>
          <w:rFonts w:ascii="Segoe UI" w:eastAsiaTheme="minorHAnsi" w:hAnsi="Segoe UI" w:cs="Segoe UI"/>
          <w:sz w:val="18"/>
          <w:szCs w:val="18"/>
        </w:rPr>
        <w:t>, 848-62.</w:t>
      </w:r>
    </w:p>
    <w:p w14:paraId="5CB3613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Nano C., Jobson P. &amp; Wardle G. (2017) Arid Shrublands and Open Woodlands of Inland Australia. In: </w:t>
      </w:r>
      <w:r>
        <w:rPr>
          <w:rFonts w:ascii="Segoe UI" w:eastAsiaTheme="minorHAnsi" w:hAnsi="Segoe UI" w:cs="Segoe UI"/>
          <w:i/>
          <w:iCs/>
          <w:sz w:val="18"/>
          <w:szCs w:val="18"/>
        </w:rPr>
        <w:t>Australian Vegetation</w:t>
      </w:r>
      <w:r>
        <w:rPr>
          <w:rFonts w:ascii="Segoe UI" w:eastAsiaTheme="minorHAnsi" w:hAnsi="Segoe UI" w:cs="Segoe UI"/>
          <w:sz w:val="18"/>
          <w:szCs w:val="18"/>
        </w:rPr>
        <w:t xml:space="preserve"> (ed D. A. Keith) pp. 626-50. Cambridge University Press, Cambridge.</w:t>
      </w:r>
    </w:p>
    <w:p w14:paraId="68A5483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Nano C. &amp; Pavey C. (2012) Fire regimes in arid hummock grasslands and Acacia shrublands. In: </w:t>
      </w:r>
      <w:r>
        <w:rPr>
          <w:rFonts w:ascii="Segoe UI" w:eastAsiaTheme="minorHAnsi" w:hAnsi="Segoe UI" w:cs="Segoe UI"/>
          <w:i/>
          <w:iCs/>
          <w:sz w:val="18"/>
          <w:szCs w:val="18"/>
        </w:rPr>
        <w:t>Flammable Australia: Fire Regimes, Biodiversity and Ecosystems in a Changing World.</w:t>
      </w:r>
      <w:r>
        <w:rPr>
          <w:rFonts w:ascii="Segoe UI" w:eastAsiaTheme="minorHAnsi" w:hAnsi="Segoe UI" w:cs="Segoe UI"/>
          <w:sz w:val="18"/>
          <w:szCs w:val="18"/>
        </w:rPr>
        <w:t xml:space="preserve"> (eds R. A. Bradstock, A. M. Gill and R. J. Williams) pp. 195-214. CSIRO Publishing, Melbourne.</w:t>
      </w:r>
    </w:p>
    <w:p w14:paraId="27D0E3B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Nemani R., Keeling C., Hashimoto H., Jolly W., Piper S., Tucker C., Myneni R. &amp; Running S. (2003) Climate-driven increases in global terrestrial net primary production from 1982 to 1999. </w:t>
      </w:r>
      <w:r>
        <w:rPr>
          <w:rFonts w:ascii="Segoe UI" w:eastAsiaTheme="minorHAnsi" w:hAnsi="Segoe UI" w:cs="Segoe UI"/>
          <w:i/>
          <w:iCs/>
          <w:sz w:val="18"/>
          <w:szCs w:val="18"/>
        </w:rPr>
        <w:t>Science</w:t>
      </w:r>
      <w:r>
        <w:rPr>
          <w:rFonts w:ascii="Segoe UI" w:eastAsiaTheme="minorHAnsi" w:hAnsi="Segoe UI" w:cs="Segoe UI"/>
          <w:sz w:val="18"/>
          <w:szCs w:val="18"/>
        </w:rPr>
        <w:t xml:space="preserve"> </w:t>
      </w:r>
      <w:r>
        <w:rPr>
          <w:rFonts w:ascii="Segoe UI" w:eastAsiaTheme="minorHAnsi" w:hAnsi="Segoe UI" w:cs="Segoe UI"/>
          <w:b/>
          <w:bCs/>
          <w:sz w:val="18"/>
          <w:szCs w:val="18"/>
        </w:rPr>
        <w:t>300</w:t>
      </w:r>
      <w:r>
        <w:rPr>
          <w:rFonts w:ascii="Segoe UI" w:eastAsiaTheme="minorHAnsi" w:hAnsi="Segoe UI" w:cs="Segoe UI"/>
          <w:sz w:val="18"/>
          <w:szCs w:val="18"/>
        </w:rPr>
        <w:t>, 1560.</w:t>
      </w:r>
    </w:p>
    <w:p w14:paraId="13BBB22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Nicholas A. M. M., Franklin D. C. &amp; Bowman D. M. J. S. (2011) Floristic uniformity across abrupt boundaries between Triodia hummock grassland and Acacia shrubland on an Australian desert sandplain. </w:t>
      </w:r>
      <w:r>
        <w:rPr>
          <w:rFonts w:ascii="Segoe UI" w:eastAsiaTheme="minorHAnsi" w:hAnsi="Segoe UI" w:cs="Segoe UI"/>
          <w:i/>
          <w:iCs/>
          <w:sz w:val="18"/>
          <w:szCs w:val="18"/>
        </w:rPr>
        <w:t>Journal of Arid Environments</w:t>
      </w:r>
      <w:r>
        <w:rPr>
          <w:rFonts w:ascii="Segoe UI" w:eastAsiaTheme="minorHAnsi" w:hAnsi="Segoe UI" w:cs="Segoe UI"/>
          <w:sz w:val="18"/>
          <w:szCs w:val="18"/>
        </w:rPr>
        <w:t xml:space="preserve"> </w:t>
      </w:r>
      <w:r>
        <w:rPr>
          <w:rFonts w:ascii="Segoe UI" w:eastAsiaTheme="minorHAnsi" w:hAnsi="Segoe UI" w:cs="Segoe UI"/>
          <w:b/>
          <w:bCs/>
          <w:sz w:val="18"/>
          <w:szCs w:val="18"/>
        </w:rPr>
        <w:t>75</w:t>
      </w:r>
      <w:r>
        <w:rPr>
          <w:rFonts w:ascii="Segoe UI" w:eastAsiaTheme="minorHAnsi" w:hAnsi="Segoe UI" w:cs="Segoe UI"/>
          <w:sz w:val="18"/>
          <w:szCs w:val="18"/>
        </w:rPr>
        <w:t>, 1090-6.</w:t>
      </w:r>
    </w:p>
    <w:p w14:paraId="22AD51A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Nicholls N. &amp; Lucas C. (2007) Interannual variations of area burnt in Tasmanian bushfires: Relationships with climate and predictability. </w:t>
      </w:r>
      <w:r>
        <w:rPr>
          <w:rFonts w:ascii="Segoe UI" w:eastAsiaTheme="minorHAnsi" w:hAnsi="Segoe UI" w:cs="Segoe UI"/>
          <w:i/>
          <w:iCs/>
          <w:sz w:val="18"/>
          <w:szCs w:val="18"/>
        </w:rPr>
        <w:t>International Journal of Wildland Fire - INT J WILDLAND FIRE</w:t>
      </w:r>
      <w:r>
        <w:rPr>
          <w:rFonts w:ascii="Segoe UI" w:eastAsiaTheme="minorHAnsi" w:hAnsi="Segoe UI" w:cs="Segoe UI"/>
          <w:sz w:val="18"/>
          <w:szCs w:val="18"/>
        </w:rPr>
        <w:t xml:space="preserve"> </w:t>
      </w:r>
      <w:r>
        <w:rPr>
          <w:rFonts w:ascii="Segoe UI" w:eastAsiaTheme="minorHAnsi" w:hAnsi="Segoe UI" w:cs="Segoe UI"/>
          <w:b/>
          <w:bCs/>
          <w:sz w:val="18"/>
          <w:szCs w:val="18"/>
        </w:rPr>
        <w:t>16</w:t>
      </w:r>
      <w:r>
        <w:rPr>
          <w:rFonts w:ascii="Segoe UI" w:eastAsiaTheme="minorHAnsi" w:hAnsi="Segoe UI" w:cs="Segoe UI"/>
          <w:sz w:val="18"/>
          <w:szCs w:val="18"/>
        </w:rPr>
        <w:t>.</w:t>
      </w:r>
    </w:p>
    <w:p w14:paraId="6E21B62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Nolan R., Sinclair J., Waters C., Mitchell P., Eldridge D., Paul K., Roxburgh S., Butler D. &amp; Ramp D. (2019) Risks to carbon dynamics in semi-arid woodlands of eastern Australia under current and future climates. </w:t>
      </w:r>
      <w:r>
        <w:rPr>
          <w:rFonts w:ascii="Segoe UI" w:eastAsiaTheme="minorHAnsi" w:hAnsi="Segoe UI" w:cs="Segoe UI"/>
          <w:i/>
          <w:iCs/>
          <w:sz w:val="18"/>
          <w:szCs w:val="18"/>
        </w:rPr>
        <w:t>Journal of Environmental Management</w:t>
      </w:r>
      <w:r>
        <w:rPr>
          <w:rFonts w:ascii="Segoe UI" w:eastAsiaTheme="minorHAnsi" w:hAnsi="Segoe UI" w:cs="Segoe UI"/>
          <w:sz w:val="18"/>
          <w:szCs w:val="18"/>
        </w:rPr>
        <w:t xml:space="preserve"> </w:t>
      </w:r>
      <w:r>
        <w:rPr>
          <w:rFonts w:ascii="Segoe UI" w:eastAsiaTheme="minorHAnsi" w:hAnsi="Segoe UI" w:cs="Segoe UI"/>
          <w:b/>
          <w:bCs/>
          <w:sz w:val="18"/>
          <w:szCs w:val="18"/>
        </w:rPr>
        <w:t>235</w:t>
      </w:r>
      <w:r>
        <w:rPr>
          <w:rFonts w:ascii="Segoe UI" w:eastAsiaTheme="minorHAnsi" w:hAnsi="Segoe UI" w:cs="Segoe UI"/>
          <w:sz w:val="18"/>
          <w:szCs w:val="18"/>
        </w:rPr>
        <w:t>, 500-10.</w:t>
      </w:r>
    </w:p>
    <w:p w14:paraId="1E55CB2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Nolan R. H., Drew D. M., O'Grady A. P., Pinkard E. A., Paul K., Roxburgh S. H., Mitchell P. J., Bruce J., Battaglia M. &amp; Ramp D. (2018) Safeguarding reforestation efforts against changes in climate and disturbance regimes.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424</w:t>
      </w:r>
      <w:r>
        <w:rPr>
          <w:rFonts w:ascii="Segoe UI" w:eastAsiaTheme="minorHAnsi" w:hAnsi="Segoe UI" w:cs="Segoe UI"/>
          <w:sz w:val="18"/>
          <w:szCs w:val="18"/>
        </w:rPr>
        <w:t>, 458-67.</w:t>
      </w:r>
    </w:p>
    <w:p w14:paraId="5C5ED6F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Nolan R. H., Sinclair J., Eldridge D. J. &amp; Ramp D. (2018) Biophysical risks to carbon sequestration and storage in Australian drylands. </w:t>
      </w:r>
      <w:r>
        <w:rPr>
          <w:rFonts w:ascii="Segoe UI" w:eastAsiaTheme="minorHAnsi" w:hAnsi="Segoe UI" w:cs="Segoe UI"/>
          <w:i/>
          <w:iCs/>
          <w:sz w:val="18"/>
          <w:szCs w:val="18"/>
        </w:rPr>
        <w:t>Journal of Environmental Management</w:t>
      </w:r>
      <w:r>
        <w:rPr>
          <w:rFonts w:ascii="Segoe UI" w:eastAsiaTheme="minorHAnsi" w:hAnsi="Segoe UI" w:cs="Segoe UI"/>
          <w:sz w:val="18"/>
          <w:szCs w:val="18"/>
        </w:rPr>
        <w:t xml:space="preserve"> </w:t>
      </w:r>
      <w:r>
        <w:rPr>
          <w:rFonts w:ascii="Segoe UI" w:eastAsiaTheme="minorHAnsi" w:hAnsi="Segoe UI" w:cs="Segoe UI"/>
          <w:b/>
          <w:bCs/>
          <w:sz w:val="18"/>
          <w:szCs w:val="18"/>
        </w:rPr>
        <w:t>208</w:t>
      </w:r>
      <w:r>
        <w:rPr>
          <w:rFonts w:ascii="Segoe UI" w:eastAsiaTheme="minorHAnsi" w:hAnsi="Segoe UI" w:cs="Segoe UI"/>
          <w:sz w:val="18"/>
          <w:szCs w:val="18"/>
        </w:rPr>
        <w:t>, 102-11.</w:t>
      </w:r>
    </w:p>
    <w:p w14:paraId="3D69354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Norby R., Delucia E., Gielen B., Calfapietra C., Giardina C., King J., Ledford J., McCarthy H., Moore D., Ceulemans R., Angelis P., Finzi A., Karnosky D., Kubiske M., Lukac M., Pregitzer K., Mugnozza G., Schlesinger W. &amp; Oren R. (2006) Forest response to elevated CO2 is conserved across a broad range of productivity. </w:t>
      </w:r>
      <w:r>
        <w:rPr>
          <w:rFonts w:ascii="Segoe UI" w:eastAsiaTheme="minorHAnsi" w:hAnsi="Segoe UI" w:cs="Segoe UI"/>
          <w:i/>
          <w:iCs/>
          <w:sz w:val="18"/>
          <w:szCs w:val="18"/>
        </w:rPr>
        <w:t>Proceedings of the National Academy of Sciences of the United States of America</w:t>
      </w:r>
      <w:r>
        <w:rPr>
          <w:rFonts w:ascii="Segoe UI" w:eastAsiaTheme="minorHAnsi" w:hAnsi="Segoe UI" w:cs="Segoe UI"/>
          <w:sz w:val="18"/>
          <w:szCs w:val="18"/>
        </w:rPr>
        <w:t xml:space="preserve"> </w:t>
      </w:r>
      <w:r>
        <w:rPr>
          <w:rFonts w:ascii="Segoe UI" w:eastAsiaTheme="minorHAnsi" w:hAnsi="Segoe UI" w:cs="Segoe UI"/>
          <w:b/>
          <w:bCs/>
          <w:sz w:val="18"/>
          <w:szCs w:val="18"/>
        </w:rPr>
        <w:t>102</w:t>
      </w:r>
      <w:r>
        <w:rPr>
          <w:rFonts w:ascii="Segoe UI" w:eastAsiaTheme="minorHAnsi" w:hAnsi="Segoe UI" w:cs="Segoe UI"/>
          <w:sz w:val="18"/>
          <w:szCs w:val="18"/>
        </w:rPr>
        <w:t>, 18052-6.</w:t>
      </w:r>
    </w:p>
    <w:p w14:paraId="082E523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Nowak R., Ellsworth D. &amp; Smith S. (2004) Functional responses of plants to elevated atmospheric CO2 - do photosynthetic and productivity data from FACE experiments support early predictions? New Phytol. </w:t>
      </w:r>
      <w:r>
        <w:rPr>
          <w:rFonts w:ascii="Segoe UI" w:eastAsiaTheme="minorHAnsi" w:hAnsi="Segoe UI" w:cs="Segoe UI"/>
          <w:i/>
          <w:iCs/>
          <w:sz w:val="18"/>
          <w:szCs w:val="18"/>
        </w:rPr>
        <w:t>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162</w:t>
      </w:r>
      <w:r>
        <w:rPr>
          <w:rFonts w:ascii="Segoe UI" w:eastAsiaTheme="minorHAnsi" w:hAnsi="Segoe UI" w:cs="Segoe UI"/>
          <w:sz w:val="18"/>
          <w:szCs w:val="18"/>
        </w:rPr>
        <w:t>, 253-80.</w:t>
      </w:r>
    </w:p>
    <w:p w14:paraId="7415DFC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O’Connor J. J., Fest B. J., Sievers M. &amp; Swearer S. E. (2020) Impacts of land management practices on blue carbon stocks and greenhouse gas fluxes in coastal ecosystems—A meta-analysis.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26</w:t>
      </w:r>
      <w:r>
        <w:rPr>
          <w:rFonts w:ascii="Segoe UI" w:eastAsiaTheme="minorHAnsi" w:hAnsi="Segoe UI" w:cs="Segoe UI"/>
          <w:sz w:val="18"/>
          <w:szCs w:val="18"/>
        </w:rPr>
        <w:t>, 1354-66.</w:t>
      </w:r>
    </w:p>
    <w:p w14:paraId="0635B0A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Oertel C., Matschullat J., Zurba K., Zimmermann F. &amp; Erasmi S. (2016) Greenhouse gas emissions from soils—A review. </w:t>
      </w:r>
      <w:r>
        <w:rPr>
          <w:rFonts w:ascii="Segoe UI" w:eastAsiaTheme="minorHAnsi" w:hAnsi="Segoe UI" w:cs="Segoe UI"/>
          <w:i/>
          <w:iCs/>
          <w:sz w:val="18"/>
          <w:szCs w:val="18"/>
        </w:rPr>
        <w:t>Geochemistry</w:t>
      </w:r>
      <w:r>
        <w:rPr>
          <w:rFonts w:ascii="Segoe UI" w:eastAsiaTheme="minorHAnsi" w:hAnsi="Segoe UI" w:cs="Segoe UI"/>
          <w:sz w:val="18"/>
          <w:szCs w:val="18"/>
        </w:rPr>
        <w:t xml:space="preserve"> </w:t>
      </w:r>
      <w:r>
        <w:rPr>
          <w:rFonts w:ascii="Segoe UI" w:eastAsiaTheme="minorHAnsi" w:hAnsi="Segoe UI" w:cs="Segoe UI"/>
          <w:b/>
          <w:bCs/>
          <w:sz w:val="18"/>
          <w:szCs w:val="18"/>
        </w:rPr>
        <w:t>76</w:t>
      </w:r>
      <w:r>
        <w:rPr>
          <w:rFonts w:ascii="Segoe UI" w:eastAsiaTheme="minorHAnsi" w:hAnsi="Segoe UI" w:cs="Segoe UI"/>
          <w:sz w:val="18"/>
          <w:szCs w:val="18"/>
        </w:rPr>
        <w:t>, 327-52.</w:t>
      </w:r>
    </w:p>
    <w:p w14:paraId="0C5C53C0" w14:textId="63396C5A"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Ögren E. (1994) The significance of photoinhibition for photosynthetic productivity. In: </w:t>
      </w:r>
      <w:r>
        <w:rPr>
          <w:rFonts w:ascii="Segoe UI" w:eastAsiaTheme="minorHAnsi" w:hAnsi="Segoe UI" w:cs="Segoe UI"/>
          <w:i/>
          <w:iCs/>
          <w:sz w:val="18"/>
          <w:szCs w:val="18"/>
        </w:rPr>
        <w:t>Photoinhibition of photosynthesis</w:t>
      </w:r>
      <w:r>
        <w:rPr>
          <w:rFonts w:ascii="Segoe UI" w:eastAsiaTheme="minorHAnsi" w:hAnsi="Segoe UI" w:cs="Segoe UI"/>
          <w:sz w:val="18"/>
          <w:szCs w:val="18"/>
        </w:rPr>
        <w:t xml:space="preserve"> (eds N. R. Baker and J. R. Boyer) pp. 433-47. Bios Scientific Publishers, Oxford.</w:t>
      </w:r>
    </w:p>
    <w:p w14:paraId="4D05B08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Ohmart C. &amp; Edwards P. (2003) Insect Herbivory on Eucalyptus. </w:t>
      </w:r>
      <w:r>
        <w:rPr>
          <w:rFonts w:ascii="Segoe UI" w:eastAsiaTheme="minorHAnsi" w:hAnsi="Segoe UI" w:cs="Segoe UI"/>
          <w:i/>
          <w:iCs/>
          <w:sz w:val="18"/>
          <w:szCs w:val="18"/>
        </w:rPr>
        <w:t>Annual review of entomology, Vol. 36</w:t>
      </w:r>
      <w:r>
        <w:rPr>
          <w:rFonts w:ascii="Segoe UI" w:eastAsiaTheme="minorHAnsi" w:hAnsi="Segoe UI" w:cs="Segoe UI"/>
          <w:sz w:val="18"/>
          <w:szCs w:val="18"/>
        </w:rPr>
        <w:t xml:space="preserve"> </w:t>
      </w:r>
      <w:r>
        <w:rPr>
          <w:rFonts w:ascii="Segoe UI" w:eastAsiaTheme="minorHAnsi" w:hAnsi="Segoe UI" w:cs="Segoe UI"/>
          <w:b/>
          <w:bCs/>
          <w:sz w:val="18"/>
          <w:szCs w:val="18"/>
        </w:rPr>
        <w:t>36</w:t>
      </w:r>
      <w:r>
        <w:rPr>
          <w:rFonts w:ascii="Segoe UI" w:eastAsiaTheme="minorHAnsi" w:hAnsi="Segoe UI" w:cs="Segoe UI"/>
          <w:sz w:val="18"/>
          <w:szCs w:val="18"/>
        </w:rPr>
        <w:t>, 637-57.</w:t>
      </w:r>
    </w:p>
    <w:p w14:paraId="6E53468C" w14:textId="5E182815"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Old K. M. &amp; Stone C. (2005) </w:t>
      </w:r>
      <w:r w:rsidR="00755CDB">
        <w:rPr>
          <w:rFonts w:ascii="Segoe UI" w:eastAsiaTheme="minorHAnsi" w:hAnsi="Segoe UI" w:cs="Segoe UI"/>
          <w:sz w:val="18"/>
          <w:szCs w:val="18"/>
        </w:rPr>
        <w:t>Vulnerability</w:t>
      </w:r>
      <w:r>
        <w:rPr>
          <w:rFonts w:ascii="Segoe UI" w:eastAsiaTheme="minorHAnsi" w:hAnsi="Segoe UI" w:cs="Segoe UI"/>
          <w:sz w:val="18"/>
          <w:szCs w:val="18"/>
        </w:rPr>
        <w:t xml:space="preserve"> of Australian Forest Carbon Sinks to Pests and Pathogens in a Changing Climate. Australian Greenhouse Office, Canberra.   p. 52.</w:t>
      </w:r>
    </w:p>
    <w:p w14:paraId="0BC6589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Ooi M. (2012) Seed bank persistence and climate change. </w:t>
      </w:r>
      <w:r>
        <w:rPr>
          <w:rFonts w:ascii="Segoe UI" w:eastAsiaTheme="minorHAnsi" w:hAnsi="Segoe UI" w:cs="Segoe UI"/>
          <w:i/>
          <w:iCs/>
          <w:sz w:val="18"/>
          <w:szCs w:val="18"/>
        </w:rPr>
        <w:t>Seed Science Research</w:t>
      </w:r>
      <w:r>
        <w:rPr>
          <w:rFonts w:ascii="Segoe UI" w:eastAsiaTheme="minorHAnsi" w:hAnsi="Segoe UI" w:cs="Segoe UI"/>
          <w:sz w:val="18"/>
          <w:szCs w:val="18"/>
        </w:rPr>
        <w:t xml:space="preserve"> </w:t>
      </w:r>
      <w:r>
        <w:rPr>
          <w:rFonts w:ascii="Segoe UI" w:eastAsiaTheme="minorHAnsi" w:hAnsi="Segoe UI" w:cs="Segoe UI"/>
          <w:b/>
          <w:bCs/>
          <w:sz w:val="18"/>
          <w:szCs w:val="18"/>
        </w:rPr>
        <w:t>22</w:t>
      </w:r>
      <w:r>
        <w:rPr>
          <w:rFonts w:ascii="Segoe UI" w:eastAsiaTheme="minorHAnsi" w:hAnsi="Segoe UI" w:cs="Segoe UI"/>
          <w:sz w:val="18"/>
          <w:szCs w:val="18"/>
        </w:rPr>
        <w:t>, S53-S60.</w:t>
      </w:r>
    </w:p>
    <w:p w14:paraId="5340F90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Ooi M. K. J., Denham A. J., Santana V. M. &amp; Auld T. D. (2014) Temperature thresholds of physically dormant seeds and plant functional response to fire: variation among species and relative impact of climate change. </w:t>
      </w:r>
      <w:r>
        <w:rPr>
          <w:rFonts w:ascii="Segoe UI" w:eastAsiaTheme="minorHAnsi" w:hAnsi="Segoe UI" w:cs="Segoe UI"/>
          <w:i/>
          <w:iCs/>
          <w:sz w:val="18"/>
          <w:szCs w:val="18"/>
        </w:rPr>
        <w:t>Ecology and Evolution</w:t>
      </w:r>
      <w:r>
        <w:rPr>
          <w:rFonts w:ascii="Segoe UI" w:eastAsiaTheme="minorHAnsi" w:hAnsi="Segoe UI" w:cs="Segoe UI"/>
          <w:sz w:val="18"/>
          <w:szCs w:val="18"/>
        </w:rPr>
        <w:t xml:space="preserve"> </w:t>
      </w:r>
      <w:r>
        <w:rPr>
          <w:rFonts w:ascii="Segoe UI" w:eastAsiaTheme="minorHAnsi" w:hAnsi="Segoe UI" w:cs="Segoe UI"/>
          <w:b/>
          <w:bCs/>
          <w:sz w:val="18"/>
          <w:szCs w:val="18"/>
        </w:rPr>
        <w:t>4</w:t>
      </w:r>
      <w:r>
        <w:rPr>
          <w:rFonts w:ascii="Segoe UI" w:eastAsiaTheme="minorHAnsi" w:hAnsi="Segoe UI" w:cs="Segoe UI"/>
          <w:sz w:val="18"/>
          <w:szCs w:val="18"/>
        </w:rPr>
        <w:t>, 656-71.</w:t>
      </w:r>
    </w:p>
    <w:p w14:paraId="7E9DBA5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Osorio J., Crous C., Wingfield M., De Beer Z. W. &amp; Roux J. (2017) An assessment of mangrove diseases and pests in South Africa. </w:t>
      </w:r>
      <w:r>
        <w:rPr>
          <w:rFonts w:ascii="Segoe UI" w:eastAsiaTheme="minorHAnsi" w:hAnsi="Segoe UI" w:cs="Segoe UI"/>
          <w:i/>
          <w:iCs/>
          <w:sz w:val="18"/>
          <w:szCs w:val="18"/>
        </w:rPr>
        <w:t>Forestry</w:t>
      </w:r>
      <w:r>
        <w:rPr>
          <w:rFonts w:ascii="Segoe UI" w:eastAsiaTheme="minorHAnsi" w:hAnsi="Segoe UI" w:cs="Segoe UI"/>
          <w:sz w:val="18"/>
          <w:szCs w:val="18"/>
        </w:rPr>
        <w:t xml:space="preserve"> </w:t>
      </w:r>
      <w:r>
        <w:rPr>
          <w:rFonts w:ascii="Segoe UI" w:eastAsiaTheme="minorHAnsi" w:hAnsi="Segoe UI" w:cs="Segoe UI"/>
          <w:b/>
          <w:bCs/>
          <w:sz w:val="18"/>
          <w:szCs w:val="18"/>
        </w:rPr>
        <w:t>00</w:t>
      </w:r>
      <w:r>
        <w:rPr>
          <w:rFonts w:ascii="Segoe UI" w:eastAsiaTheme="minorHAnsi" w:hAnsi="Segoe UI" w:cs="Segoe UI"/>
          <w:sz w:val="18"/>
          <w:szCs w:val="18"/>
        </w:rPr>
        <w:t>, 1-16.</w:t>
      </w:r>
    </w:p>
    <w:p w14:paraId="0403463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Osorio J. A., Wingfield M. J. &amp; Roux J. (2016) A review of factors associated with decline and death of mangroves, with particular reference to fungal pathogens. </w:t>
      </w:r>
      <w:r>
        <w:rPr>
          <w:rFonts w:ascii="Segoe UI" w:eastAsiaTheme="minorHAnsi" w:hAnsi="Segoe UI" w:cs="Segoe UI"/>
          <w:i/>
          <w:iCs/>
          <w:sz w:val="18"/>
          <w:szCs w:val="18"/>
        </w:rPr>
        <w:t>South African Journal of Botany</w:t>
      </w:r>
      <w:r>
        <w:rPr>
          <w:rFonts w:ascii="Segoe UI" w:eastAsiaTheme="minorHAnsi" w:hAnsi="Segoe UI" w:cs="Segoe UI"/>
          <w:sz w:val="18"/>
          <w:szCs w:val="18"/>
        </w:rPr>
        <w:t xml:space="preserve"> </w:t>
      </w:r>
      <w:r>
        <w:rPr>
          <w:rFonts w:ascii="Segoe UI" w:eastAsiaTheme="minorHAnsi" w:hAnsi="Segoe UI" w:cs="Segoe UI"/>
          <w:b/>
          <w:bCs/>
          <w:sz w:val="18"/>
          <w:szCs w:val="18"/>
        </w:rPr>
        <w:t>103</w:t>
      </w:r>
      <w:r>
        <w:rPr>
          <w:rFonts w:ascii="Segoe UI" w:eastAsiaTheme="minorHAnsi" w:hAnsi="Segoe UI" w:cs="Segoe UI"/>
          <w:sz w:val="18"/>
          <w:szCs w:val="18"/>
        </w:rPr>
        <w:t>, 295-301.</w:t>
      </w:r>
    </w:p>
    <w:p w14:paraId="0CA8BFD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O'Sullivan O. S., Lasantha K. W., Weerasinghe K., Evans J. R., Egerton J. J. G., Tjoelker M. G. &amp; Atkin O. K. (2013) High-resolutation temperature responses of leaf respiration in snow gum (</w:t>
      </w:r>
      <w:r>
        <w:rPr>
          <w:rFonts w:ascii="Segoe UI" w:eastAsiaTheme="minorHAnsi" w:hAnsi="Segoe UI" w:cs="Segoe UI"/>
          <w:i/>
          <w:iCs/>
          <w:sz w:val="18"/>
          <w:szCs w:val="18"/>
        </w:rPr>
        <w:t>Eucalyptus pauciflora</w:t>
      </w:r>
      <w:r>
        <w:rPr>
          <w:rFonts w:ascii="Segoe UI" w:eastAsiaTheme="minorHAnsi" w:hAnsi="Segoe UI" w:cs="Segoe UI"/>
          <w:sz w:val="18"/>
          <w:szCs w:val="18"/>
        </w:rPr>
        <w:t xml:space="preserve">) reveal high-temperature limits to respiratory function. </w:t>
      </w:r>
      <w:r>
        <w:rPr>
          <w:rFonts w:ascii="Segoe UI" w:eastAsiaTheme="minorHAnsi" w:hAnsi="Segoe UI" w:cs="Segoe UI"/>
          <w:i/>
          <w:iCs/>
          <w:sz w:val="18"/>
          <w:szCs w:val="18"/>
        </w:rPr>
        <w:t>Plant Cell and Environment</w:t>
      </w:r>
      <w:r>
        <w:rPr>
          <w:rFonts w:ascii="Segoe UI" w:eastAsiaTheme="minorHAnsi" w:hAnsi="Segoe UI" w:cs="Segoe UI"/>
          <w:sz w:val="18"/>
          <w:szCs w:val="18"/>
        </w:rPr>
        <w:t xml:space="preserve"> </w:t>
      </w:r>
      <w:r>
        <w:rPr>
          <w:rFonts w:ascii="Segoe UI" w:eastAsiaTheme="minorHAnsi" w:hAnsi="Segoe UI" w:cs="Segoe UI"/>
          <w:b/>
          <w:bCs/>
          <w:sz w:val="18"/>
          <w:szCs w:val="18"/>
        </w:rPr>
        <w:t>36</w:t>
      </w:r>
      <w:r>
        <w:rPr>
          <w:rFonts w:ascii="Segoe UI" w:eastAsiaTheme="minorHAnsi" w:hAnsi="Segoe UI" w:cs="Segoe UI"/>
          <w:sz w:val="18"/>
          <w:szCs w:val="18"/>
        </w:rPr>
        <w:t>, 1268 - 84.</w:t>
      </w:r>
    </w:p>
    <w:p w14:paraId="40D530A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Ozga J., Kaur H., Savada R. &amp; Reinecke D. (2016) Hormonal regulation of reproductive growth under normal and heat-stress conditions in legume and other model crop species. </w:t>
      </w:r>
      <w:r>
        <w:rPr>
          <w:rFonts w:ascii="Segoe UI" w:eastAsiaTheme="minorHAnsi" w:hAnsi="Segoe UI" w:cs="Segoe UI"/>
          <w:i/>
          <w:iCs/>
          <w:sz w:val="18"/>
          <w:szCs w:val="18"/>
        </w:rPr>
        <w:t>Journal of Experimental Botany</w:t>
      </w:r>
      <w:r>
        <w:rPr>
          <w:rFonts w:ascii="Segoe UI" w:eastAsiaTheme="minorHAnsi" w:hAnsi="Segoe UI" w:cs="Segoe UI"/>
          <w:sz w:val="18"/>
          <w:szCs w:val="18"/>
        </w:rPr>
        <w:t xml:space="preserve"> </w:t>
      </w:r>
      <w:r>
        <w:rPr>
          <w:rFonts w:ascii="Segoe UI" w:eastAsiaTheme="minorHAnsi" w:hAnsi="Segoe UI" w:cs="Segoe UI"/>
          <w:b/>
          <w:bCs/>
          <w:sz w:val="18"/>
          <w:szCs w:val="18"/>
        </w:rPr>
        <w:t>68</w:t>
      </w:r>
      <w:r>
        <w:rPr>
          <w:rFonts w:ascii="Segoe UI" w:eastAsiaTheme="minorHAnsi" w:hAnsi="Segoe UI" w:cs="Segoe UI"/>
          <w:sz w:val="18"/>
          <w:szCs w:val="18"/>
        </w:rPr>
        <w:t>, erw464.</w:t>
      </w:r>
    </w:p>
    <w:p w14:paraId="4DB7D5A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Paul K. &amp; Roxburgh S. H. (2020) Carbon dynamics associated with savanna burning. Final Report to The Department of Industry, Science , Energy and Resources. CSIRO, Australia. .</w:t>
      </w:r>
    </w:p>
    <w:p w14:paraId="208B30F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Paul K. I., Cunningham S. C., England J. R., Roxburgh S. H., Preece N. D., Lewis T., Brooksbank K., Crawford D. F. &amp; Polglase P. J. (2016) Managing reforestation to sequester carbon, increase biodiversity potential and minimize loss of agricultural land. </w:t>
      </w:r>
      <w:r>
        <w:rPr>
          <w:rFonts w:ascii="Segoe UI" w:eastAsiaTheme="minorHAnsi" w:hAnsi="Segoe UI" w:cs="Segoe UI"/>
          <w:i/>
          <w:iCs/>
          <w:sz w:val="18"/>
          <w:szCs w:val="18"/>
        </w:rPr>
        <w:t>Land Use Policy</w:t>
      </w:r>
      <w:r>
        <w:rPr>
          <w:rFonts w:ascii="Segoe UI" w:eastAsiaTheme="minorHAnsi" w:hAnsi="Segoe UI" w:cs="Segoe UI"/>
          <w:sz w:val="18"/>
          <w:szCs w:val="18"/>
        </w:rPr>
        <w:t xml:space="preserve"> </w:t>
      </w:r>
      <w:r>
        <w:rPr>
          <w:rFonts w:ascii="Segoe UI" w:eastAsiaTheme="minorHAnsi" w:hAnsi="Segoe UI" w:cs="Segoe UI"/>
          <w:b/>
          <w:bCs/>
          <w:sz w:val="18"/>
          <w:szCs w:val="18"/>
        </w:rPr>
        <w:t>51</w:t>
      </w:r>
      <w:r>
        <w:rPr>
          <w:rFonts w:ascii="Segoe UI" w:eastAsiaTheme="minorHAnsi" w:hAnsi="Segoe UI" w:cs="Segoe UI"/>
          <w:sz w:val="18"/>
          <w:szCs w:val="18"/>
        </w:rPr>
        <w:t>, 135-49.</w:t>
      </w:r>
    </w:p>
    <w:p w14:paraId="16E3604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Paul K. I., England J. R., Baker T. G., Cunningham S. C., Perring M. P., Polglase P. J., Wilson B., Cavagnaro T. R., Lewis T., Read Z., Madhavan D. B. &amp; Herrmann T. (2018) Using measured stocks of biomass and litter carbon to constrain modelled estimates of sequestration of soil organic carbon under contrasting mixed-species environmental plantings. </w:t>
      </w:r>
      <w:r>
        <w:rPr>
          <w:rFonts w:ascii="Segoe UI" w:eastAsiaTheme="minorHAnsi" w:hAnsi="Segoe UI" w:cs="Segoe UI"/>
          <w:i/>
          <w:iCs/>
          <w:sz w:val="18"/>
          <w:szCs w:val="18"/>
        </w:rPr>
        <w:t>Science of The Total Environment</w:t>
      </w:r>
      <w:r>
        <w:rPr>
          <w:rFonts w:ascii="Segoe UI" w:eastAsiaTheme="minorHAnsi" w:hAnsi="Segoe UI" w:cs="Segoe UI"/>
          <w:sz w:val="18"/>
          <w:szCs w:val="18"/>
        </w:rPr>
        <w:t xml:space="preserve"> </w:t>
      </w:r>
      <w:r>
        <w:rPr>
          <w:rFonts w:ascii="Segoe UI" w:eastAsiaTheme="minorHAnsi" w:hAnsi="Segoe UI" w:cs="Segoe UI"/>
          <w:b/>
          <w:bCs/>
          <w:sz w:val="18"/>
          <w:szCs w:val="18"/>
        </w:rPr>
        <w:t>615</w:t>
      </w:r>
      <w:r>
        <w:rPr>
          <w:rFonts w:ascii="Segoe UI" w:eastAsiaTheme="minorHAnsi" w:hAnsi="Segoe UI" w:cs="Segoe UI"/>
          <w:sz w:val="18"/>
          <w:szCs w:val="18"/>
        </w:rPr>
        <w:t>, 348-59.</w:t>
      </w:r>
    </w:p>
    <w:p w14:paraId="2BF0919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Paul K. I. &amp; Polglase P. J. (2004) Prediction of decomposition of litter under eucalypts and pines using the FullCAM model.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191</w:t>
      </w:r>
      <w:r>
        <w:rPr>
          <w:rFonts w:ascii="Segoe UI" w:eastAsiaTheme="minorHAnsi" w:hAnsi="Segoe UI" w:cs="Segoe UI"/>
          <w:sz w:val="18"/>
          <w:szCs w:val="18"/>
        </w:rPr>
        <w:t>, 73-92.</w:t>
      </w:r>
    </w:p>
    <w:p w14:paraId="470EA1A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Peeters P. J. &amp; Butler D. (2014) Mulga: regrowth benefits management guideline. Department of Science, Information Technology, Innovation and the Arts, Brisbane.</w:t>
      </w:r>
    </w:p>
    <w:p w14:paraId="175D56C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Pegg G., Carnegie A., Wingfield M. &amp; Drenth A. (2009) Quambalariaspecies: Increasing threat to eucalypt plantations in Australia. </w:t>
      </w:r>
      <w:r>
        <w:rPr>
          <w:rFonts w:ascii="Segoe UI" w:eastAsiaTheme="minorHAnsi" w:hAnsi="Segoe UI" w:cs="Segoe UI"/>
          <w:i/>
          <w:iCs/>
          <w:sz w:val="18"/>
          <w:szCs w:val="18"/>
        </w:rPr>
        <w:t>Southern Forests: a Journal of Forest Science</w:t>
      </w:r>
      <w:r>
        <w:rPr>
          <w:rFonts w:ascii="Segoe UI" w:eastAsiaTheme="minorHAnsi" w:hAnsi="Segoe UI" w:cs="Segoe UI"/>
          <w:sz w:val="18"/>
          <w:szCs w:val="18"/>
        </w:rPr>
        <w:t xml:space="preserve"> </w:t>
      </w:r>
      <w:r>
        <w:rPr>
          <w:rFonts w:ascii="Segoe UI" w:eastAsiaTheme="minorHAnsi" w:hAnsi="Segoe UI" w:cs="Segoe UI"/>
          <w:b/>
          <w:bCs/>
          <w:sz w:val="18"/>
          <w:szCs w:val="18"/>
        </w:rPr>
        <w:t>71</w:t>
      </w:r>
      <w:r>
        <w:rPr>
          <w:rFonts w:ascii="Segoe UI" w:eastAsiaTheme="minorHAnsi" w:hAnsi="Segoe UI" w:cs="Segoe UI"/>
          <w:sz w:val="18"/>
          <w:szCs w:val="18"/>
        </w:rPr>
        <w:t>.</w:t>
      </w:r>
    </w:p>
    <w:p w14:paraId="72D787A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Pegg K. G., Gillespie N. C. &amp; Forsberg L. I. (1980) Phytophthora sp. associated with mangrove death in Central Coastal Queensland. </w:t>
      </w:r>
      <w:r>
        <w:rPr>
          <w:rFonts w:ascii="Segoe UI" w:eastAsiaTheme="minorHAnsi" w:hAnsi="Segoe UI" w:cs="Segoe UI"/>
          <w:i/>
          <w:iCs/>
          <w:sz w:val="18"/>
          <w:szCs w:val="18"/>
        </w:rPr>
        <w:t>Australasian Plant Pathology</w:t>
      </w:r>
      <w:r>
        <w:rPr>
          <w:rFonts w:ascii="Segoe UI" w:eastAsiaTheme="minorHAnsi" w:hAnsi="Segoe UI" w:cs="Segoe UI"/>
          <w:sz w:val="18"/>
          <w:szCs w:val="18"/>
        </w:rPr>
        <w:t xml:space="preserve"> </w:t>
      </w:r>
      <w:r>
        <w:rPr>
          <w:rFonts w:ascii="Segoe UI" w:eastAsiaTheme="minorHAnsi" w:hAnsi="Segoe UI" w:cs="Segoe UI"/>
          <w:b/>
          <w:bCs/>
          <w:sz w:val="18"/>
          <w:szCs w:val="18"/>
        </w:rPr>
        <w:t>9</w:t>
      </w:r>
      <w:r>
        <w:rPr>
          <w:rFonts w:ascii="Segoe UI" w:eastAsiaTheme="minorHAnsi" w:hAnsi="Segoe UI" w:cs="Segoe UI"/>
          <w:sz w:val="18"/>
          <w:szCs w:val="18"/>
        </w:rPr>
        <w:t>, 6-7.</w:t>
      </w:r>
    </w:p>
    <w:p w14:paraId="517B1C2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Peng S. &amp; Liu Q. (2002) The Dynamics of Forest Litter and its Responses to Global Warming. </w:t>
      </w:r>
      <w:r>
        <w:rPr>
          <w:rFonts w:ascii="Segoe UI" w:eastAsiaTheme="minorHAnsi" w:hAnsi="Segoe UI" w:cs="Segoe UI"/>
          <w:i/>
          <w:iCs/>
          <w:sz w:val="18"/>
          <w:szCs w:val="18"/>
        </w:rPr>
        <w:t>Acta Ecologica Sinica</w:t>
      </w:r>
      <w:r>
        <w:rPr>
          <w:rFonts w:ascii="Segoe UI" w:eastAsiaTheme="minorHAnsi" w:hAnsi="Segoe UI" w:cs="Segoe UI"/>
          <w:sz w:val="18"/>
          <w:szCs w:val="18"/>
        </w:rPr>
        <w:t xml:space="preserve"> </w:t>
      </w:r>
      <w:r>
        <w:rPr>
          <w:rFonts w:ascii="Segoe UI" w:eastAsiaTheme="minorHAnsi" w:hAnsi="Segoe UI" w:cs="Segoe UI"/>
          <w:b/>
          <w:bCs/>
          <w:sz w:val="18"/>
          <w:szCs w:val="18"/>
        </w:rPr>
        <w:t>22</w:t>
      </w:r>
      <w:r>
        <w:rPr>
          <w:rFonts w:ascii="Segoe UI" w:eastAsiaTheme="minorHAnsi" w:hAnsi="Segoe UI" w:cs="Segoe UI"/>
          <w:sz w:val="18"/>
          <w:szCs w:val="18"/>
        </w:rPr>
        <w:t>, 1534-44.</w:t>
      </w:r>
    </w:p>
    <w:p w14:paraId="7AF4F1B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Phelan D. C., Parsons D., Lisson S. N., Holz G. K. &amp; MacLeod N. D. (2014) Beneficial impacts of climate change on pastoral and broadacre agriculture in cool-temperate Tasmania. </w:t>
      </w:r>
      <w:r>
        <w:rPr>
          <w:rFonts w:ascii="Segoe UI" w:eastAsiaTheme="minorHAnsi" w:hAnsi="Segoe UI" w:cs="Segoe UI"/>
          <w:i/>
          <w:iCs/>
          <w:sz w:val="18"/>
          <w:szCs w:val="18"/>
        </w:rPr>
        <w:t>Crop and Pasture Science</w:t>
      </w:r>
      <w:r>
        <w:rPr>
          <w:rFonts w:ascii="Segoe UI" w:eastAsiaTheme="minorHAnsi" w:hAnsi="Segoe UI" w:cs="Segoe UI"/>
          <w:sz w:val="18"/>
          <w:szCs w:val="18"/>
        </w:rPr>
        <w:t xml:space="preserve"> </w:t>
      </w:r>
      <w:r>
        <w:rPr>
          <w:rFonts w:ascii="Segoe UI" w:eastAsiaTheme="minorHAnsi" w:hAnsi="Segoe UI" w:cs="Segoe UI"/>
          <w:b/>
          <w:bCs/>
          <w:sz w:val="18"/>
          <w:szCs w:val="18"/>
        </w:rPr>
        <w:t>65</w:t>
      </w:r>
      <w:r>
        <w:rPr>
          <w:rFonts w:ascii="Segoe UI" w:eastAsiaTheme="minorHAnsi" w:hAnsi="Segoe UI" w:cs="Segoe UI"/>
          <w:sz w:val="18"/>
          <w:szCs w:val="18"/>
        </w:rPr>
        <w:t>, 194-205.</w:t>
      </w:r>
    </w:p>
    <w:p w14:paraId="21EAE87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Piao S., Zhang X., Chen A., Liu Q., Lian X., Wang X., Peng S. &amp; Wu X. (2019) The impacts of climate extremes on the terrestrial carbon cycle: A review. </w:t>
      </w:r>
      <w:r>
        <w:rPr>
          <w:rFonts w:ascii="Segoe UI" w:eastAsiaTheme="minorHAnsi" w:hAnsi="Segoe UI" w:cs="Segoe UI"/>
          <w:i/>
          <w:iCs/>
          <w:sz w:val="18"/>
          <w:szCs w:val="18"/>
        </w:rPr>
        <w:t>Science China Earth Sciences</w:t>
      </w:r>
      <w:r>
        <w:rPr>
          <w:rFonts w:ascii="Segoe UI" w:eastAsiaTheme="minorHAnsi" w:hAnsi="Segoe UI" w:cs="Segoe UI"/>
          <w:sz w:val="18"/>
          <w:szCs w:val="18"/>
        </w:rPr>
        <w:t xml:space="preserve"> </w:t>
      </w:r>
      <w:r>
        <w:rPr>
          <w:rFonts w:ascii="Segoe UI" w:eastAsiaTheme="minorHAnsi" w:hAnsi="Segoe UI" w:cs="Segoe UI"/>
          <w:b/>
          <w:bCs/>
          <w:sz w:val="18"/>
          <w:szCs w:val="18"/>
        </w:rPr>
        <w:t>62</w:t>
      </w:r>
      <w:r>
        <w:rPr>
          <w:rFonts w:ascii="Segoe UI" w:eastAsiaTheme="minorHAnsi" w:hAnsi="Segoe UI" w:cs="Segoe UI"/>
          <w:sz w:val="18"/>
          <w:szCs w:val="18"/>
        </w:rPr>
        <w:t>, 1551-63.</w:t>
      </w:r>
    </w:p>
    <w:p w14:paraId="4BE5843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Pinkard E., Bruce J., Battaglia M., Matthews S., Drew D. M. &amp; Downes G. M. (2014) Climate change and Australia's plantations.  Final project report for FWPA.   p. 250. CSIRO.</w:t>
      </w:r>
    </w:p>
    <w:p w14:paraId="3F0ECB9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Pinkard E., Callister A. N., Ravenwood I., Hetherington S., Last I., Stone C., Wardlaw T., Rombauts S., Mathieson S., Musk R., Mitchell C., Bruce J., Battaglia M. &amp; Matthews S. (2013) Historical management responses to climate variability in the forest industry: using the past to inform the future.   p. 45. CSIRO.</w:t>
      </w:r>
    </w:p>
    <w:p w14:paraId="35A41E0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Pinkard E. A., Baillie C., Patel V. &amp; Mohammed C. L. (2006) Effects of fertilising with nitrogen and phosphorus on growth and crown condition of Eucalyptus globulus Labill. experiencing insect defoliation.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231</w:t>
      </w:r>
      <w:r>
        <w:rPr>
          <w:rFonts w:ascii="Segoe UI" w:eastAsiaTheme="minorHAnsi" w:hAnsi="Segoe UI" w:cs="Segoe UI"/>
          <w:sz w:val="18"/>
          <w:szCs w:val="18"/>
        </w:rPr>
        <w:t>, 131-7.</w:t>
      </w:r>
    </w:p>
    <w:p w14:paraId="74205CF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Pinkard E. A., Battaglia M., Kriticos D., Mohammed C. L., Wharton T. N., Leriche A., Bruce J. &amp; Paul K. (2008) Climate change and Australia’s plantation estate: pest impacts on carbon stores. CSIRO, p. 155.</w:t>
      </w:r>
    </w:p>
    <w:p w14:paraId="189B3D9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Pinkard E. A., Kriticos D. &amp; Potter K. (2010) Implications of climate change for Australia's plantation forests: weeds, insects and fungal pests. CSIRO.   p. 28.</w:t>
      </w:r>
    </w:p>
    <w:p w14:paraId="16964C7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Pinkard L. &amp; Bruce J. (2011) Climate change and South Australia’s plantations: impacts, risks and options for adaptation. CSIRO Technical Report, Hobart, Australia. .</w:t>
      </w:r>
    </w:p>
    <w:p w14:paraId="1F00CBE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Pitman A. J., Narisma G. &amp; McAneney J. (2007) The impact of climate change on the risk of forest and grassland fires in Australia. </w:t>
      </w:r>
      <w:r>
        <w:rPr>
          <w:rFonts w:ascii="Segoe UI" w:eastAsiaTheme="minorHAnsi" w:hAnsi="Segoe UI" w:cs="Segoe UI"/>
          <w:i/>
          <w:iCs/>
          <w:sz w:val="18"/>
          <w:szCs w:val="18"/>
        </w:rPr>
        <w:t>Climatic Change</w:t>
      </w:r>
      <w:r>
        <w:rPr>
          <w:rFonts w:ascii="Segoe UI" w:eastAsiaTheme="minorHAnsi" w:hAnsi="Segoe UI" w:cs="Segoe UI"/>
          <w:sz w:val="18"/>
          <w:szCs w:val="18"/>
        </w:rPr>
        <w:t xml:space="preserve"> </w:t>
      </w:r>
      <w:r>
        <w:rPr>
          <w:rFonts w:ascii="Segoe UI" w:eastAsiaTheme="minorHAnsi" w:hAnsi="Segoe UI" w:cs="Segoe UI"/>
          <w:b/>
          <w:bCs/>
          <w:sz w:val="18"/>
          <w:szCs w:val="18"/>
        </w:rPr>
        <w:t>84</w:t>
      </w:r>
      <w:r>
        <w:rPr>
          <w:rFonts w:ascii="Segoe UI" w:eastAsiaTheme="minorHAnsi" w:hAnsi="Segoe UI" w:cs="Segoe UI"/>
          <w:sz w:val="18"/>
          <w:szCs w:val="18"/>
        </w:rPr>
        <w:t>, 383-401.</w:t>
      </w:r>
    </w:p>
    <w:p w14:paraId="7C9A04E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Playford C., Burrows W. H., Anderson E. R. &amp; Back P. V. (2009) Woody plant responses to various clearing strategies imposed on a poplar box (Eucalyptus populnea) community at Dingo in central Queensland. </w:t>
      </w:r>
      <w:r>
        <w:rPr>
          <w:rFonts w:ascii="Segoe UI" w:eastAsiaTheme="minorHAnsi" w:hAnsi="Segoe UI" w:cs="Segoe UI"/>
          <w:i/>
          <w:iCs/>
          <w:sz w:val="18"/>
          <w:szCs w:val="18"/>
        </w:rPr>
        <w:t>Trop. Grassl.</w:t>
      </w:r>
      <w:r>
        <w:rPr>
          <w:rFonts w:ascii="Segoe UI" w:eastAsiaTheme="minorHAnsi" w:hAnsi="Segoe UI" w:cs="Segoe UI"/>
          <w:sz w:val="18"/>
          <w:szCs w:val="18"/>
        </w:rPr>
        <w:t xml:space="preserve"> </w:t>
      </w:r>
      <w:r>
        <w:rPr>
          <w:rFonts w:ascii="Segoe UI" w:eastAsiaTheme="minorHAnsi" w:hAnsi="Segoe UI" w:cs="Segoe UI"/>
          <w:b/>
          <w:bCs/>
          <w:sz w:val="18"/>
          <w:szCs w:val="18"/>
        </w:rPr>
        <w:t>43</w:t>
      </w:r>
      <w:r>
        <w:rPr>
          <w:rFonts w:ascii="Segoe UI" w:eastAsiaTheme="minorHAnsi" w:hAnsi="Segoe UI" w:cs="Segoe UI"/>
          <w:sz w:val="18"/>
          <w:szCs w:val="18"/>
        </w:rPr>
        <w:t>.</w:t>
      </w:r>
    </w:p>
    <w:p w14:paraId="3BBAD20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Polley H., Mayeux H., Johnson H. &amp; Tischler C. (1997) Viewpoint: Atmospheric CO2, Soil Water, and Shrub/Grass Ratios on Rangelands. </w:t>
      </w:r>
      <w:r>
        <w:rPr>
          <w:rFonts w:ascii="Segoe UI" w:eastAsiaTheme="minorHAnsi" w:hAnsi="Segoe UI" w:cs="Segoe UI"/>
          <w:i/>
          <w:iCs/>
          <w:sz w:val="18"/>
          <w:szCs w:val="18"/>
        </w:rPr>
        <w:t>Journal of Range Management</w:t>
      </w:r>
      <w:r>
        <w:rPr>
          <w:rFonts w:ascii="Segoe UI" w:eastAsiaTheme="minorHAnsi" w:hAnsi="Segoe UI" w:cs="Segoe UI"/>
          <w:sz w:val="18"/>
          <w:szCs w:val="18"/>
        </w:rPr>
        <w:t xml:space="preserve"> </w:t>
      </w:r>
      <w:r>
        <w:rPr>
          <w:rFonts w:ascii="Segoe UI" w:eastAsiaTheme="minorHAnsi" w:hAnsi="Segoe UI" w:cs="Segoe UI"/>
          <w:b/>
          <w:bCs/>
          <w:sz w:val="18"/>
          <w:szCs w:val="18"/>
        </w:rPr>
        <w:t>50</w:t>
      </w:r>
      <w:r>
        <w:rPr>
          <w:rFonts w:ascii="Segoe UI" w:eastAsiaTheme="minorHAnsi" w:hAnsi="Segoe UI" w:cs="Segoe UI"/>
          <w:sz w:val="18"/>
          <w:szCs w:val="18"/>
        </w:rPr>
        <w:t>.</w:t>
      </w:r>
    </w:p>
    <w:p w14:paraId="09194F8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Pook E. W. &amp; Forrester R. I. (1984) Factors influencing dieback of drought-affected dry sclerophyll forest tree species. . </w:t>
      </w:r>
      <w:r>
        <w:rPr>
          <w:rFonts w:ascii="Segoe UI" w:eastAsiaTheme="minorHAnsi" w:hAnsi="Segoe UI" w:cs="Segoe UI"/>
          <w:i/>
          <w:iCs/>
          <w:sz w:val="18"/>
          <w:szCs w:val="18"/>
        </w:rPr>
        <w:t>Australian Forest Research</w:t>
      </w:r>
      <w:r>
        <w:rPr>
          <w:rFonts w:ascii="Segoe UI" w:eastAsiaTheme="minorHAnsi" w:hAnsi="Segoe UI" w:cs="Segoe UI"/>
          <w:sz w:val="18"/>
          <w:szCs w:val="18"/>
        </w:rPr>
        <w:t xml:space="preserve"> </w:t>
      </w:r>
      <w:r>
        <w:rPr>
          <w:rFonts w:ascii="Segoe UI" w:eastAsiaTheme="minorHAnsi" w:hAnsi="Segoe UI" w:cs="Segoe UI"/>
          <w:b/>
          <w:bCs/>
          <w:sz w:val="18"/>
          <w:szCs w:val="18"/>
        </w:rPr>
        <w:t>14</w:t>
      </w:r>
      <w:r>
        <w:rPr>
          <w:rFonts w:ascii="Segoe UI" w:eastAsiaTheme="minorHAnsi" w:hAnsi="Segoe UI" w:cs="Segoe UI"/>
          <w:sz w:val="18"/>
          <w:szCs w:val="18"/>
        </w:rPr>
        <w:t>, 201-17.</w:t>
      </w:r>
    </w:p>
    <w:p w14:paraId="2B0C01B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Poulter B., Frank D., Ciais P., Myneni R., Andela N., Bi J., Broquet G., Canadell J., Chevallier F., Liu Y., Running S., Sitch S. &amp; Werf G. (2014) Contribution of semi-arid ecosystems to interannual variability of the global carbon cycle. </w:t>
      </w:r>
      <w:r>
        <w:rPr>
          <w:rFonts w:ascii="Segoe UI" w:eastAsiaTheme="minorHAnsi" w:hAnsi="Segoe UI" w:cs="Segoe UI"/>
          <w:i/>
          <w:iCs/>
          <w:sz w:val="18"/>
          <w:szCs w:val="18"/>
        </w:rPr>
        <w:t>Nature</w:t>
      </w:r>
      <w:r>
        <w:rPr>
          <w:rFonts w:ascii="Segoe UI" w:eastAsiaTheme="minorHAnsi" w:hAnsi="Segoe UI" w:cs="Segoe UI"/>
          <w:sz w:val="18"/>
          <w:szCs w:val="18"/>
        </w:rPr>
        <w:t xml:space="preserve"> </w:t>
      </w:r>
      <w:r>
        <w:rPr>
          <w:rFonts w:ascii="Segoe UI" w:eastAsiaTheme="minorHAnsi" w:hAnsi="Segoe UI" w:cs="Segoe UI"/>
          <w:b/>
          <w:bCs/>
          <w:sz w:val="18"/>
          <w:szCs w:val="18"/>
        </w:rPr>
        <w:t>509</w:t>
      </w:r>
      <w:r>
        <w:rPr>
          <w:rFonts w:ascii="Segoe UI" w:eastAsiaTheme="minorHAnsi" w:hAnsi="Segoe UI" w:cs="Segoe UI"/>
          <w:sz w:val="18"/>
          <w:szCs w:val="18"/>
        </w:rPr>
        <w:t>.</w:t>
      </w:r>
    </w:p>
    <w:p w14:paraId="06A9F0D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Prakash A., Rao J., Mukherjee A. K., Jeyaveeran B., Pokhare S., Adak T., Munda S. &amp; Shashank P. R. (2014) </w:t>
      </w:r>
      <w:r>
        <w:rPr>
          <w:rFonts w:ascii="Segoe UI" w:eastAsiaTheme="minorHAnsi" w:hAnsi="Segoe UI" w:cs="Segoe UI"/>
          <w:i/>
          <w:iCs/>
          <w:sz w:val="18"/>
          <w:szCs w:val="18"/>
        </w:rPr>
        <w:t>Climate Change: Impact on Crop Pests</w:t>
      </w:r>
      <w:r>
        <w:rPr>
          <w:rFonts w:ascii="Segoe UI" w:eastAsiaTheme="minorHAnsi" w:hAnsi="Segoe UI" w:cs="Segoe UI"/>
          <w:sz w:val="18"/>
          <w:szCs w:val="18"/>
        </w:rPr>
        <w:t>.</w:t>
      </w:r>
    </w:p>
    <w:p w14:paraId="4089468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Prentice I., Farquhar G., Fasham M., Goulden M., Heimann M., Jaramillo V., Kheshgi H., Le Quéré C., Scholes R., Wallace D. W. R. &amp; al e. (2001) The carbon cycle and atmospheric carbon dioxide.</w:t>
      </w:r>
    </w:p>
    <w:p w14:paraId="6D630AB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Rabbi S. M. F., Tighe M., Delgado-Baquerizo M., Cowie A., Robertson F., Dalal R., Page K., Crawford D., Wilson B. R., Schwenke G., McLeod M., Badgery W., Dang Y. P., Bell M., O’Leary G., Liu D. L. &amp; Baldock J. (2015) Climate and soil properties limit the positive effects of land use reversion on carbon storage in Eastern Australia. </w:t>
      </w:r>
      <w:r>
        <w:rPr>
          <w:rFonts w:ascii="Segoe UI" w:eastAsiaTheme="minorHAnsi" w:hAnsi="Segoe UI" w:cs="Segoe UI"/>
          <w:i/>
          <w:iCs/>
          <w:sz w:val="18"/>
          <w:szCs w:val="18"/>
        </w:rPr>
        <w:t>Scientific Reports</w:t>
      </w:r>
      <w:r>
        <w:rPr>
          <w:rFonts w:ascii="Segoe UI" w:eastAsiaTheme="minorHAnsi" w:hAnsi="Segoe UI" w:cs="Segoe UI"/>
          <w:sz w:val="18"/>
          <w:szCs w:val="18"/>
        </w:rPr>
        <w:t xml:space="preserve"> </w:t>
      </w:r>
      <w:r>
        <w:rPr>
          <w:rFonts w:ascii="Segoe UI" w:eastAsiaTheme="minorHAnsi" w:hAnsi="Segoe UI" w:cs="Segoe UI"/>
          <w:b/>
          <w:bCs/>
          <w:sz w:val="18"/>
          <w:szCs w:val="18"/>
        </w:rPr>
        <w:t>5</w:t>
      </w:r>
      <w:r>
        <w:rPr>
          <w:rFonts w:ascii="Segoe UI" w:eastAsiaTheme="minorHAnsi" w:hAnsi="Segoe UI" w:cs="Segoe UI"/>
          <w:sz w:val="18"/>
          <w:szCs w:val="18"/>
        </w:rPr>
        <w:t>, 17866.</w:t>
      </w:r>
    </w:p>
    <w:p w14:paraId="0B9E393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Raison R. J., Myers B. J. &amp; Benson M. L. (1992) Dynamics of Pinus radiata foliage in relation to water and nitrogen stress: I. Needle production and properties.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52</w:t>
      </w:r>
      <w:r>
        <w:rPr>
          <w:rFonts w:ascii="Segoe UI" w:eastAsiaTheme="minorHAnsi" w:hAnsi="Segoe UI" w:cs="Segoe UI"/>
          <w:sz w:val="18"/>
          <w:szCs w:val="18"/>
        </w:rPr>
        <w:t>, 139-58.</w:t>
      </w:r>
    </w:p>
    <w:p w14:paraId="5005B1D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Rapley L. P., Potts B. M., Battaglia M., Patel V. S. &amp; Allen G. R. (2009) Long-term realised and projected growth impacts caused by autumn gum moth defoliation of 2-year-old Eucalyptus nitens plantation trees in Tasmania, Australia.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258</w:t>
      </w:r>
      <w:r>
        <w:rPr>
          <w:rFonts w:ascii="Segoe UI" w:eastAsiaTheme="minorHAnsi" w:hAnsi="Segoe UI" w:cs="Segoe UI"/>
          <w:sz w:val="18"/>
          <w:szCs w:val="18"/>
        </w:rPr>
        <w:t>, 1896-903.</w:t>
      </w:r>
    </w:p>
    <w:p w14:paraId="0584948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Reid R. (2020) Agroforestry in Australia,: Trees on farms for shelter, conservation and profit.</w:t>
      </w:r>
    </w:p>
    <w:p w14:paraId="4A427F1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Rezende E. L., Castaneda L. E. &amp; Santos M. (2014) Tolerance landscapes in thermal ecology. </w:t>
      </w:r>
      <w:r>
        <w:rPr>
          <w:rFonts w:ascii="Segoe UI" w:eastAsiaTheme="minorHAnsi" w:hAnsi="Segoe UI" w:cs="Segoe UI"/>
          <w:i/>
          <w:iCs/>
          <w:sz w:val="18"/>
          <w:szCs w:val="18"/>
        </w:rPr>
        <w:t>Functional Ecology</w:t>
      </w:r>
      <w:r>
        <w:rPr>
          <w:rFonts w:ascii="Segoe UI" w:eastAsiaTheme="minorHAnsi" w:hAnsi="Segoe UI" w:cs="Segoe UI"/>
          <w:sz w:val="18"/>
          <w:szCs w:val="18"/>
        </w:rPr>
        <w:t xml:space="preserve"> </w:t>
      </w:r>
      <w:r>
        <w:rPr>
          <w:rFonts w:ascii="Segoe UI" w:eastAsiaTheme="minorHAnsi" w:hAnsi="Segoe UI" w:cs="Segoe UI"/>
          <w:b/>
          <w:bCs/>
          <w:sz w:val="18"/>
          <w:szCs w:val="18"/>
        </w:rPr>
        <w:t>28</w:t>
      </w:r>
      <w:r>
        <w:rPr>
          <w:rFonts w:ascii="Segoe UI" w:eastAsiaTheme="minorHAnsi" w:hAnsi="Segoe UI" w:cs="Segoe UI"/>
          <w:sz w:val="18"/>
          <w:szCs w:val="18"/>
        </w:rPr>
        <w:t>, 799 - 809.</w:t>
      </w:r>
    </w:p>
    <w:p w14:paraId="741382B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Richards A., Cook G. &amp; Lynch B. (2011) Optimal Fire Regimes for Soil Carbon Storage in Tropical Savannas of Northern Australia. </w:t>
      </w:r>
      <w:r>
        <w:rPr>
          <w:rFonts w:ascii="Segoe UI" w:eastAsiaTheme="minorHAnsi" w:hAnsi="Segoe UI" w:cs="Segoe UI"/>
          <w:i/>
          <w:iCs/>
          <w:sz w:val="18"/>
          <w:szCs w:val="18"/>
        </w:rPr>
        <w:t>Ecosystems</w:t>
      </w:r>
      <w:r>
        <w:rPr>
          <w:rFonts w:ascii="Segoe UI" w:eastAsiaTheme="minorHAnsi" w:hAnsi="Segoe UI" w:cs="Segoe UI"/>
          <w:sz w:val="18"/>
          <w:szCs w:val="18"/>
        </w:rPr>
        <w:t xml:space="preserve"> </w:t>
      </w:r>
      <w:r>
        <w:rPr>
          <w:rFonts w:ascii="Segoe UI" w:eastAsiaTheme="minorHAnsi" w:hAnsi="Segoe UI" w:cs="Segoe UI"/>
          <w:b/>
          <w:bCs/>
          <w:sz w:val="18"/>
          <w:szCs w:val="18"/>
        </w:rPr>
        <w:t>14</w:t>
      </w:r>
      <w:r>
        <w:rPr>
          <w:rFonts w:ascii="Segoe UI" w:eastAsiaTheme="minorHAnsi" w:hAnsi="Segoe UI" w:cs="Segoe UI"/>
          <w:sz w:val="18"/>
          <w:szCs w:val="18"/>
        </w:rPr>
        <w:t>, 503-18.</w:t>
      </w:r>
    </w:p>
    <w:p w14:paraId="2B8A274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Ritson P., Clarke M. G., KIllen A. &amp; Jeffery S. (2015) Testing carbon farming opportunities for salinity management. Department of Agriculture and Food, Western Australia, Perth. Report. .</w:t>
      </w:r>
    </w:p>
    <w:p w14:paraId="6E12B52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Robertson F., Crawford D., Partington D., Oliver I., Rees D., Aumann C., Armstrong R., Perris R., Davey M., Moodie M. &amp; Baldock J. (2016) Soil organic carbon in cropping and pasture systems of Victoria, Australia. </w:t>
      </w:r>
      <w:r>
        <w:rPr>
          <w:rFonts w:ascii="Segoe UI" w:eastAsiaTheme="minorHAnsi" w:hAnsi="Segoe UI" w:cs="Segoe UI"/>
          <w:i/>
          <w:iCs/>
          <w:sz w:val="18"/>
          <w:szCs w:val="18"/>
        </w:rPr>
        <w:t>Soil Research</w:t>
      </w:r>
      <w:r>
        <w:rPr>
          <w:rFonts w:ascii="Segoe UI" w:eastAsiaTheme="minorHAnsi" w:hAnsi="Segoe UI" w:cs="Segoe UI"/>
          <w:sz w:val="18"/>
          <w:szCs w:val="18"/>
        </w:rPr>
        <w:t xml:space="preserve"> </w:t>
      </w:r>
      <w:r>
        <w:rPr>
          <w:rFonts w:ascii="Segoe UI" w:eastAsiaTheme="minorHAnsi" w:hAnsi="Segoe UI" w:cs="Segoe UI"/>
          <w:b/>
          <w:bCs/>
          <w:sz w:val="18"/>
          <w:szCs w:val="18"/>
        </w:rPr>
        <w:t>54</w:t>
      </w:r>
      <w:r>
        <w:rPr>
          <w:rFonts w:ascii="Segoe UI" w:eastAsiaTheme="minorHAnsi" w:hAnsi="Segoe UI" w:cs="Segoe UI"/>
          <w:sz w:val="18"/>
          <w:szCs w:val="18"/>
        </w:rPr>
        <w:t>, 64-77.</w:t>
      </w:r>
    </w:p>
    <w:p w14:paraId="5EBD510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Roxburgh S. H., England J. R., Evans D., Nolan M., Opie K., Paul K. I., Reeson A., Cook G. &amp; Thomas D. (2020) Potential future supply of carbon offsets in the land sector in Australia. Final report to the Department of Industry, Science, Energy and Resources.   p. 425.</w:t>
      </w:r>
    </w:p>
    <w:p w14:paraId="1FDA065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Roxburgh S. H., Karunaratne S. B., Paul K. I., Lucas R. M., Armston J. D. &amp; Sun J. (2019) A revised above-ground maximum biomass layer for the Australian continent.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432</w:t>
      </w:r>
      <w:r>
        <w:rPr>
          <w:rFonts w:ascii="Segoe UI" w:eastAsiaTheme="minorHAnsi" w:hAnsi="Segoe UI" w:cs="Segoe UI"/>
          <w:sz w:val="18"/>
          <w:szCs w:val="18"/>
        </w:rPr>
        <w:t>, 264-75.</w:t>
      </w:r>
    </w:p>
    <w:p w14:paraId="0A32AD3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Russell-Smith J. &amp; Whitehead P. J. (2015) Reimagining fire management in fire-prone northern Australia. . In: </w:t>
      </w:r>
      <w:r>
        <w:rPr>
          <w:rFonts w:ascii="Segoe UI" w:eastAsiaTheme="minorHAnsi" w:hAnsi="Segoe UI" w:cs="Segoe UI"/>
          <w:i/>
          <w:iCs/>
          <w:sz w:val="18"/>
          <w:szCs w:val="18"/>
        </w:rPr>
        <w:t>Carbon accounting and savanna fire management</w:t>
      </w:r>
      <w:r>
        <w:rPr>
          <w:rFonts w:ascii="Segoe UI" w:eastAsiaTheme="minorHAnsi" w:hAnsi="Segoe UI" w:cs="Segoe UI"/>
          <w:sz w:val="18"/>
          <w:szCs w:val="18"/>
        </w:rPr>
        <w:t xml:space="preserve"> (eds B. Murphy, A. Edwards, M. Meyer and J. Russell-Smith) pp. 115–32. CSIRO, Melbourne.</w:t>
      </w:r>
    </w:p>
    <w:p w14:paraId="552C273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Russell-Smith J., Yates C., Whitehead P., Smith R., Craig R., Allan G., Thackway R., Frakes I., Cridland S., Meyer M. &amp; Gill A. (2007) Bushfires 'down under': Patterns and implications of contemporary Australian landscape burning. </w:t>
      </w:r>
      <w:r>
        <w:rPr>
          <w:rFonts w:ascii="Segoe UI" w:eastAsiaTheme="minorHAnsi" w:hAnsi="Segoe UI" w:cs="Segoe UI"/>
          <w:i/>
          <w:iCs/>
          <w:sz w:val="18"/>
          <w:szCs w:val="18"/>
        </w:rPr>
        <w:t>International Journal of Wildland Fire</w:t>
      </w:r>
      <w:r>
        <w:rPr>
          <w:rFonts w:ascii="Segoe UI" w:eastAsiaTheme="minorHAnsi" w:hAnsi="Segoe UI" w:cs="Segoe UI"/>
          <w:sz w:val="18"/>
          <w:szCs w:val="18"/>
        </w:rPr>
        <w:t xml:space="preserve"> </w:t>
      </w:r>
      <w:r>
        <w:rPr>
          <w:rFonts w:ascii="Segoe UI" w:eastAsiaTheme="minorHAnsi" w:hAnsi="Segoe UI" w:cs="Segoe UI"/>
          <w:b/>
          <w:bCs/>
          <w:sz w:val="18"/>
          <w:szCs w:val="18"/>
        </w:rPr>
        <w:t>16</w:t>
      </w:r>
      <w:r>
        <w:rPr>
          <w:rFonts w:ascii="Segoe UI" w:eastAsiaTheme="minorHAnsi" w:hAnsi="Segoe UI" w:cs="Segoe UI"/>
          <w:sz w:val="18"/>
          <w:szCs w:val="18"/>
        </w:rPr>
        <w:t>.</w:t>
      </w:r>
    </w:p>
    <w:p w14:paraId="19E95C1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Russell-SmithA J., Murphy B., Cook G., Maier S., Edwards A., Schatz J. &amp; Brocklehurst P. (2009) Improving estimates of savanna burning emissions for greenhouse accounting in northern Australia: Limitations, challenges, applications. </w:t>
      </w:r>
      <w:r>
        <w:rPr>
          <w:rFonts w:ascii="Segoe UI" w:eastAsiaTheme="minorHAnsi" w:hAnsi="Segoe UI" w:cs="Segoe UI"/>
          <w:i/>
          <w:iCs/>
          <w:sz w:val="18"/>
          <w:szCs w:val="18"/>
        </w:rPr>
        <w:t>International Journal of Wildland Fire - INT J WILDLAND FIRE</w:t>
      </w:r>
      <w:r>
        <w:rPr>
          <w:rFonts w:ascii="Segoe UI" w:eastAsiaTheme="minorHAnsi" w:hAnsi="Segoe UI" w:cs="Segoe UI"/>
          <w:sz w:val="18"/>
          <w:szCs w:val="18"/>
        </w:rPr>
        <w:t xml:space="preserve"> </w:t>
      </w:r>
      <w:r>
        <w:rPr>
          <w:rFonts w:ascii="Segoe UI" w:eastAsiaTheme="minorHAnsi" w:hAnsi="Segoe UI" w:cs="Segoe UI"/>
          <w:b/>
          <w:bCs/>
          <w:sz w:val="18"/>
          <w:szCs w:val="18"/>
        </w:rPr>
        <w:t>18</w:t>
      </w:r>
      <w:r>
        <w:rPr>
          <w:rFonts w:ascii="Segoe UI" w:eastAsiaTheme="minorHAnsi" w:hAnsi="Segoe UI" w:cs="Segoe UI"/>
          <w:sz w:val="18"/>
          <w:szCs w:val="18"/>
        </w:rPr>
        <w:t>.</w:t>
      </w:r>
    </w:p>
    <w:p w14:paraId="287DF86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Saintilan N., Khan N. S., Ashe E., Kelleway J. J., Rogers K., Woodroffe C. D. &amp; Horton B. P. (2020) Thresholds of mangrove survival under rapid sea level rise. </w:t>
      </w:r>
      <w:r>
        <w:rPr>
          <w:rFonts w:ascii="Segoe UI" w:eastAsiaTheme="minorHAnsi" w:hAnsi="Segoe UI" w:cs="Segoe UI"/>
          <w:i/>
          <w:iCs/>
          <w:sz w:val="18"/>
          <w:szCs w:val="18"/>
        </w:rPr>
        <w:t>Science</w:t>
      </w:r>
      <w:r>
        <w:rPr>
          <w:rFonts w:ascii="Segoe UI" w:eastAsiaTheme="minorHAnsi" w:hAnsi="Segoe UI" w:cs="Segoe UI"/>
          <w:sz w:val="18"/>
          <w:szCs w:val="18"/>
        </w:rPr>
        <w:t xml:space="preserve"> </w:t>
      </w:r>
      <w:r>
        <w:rPr>
          <w:rFonts w:ascii="Segoe UI" w:eastAsiaTheme="minorHAnsi" w:hAnsi="Segoe UI" w:cs="Segoe UI"/>
          <w:b/>
          <w:bCs/>
          <w:sz w:val="18"/>
          <w:szCs w:val="18"/>
        </w:rPr>
        <w:t>368</w:t>
      </w:r>
      <w:r>
        <w:rPr>
          <w:rFonts w:ascii="Segoe UI" w:eastAsiaTheme="minorHAnsi" w:hAnsi="Segoe UI" w:cs="Segoe UI"/>
          <w:sz w:val="18"/>
          <w:szCs w:val="18"/>
        </w:rPr>
        <w:t>, 1118.</w:t>
      </w:r>
    </w:p>
    <w:p w14:paraId="03AE72E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Saintilan N. &amp; Williams R. (2001) Mangrove transgression into saltmarsh environments in South-East Australia. </w:t>
      </w:r>
      <w:r>
        <w:rPr>
          <w:rFonts w:ascii="Segoe UI" w:eastAsiaTheme="minorHAnsi" w:hAnsi="Segoe UI" w:cs="Segoe UI"/>
          <w:i/>
          <w:iCs/>
          <w:sz w:val="18"/>
          <w:szCs w:val="18"/>
        </w:rPr>
        <w:t>Global Ecology and Biogeography</w:t>
      </w:r>
      <w:r>
        <w:rPr>
          <w:rFonts w:ascii="Segoe UI" w:eastAsiaTheme="minorHAnsi" w:hAnsi="Segoe UI" w:cs="Segoe UI"/>
          <w:sz w:val="18"/>
          <w:szCs w:val="18"/>
        </w:rPr>
        <w:t xml:space="preserve"> </w:t>
      </w:r>
      <w:r>
        <w:rPr>
          <w:rFonts w:ascii="Segoe UI" w:eastAsiaTheme="minorHAnsi" w:hAnsi="Segoe UI" w:cs="Segoe UI"/>
          <w:b/>
          <w:bCs/>
          <w:sz w:val="18"/>
          <w:szCs w:val="18"/>
        </w:rPr>
        <w:t>8</w:t>
      </w:r>
      <w:r>
        <w:rPr>
          <w:rFonts w:ascii="Segoe UI" w:eastAsiaTheme="minorHAnsi" w:hAnsi="Segoe UI" w:cs="Segoe UI"/>
          <w:sz w:val="18"/>
          <w:szCs w:val="18"/>
        </w:rPr>
        <w:t>, 117-24.</w:t>
      </w:r>
    </w:p>
    <w:p w14:paraId="567B2E0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Sanderson T. &amp; Reeson A. (2019) Why renting, rather than buying, carbon might help mitigate climate change. </w:t>
      </w:r>
      <w:r>
        <w:rPr>
          <w:rFonts w:ascii="Segoe UI" w:eastAsiaTheme="minorHAnsi" w:hAnsi="Segoe UI" w:cs="Segoe UI"/>
          <w:i/>
          <w:iCs/>
          <w:sz w:val="18"/>
          <w:szCs w:val="18"/>
        </w:rPr>
        <w:t>ECOS</w:t>
      </w:r>
      <w:r>
        <w:rPr>
          <w:rFonts w:ascii="Segoe UI" w:eastAsiaTheme="minorHAnsi" w:hAnsi="Segoe UI" w:cs="Segoe UI"/>
          <w:sz w:val="18"/>
          <w:szCs w:val="18"/>
        </w:rPr>
        <w:t>.</w:t>
      </w:r>
    </w:p>
    <w:p w14:paraId="4EA1DD7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Scanlon T. T. &amp; Doncon G. (2020) Rain, rain, gone away: decreased growing-season rainfall for the dryland cropping region of the south-west of Western Australia. </w:t>
      </w:r>
      <w:r>
        <w:rPr>
          <w:rFonts w:ascii="Segoe UI" w:eastAsiaTheme="minorHAnsi" w:hAnsi="Segoe UI" w:cs="Segoe UI"/>
          <w:i/>
          <w:iCs/>
          <w:sz w:val="18"/>
          <w:szCs w:val="18"/>
        </w:rPr>
        <w:t>Crop and Pasture Science</w:t>
      </w:r>
      <w:r>
        <w:rPr>
          <w:rFonts w:ascii="Segoe UI" w:eastAsiaTheme="minorHAnsi" w:hAnsi="Segoe UI" w:cs="Segoe UI"/>
          <w:sz w:val="18"/>
          <w:szCs w:val="18"/>
        </w:rPr>
        <w:t xml:space="preserve"> </w:t>
      </w:r>
      <w:r>
        <w:rPr>
          <w:rFonts w:ascii="Segoe UI" w:eastAsiaTheme="minorHAnsi" w:hAnsi="Segoe UI" w:cs="Segoe UI"/>
          <w:b/>
          <w:bCs/>
          <w:sz w:val="18"/>
          <w:szCs w:val="18"/>
        </w:rPr>
        <w:t>71</w:t>
      </w:r>
      <w:r>
        <w:rPr>
          <w:rFonts w:ascii="Segoe UI" w:eastAsiaTheme="minorHAnsi" w:hAnsi="Segoe UI" w:cs="Segoe UI"/>
          <w:sz w:val="18"/>
          <w:szCs w:val="18"/>
        </w:rPr>
        <w:t>, 128-33.</w:t>
      </w:r>
    </w:p>
    <w:p w14:paraId="32BB1CE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Scheiter S., Higgins S., Beringer J. &amp; Hutley L. (2014) Climate change and long-term fire management impacts on Australian savanna. </w:t>
      </w:r>
      <w:r>
        <w:rPr>
          <w:rFonts w:ascii="Segoe UI" w:eastAsiaTheme="minorHAnsi" w:hAnsi="Segoe UI" w:cs="Segoe UI"/>
          <w:i/>
          <w:iCs/>
          <w:sz w:val="18"/>
          <w:szCs w:val="18"/>
        </w:rPr>
        <w:t>The New phytologist</w:t>
      </w:r>
      <w:r>
        <w:rPr>
          <w:rFonts w:ascii="Segoe UI" w:eastAsiaTheme="minorHAnsi" w:hAnsi="Segoe UI" w:cs="Segoe UI"/>
          <w:sz w:val="18"/>
          <w:szCs w:val="18"/>
        </w:rPr>
        <w:t xml:space="preserve"> </w:t>
      </w:r>
      <w:r>
        <w:rPr>
          <w:rFonts w:ascii="Segoe UI" w:eastAsiaTheme="minorHAnsi" w:hAnsi="Segoe UI" w:cs="Segoe UI"/>
          <w:b/>
          <w:bCs/>
          <w:sz w:val="18"/>
          <w:szCs w:val="18"/>
        </w:rPr>
        <w:t>205</w:t>
      </w:r>
      <w:r>
        <w:rPr>
          <w:rFonts w:ascii="Segoe UI" w:eastAsiaTheme="minorHAnsi" w:hAnsi="Segoe UI" w:cs="Segoe UI"/>
          <w:sz w:val="18"/>
          <w:szCs w:val="18"/>
        </w:rPr>
        <w:t>.</w:t>
      </w:r>
    </w:p>
    <w:p w14:paraId="4F5022C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Schlesinger W. H. &amp; Andrews J. A. (2000) Soil respiration and the global carbon cycle. </w:t>
      </w:r>
      <w:r>
        <w:rPr>
          <w:rFonts w:ascii="Segoe UI" w:eastAsiaTheme="minorHAnsi" w:hAnsi="Segoe UI" w:cs="Segoe UI"/>
          <w:i/>
          <w:iCs/>
          <w:sz w:val="18"/>
          <w:szCs w:val="18"/>
        </w:rPr>
        <w:t>Biogeochemistry</w:t>
      </w:r>
      <w:r>
        <w:rPr>
          <w:rFonts w:ascii="Segoe UI" w:eastAsiaTheme="minorHAnsi" w:hAnsi="Segoe UI" w:cs="Segoe UI"/>
          <w:sz w:val="18"/>
          <w:szCs w:val="18"/>
        </w:rPr>
        <w:t xml:space="preserve"> </w:t>
      </w:r>
      <w:r>
        <w:rPr>
          <w:rFonts w:ascii="Segoe UI" w:eastAsiaTheme="minorHAnsi" w:hAnsi="Segoe UI" w:cs="Segoe UI"/>
          <w:b/>
          <w:bCs/>
          <w:sz w:val="18"/>
          <w:szCs w:val="18"/>
        </w:rPr>
        <w:t>48</w:t>
      </w:r>
      <w:r>
        <w:rPr>
          <w:rFonts w:ascii="Segoe UI" w:eastAsiaTheme="minorHAnsi" w:hAnsi="Segoe UI" w:cs="Segoe UI"/>
          <w:sz w:val="18"/>
          <w:szCs w:val="18"/>
        </w:rPr>
        <w:t>, 7-20.</w:t>
      </w:r>
    </w:p>
    <w:p w14:paraId="505419B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Select.Carbon. (2012) Best practice guide for timber plantations in tropical cyclonic areas of Queensland.   p. pp 25. Timber Queensland.</w:t>
      </w:r>
    </w:p>
    <w:p w14:paraId="456B7C5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Serrano O., Lovelock C. E., B. Atwood T., Macreadie P. I., Canto R., Phinn S., Arias-Ortiz A., Bai L., Baldock J., Bedulli C., Carnell P., Connolly R. M., Donaldson P., Esteban A., Ewers Lewis C. J., Eyre B. D., Hayes M. A., Horwitz P., Hutley L. B., Kavazos C. R. J., Kelleway J. J., Kendrick G. A., Kilminster K., Lafratta A., Lee S., Lavery P. S., Maher D. T., Marbà N., Masque P., Mateo M. A., Mount R., Ralph P. J., Roelfsema C., Rozaimi M., Ruhon R., Salinas C., Samper-Villarreal J., Sanderman J., J. Sanders C., Santos I., Sharples C., Steven A. D. L., Cannard T., Trevathan-Tackett S. M. &amp; Duarte C. M. (2019) Australian vegetated coastal ecosystems as global hotspots for climate change mitigation. </w:t>
      </w:r>
      <w:r>
        <w:rPr>
          <w:rFonts w:ascii="Segoe UI" w:eastAsiaTheme="minorHAnsi" w:hAnsi="Segoe UI" w:cs="Segoe UI"/>
          <w:i/>
          <w:iCs/>
          <w:sz w:val="18"/>
          <w:szCs w:val="18"/>
        </w:rPr>
        <w:t>Nature Communications</w:t>
      </w:r>
      <w:r>
        <w:rPr>
          <w:rFonts w:ascii="Segoe UI" w:eastAsiaTheme="minorHAnsi" w:hAnsi="Segoe UI" w:cs="Segoe UI"/>
          <w:sz w:val="18"/>
          <w:szCs w:val="18"/>
        </w:rPr>
        <w:t xml:space="preserve"> </w:t>
      </w:r>
      <w:r>
        <w:rPr>
          <w:rFonts w:ascii="Segoe UI" w:eastAsiaTheme="minorHAnsi" w:hAnsi="Segoe UI" w:cs="Segoe UI"/>
          <w:b/>
          <w:bCs/>
          <w:sz w:val="18"/>
          <w:szCs w:val="18"/>
        </w:rPr>
        <w:t>10</w:t>
      </w:r>
      <w:r>
        <w:rPr>
          <w:rFonts w:ascii="Segoe UI" w:eastAsiaTheme="minorHAnsi" w:hAnsi="Segoe UI" w:cs="Segoe UI"/>
          <w:sz w:val="18"/>
          <w:szCs w:val="18"/>
        </w:rPr>
        <w:t>, 4313.</w:t>
      </w:r>
    </w:p>
    <w:p w14:paraId="478ED16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Setterfield S., Rossiter-Rachor N., Hutley L., Douglas M. &amp; Williams R. (2010) BIODIVERSITY RESEARCH: Turning up the heat: the impacts of Andropogon gayanus (gamba grass) invasion on fire behaviour in northern Australian savannas. </w:t>
      </w:r>
      <w:r>
        <w:rPr>
          <w:rFonts w:ascii="Segoe UI" w:eastAsiaTheme="minorHAnsi" w:hAnsi="Segoe UI" w:cs="Segoe UI"/>
          <w:i/>
          <w:iCs/>
          <w:sz w:val="18"/>
          <w:szCs w:val="18"/>
        </w:rPr>
        <w:t>Diversity and Distributions</w:t>
      </w:r>
      <w:r>
        <w:rPr>
          <w:rFonts w:ascii="Segoe UI" w:eastAsiaTheme="minorHAnsi" w:hAnsi="Segoe UI" w:cs="Segoe UI"/>
          <w:sz w:val="18"/>
          <w:szCs w:val="18"/>
        </w:rPr>
        <w:t xml:space="preserve"> </w:t>
      </w:r>
      <w:r>
        <w:rPr>
          <w:rFonts w:ascii="Segoe UI" w:eastAsiaTheme="minorHAnsi" w:hAnsi="Segoe UI" w:cs="Segoe UI"/>
          <w:b/>
          <w:bCs/>
          <w:sz w:val="18"/>
          <w:szCs w:val="18"/>
        </w:rPr>
        <w:t>16</w:t>
      </w:r>
      <w:r>
        <w:rPr>
          <w:rFonts w:ascii="Segoe UI" w:eastAsiaTheme="minorHAnsi" w:hAnsi="Segoe UI" w:cs="Segoe UI"/>
          <w:sz w:val="18"/>
          <w:szCs w:val="18"/>
        </w:rPr>
        <w:t>, 854-61.</w:t>
      </w:r>
    </w:p>
    <w:p w14:paraId="4D05340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Shao P. (2002) The Dynamics of Forest Litter and Its Responses to Global Warming.</w:t>
      </w:r>
    </w:p>
    <w:p w14:paraId="5BAA3D9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Shea K., Roxburgh S. &amp; Rauschert E. (2004) Moving from pattern to process: coexistence mechanisms under intermediate disturbance regimes. </w:t>
      </w:r>
      <w:r>
        <w:rPr>
          <w:rFonts w:ascii="Segoe UI" w:eastAsiaTheme="minorHAnsi" w:hAnsi="Segoe UI" w:cs="Segoe UI"/>
          <w:i/>
          <w:iCs/>
          <w:sz w:val="18"/>
          <w:szCs w:val="18"/>
        </w:rPr>
        <w:t>Ecology Letters</w:t>
      </w:r>
      <w:r>
        <w:rPr>
          <w:rFonts w:ascii="Segoe UI" w:eastAsiaTheme="minorHAnsi" w:hAnsi="Segoe UI" w:cs="Segoe UI"/>
          <w:sz w:val="18"/>
          <w:szCs w:val="18"/>
        </w:rPr>
        <w:t xml:space="preserve"> </w:t>
      </w:r>
      <w:r>
        <w:rPr>
          <w:rFonts w:ascii="Segoe UI" w:eastAsiaTheme="minorHAnsi" w:hAnsi="Segoe UI" w:cs="Segoe UI"/>
          <w:b/>
          <w:bCs/>
          <w:sz w:val="18"/>
          <w:szCs w:val="18"/>
        </w:rPr>
        <w:t>7</w:t>
      </w:r>
      <w:r>
        <w:rPr>
          <w:rFonts w:ascii="Segoe UI" w:eastAsiaTheme="minorHAnsi" w:hAnsi="Segoe UI" w:cs="Segoe UI"/>
          <w:sz w:val="18"/>
          <w:szCs w:val="18"/>
        </w:rPr>
        <w:t>, 491-508.</w:t>
      </w:r>
    </w:p>
    <w:p w14:paraId="2D0ADC5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Silcock J., Piddocke T. &amp; Fensham R. (2013) Illuminating the dawn of pastoralism: Evaluating the record of European explorers to inform landscape change. </w:t>
      </w:r>
      <w:r>
        <w:rPr>
          <w:rFonts w:ascii="Segoe UI" w:eastAsiaTheme="minorHAnsi" w:hAnsi="Segoe UI" w:cs="Segoe UI"/>
          <w:i/>
          <w:iCs/>
          <w:sz w:val="18"/>
          <w:szCs w:val="18"/>
        </w:rPr>
        <w:t>Biological Conservation</w:t>
      </w:r>
      <w:r>
        <w:rPr>
          <w:rFonts w:ascii="Segoe UI" w:eastAsiaTheme="minorHAnsi" w:hAnsi="Segoe UI" w:cs="Segoe UI"/>
          <w:sz w:val="18"/>
          <w:szCs w:val="18"/>
        </w:rPr>
        <w:t xml:space="preserve"> </w:t>
      </w:r>
      <w:r>
        <w:rPr>
          <w:rFonts w:ascii="Segoe UI" w:eastAsiaTheme="minorHAnsi" w:hAnsi="Segoe UI" w:cs="Segoe UI"/>
          <w:b/>
          <w:bCs/>
          <w:sz w:val="18"/>
          <w:szCs w:val="18"/>
        </w:rPr>
        <w:t>159</w:t>
      </w:r>
      <w:r>
        <w:rPr>
          <w:rFonts w:ascii="Segoe UI" w:eastAsiaTheme="minorHAnsi" w:hAnsi="Segoe UI" w:cs="Segoe UI"/>
          <w:sz w:val="18"/>
          <w:szCs w:val="18"/>
        </w:rPr>
        <w:t>, 321–31.</w:t>
      </w:r>
    </w:p>
    <w:p w14:paraId="14B4F9A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Silcock J. L., Witt G. B. &amp; Fensham R. J. (2016) A 150-year fire history of mulga (</w:t>
      </w:r>
      <w:r>
        <w:rPr>
          <w:rFonts w:ascii="Segoe UI" w:eastAsiaTheme="minorHAnsi" w:hAnsi="Segoe UI" w:cs="Segoe UI"/>
          <w:i/>
          <w:iCs/>
          <w:sz w:val="18"/>
          <w:szCs w:val="18"/>
        </w:rPr>
        <w:t>Acacia aneura</w:t>
      </w:r>
      <w:r>
        <w:rPr>
          <w:rFonts w:ascii="Segoe UI" w:eastAsiaTheme="minorHAnsi" w:hAnsi="Segoe UI" w:cs="Segoe UI"/>
          <w:sz w:val="18"/>
          <w:szCs w:val="18"/>
        </w:rPr>
        <w:t xml:space="preserve"> F. Muell. ex Benth.) dominated vegetation in semiarid Queensland, Australia. </w:t>
      </w:r>
      <w:r>
        <w:rPr>
          <w:rFonts w:ascii="Segoe UI" w:eastAsiaTheme="minorHAnsi" w:hAnsi="Segoe UI" w:cs="Segoe UI"/>
          <w:i/>
          <w:iCs/>
          <w:sz w:val="18"/>
          <w:szCs w:val="18"/>
        </w:rPr>
        <w:t>The Rangeland Journal</w:t>
      </w:r>
      <w:r>
        <w:rPr>
          <w:rFonts w:ascii="Segoe UI" w:eastAsiaTheme="minorHAnsi" w:hAnsi="Segoe UI" w:cs="Segoe UI"/>
          <w:sz w:val="18"/>
          <w:szCs w:val="18"/>
        </w:rPr>
        <w:t xml:space="preserve"> </w:t>
      </w:r>
      <w:r>
        <w:rPr>
          <w:rFonts w:ascii="Segoe UI" w:eastAsiaTheme="minorHAnsi" w:hAnsi="Segoe UI" w:cs="Segoe UI"/>
          <w:b/>
          <w:bCs/>
          <w:sz w:val="18"/>
          <w:szCs w:val="18"/>
        </w:rPr>
        <w:t>38</w:t>
      </w:r>
      <w:r>
        <w:rPr>
          <w:rFonts w:ascii="Segoe UI" w:eastAsiaTheme="minorHAnsi" w:hAnsi="Segoe UI" w:cs="Segoe UI"/>
          <w:sz w:val="18"/>
          <w:szCs w:val="18"/>
        </w:rPr>
        <w:t>, 391-415.</w:t>
      </w:r>
    </w:p>
    <w:p w14:paraId="7DDA975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Singh K. &amp; Whelan B. (2020) Soil carbon change across ten New South Wales farms under different farm management regimes in Australia. </w:t>
      </w:r>
      <w:r>
        <w:rPr>
          <w:rFonts w:ascii="Segoe UI" w:eastAsiaTheme="minorHAnsi" w:hAnsi="Segoe UI" w:cs="Segoe UI"/>
          <w:i/>
          <w:iCs/>
          <w:sz w:val="18"/>
          <w:szCs w:val="18"/>
        </w:rPr>
        <w:t>Soil Use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n/a</w:t>
      </w:r>
      <w:r>
        <w:rPr>
          <w:rFonts w:ascii="Segoe UI" w:eastAsiaTheme="minorHAnsi" w:hAnsi="Segoe UI" w:cs="Segoe UI"/>
          <w:sz w:val="18"/>
          <w:szCs w:val="18"/>
        </w:rPr>
        <w:t>.</w:t>
      </w:r>
    </w:p>
    <w:p w14:paraId="45EDDC3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Singh S., Davey S. &amp; Cole M. (2010) Implications of climate change for forests, vegetation and carbon in Australia. </w:t>
      </w:r>
      <w:r>
        <w:rPr>
          <w:rFonts w:ascii="Segoe UI" w:eastAsiaTheme="minorHAnsi" w:hAnsi="Segoe UI" w:cs="Segoe UI"/>
          <w:i/>
          <w:iCs/>
          <w:sz w:val="18"/>
          <w:szCs w:val="18"/>
        </w:rPr>
        <w:t>New Zealand Journal of Forestry Science</w:t>
      </w:r>
      <w:r>
        <w:rPr>
          <w:rFonts w:ascii="Segoe UI" w:eastAsiaTheme="minorHAnsi" w:hAnsi="Segoe UI" w:cs="Segoe UI"/>
          <w:sz w:val="18"/>
          <w:szCs w:val="18"/>
        </w:rPr>
        <w:t xml:space="preserve"> </w:t>
      </w:r>
      <w:r>
        <w:rPr>
          <w:rFonts w:ascii="Segoe UI" w:eastAsiaTheme="minorHAnsi" w:hAnsi="Segoe UI" w:cs="Segoe UI"/>
          <w:b/>
          <w:bCs/>
          <w:sz w:val="18"/>
          <w:szCs w:val="18"/>
        </w:rPr>
        <w:t>40</w:t>
      </w:r>
      <w:r>
        <w:rPr>
          <w:rFonts w:ascii="Segoe UI" w:eastAsiaTheme="minorHAnsi" w:hAnsi="Segoe UI" w:cs="Segoe UI"/>
          <w:sz w:val="18"/>
          <w:szCs w:val="18"/>
        </w:rPr>
        <w:t>, 141-52.</w:t>
      </w:r>
    </w:p>
    <w:p w14:paraId="51263FE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Sippel S., Reichstein M., Ma X., Mahecha M. D., Lange H., Flach M. &amp; Frank D. (2018) Drought, Heat, and the Carbon Cycle: a Review. </w:t>
      </w:r>
      <w:r>
        <w:rPr>
          <w:rFonts w:ascii="Segoe UI" w:eastAsiaTheme="minorHAnsi" w:hAnsi="Segoe UI" w:cs="Segoe UI"/>
          <w:i/>
          <w:iCs/>
          <w:sz w:val="18"/>
          <w:szCs w:val="18"/>
        </w:rPr>
        <w:t>Current Climate Change Reports</w:t>
      </w:r>
      <w:r>
        <w:rPr>
          <w:rFonts w:ascii="Segoe UI" w:eastAsiaTheme="minorHAnsi" w:hAnsi="Segoe UI" w:cs="Segoe UI"/>
          <w:sz w:val="18"/>
          <w:szCs w:val="18"/>
        </w:rPr>
        <w:t xml:space="preserve"> </w:t>
      </w:r>
      <w:r>
        <w:rPr>
          <w:rFonts w:ascii="Segoe UI" w:eastAsiaTheme="minorHAnsi" w:hAnsi="Segoe UI" w:cs="Segoe UI"/>
          <w:b/>
          <w:bCs/>
          <w:sz w:val="18"/>
          <w:szCs w:val="18"/>
        </w:rPr>
        <w:t>4</w:t>
      </w:r>
      <w:r>
        <w:rPr>
          <w:rFonts w:ascii="Segoe UI" w:eastAsiaTheme="minorHAnsi" w:hAnsi="Segoe UI" w:cs="Segoe UI"/>
          <w:sz w:val="18"/>
          <w:szCs w:val="18"/>
        </w:rPr>
        <w:t>, 266-86.</w:t>
      </w:r>
    </w:p>
    <w:p w14:paraId="436EB93E"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Stafford Smith M., Horrocks L., Harvey A. &amp; Hamilton C. (2011) Rethinking adaptation for a 4 </w:t>
      </w:r>
      <w:r>
        <w:rPr>
          <w:rFonts w:ascii="Segoe UI" w:eastAsiaTheme="minorHAnsi" w:hAnsi="Segoe UI" w:cs="Segoe UI"/>
          <w:sz w:val="18"/>
          <w:szCs w:val="18"/>
          <w:vertAlign w:val="superscript"/>
        </w:rPr>
        <w:t>0</w:t>
      </w:r>
      <w:r>
        <w:rPr>
          <w:rFonts w:ascii="Segoe UI" w:eastAsiaTheme="minorHAnsi" w:hAnsi="Segoe UI" w:cs="Segoe UI"/>
          <w:sz w:val="18"/>
          <w:szCs w:val="18"/>
        </w:rPr>
        <w:t xml:space="preserve">C wprld </w:t>
      </w:r>
      <w:r>
        <w:rPr>
          <w:rFonts w:ascii="Segoe UI" w:eastAsiaTheme="minorHAnsi" w:hAnsi="Segoe UI" w:cs="Segoe UI"/>
          <w:i/>
          <w:iCs/>
          <w:sz w:val="18"/>
          <w:szCs w:val="18"/>
        </w:rPr>
        <w:t>Philosophical transcripts of the Royal Society of London</w:t>
      </w:r>
      <w:r>
        <w:rPr>
          <w:rFonts w:ascii="Segoe UI" w:eastAsiaTheme="minorHAnsi" w:hAnsi="Segoe UI" w:cs="Segoe UI"/>
          <w:sz w:val="18"/>
          <w:szCs w:val="18"/>
        </w:rPr>
        <w:t xml:space="preserve"> </w:t>
      </w:r>
      <w:r>
        <w:rPr>
          <w:rFonts w:ascii="Segoe UI" w:eastAsiaTheme="minorHAnsi" w:hAnsi="Segoe UI" w:cs="Segoe UI"/>
          <w:b/>
          <w:bCs/>
          <w:sz w:val="18"/>
          <w:szCs w:val="18"/>
        </w:rPr>
        <w:t>369</w:t>
      </w:r>
      <w:r>
        <w:rPr>
          <w:rFonts w:ascii="Segoe UI" w:eastAsiaTheme="minorHAnsi" w:hAnsi="Segoe UI" w:cs="Segoe UI"/>
          <w:sz w:val="18"/>
          <w:szCs w:val="18"/>
        </w:rPr>
        <w:t>, 196 - 216.</w:t>
      </w:r>
    </w:p>
    <w:p w14:paraId="09C5531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Staver A., Archibald S. &amp; Levin S. (2011) The Global Extent And Determinants Of Savanna And Forest As Alternative Biome States. </w:t>
      </w:r>
      <w:r>
        <w:rPr>
          <w:rFonts w:ascii="Segoe UI" w:eastAsiaTheme="minorHAnsi" w:hAnsi="Segoe UI" w:cs="Segoe UI"/>
          <w:i/>
          <w:iCs/>
          <w:sz w:val="18"/>
          <w:szCs w:val="18"/>
        </w:rPr>
        <w:t>Science (New York, N.Y.)</w:t>
      </w:r>
      <w:r>
        <w:rPr>
          <w:rFonts w:ascii="Segoe UI" w:eastAsiaTheme="minorHAnsi" w:hAnsi="Segoe UI" w:cs="Segoe UI"/>
          <w:sz w:val="18"/>
          <w:szCs w:val="18"/>
        </w:rPr>
        <w:t xml:space="preserve"> </w:t>
      </w:r>
      <w:r>
        <w:rPr>
          <w:rFonts w:ascii="Segoe UI" w:eastAsiaTheme="minorHAnsi" w:hAnsi="Segoe UI" w:cs="Segoe UI"/>
          <w:b/>
          <w:bCs/>
          <w:sz w:val="18"/>
          <w:szCs w:val="18"/>
        </w:rPr>
        <w:t>334</w:t>
      </w:r>
      <w:r>
        <w:rPr>
          <w:rFonts w:ascii="Segoe UI" w:eastAsiaTheme="minorHAnsi" w:hAnsi="Segoe UI" w:cs="Segoe UI"/>
          <w:sz w:val="18"/>
          <w:szCs w:val="18"/>
        </w:rPr>
        <w:t>, 230-2.</w:t>
      </w:r>
    </w:p>
    <w:p w14:paraId="7210A15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Steffen W. (2009) Climate change 2009. Faster change and more serious risks. Department of Climate Change, Canberra, Australia.   p. 52.</w:t>
      </w:r>
    </w:p>
    <w:p w14:paraId="0309A11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Steinbauer M. J. (2001) Specific leaf weight as an indicator of juvenile leaf toughness in Tasmanian bluegum (Eucalyptus globulus ssp. globulus): implications for insect defoliation. . </w:t>
      </w:r>
      <w:r>
        <w:rPr>
          <w:rFonts w:ascii="Segoe UI" w:eastAsiaTheme="minorHAnsi" w:hAnsi="Segoe UI" w:cs="Segoe UI"/>
          <w:i/>
          <w:iCs/>
          <w:sz w:val="18"/>
          <w:szCs w:val="18"/>
        </w:rPr>
        <w:t xml:space="preserve">Australian Forestry. </w:t>
      </w:r>
      <w:r>
        <w:rPr>
          <w:rFonts w:ascii="Segoe UI" w:eastAsiaTheme="minorHAnsi" w:hAnsi="Segoe UI" w:cs="Segoe UI"/>
          <w:b/>
          <w:bCs/>
          <w:sz w:val="18"/>
          <w:szCs w:val="18"/>
        </w:rPr>
        <w:t>64</w:t>
      </w:r>
      <w:r>
        <w:rPr>
          <w:rFonts w:ascii="Segoe UI" w:eastAsiaTheme="minorHAnsi" w:hAnsi="Segoe UI" w:cs="Segoe UI"/>
          <w:sz w:val="18"/>
          <w:szCs w:val="18"/>
        </w:rPr>
        <w:t>, 32 - 7.</w:t>
      </w:r>
    </w:p>
    <w:p w14:paraId="2375517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Stephen P. (1994) Factors Influencing the Success of Direct Seeding in Three Regions of Victoria. M. For. Sci. Thesis, Faculty of Agriculture and Forestry, The 401 University of Melbourne, Melbourne.</w:t>
      </w:r>
    </w:p>
    <w:p w14:paraId="66C2E38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Stephen P. (1994) Factors Influencing the Success of Direct Seeding in Three Regions of Victoria. M. For. Sci. Thesis, Faculty of Agriculture and Forestry, The University of Melbourne, Melbourne.</w:t>
      </w:r>
    </w:p>
    <w:p w14:paraId="5D9E88D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Stevens N., Lehmann C., Murphy B. &amp; Durigan G. (2016) Savanna woody encroachment is widespread across three continents.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23</w:t>
      </w:r>
      <w:r>
        <w:rPr>
          <w:rFonts w:ascii="Segoe UI" w:eastAsiaTheme="minorHAnsi" w:hAnsi="Segoe UI" w:cs="Segoe UI"/>
          <w:sz w:val="18"/>
          <w:szCs w:val="18"/>
        </w:rPr>
        <w:t>.</w:t>
      </w:r>
    </w:p>
    <w:p w14:paraId="25F50DDB"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Summers D., Bryan B., Nolan M. &amp; Hobbs T. (2015) The costs of reforestation: A spatial model of the costs of establishing environmental and carbon plantings. </w:t>
      </w:r>
      <w:r>
        <w:rPr>
          <w:rFonts w:ascii="Segoe UI" w:eastAsiaTheme="minorHAnsi" w:hAnsi="Segoe UI" w:cs="Segoe UI"/>
          <w:i/>
          <w:iCs/>
          <w:sz w:val="18"/>
          <w:szCs w:val="18"/>
        </w:rPr>
        <w:t>Land Use Policy</w:t>
      </w:r>
      <w:r>
        <w:rPr>
          <w:rFonts w:ascii="Segoe UI" w:eastAsiaTheme="minorHAnsi" w:hAnsi="Segoe UI" w:cs="Segoe UI"/>
          <w:sz w:val="18"/>
          <w:szCs w:val="18"/>
        </w:rPr>
        <w:t xml:space="preserve"> </w:t>
      </w:r>
      <w:r>
        <w:rPr>
          <w:rFonts w:ascii="Segoe UI" w:eastAsiaTheme="minorHAnsi" w:hAnsi="Segoe UI" w:cs="Segoe UI"/>
          <w:b/>
          <w:bCs/>
          <w:sz w:val="18"/>
          <w:szCs w:val="18"/>
        </w:rPr>
        <w:t>44</w:t>
      </w:r>
      <w:r>
        <w:rPr>
          <w:rFonts w:ascii="Segoe UI" w:eastAsiaTheme="minorHAnsi" w:hAnsi="Segoe UI" w:cs="Segoe UI"/>
          <w:sz w:val="18"/>
          <w:szCs w:val="18"/>
        </w:rPr>
        <w:t>.</w:t>
      </w:r>
    </w:p>
    <w:p w14:paraId="45214B4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Sun D. &amp; Dickinson G. R. (1995) Survival and growth response of a number of Australian tree species planted on a saline site in tropical north Australia. </w:t>
      </w:r>
      <w:r>
        <w:rPr>
          <w:rFonts w:ascii="Segoe UI" w:eastAsiaTheme="minorHAnsi" w:hAnsi="Segoe UI" w:cs="Segoe UI"/>
          <w:i/>
          <w:iCs/>
          <w:sz w:val="18"/>
          <w:szCs w:val="18"/>
        </w:rPr>
        <w:t>Journal of Applied Ecology</w:t>
      </w:r>
      <w:r>
        <w:rPr>
          <w:rFonts w:ascii="Segoe UI" w:eastAsiaTheme="minorHAnsi" w:hAnsi="Segoe UI" w:cs="Segoe UI"/>
          <w:sz w:val="18"/>
          <w:szCs w:val="18"/>
        </w:rPr>
        <w:t xml:space="preserve"> </w:t>
      </w:r>
      <w:r>
        <w:rPr>
          <w:rFonts w:ascii="Segoe UI" w:eastAsiaTheme="minorHAnsi" w:hAnsi="Segoe UI" w:cs="Segoe UI"/>
          <w:b/>
          <w:bCs/>
          <w:sz w:val="18"/>
          <w:szCs w:val="18"/>
        </w:rPr>
        <w:t>32</w:t>
      </w:r>
      <w:r>
        <w:rPr>
          <w:rFonts w:ascii="Segoe UI" w:eastAsiaTheme="minorHAnsi" w:hAnsi="Segoe UI" w:cs="Segoe UI"/>
          <w:sz w:val="18"/>
          <w:szCs w:val="18"/>
        </w:rPr>
        <w:t>, 817-26.</w:t>
      </w:r>
    </w:p>
    <w:p w14:paraId="29527A0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Tainter F. H. &amp; Baker F. A. (1996) </w:t>
      </w:r>
      <w:r>
        <w:rPr>
          <w:rFonts w:ascii="Segoe UI" w:eastAsiaTheme="minorHAnsi" w:hAnsi="Segoe UI" w:cs="Segoe UI"/>
          <w:i/>
          <w:iCs/>
          <w:sz w:val="18"/>
          <w:szCs w:val="18"/>
        </w:rPr>
        <w:t xml:space="preserve">Principles of forest pathology. </w:t>
      </w:r>
      <w:r>
        <w:rPr>
          <w:rFonts w:ascii="Segoe UI" w:eastAsiaTheme="minorHAnsi" w:hAnsi="Segoe UI" w:cs="Segoe UI"/>
          <w:sz w:val="18"/>
          <w:szCs w:val="18"/>
        </w:rPr>
        <w:t xml:space="preserve">. John Wiley &amp; Sons, New York </w:t>
      </w:r>
    </w:p>
    <w:p w14:paraId="5C211D9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Taylor J. E., Ellis M. V. &amp; Rayner L. (2014) Growth, recruitment and attrition of Eucalyptus tree species in semi-arid temperate woodland.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331</w:t>
      </w:r>
      <w:r>
        <w:rPr>
          <w:rFonts w:ascii="Segoe UI" w:eastAsiaTheme="minorHAnsi" w:hAnsi="Segoe UI" w:cs="Segoe UI"/>
          <w:sz w:val="18"/>
          <w:szCs w:val="18"/>
        </w:rPr>
        <w:t>, 25-34.</w:t>
      </w:r>
    </w:p>
    <w:p w14:paraId="7D78EDA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Teskey R., Wertin T., Bauweraerts I., Ameye M., McGuire M. A. &amp; Steppe K. (2014) Responses of tree species to heat waves and extreme heat events. </w:t>
      </w:r>
      <w:r>
        <w:rPr>
          <w:rFonts w:ascii="Segoe UI" w:eastAsiaTheme="minorHAnsi" w:hAnsi="Segoe UI" w:cs="Segoe UI"/>
          <w:i/>
          <w:iCs/>
          <w:sz w:val="18"/>
          <w:szCs w:val="18"/>
        </w:rPr>
        <w:t>Plant, cell &amp; environment</w:t>
      </w:r>
      <w:r>
        <w:rPr>
          <w:rFonts w:ascii="Segoe UI" w:eastAsiaTheme="minorHAnsi" w:hAnsi="Segoe UI" w:cs="Segoe UI"/>
          <w:sz w:val="18"/>
          <w:szCs w:val="18"/>
        </w:rPr>
        <w:t xml:space="preserve"> </w:t>
      </w:r>
      <w:r>
        <w:rPr>
          <w:rFonts w:ascii="Segoe UI" w:eastAsiaTheme="minorHAnsi" w:hAnsi="Segoe UI" w:cs="Segoe UI"/>
          <w:b/>
          <w:bCs/>
          <w:sz w:val="18"/>
          <w:szCs w:val="18"/>
        </w:rPr>
        <w:t>38</w:t>
      </w:r>
      <w:r>
        <w:rPr>
          <w:rFonts w:ascii="Segoe UI" w:eastAsiaTheme="minorHAnsi" w:hAnsi="Segoe UI" w:cs="Segoe UI"/>
          <w:sz w:val="18"/>
          <w:szCs w:val="18"/>
        </w:rPr>
        <w:t>.</w:t>
      </w:r>
    </w:p>
    <w:p w14:paraId="23427B5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Thompson W. A. &amp; Wheeler A. M. (1992) Photosynthesis by mature needles of field-grown Pinus radiata.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52</w:t>
      </w:r>
      <w:r>
        <w:rPr>
          <w:rFonts w:ascii="Segoe UI" w:eastAsiaTheme="minorHAnsi" w:hAnsi="Segoe UI" w:cs="Segoe UI"/>
          <w:sz w:val="18"/>
          <w:szCs w:val="18"/>
        </w:rPr>
        <w:t>, 225-42.</w:t>
      </w:r>
    </w:p>
    <w:p w14:paraId="488341C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Tubiello F. &amp; Ewert F. (2002) Simulating the effects of elevated CO2 on crops: Approaches and applications for climate change. </w:t>
      </w:r>
      <w:r>
        <w:rPr>
          <w:rFonts w:ascii="Segoe UI" w:eastAsiaTheme="minorHAnsi" w:hAnsi="Segoe UI" w:cs="Segoe UI"/>
          <w:i/>
          <w:iCs/>
          <w:sz w:val="18"/>
          <w:szCs w:val="18"/>
        </w:rPr>
        <w:t>European Journal of Agronomy</w:t>
      </w:r>
      <w:r>
        <w:rPr>
          <w:rFonts w:ascii="Segoe UI" w:eastAsiaTheme="minorHAnsi" w:hAnsi="Segoe UI" w:cs="Segoe UI"/>
          <w:sz w:val="18"/>
          <w:szCs w:val="18"/>
        </w:rPr>
        <w:t xml:space="preserve"> </w:t>
      </w:r>
      <w:r>
        <w:rPr>
          <w:rFonts w:ascii="Segoe UI" w:eastAsiaTheme="minorHAnsi" w:hAnsi="Segoe UI" w:cs="Segoe UI"/>
          <w:b/>
          <w:bCs/>
          <w:sz w:val="18"/>
          <w:szCs w:val="18"/>
        </w:rPr>
        <w:t>18</w:t>
      </w:r>
      <w:r>
        <w:rPr>
          <w:rFonts w:ascii="Segoe UI" w:eastAsiaTheme="minorHAnsi" w:hAnsi="Segoe UI" w:cs="Segoe UI"/>
          <w:sz w:val="18"/>
          <w:szCs w:val="18"/>
        </w:rPr>
        <w:t>, 57-74.</w:t>
      </w:r>
    </w:p>
    <w:p w14:paraId="6E7F4276"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Tubiello F. N., Soussana J.-F. &amp; Howden S. M. (2007) Crop and pasture response to climate change. </w:t>
      </w:r>
      <w:r>
        <w:rPr>
          <w:rFonts w:ascii="Segoe UI" w:eastAsiaTheme="minorHAnsi" w:hAnsi="Segoe UI" w:cs="Segoe UI"/>
          <w:i/>
          <w:iCs/>
          <w:sz w:val="18"/>
          <w:szCs w:val="18"/>
        </w:rPr>
        <w:t>Proceedings of the National Academy of Sciences</w:t>
      </w:r>
      <w:r>
        <w:rPr>
          <w:rFonts w:ascii="Segoe UI" w:eastAsiaTheme="minorHAnsi" w:hAnsi="Segoe UI" w:cs="Segoe UI"/>
          <w:sz w:val="18"/>
          <w:szCs w:val="18"/>
        </w:rPr>
        <w:t xml:space="preserve"> </w:t>
      </w:r>
      <w:r>
        <w:rPr>
          <w:rFonts w:ascii="Segoe UI" w:eastAsiaTheme="minorHAnsi" w:hAnsi="Segoe UI" w:cs="Segoe UI"/>
          <w:b/>
          <w:bCs/>
          <w:sz w:val="18"/>
          <w:szCs w:val="18"/>
        </w:rPr>
        <w:t>104</w:t>
      </w:r>
      <w:r>
        <w:rPr>
          <w:rFonts w:ascii="Segoe UI" w:eastAsiaTheme="minorHAnsi" w:hAnsi="Segoe UI" w:cs="Segoe UI"/>
          <w:sz w:val="18"/>
          <w:szCs w:val="18"/>
        </w:rPr>
        <w:t>, 19686.</w:t>
      </w:r>
    </w:p>
    <w:p w14:paraId="23259A8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Viscarra Rossel R. A., Lee J., Behrens T., Luo Z., Baldock J. &amp; Richards A. (2019) Continental-scale soil carbon composition and vulnerability modulated by regional environmental controls. </w:t>
      </w:r>
      <w:r>
        <w:rPr>
          <w:rFonts w:ascii="Segoe UI" w:eastAsiaTheme="minorHAnsi" w:hAnsi="Segoe UI" w:cs="Segoe UI"/>
          <w:i/>
          <w:iCs/>
          <w:sz w:val="18"/>
          <w:szCs w:val="18"/>
        </w:rPr>
        <w:t>Nature Geoscience</w:t>
      </w:r>
      <w:r>
        <w:rPr>
          <w:rFonts w:ascii="Segoe UI" w:eastAsiaTheme="minorHAnsi" w:hAnsi="Segoe UI" w:cs="Segoe UI"/>
          <w:sz w:val="18"/>
          <w:szCs w:val="18"/>
        </w:rPr>
        <w:t xml:space="preserve"> </w:t>
      </w:r>
      <w:r>
        <w:rPr>
          <w:rFonts w:ascii="Segoe UI" w:eastAsiaTheme="minorHAnsi" w:hAnsi="Segoe UI" w:cs="Segoe UI"/>
          <w:b/>
          <w:bCs/>
          <w:sz w:val="18"/>
          <w:szCs w:val="18"/>
        </w:rPr>
        <w:t>12</w:t>
      </w:r>
      <w:r>
        <w:rPr>
          <w:rFonts w:ascii="Segoe UI" w:eastAsiaTheme="minorHAnsi" w:hAnsi="Segoe UI" w:cs="Segoe UI"/>
          <w:sz w:val="18"/>
          <w:szCs w:val="18"/>
        </w:rPr>
        <w:t>, 547-52.</w:t>
      </w:r>
    </w:p>
    <w:p w14:paraId="74A6425F"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Volkova L., Meyer C., Murphy S., Fairman T., Reisen F. &amp; Weston C. (2014) Fuel reduction burning mitigates wildfire effects on forest carbon and greenhouse gas emission. </w:t>
      </w:r>
      <w:r>
        <w:rPr>
          <w:rFonts w:ascii="Segoe UI" w:eastAsiaTheme="minorHAnsi" w:hAnsi="Segoe UI" w:cs="Segoe UI"/>
          <w:i/>
          <w:iCs/>
          <w:sz w:val="18"/>
          <w:szCs w:val="18"/>
        </w:rPr>
        <w:t>International Journal of Wildland Fire</w:t>
      </w:r>
      <w:r>
        <w:rPr>
          <w:rFonts w:ascii="Segoe UI" w:eastAsiaTheme="minorHAnsi" w:hAnsi="Segoe UI" w:cs="Segoe UI"/>
          <w:sz w:val="18"/>
          <w:szCs w:val="18"/>
        </w:rPr>
        <w:t xml:space="preserve"> </w:t>
      </w:r>
      <w:r>
        <w:rPr>
          <w:rFonts w:ascii="Segoe UI" w:eastAsiaTheme="minorHAnsi" w:hAnsi="Segoe UI" w:cs="Segoe UI"/>
          <w:b/>
          <w:bCs/>
          <w:sz w:val="18"/>
          <w:szCs w:val="18"/>
        </w:rPr>
        <w:t>23</w:t>
      </w:r>
      <w:r>
        <w:rPr>
          <w:rFonts w:ascii="Segoe UI" w:eastAsiaTheme="minorHAnsi" w:hAnsi="Segoe UI" w:cs="Segoe UI"/>
          <w:sz w:val="18"/>
          <w:szCs w:val="18"/>
        </w:rPr>
        <w:t>.</w:t>
      </w:r>
    </w:p>
    <w:p w14:paraId="294D371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Walker J., Moore R. M. &amp; Robertson J. A. (1972) Herbage reponse to tree and shrub thinning in Eucalyptus populnea shrub woodlands. </w:t>
      </w:r>
      <w:r>
        <w:rPr>
          <w:rFonts w:ascii="Segoe UI" w:eastAsiaTheme="minorHAnsi" w:hAnsi="Segoe UI" w:cs="Segoe UI"/>
          <w:i/>
          <w:iCs/>
          <w:sz w:val="18"/>
          <w:szCs w:val="18"/>
        </w:rPr>
        <w:t>Australian Journal of Agricultural Research</w:t>
      </w:r>
      <w:r>
        <w:rPr>
          <w:rFonts w:ascii="Segoe UI" w:eastAsiaTheme="minorHAnsi" w:hAnsi="Segoe UI" w:cs="Segoe UI"/>
          <w:sz w:val="18"/>
          <w:szCs w:val="18"/>
        </w:rPr>
        <w:t xml:space="preserve"> </w:t>
      </w:r>
      <w:r>
        <w:rPr>
          <w:rFonts w:ascii="Segoe UI" w:eastAsiaTheme="minorHAnsi" w:hAnsi="Segoe UI" w:cs="Segoe UI"/>
          <w:b/>
          <w:bCs/>
          <w:sz w:val="18"/>
          <w:szCs w:val="18"/>
        </w:rPr>
        <w:t>23</w:t>
      </w:r>
      <w:r>
        <w:rPr>
          <w:rFonts w:ascii="Segoe UI" w:eastAsiaTheme="minorHAnsi" w:hAnsi="Segoe UI" w:cs="Segoe UI"/>
          <w:sz w:val="18"/>
          <w:szCs w:val="18"/>
        </w:rPr>
        <w:t>, 405-10.</w:t>
      </w:r>
    </w:p>
    <w:p w14:paraId="12473B8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Walker P. W. &amp; Allen G. R. (2013) Seasonal flight activity, phenology and physiological status of the major establishment pests of Eucalyptus nitens plantations, Heteronyx dimidiata and H. crinitus (Coleoptera: Scarabaeidae: Melolonthinae). </w:t>
      </w:r>
      <w:r>
        <w:rPr>
          <w:rFonts w:ascii="Segoe UI" w:eastAsiaTheme="minorHAnsi" w:hAnsi="Segoe UI" w:cs="Segoe UI"/>
          <w:i/>
          <w:iCs/>
          <w:sz w:val="18"/>
          <w:szCs w:val="18"/>
        </w:rPr>
        <w:t>Australian Journal of Entomology</w:t>
      </w:r>
      <w:r>
        <w:rPr>
          <w:rFonts w:ascii="Segoe UI" w:eastAsiaTheme="minorHAnsi" w:hAnsi="Segoe UI" w:cs="Segoe UI"/>
          <w:sz w:val="18"/>
          <w:szCs w:val="18"/>
        </w:rPr>
        <w:t xml:space="preserve"> </w:t>
      </w:r>
      <w:r>
        <w:rPr>
          <w:rFonts w:ascii="Segoe UI" w:eastAsiaTheme="minorHAnsi" w:hAnsi="Segoe UI" w:cs="Segoe UI"/>
          <w:b/>
          <w:bCs/>
          <w:sz w:val="18"/>
          <w:szCs w:val="18"/>
        </w:rPr>
        <w:t>52</w:t>
      </w:r>
      <w:r>
        <w:rPr>
          <w:rFonts w:ascii="Segoe UI" w:eastAsiaTheme="minorHAnsi" w:hAnsi="Segoe UI" w:cs="Segoe UI"/>
          <w:sz w:val="18"/>
          <w:szCs w:val="18"/>
        </w:rPr>
        <w:t>, 31-41.</w:t>
      </w:r>
    </w:p>
    <w:p w14:paraId="51C2AF0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Walsh K., Nguyen K. &amp; McGregor J. L. (2004) Fine-resolution regional climate model simulations of the impact of climate change on tropical cyclones near Australia. </w:t>
      </w:r>
      <w:r>
        <w:rPr>
          <w:rFonts w:ascii="Segoe UI" w:eastAsiaTheme="minorHAnsi" w:hAnsi="Segoe UI" w:cs="Segoe UI"/>
          <w:i/>
          <w:iCs/>
          <w:sz w:val="18"/>
          <w:szCs w:val="18"/>
        </w:rPr>
        <w:t>Climate Dynamics</w:t>
      </w:r>
      <w:r>
        <w:rPr>
          <w:rFonts w:ascii="Segoe UI" w:eastAsiaTheme="minorHAnsi" w:hAnsi="Segoe UI" w:cs="Segoe UI"/>
          <w:sz w:val="18"/>
          <w:szCs w:val="18"/>
        </w:rPr>
        <w:t xml:space="preserve"> </w:t>
      </w:r>
      <w:r>
        <w:rPr>
          <w:rFonts w:ascii="Segoe UI" w:eastAsiaTheme="minorHAnsi" w:hAnsi="Segoe UI" w:cs="Segoe UI"/>
          <w:b/>
          <w:bCs/>
          <w:sz w:val="18"/>
          <w:szCs w:val="18"/>
        </w:rPr>
        <w:t>22</w:t>
      </w:r>
      <w:r>
        <w:rPr>
          <w:rFonts w:ascii="Segoe UI" w:eastAsiaTheme="minorHAnsi" w:hAnsi="Segoe UI" w:cs="Segoe UI"/>
          <w:sz w:val="18"/>
          <w:szCs w:val="18"/>
        </w:rPr>
        <w:t>, 47-56.</w:t>
      </w:r>
    </w:p>
    <w:p w14:paraId="34C0D63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Walter J., Jentsch A., Beierkuhnlein C. &amp; Kreyling J. (2013) Ecological stress memory and cross stress tolerance in plants in the face of climate extremes. </w:t>
      </w:r>
      <w:r>
        <w:rPr>
          <w:rFonts w:ascii="Segoe UI" w:eastAsiaTheme="minorHAnsi" w:hAnsi="Segoe UI" w:cs="Segoe UI"/>
          <w:i/>
          <w:iCs/>
          <w:sz w:val="18"/>
          <w:szCs w:val="18"/>
        </w:rPr>
        <w:t>Environmental and Experimental Botany</w:t>
      </w:r>
      <w:r>
        <w:rPr>
          <w:rFonts w:ascii="Segoe UI" w:eastAsiaTheme="minorHAnsi" w:hAnsi="Segoe UI" w:cs="Segoe UI"/>
          <w:sz w:val="18"/>
          <w:szCs w:val="18"/>
        </w:rPr>
        <w:t xml:space="preserve"> </w:t>
      </w:r>
      <w:r>
        <w:rPr>
          <w:rFonts w:ascii="Segoe UI" w:eastAsiaTheme="minorHAnsi" w:hAnsi="Segoe UI" w:cs="Segoe UI"/>
          <w:b/>
          <w:bCs/>
          <w:sz w:val="18"/>
          <w:szCs w:val="18"/>
        </w:rPr>
        <w:t>94</w:t>
      </w:r>
      <w:r>
        <w:rPr>
          <w:rFonts w:ascii="Segoe UI" w:eastAsiaTheme="minorHAnsi" w:hAnsi="Segoe UI" w:cs="Segoe UI"/>
          <w:sz w:val="18"/>
          <w:szCs w:val="18"/>
        </w:rPr>
        <w:t>, 3-8.</w:t>
      </w:r>
    </w:p>
    <w:p w14:paraId="64E5CFF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Wang B., Deveson E. D., Waters C., Spessa A., Lawton D., Feng P. &amp; Liu D. L. (2019) Future climate change likely to reduce the Australian plague locust (Chortoicetes terminifera) seasonal outbreaks. </w:t>
      </w:r>
      <w:r>
        <w:rPr>
          <w:rFonts w:ascii="Segoe UI" w:eastAsiaTheme="minorHAnsi" w:hAnsi="Segoe UI" w:cs="Segoe UI"/>
          <w:i/>
          <w:iCs/>
          <w:sz w:val="18"/>
          <w:szCs w:val="18"/>
        </w:rPr>
        <w:t>Science of The Total Environment</w:t>
      </w:r>
      <w:r>
        <w:rPr>
          <w:rFonts w:ascii="Segoe UI" w:eastAsiaTheme="minorHAnsi" w:hAnsi="Segoe UI" w:cs="Segoe UI"/>
          <w:sz w:val="18"/>
          <w:szCs w:val="18"/>
        </w:rPr>
        <w:t xml:space="preserve"> </w:t>
      </w:r>
      <w:r>
        <w:rPr>
          <w:rFonts w:ascii="Segoe UI" w:eastAsiaTheme="minorHAnsi" w:hAnsi="Segoe UI" w:cs="Segoe UI"/>
          <w:b/>
          <w:bCs/>
          <w:sz w:val="18"/>
          <w:szCs w:val="18"/>
        </w:rPr>
        <w:t>668</w:t>
      </w:r>
      <w:r>
        <w:rPr>
          <w:rFonts w:ascii="Segoe UI" w:eastAsiaTheme="minorHAnsi" w:hAnsi="Segoe UI" w:cs="Segoe UI"/>
          <w:sz w:val="18"/>
          <w:szCs w:val="18"/>
        </w:rPr>
        <w:t>, 947-57.</w:t>
      </w:r>
    </w:p>
    <w:p w14:paraId="5F674EF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Wang Q., Zhao X., Chen L., Yang Q., Chen S. &amp; Zhang W. (2019) Global synthesis of temperature sensitivity of soil organic carbon decomposition: Latitudinal patterns and mechanisms. </w:t>
      </w:r>
      <w:r>
        <w:rPr>
          <w:rFonts w:ascii="Segoe UI" w:eastAsiaTheme="minorHAnsi" w:hAnsi="Segoe UI" w:cs="Segoe UI"/>
          <w:i/>
          <w:iCs/>
          <w:sz w:val="18"/>
          <w:szCs w:val="18"/>
        </w:rPr>
        <w:t>Functional Ecology</w:t>
      </w:r>
      <w:r>
        <w:rPr>
          <w:rFonts w:ascii="Segoe UI" w:eastAsiaTheme="minorHAnsi" w:hAnsi="Segoe UI" w:cs="Segoe UI"/>
          <w:sz w:val="18"/>
          <w:szCs w:val="18"/>
        </w:rPr>
        <w:t xml:space="preserve"> </w:t>
      </w:r>
      <w:r>
        <w:rPr>
          <w:rFonts w:ascii="Segoe UI" w:eastAsiaTheme="minorHAnsi" w:hAnsi="Segoe UI" w:cs="Segoe UI"/>
          <w:b/>
          <w:bCs/>
          <w:sz w:val="18"/>
          <w:szCs w:val="18"/>
        </w:rPr>
        <w:t>33</w:t>
      </w:r>
      <w:r>
        <w:rPr>
          <w:rFonts w:ascii="Segoe UI" w:eastAsiaTheme="minorHAnsi" w:hAnsi="Segoe UI" w:cs="Segoe UI"/>
          <w:sz w:val="18"/>
          <w:szCs w:val="18"/>
        </w:rPr>
        <w:t>, 514-23.</w:t>
      </w:r>
    </w:p>
    <w:p w14:paraId="194CD0E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Wang Y., Hao Y., Cui X. Y., Zhao H., Xu C., Zhou X. &amp; Xu Z. (2014) Responses of soil respiration and its components to drought stress. </w:t>
      </w:r>
      <w:r>
        <w:rPr>
          <w:rFonts w:ascii="Segoe UI" w:eastAsiaTheme="minorHAnsi" w:hAnsi="Segoe UI" w:cs="Segoe UI"/>
          <w:i/>
          <w:iCs/>
          <w:sz w:val="18"/>
          <w:szCs w:val="18"/>
        </w:rPr>
        <w:t>Journal of Soils and Sediments</w:t>
      </w:r>
      <w:r>
        <w:rPr>
          <w:rFonts w:ascii="Segoe UI" w:eastAsiaTheme="minorHAnsi" w:hAnsi="Segoe UI" w:cs="Segoe UI"/>
          <w:sz w:val="18"/>
          <w:szCs w:val="18"/>
        </w:rPr>
        <w:t xml:space="preserve"> </w:t>
      </w:r>
      <w:r>
        <w:rPr>
          <w:rFonts w:ascii="Segoe UI" w:eastAsiaTheme="minorHAnsi" w:hAnsi="Segoe UI" w:cs="Segoe UI"/>
          <w:b/>
          <w:bCs/>
          <w:sz w:val="18"/>
          <w:szCs w:val="18"/>
        </w:rPr>
        <w:t>14</w:t>
      </w:r>
      <w:r>
        <w:rPr>
          <w:rFonts w:ascii="Segoe UI" w:eastAsiaTheme="minorHAnsi" w:hAnsi="Segoe UI" w:cs="Segoe UI"/>
          <w:sz w:val="18"/>
          <w:szCs w:val="18"/>
        </w:rPr>
        <w:t>, 99-109.</w:t>
      </w:r>
    </w:p>
    <w:p w14:paraId="32F6840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Ward B. G., Bragg T. B. &amp; Hayes B. A. (2018) Effects of chaining and burning in Acacia ramulosa shrublands of the Peron Peninsula, Shark Bay, Western Australia. . </w:t>
      </w:r>
      <w:r>
        <w:rPr>
          <w:rFonts w:ascii="Segoe UI" w:eastAsiaTheme="minorHAnsi" w:hAnsi="Segoe UI" w:cs="Segoe UI"/>
          <w:i/>
          <w:iCs/>
          <w:sz w:val="18"/>
          <w:szCs w:val="18"/>
        </w:rPr>
        <w:t>International Journal of Wildland Fire</w:t>
      </w:r>
      <w:r>
        <w:rPr>
          <w:rFonts w:ascii="Segoe UI" w:eastAsiaTheme="minorHAnsi" w:hAnsi="Segoe UI" w:cs="Segoe UI"/>
          <w:sz w:val="18"/>
          <w:szCs w:val="18"/>
        </w:rPr>
        <w:t xml:space="preserve"> </w:t>
      </w:r>
      <w:r>
        <w:rPr>
          <w:rFonts w:ascii="Segoe UI" w:eastAsiaTheme="minorHAnsi" w:hAnsi="Segoe UI" w:cs="Segoe UI"/>
          <w:b/>
          <w:bCs/>
          <w:sz w:val="18"/>
          <w:szCs w:val="18"/>
        </w:rPr>
        <w:t>27</w:t>
      </w:r>
      <w:r>
        <w:rPr>
          <w:rFonts w:ascii="Segoe UI" w:eastAsiaTheme="minorHAnsi" w:hAnsi="Segoe UI" w:cs="Segoe UI"/>
          <w:sz w:val="18"/>
          <w:szCs w:val="18"/>
        </w:rPr>
        <w:t>, 623-35.</w:t>
      </w:r>
    </w:p>
    <w:p w14:paraId="3634128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Ward J. M. J., Bryan B., Gale G. &amp; Hobbs T. J. (2005) Market-based instrument approaches to implementing priority revegetation in the South Australian Murray-Darling Basin.   p. 47. CSIRO.</w:t>
      </w:r>
    </w:p>
    <w:p w14:paraId="06B6B26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Wardlaw T. (2001) Mycosphaerella leaf blight of Eucalyptus globulus in the Circular Head area. Forestry Tasmania, Hobart, p. 13. .</w:t>
      </w:r>
    </w:p>
    <w:p w14:paraId="29E72DED"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Wardlaw T., Pinkard E. A. &amp; Mohammed C. (2005) Can fertilisation with nitrogen and phosphorus lessen impacts of Mycospharella leaf blight in </w:t>
      </w:r>
      <w:r>
        <w:rPr>
          <w:rFonts w:ascii="Segoe UI" w:eastAsiaTheme="minorHAnsi" w:hAnsi="Segoe UI" w:cs="Segoe UI"/>
          <w:i/>
          <w:iCs/>
          <w:sz w:val="18"/>
          <w:szCs w:val="18"/>
        </w:rPr>
        <w:t>Eucalyptus globulus</w:t>
      </w:r>
      <w:r>
        <w:rPr>
          <w:rFonts w:ascii="Segoe UI" w:eastAsiaTheme="minorHAnsi" w:hAnsi="Segoe UI" w:cs="Segoe UI"/>
          <w:sz w:val="18"/>
          <w:szCs w:val="18"/>
        </w:rPr>
        <w:t xml:space="preserve">? In: </w:t>
      </w:r>
      <w:r>
        <w:rPr>
          <w:rFonts w:ascii="Segoe UI" w:eastAsiaTheme="minorHAnsi" w:hAnsi="Segoe UI" w:cs="Segoe UI"/>
          <w:i/>
          <w:iCs/>
          <w:sz w:val="18"/>
          <w:szCs w:val="18"/>
        </w:rPr>
        <w:t>15th Australasian Plant Pathology Society Conference, Mycosphaerella leaf diseases of eucalypts workshop</w:t>
      </w:r>
      <w:r>
        <w:rPr>
          <w:rFonts w:ascii="Segoe UI" w:eastAsiaTheme="minorHAnsi" w:hAnsi="Segoe UI" w:cs="Segoe UI"/>
          <w:sz w:val="18"/>
          <w:szCs w:val="18"/>
        </w:rPr>
        <w:t xml:space="preserve"> (ed A. Carnegie) p. p 22. Australasian Plant Pathology Society, Geelong, Australia.</w:t>
      </w:r>
    </w:p>
    <w:p w14:paraId="24D9B76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Warren C. R. &amp; Adams M. (2000) Trade-offs between the persistence of foliage and productivity in two Pinus species. </w:t>
      </w:r>
      <w:r>
        <w:rPr>
          <w:rFonts w:ascii="Segoe UI" w:eastAsiaTheme="minorHAnsi" w:hAnsi="Segoe UI" w:cs="Segoe UI"/>
          <w:i/>
          <w:iCs/>
          <w:sz w:val="18"/>
          <w:szCs w:val="18"/>
        </w:rPr>
        <w:t>Oecologia</w:t>
      </w:r>
      <w:r>
        <w:rPr>
          <w:rFonts w:ascii="Segoe UI" w:eastAsiaTheme="minorHAnsi" w:hAnsi="Segoe UI" w:cs="Segoe UI"/>
          <w:sz w:val="18"/>
          <w:szCs w:val="18"/>
        </w:rPr>
        <w:t xml:space="preserve"> </w:t>
      </w:r>
      <w:r>
        <w:rPr>
          <w:rFonts w:ascii="Segoe UI" w:eastAsiaTheme="minorHAnsi" w:hAnsi="Segoe UI" w:cs="Segoe UI"/>
          <w:b/>
          <w:bCs/>
          <w:sz w:val="18"/>
          <w:szCs w:val="18"/>
        </w:rPr>
        <w:t>24</w:t>
      </w:r>
      <w:r>
        <w:rPr>
          <w:rFonts w:ascii="Segoe UI" w:eastAsiaTheme="minorHAnsi" w:hAnsi="Segoe UI" w:cs="Segoe UI"/>
          <w:sz w:val="18"/>
          <w:szCs w:val="18"/>
        </w:rPr>
        <w:t>, 487 - 94.</w:t>
      </w:r>
    </w:p>
    <w:p w14:paraId="4F5D261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Webb A. &amp; Erskine W. (2003) Distribution, recruitment, and geomorphic significance of large woody debris in an alluvial forest stream: Tonghi Creek, southeastern Australia. </w:t>
      </w:r>
      <w:r>
        <w:rPr>
          <w:rFonts w:ascii="Segoe UI" w:eastAsiaTheme="minorHAnsi" w:hAnsi="Segoe UI" w:cs="Segoe UI"/>
          <w:i/>
          <w:iCs/>
          <w:sz w:val="18"/>
          <w:szCs w:val="18"/>
        </w:rPr>
        <w:t>Geomorphology</w:t>
      </w:r>
      <w:r>
        <w:rPr>
          <w:rFonts w:ascii="Segoe UI" w:eastAsiaTheme="minorHAnsi" w:hAnsi="Segoe UI" w:cs="Segoe UI"/>
          <w:sz w:val="18"/>
          <w:szCs w:val="18"/>
        </w:rPr>
        <w:t xml:space="preserve"> </w:t>
      </w:r>
      <w:r>
        <w:rPr>
          <w:rFonts w:ascii="Segoe UI" w:eastAsiaTheme="minorHAnsi" w:hAnsi="Segoe UI" w:cs="Segoe UI"/>
          <w:b/>
          <w:bCs/>
          <w:sz w:val="18"/>
          <w:szCs w:val="18"/>
        </w:rPr>
        <w:t>51</w:t>
      </w:r>
      <w:r>
        <w:rPr>
          <w:rFonts w:ascii="Segoe UI" w:eastAsiaTheme="minorHAnsi" w:hAnsi="Segoe UI" w:cs="Segoe UI"/>
          <w:sz w:val="18"/>
          <w:szCs w:val="18"/>
        </w:rPr>
        <w:t>, 109-26.</w:t>
      </w:r>
    </w:p>
    <w:p w14:paraId="438ADAA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Webb N., Stokes C. &amp; Scanlan J. (2012) Interacting effects of vegetation, soils and management on the sensitivity of Australian savanna rangelands to climate change. </w:t>
      </w:r>
      <w:r>
        <w:rPr>
          <w:rFonts w:ascii="Segoe UI" w:eastAsiaTheme="minorHAnsi" w:hAnsi="Segoe UI" w:cs="Segoe UI"/>
          <w:i/>
          <w:iCs/>
          <w:sz w:val="18"/>
          <w:szCs w:val="18"/>
        </w:rPr>
        <w:t>Climatic Change</w:t>
      </w:r>
      <w:r>
        <w:rPr>
          <w:rFonts w:ascii="Segoe UI" w:eastAsiaTheme="minorHAnsi" w:hAnsi="Segoe UI" w:cs="Segoe UI"/>
          <w:sz w:val="18"/>
          <w:szCs w:val="18"/>
        </w:rPr>
        <w:t xml:space="preserve"> </w:t>
      </w:r>
      <w:r>
        <w:rPr>
          <w:rFonts w:ascii="Segoe UI" w:eastAsiaTheme="minorHAnsi" w:hAnsi="Segoe UI" w:cs="Segoe UI"/>
          <w:b/>
          <w:bCs/>
          <w:sz w:val="18"/>
          <w:szCs w:val="18"/>
        </w:rPr>
        <w:t>112</w:t>
      </w:r>
      <w:r>
        <w:rPr>
          <w:rFonts w:ascii="Segoe UI" w:eastAsiaTheme="minorHAnsi" w:hAnsi="Segoe UI" w:cs="Segoe UI"/>
          <w:sz w:val="18"/>
          <w:szCs w:val="18"/>
        </w:rPr>
        <w:t>, 1-19.</w:t>
      </w:r>
    </w:p>
    <w:p w14:paraId="40F32F8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Whetton P. &amp; Holper P. (2015) Chapter 1. Introduction. In: </w:t>
      </w:r>
      <w:r>
        <w:rPr>
          <w:rFonts w:ascii="Segoe UI" w:eastAsiaTheme="minorHAnsi" w:hAnsi="Segoe UI" w:cs="Segoe UI"/>
          <w:i/>
          <w:iCs/>
          <w:sz w:val="18"/>
          <w:szCs w:val="18"/>
        </w:rPr>
        <w:t>Climate Change in Australia Information for Australia’s Natural Resource Management Regions: Technical Report, CSIRO and Bureau of Meteorology, Australia.</w:t>
      </w:r>
      <w:r>
        <w:rPr>
          <w:rFonts w:ascii="Segoe UI" w:eastAsiaTheme="minorHAnsi" w:hAnsi="Segoe UI" w:cs="Segoe UI"/>
          <w:sz w:val="18"/>
          <w:szCs w:val="18"/>
        </w:rPr>
        <w:t xml:space="preserve"> (eds P. Whetton, M. Ekström, C. Gerbing, M. Grose, J. Bhend, L. Webb and J. Risbey).</w:t>
      </w:r>
    </w:p>
    <w:p w14:paraId="4C7244D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Whish J., Castor P. &amp; Carberry P. (2007) Managing production constraints to the reliability of chickpea ( Cicer arietinum L.) within marginal areas of the northern grains region of Australia. </w:t>
      </w:r>
      <w:r>
        <w:rPr>
          <w:rFonts w:ascii="Segoe UI" w:eastAsiaTheme="minorHAnsi" w:hAnsi="Segoe UI" w:cs="Segoe UI"/>
          <w:i/>
          <w:iCs/>
          <w:sz w:val="18"/>
          <w:szCs w:val="18"/>
        </w:rPr>
        <w:t>Australian Journal of Agricultural Research - AUST J AGR RES</w:t>
      </w:r>
      <w:r>
        <w:rPr>
          <w:rFonts w:ascii="Segoe UI" w:eastAsiaTheme="minorHAnsi" w:hAnsi="Segoe UI" w:cs="Segoe UI"/>
          <w:sz w:val="18"/>
          <w:szCs w:val="18"/>
        </w:rPr>
        <w:t xml:space="preserve"> </w:t>
      </w:r>
      <w:r>
        <w:rPr>
          <w:rFonts w:ascii="Segoe UI" w:eastAsiaTheme="minorHAnsi" w:hAnsi="Segoe UI" w:cs="Segoe UI"/>
          <w:b/>
          <w:bCs/>
          <w:sz w:val="18"/>
          <w:szCs w:val="18"/>
        </w:rPr>
        <w:t>58</w:t>
      </w:r>
      <w:r>
        <w:rPr>
          <w:rFonts w:ascii="Segoe UI" w:eastAsiaTheme="minorHAnsi" w:hAnsi="Segoe UI" w:cs="Segoe UI"/>
          <w:sz w:val="18"/>
          <w:szCs w:val="18"/>
        </w:rPr>
        <w:t>.</w:t>
      </w:r>
    </w:p>
    <w:p w14:paraId="56C822A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White D., Crombie D. S., Kinal J., Battaglia M., McGrath J. F., Mendham D. &amp; Walker S. N. (2009) Managing productivity and drought risk in </w:t>
      </w:r>
      <w:r>
        <w:rPr>
          <w:rFonts w:ascii="Segoe UI" w:eastAsiaTheme="minorHAnsi" w:hAnsi="Segoe UI" w:cs="Segoe UI"/>
          <w:i/>
          <w:iCs/>
          <w:sz w:val="18"/>
          <w:szCs w:val="18"/>
        </w:rPr>
        <w:t>Eucalyptus globulus</w:t>
      </w:r>
      <w:r>
        <w:rPr>
          <w:rFonts w:ascii="Segoe UI" w:eastAsiaTheme="minorHAnsi" w:hAnsi="Segoe UI" w:cs="Segoe UI"/>
          <w:sz w:val="18"/>
          <w:szCs w:val="18"/>
        </w:rPr>
        <w:t xml:space="preserve"> plantations in south-western Australia. </w:t>
      </w:r>
      <w:r>
        <w:rPr>
          <w:rFonts w:ascii="Segoe UI" w:eastAsiaTheme="minorHAnsi" w:hAnsi="Segoe UI" w:cs="Segoe UI"/>
          <w:i/>
          <w:iCs/>
          <w:sz w:val="18"/>
          <w:szCs w:val="18"/>
        </w:rPr>
        <w:t>Forest Ecology and Management</w:t>
      </w:r>
      <w:r>
        <w:rPr>
          <w:rFonts w:ascii="Segoe UI" w:eastAsiaTheme="minorHAnsi" w:hAnsi="Segoe UI" w:cs="Segoe UI"/>
          <w:sz w:val="18"/>
          <w:szCs w:val="18"/>
        </w:rPr>
        <w:t xml:space="preserve"> </w:t>
      </w:r>
      <w:r>
        <w:rPr>
          <w:rFonts w:ascii="Segoe UI" w:eastAsiaTheme="minorHAnsi" w:hAnsi="Segoe UI" w:cs="Segoe UI"/>
          <w:b/>
          <w:bCs/>
          <w:sz w:val="18"/>
          <w:szCs w:val="18"/>
        </w:rPr>
        <w:t>259</w:t>
      </w:r>
      <w:r>
        <w:rPr>
          <w:rFonts w:ascii="Segoe UI" w:eastAsiaTheme="minorHAnsi" w:hAnsi="Segoe UI" w:cs="Segoe UI"/>
          <w:sz w:val="18"/>
          <w:szCs w:val="18"/>
        </w:rPr>
        <w:t>, 33 - 44.</w:t>
      </w:r>
    </w:p>
    <w:p w14:paraId="56E5669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Williams R. J., Myers B. A., Muller W. J., Duff G. A. &amp; Eamus D. (1997) LEAF PHENOLOGY OF WOODY SPECIES IN A NORTH AUSTRALIAN TROPICAL SAVANNA. </w:t>
      </w:r>
      <w:r>
        <w:rPr>
          <w:rFonts w:ascii="Segoe UI" w:eastAsiaTheme="minorHAnsi" w:hAnsi="Segoe UI" w:cs="Segoe UI"/>
          <w:i/>
          <w:iCs/>
          <w:sz w:val="18"/>
          <w:szCs w:val="18"/>
        </w:rPr>
        <w:t>Ecology</w:t>
      </w:r>
      <w:r>
        <w:rPr>
          <w:rFonts w:ascii="Segoe UI" w:eastAsiaTheme="minorHAnsi" w:hAnsi="Segoe UI" w:cs="Segoe UI"/>
          <w:sz w:val="18"/>
          <w:szCs w:val="18"/>
        </w:rPr>
        <w:t xml:space="preserve"> </w:t>
      </w:r>
      <w:r>
        <w:rPr>
          <w:rFonts w:ascii="Segoe UI" w:eastAsiaTheme="minorHAnsi" w:hAnsi="Segoe UI" w:cs="Segoe UI"/>
          <w:b/>
          <w:bCs/>
          <w:sz w:val="18"/>
          <w:szCs w:val="18"/>
        </w:rPr>
        <w:t>78</w:t>
      </w:r>
      <w:r>
        <w:rPr>
          <w:rFonts w:ascii="Segoe UI" w:eastAsiaTheme="minorHAnsi" w:hAnsi="Segoe UI" w:cs="Segoe UI"/>
          <w:sz w:val="18"/>
          <w:szCs w:val="18"/>
        </w:rPr>
        <w:t>, 2542-58.</w:t>
      </w:r>
    </w:p>
    <w:p w14:paraId="399E4CA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Witt G. (2013) Vegetation changes through the eyes of the locals: The 'artificial wilderness' in the mulga country of south-west Queensland. </w:t>
      </w:r>
      <w:r>
        <w:rPr>
          <w:rFonts w:ascii="Segoe UI" w:eastAsiaTheme="minorHAnsi" w:hAnsi="Segoe UI" w:cs="Segoe UI"/>
          <w:i/>
          <w:iCs/>
          <w:sz w:val="18"/>
          <w:szCs w:val="18"/>
        </w:rPr>
        <w:t>The Rangeland Journal</w:t>
      </w:r>
      <w:r>
        <w:rPr>
          <w:rFonts w:ascii="Segoe UI" w:eastAsiaTheme="minorHAnsi" w:hAnsi="Segoe UI" w:cs="Segoe UI"/>
          <w:sz w:val="18"/>
          <w:szCs w:val="18"/>
        </w:rPr>
        <w:t xml:space="preserve"> </w:t>
      </w:r>
      <w:r>
        <w:rPr>
          <w:rFonts w:ascii="Segoe UI" w:eastAsiaTheme="minorHAnsi" w:hAnsi="Segoe UI" w:cs="Segoe UI"/>
          <w:b/>
          <w:bCs/>
          <w:sz w:val="18"/>
          <w:szCs w:val="18"/>
        </w:rPr>
        <w:t>35</w:t>
      </w:r>
      <w:r>
        <w:rPr>
          <w:rFonts w:ascii="Segoe UI" w:eastAsiaTheme="minorHAnsi" w:hAnsi="Segoe UI" w:cs="Segoe UI"/>
          <w:sz w:val="18"/>
          <w:szCs w:val="18"/>
        </w:rPr>
        <w:t>.</w:t>
      </w:r>
    </w:p>
    <w:p w14:paraId="08EEB42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Witt G., Venter M., Bird M. &amp; Menzies N. (2011) Carbon sequestration and biodiversity restoration potential of semi-arid mulga lands of Australia interpreted from long-term grazing exclosures. </w:t>
      </w:r>
      <w:r>
        <w:rPr>
          <w:rFonts w:ascii="Segoe UI" w:eastAsiaTheme="minorHAnsi" w:hAnsi="Segoe UI" w:cs="Segoe UI"/>
          <w:i/>
          <w:iCs/>
          <w:sz w:val="18"/>
          <w:szCs w:val="18"/>
        </w:rPr>
        <w:t>Agriculture Ecosystems &amp; Environment - AGR ECOSYST ENVIRON</w:t>
      </w:r>
      <w:r>
        <w:rPr>
          <w:rFonts w:ascii="Segoe UI" w:eastAsiaTheme="minorHAnsi" w:hAnsi="Segoe UI" w:cs="Segoe UI"/>
          <w:sz w:val="18"/>
          <w:szCs w:val="18"/>
        </w:rPr>
        <w:t xml:space="preserve"> </w:t>
      </w:r>
      <w:r>
        <w:rPr>
          <w:rFonts w:ascii="Segoe UI" w:eastAsiaTheme="minorHAnsi" w:hAnsi="Segoe UI" w:cs="Segoe UI"/>
          <w:b/>
          <w:bCs/>
          <w:sz w:val="18"/>
          <w:szCs w:val="18"/>
        </w:rPr>
        <w:t>141</w:t>
      </w:r>
      <w:r>
        <w:rPr>
          <w:rFonts w:ascii="Segoe UI" w:eastAsiaTheme="minorHAnsi" w:hAnsi="Segoe UI" w:cs="Segoe UI"/>
          <w:sz w:val="18"/>
          <w:szCs w:val="18"/>
        </w:rPr>
        <w:t>, 108-18.</w:t>
      </w:r>
    </w:p>
    <w:p w14:paraId="4881F2B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Woinarski J. C. Z. &amp; Dawson F. (2002) Limitless lands and limited knowledge: coping with uncertainty and ignorance in northern Australia. In: </w:t>
      </w:r>
      <w:r>
        <w:rPr>
          <w:rFonts w:ascii="Segoe UI" w:eastAsiaTheme="minorHAnsi" w:hAnsi="Segoe UI" w:cs="Segoe UI"/>
          <w:i/>
          <w:iCs/>
          <w:sz w:val="18"/>
          <w:szCs w:val="18"/>
        </w:rPr>
        <w:t>Ecology, Uncertainty and Policy: Managing Ecosystems for Sustainability.</w:t>
      </w:r>
      <w:r>
        <w:rPr>
          <w:rFonts w:ascii="Segoe UI" w:eastAsiaTheme="minorHAnsi" w:hAnsi="Segoe UI" w:cs="Segoe UI"/>
          <w:sz w:val="18"/>
          <w:szCs w:val="18"/>
        </w:rPr>
        <w:t xml:space="preserve"> (eds J. W. Handmer, T. W. Norton and S. R. Dovers) pp. 83–115. Prentice-Hall, New York.</w:t>
      </w:r>
    </w:p>
    <w:p w14:paraId="3C493950"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Woldendorp G., Hill M., Doran R. &amp; Ball M. (2007) Frost in a future climate: Modelling interactive effects of warmer temperatures and rising atmospheric [CO2] on the incidence and severity of frost damage in a temperate evergreen (Eucalyptus pauciflora). </w:t>
      </w:r>
      <w:r>
        <w:rPr>
          <w:rFonts w:ascii="Segoe UI" w:eastAsiaTheme="minorHAnsi" w:hAnsi="Segoe UI" w:cs="Segoe UI"/>
          <w:i/>
          <w:iCs/>
          <w:sz w:val="18"/>
          <w:szCs w:val="18"/>
        </w:rPr>
        <w:t>Global Change Biology</w:t>
      </w:r>
      <w:r>
        <w:rPr>
          <w:rFonts w:ascii="Segoe UI" w:eastAsiaTheme="minorHAnsi" w:hAnsi="Segoe UI" w:cs="Segoe UI"/>
          <w:sz w:val="18"/>
          <w:szCs w:val="18"/>
        </w:rPr>
        <w:t xml:space="preserve"> </w:t>
      </w:r>
      <w:r>
        <w:rPr>
          <w:rFonts w:ascii="Segoe UI" w:eastAsiaTheme="minorHAnsi" w:hAnsi="Segoe UI" w:cs="Segoe UI"/>
          <w:b/>
          <w:bCs/>
          <w:sz w:val="18"/>
          <w:szCs w:val="18"/>
        </w:rPr>
        <w:t>14</w:t>
      </w:r>
      <w:r>
        <w:rPr>
          <w:rFonts w:ascii="Segoe UI" w:eastAsiaTheme="minorHAnsi" w:hAnsi="Segoe UI" w:cs="Segoe UI"/>
          <w:sz w:val="18"/>
          <w:szCs w:val="18"/>
        </w:rPr>
        <w:t>, 294-308.</w:t>
      </w:r>
    </w:p>
    <w:p w14:paraId="60287BF1"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Wood M. J., Scott R., Volker P. W. &amp; Mannes D. J. (2008) Windthrow in Tasmania, Australia: monitoring, prediction and management. </w:t>
      </w:r>
      <w:r>
        <w:rPr>
          <w:rFonts w:ascii="Segoe UI" w:eastAsiaTheme="minorHAnsi" w:hAnsi="Segoe UI" w:cs="Segoe UI"/>
          <w:i/>
          <w:iCs/>
          <w:sz w:val="18"/>
          <w:szCs w:val="18"/>
        </w:rPr>
        <w:t>Forestry</w:t>
      </w:r>
      <w:r>
        <w:rPr>
          <w:rFonts w:ascii="Segoe UI" w:eastAsiaTheme="minorHAnsi" w:hAnsi="Segoe UI" w:cs="Segoe UI"/>
          <w:sz w:val="18"/>
          <w:szCs w:val="18"/>
        </w:rPr>
        <w:t xml:space="preserve"> </w:t>
      </w:r>
      <w:r>
        <w:rPr>
          <w:rFonts w:ascii="Segoe UI" w:eastAsiaTheme="minorHAnsi" w:hAnsi="Segoe UI" w:cs="Segoe UI"/>
          <w:b/>
          <w:bCs/>
          <w:sz w:val="18"/>
          <w:szCs w:val="18"/>
        </w:rPr>
        <w:t>81</w:t>
      </w:r>
      <w:r>
        <w:rPr>
          <w:rFonts w:ascii="Segoe UI" w:eastAsiaTheme="minorHAnsi" w:hAnsi="Segoe UI" w:cs="Segoe UI"/>
          <w:sz w:val="18"/>
          <w:szCs w:val="18"/>
        </w:rPr>
        <w:t>, 415 - 27.</w:t>
      </w:r>
    </w:p>
    <w:p w14:paraId="0C27AA24"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Wright B. R. &amp; Fensham R. J. (2017) Fire after a mast year triggers mass recruitment of slender mulga (</w:t>
      </w:r>
      <w:r>
        <w:rPr>
          <w:rFonts w:ascii="Segoe UI" w:eastAsiaTheme="minorHAnsi" w:hAnsi="Segoe UI" w:cs="Segoe UI"/>
          <w:i/>
          <w:iCs/>
          <w:sz w:val="18"/>
          <w:szCs w:val="18"/>
        </w:rPr>
        <w:t>Acacia aptaneura</w:t>
      </w:r>
      <w:r>
        <w:rPr>
          <w:rFonts w:ascii="Segoe UI" w:eastAsiaTheme="minorHAnsi" w:hAnsi="Segoe UI" w:cs="Segoe UI"/>
          <w:sz w:val="18"/>
          <w:szCs w:val="18"/>
        </w:rPr>
        <w:t xml:space="preserve">), a desert shrub with heat-stimulated germination. </w:t>
      </w:r>
      <w:r>
        <w:rPr>
          <w:rFonts w:ascii="Segoe UI" w:eastAsiaTheme="minorHAnsi" w:hAnsi="Segoe UI" w:cs="Segoe UI"/>
          <w:i/>
          <w:iCs/>
          <w:sz w:val="18"/>
          <w:szCs w:val="18"/>
        </w:rPr>
        <w:t>American Journal of Botany</w:t>
      </w:r>
      <w:r>
        <w:rPr>
          <w:rFonts w:ascii="Segoe UI" w:eastAsiaTheme="minorHAnsi" w:hAnsi="Segoe UI" w:cs="Segoe UI"/>
          <w:sz w:val="18"/>
          <w:szCs w:val="18"/>
        </w:rPr>
        <w:t xml:space="preserve"> </w:t>
      </w:r>
      <w:r>
        <w:rPr>
          <w:rFonts w:ascii="Segoe UI" w:eastAsiaTheme="minorHAnsi" w:hAnsi="Segoe UI" w:cs="Segoe UI"/>
          <w:b/>
          <w:bCs/>
          <w:sz w:val="18"/>
          <w:szCs w:val="18"/>
        </w:rPr>
        <w:t>104</w:t>
      </w:r>
      <w:r>
        <w:rPr>
          <w:rFonts w:ascii="Segoe UI" w:eastAsiaTheme="minorHAnsi" w:hAnsi="Segoe UI" w:cs="Segoe UI"/>
          <w:sz w:val="18"/>
          <w:szCs w:val="18"/>
        </w:rPr>
        <w:t>, 1474-83.</w:t>
      </w:r>
    </w:p>
    <w:p w14:paraId="68B6D588"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Wright B. R., Latz P. K. &amp; Zuur A. F. (2016) Fire severity mediates seedling recruitment patterns in slender mulga (Acacia aptaneura), a fire-sensitive Australian desert shrub with heat-stimulated germination. </w:t>
      </w:r>
      <w:r>
        <w:rPr>
          <w:rFonts w:ascii="Segoe UI" w:eastAsiaTheme="minorHAnsi" w:hAnsi="Segoe UI" w:cs="Segoe UI"/>
          <w:i/>
          <w:iCs/>
          <w:sz w:val="18"/>
          <w:szCs w:val="18"/>
        </w:rPr>
        <w:t>Plant Ecology</w:t>
      </w:r>
      <w:r>
        <w:rPr>
          <w:rFonts w:ascii="Segoe UI" w:eastAsiaTheme="minorHAnsi" w:hAnsi="Segoe UI" w:cs="Segoe UI"/>
          <w:sz w:val="18"/>
          <w:szCs w:val="18"/>
        </w:rPr>
        <w:t xml:space="preserve"> </w:t>
      </w:r>
      <w:r>
        <w:rPr>
          <w:rFonts w:ascii="Segoe UI" w:eastAsiaTheme="minorHAnsi" w:hAnsi="Segoe UI" w:cs="Segoe UI"/>
          <w:b/>
          <w:bCs/>
          <w:sz w:val="18"/>
          <w:szCs w:val="18"/>
        </w:rPr>
        <w:t>217</w:t>
      </w:r>
      <w:r>
        <w:rPr>
          <w:rFonts w:ascii="Segoe UI" w:eastAsiaTheme="minorHAnsi" w:hAnsi="Segoe UI" w:cs="Segoe UI"/>
          <w:sz w:val="18"/>
          <w:szCs w:val="18"/>
        </w:rPr>
        <w:t>, 789-800.</w:t>
      </w:r>
    </w:p>
    <w:p w14:paraId="492AB3E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Wright B. R. &amp; Zuur A. F. (2014) Seedbank dynamics after masting in mulga (Acacia aptaneura): Implications for post-fire regeneration. </w:t>
      </w:r>
      <w:r>
        <w:rPr>
          <w:rFonts w:ascii="Segoe UI" w:eastAsiaTheme="minorHAnsi" w:hAnsi="Segoe UI" w:cs="Segoe UI"/>
          <w:i/>
          <w:iCs/>
          <w:sz w:val="18"/>
          <w:szCs w:val="18"/>
        </w:rPr>
        <w:t>Journal of Arid Environments</w:t>
      </w:r>
      <w:r>
        <w:rPr>
          <w:rFonts w:ascii="Segoe UI" w:eastAsiaTheme="minorHAnsi" w:hAnsi="Segoe UI" w:cs="Segoe UI"/>
          <w:sz w:val="18"/>
          <w:szCs w:val="18"/>
        </w:rPr>
        <w:t xml:space="preserve"> </w:t>
      </w:r>
      <w:r>
        <w:rPr>
          <w:rFonts w:ascii="Segoe UI" w:eastAsiaTheme="minorHAnsi" w:hAnsi="Segoe UI" w:cs="Segoe UI"/>
          <w:b/>
          <w:bCs/>
          <w:sz w:val="18"/>
          <w:szCs w:val="18"/>
        </w:rPr>
        <w:t>107</w:t>
      </w:r>
      <w:r>
        <w:rPr>
          <w:rFonts w:ascii="Segoe UI" w:eastAsiaTheme="minorHAnsi" w:hAnsi="Segoe UI" w:cs="Segoe UI"/>
          <w:sz w:val="18"/>
          <w:szCs w:val="18"/>
        </w:rPr>
        <w:t>, 10-7.</w:t>
      </w:r>
    </w:p>
    <w:p w14:paraId="064545B2"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lastRenderedPageBreak/>
        <w:t xml:space="preserve">Yates C. P., Russell-Smith J., Murphy B. P., Desailly M., Evans J., Legge S., Lewis F. &amp; Lynch D. (2015) Fuel accumulation, consumption and fire patchiness in the lower rainfall savanna region. In: </w:t>
      </w:r>
      <w:r>
        <w:rPr>
          <w:rFonts w:ascii="Segoe UI" w:eastAsiaTheme="minorHAnsi" w:hAnsi="Segoe UI" w:cs="Segoe UI"/>
          <w:i/>
          <w:iCs/>
          <w:sz w:val="18"/>
          <w:szCs w:val="18"/>
        </w:rPr>
        <w:t>Carbon accounting and savanna fire management</w:t>
      </w:r>
      <w:r>
        <w:rPr>
          <w:rFonts w:ascii="Segoe UI" w:eastAsiaTheme="minorHAnsi" w:hAnsi="Segoe UI" w:cs="Segoe UI"/>
          <w:sz w:val="18"/>
          <w:szCs w:val="18"/>
        </w:rPr>
        <w:t xml:space="preserve"> (eds B. Murphy, A. Edwards, M. Meyer and J. Russell-Smith) pp. 115–32. CSIRO, Melbourne.</w:t>
      </w:r>
    </w:p>
    <w:p w14:paraId="2A8F72CA"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Yazaki K. i., Maruyama Y., Mori S., Koike T. &amp; Funada R. (2005) Effects of elevated carbon dioxide concentration on wood structure and formation in trees.   pp. 89-97.</w:t>
      </w:r>
    </w:p>
    <w:p w14:paraId="5C3380E7"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Zaman M. A., Rahman A. &amp; Haddad K. (2012) Regional flood frequency analysis in arid regions: A case study for Australia. </w:t>
      </w:r>
      <w:r>
        <w:rPr>
          <w:rFonts w:ascii="Segoe UI" w:eastAsiaTheme="minorHAnsi" w:hAnsi="Segoe UI" w:cs="Segoe UI"/>
          <w:i/>
          <w:iCs/>
          <w:sz w:val="18"/>
          <w:szCs w:val="18"/>
        </w:rPr>
        <w:t>Journal of Hydrology</w:t>
      </w:r>
      <w:r>
        <w:rPr>
          <w:rFonts w:ascii="Segoe UI" w:eastAsiaTheme="minorHAnsi" w:hAnsi="Segoe UI" w:cs="Segoe UI"/>
          <w:sz w:val="18"/>
          <w:szCs w:val="18"/>
        </w:rPr>
        <w:t xml:space="preserve"> </w:t>
      </w:r>
      <w:r>
        <w:rPr>
          <w:rFonts w:ascii="Segoe UI" w:eastAsiaTheme="minorHAnsi" w:hAnsi="Segoe UI" w:cs="Segoe UI"/>
          <w:b/>
          <w:bCs/>
          <w:sz w:val="18"/>
          <w:szCs w:val="18"/>
        </w:rPr>
        <w:t>475</w:t>
      </w:r>
      <w:r>
        <w:rPr>
          <w:rFonts w:ascii="Segoe UI" w:eastAsiaTheme="minorHAnsi" w:hAnsi="Segoe UI" w:cs="Segoe UI"/>
          <w:sz w:val="18"/>
          <w:szCs w:val="18"/>
        </w:rPr>
        <w:t>, 74-83.</w:t>
      </w:r>
    </w:p>
    <w:p w14:paraId="3EE50FBC"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Zhou L., Kaufmann R. &amp; Tian Y. (2003) Relation between interannual variations in satellite measures of vegetation greenness and climate between 1982 and 1999. </w:t>
      </w:r>
      <w:r>
        <w:rPr>
          <w:rFonts w:ascii="Segoe UI" w:eastAsiaTheme="minorHAnsi" w:hAnsi="Segoe UI" w:cs="Segoe UI"/>
          <w:i/>
          <w:iCs/>
          <w:sz w:val="18"/>
          <w:szCs w:val="18"/>
        </w:rPr>
        <w:t>Journal of Geophysical Research</w:t>
      </w:r>
      <w:r>
        <w:rPr>
          <w:rFonts w:ascii="Segoe UI" w:eastAsiaTheme="minorHAnsi" w:hAnsi="Segoe UI" w:cs="Segoe UI"/>
          <w:sz w:val="18"/>
          <w:szCs w:val="18"/>
        </w:rPr>
        <w:t xml:space="preserve"> </w:t>
      </w:r>
      <w:r>
        <w:rPr>
          <w:rFonts w:ascii="Segoe UI" w:eastAsiaTheme="minorHAnsi" w:hAnsi="Segoe UI" w:cs="Segoe UI"/>
          <w:b/>
          <w:bCs/>
          <w:sz w:val="18"/>
          <w:szCs w:val="18"/>
        </w:rPr>
        <w:t>108</w:t>
      </w:r>
      <w:r>
        <w:rPr>
          <w:rFonts w:ascii="Segoe UI" w:eastAsiaTheme="minorHAnsi" w:hAnsi="Segoe UI" w:cs="Segoe UI"/>
          <w:sz w:val="18"/>
          <w:szCs w:val="18"/>
        </w:rPr>
        <w:t>.</w:t>
      </w:r>
    </w:p>
    <w:p w14:paraId="749975C3"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Zhou L., Tucker C., Kaufmann R., Slayback D., Shabanov N. &amp; Myneni R. (2001) Variation in northern vegetation activity inferred from satellite data of vegetation index during 1981 to 1999. </w:t>
      </w:r>
      <w:r>
        <w:rPr>
          <w:rFonts w:ascii="Segoe UI" w:eastAsiaTheme="minorHAnsi" w:hAnsi="Segoe UI" w:cs="Segoe UI"/>
          <w:i/>
          <w:iCs/>
          <w:sz w:val="18"/>
          <w:szCs w:val="18"/>
        </w:rPr>
        <w:t>Journal of Geophysical Research</w:t>
      </w:r>
      <w:r>
        <w:rPr>
          <w:rFonts w:ascii="Segoe UI" w:eastAsiaTheme="minorHAnsi" w:hAnsi="Segoe UI" w:cs="Segoe UI"/>
          <w:sz w:val="18"/>
          <w:szCs w:val="18"/>
        </w:rPr>
        <w:t xml:space="preserve"> </w:t>
      </w:r>
      <w:r>
        <w:rPr>
          <w:rFonts w:ascii="Segoe UI" w:eastAsiaTheme="minorHAnsi" w:hAnsi="Segoe UI" w:cs="Segoe UI"/>
          <w:b/>
          <w:bCs/>
          <w:sz w:val="18"/>
          <w:szCs w:val="18"/>
        </w:rPr>
        <w:t>106</w:t>
      </w:r>
      <w:r>
        <w:rPr>
          <w:rFonts w:ascii="Segoe UI" w:eastAsiaTheme="minorHAnsi" w:hAnsi="Segoe UI" w:cs="Segoe UI"/>
          <w:sz w:val="18"/>
          <w:szCs w:val="18"/>
        </w:rPr>
        <w:t>, 20069-84.</w:t>
      </w:r>
    </w:p>
    <w:p w14:paraId="3E47AB35"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Zhu Z., Piao S., Myneni R., Huang M., Zeng Z., Canadell J., Ciais P., Sitch S., Friedlingstein P., Arneth A., Cao C., Cheng L., Kato E., Koven C., Li Y., Lian X., Liu Y., Liu R., Mao J. &amp; Zeng N. (2016) Greening of the Earth and its drivers. </w:t>
      </w:r>
      <w:r>
        <w:rPr>
          <w:rFonts w:ascii="Segoe UI" w:eastAsiaTheme="minorHAnsi" w:hAnsi="Segoe UI" w:cs="Segoe UI"/>
          <w:i/>
          <w:iCs/>
          <w:sz w:val="18"/>
          <w:szCs w:val="18"/>
        </w:rPr>
        <w:t>Nature Climate Change</w:t>
      </w:r>
      <w:r>
        <w:rPr>
          <w:rFonts w:ascii="Segoe UI" w:eastAsiaTheme="minorHAnsi" w:hAnsi="Segoe UI" w:cs="Segoe UI"/>
          <w:sz w:val="18"/>
          <w:szCs w:val="18"/>
        </w:rPr>
        <w:t xml:space="preserve"> </w:t>
      </w:r>
      <w:r>
        <w:rPr>
          <w:rFonts w:ascii="Segoe UI" w:eastAsiaTheme="minorHAnsi" w:hAnsi="Segoe UI" w:cs="Segoe UI"/>
          <w:b/>
          <w:bCs/>
          <w:sz w:val="18"/>
          <w:szCs w:val="18"/>
        </w:rPr>
        <w:t>6</w:t>
      </w:r>
      <w:r>
        <w:rPr>
          <w:rFonts w:ascii="Segoe UI" w:eastAsiaTheme="minorHAnsi" w:hAnsi="Segoe UI" w:cs="Segoe UI"/>
          <w:sz w:val="18"/>
          <w:szCs w:val="18"/>
        </w:rPr>
        <w:t>.</w:t>
      </w:r>
    </w:p>
    <w:p w14:paraId="5E7FE359" w14:textId="77777777" w:rsidR="005C3D24" w:rsidRDefault="005C3D24" w:rsidP="005C3D24">
      <w:pPr>
        <w:autoSpaceDE w:val="0"/>
        <w:autoSpaceDN w:val="0"/>
        <w:adjustRightInd w:val="0"/>
        <w:spacing w:afterLines="40" w:after="96"/>
        <w:ind w:left="567" w:hanging="567"/>
        <w:rPr>
          <w:rFonts w:ascii="Segoe UI" w:eastAsiaTheme="minorHAnsi" w:hAnsi="Segoe UI" w:cs="Segoe UI"/>
          <w:sz w:val="18"/>
          <w:szCs w:val="18"/>
        </w:rPr>
      </w:pPr>
      <w:r>
        <w:rPr>
          <w:rFonts w:ascii="Segoe UI" w:eastAsiaTheme="minorHAnsi" w:hAnsi="Segoe UI" w:cs="Segoe UI"/>
          <w:sz w:val="18"/>
          <w:szCs w:val="18"/>
        </w:rPr>
        <w:t xml:space="preserve">Zohar Y., Waisel Y. &amp; Karschon R. (2006) Heat and cold resistance of Eucalyptus occidentalis Endl. leaves and its relationship to soil water conditions*. </w:t>
      </w:r>
      <w:r>
        <w:rPr>
          <w:rFonts w:ascii="Segoe UI" w:eastAsiaTheme="minorHAnsi" w:hAnsi="Segoe UI" w:cs="Segoe UI"/>
          <w:i/>
          <w:iCs/>
          <w:sz w:val="18"/>
          <w:szCs w:val="18"/>
        </w:rPr>
        <w:t>Australian Journal of Ecology</w:t>
      </w:r>
      <w:r>
        <w:rPr>
          <w:rFonts w:ascii="Segoe UI" w:eastAsiaTheme="minorHAnsi" w:hAnsi="Segoe UI" w:cs="Segoe UI"/>
          <w:sz w:val="18"/>
          <w:szCs w:val="18"/>
        </w:rPr>
        <w:t xml:space="preserve"> </w:t>
      </w:r>
      <w:r>
        <w:rPr>
          <w:rFonts w:ascii="Segoe UI" w:eastAsiaTheme="minorHAnsi" w:hAnsi="Segoe UI" w:cs="Segoe UI"/>
          <w:b/>
          <w:bCs/>
          <w:sz w:val="18"/>
          <w:szCs w:val="18"/>
        </w:rPr>
        <w:t>6</w:t>
      </w:r>
      <w:r>
        <w:rPr>
          <w:rFonts w:ascii="Segoe UI" w:eastAsiaTheme="minorHAnsi" w:hAnsi="Segoe UI" w:cs="Segoe UI"/>
          <w:sz w:val="18"/>
          <w:szCs w:val="18"/>
        </w:rPr>
        <w:t>, 79-84.</w:t>
      </w:r>
    </w:p>
    <w:p w14:paraId="51AE7002" w14:textId="1072484F" w:rsidR="00C80C0F" w:rsidRDefault="00C80C0F" w:rsidP="00C80C0F">
      <w:pPr>
        <w:autoSpaceDE w:val="0"/>
        <w:autoSpaceDN w:val="0"/>
        <w:adjustRightInd w:val="0"/>
        <w:spacing w:afterLines="60" w:after="144"/>
        <w:ind w:left="567" w:hanging="567"/>
        <w:rPr>
          <w:rFonts w:ascii="Segoe UI" w:eastAsiaTheme="minorHAnsi" w:hAnsi="Segoe UI" w:cs="Segoe UI"/>
          <w:sz w:val="18"/>
          <w:szCs w:val="18"/>
        </w:rPr>
      </w:pPr>
    </w:p>
    <w:p w14:paraId="4CCE6977" w14:textId="77777777" w:rsidR="00997B26" w:rsidRDefault="00997B26" w:rsidP="00997B26">
      <w:pPr>
        <w:autoSpaceDE w:val="0"/>
        <w:autoSpaceDN w:val="0"/>
        <w:adjustRightInd w:val="0"/>
        <w:spacing w:afterLines="20" w:after="48"/>
        <w:ind w:left="426" w:hanging="426"/>
        <w:rPr>
          <w:rFonts w:ascii="Segoe UI" w:eastAsiaTheme="minorHAnsi" w:hAnsi="Segoe UI" w:cs="Segoe UI"/>
          <w:sz w:val="18"/>
          <w:szCs w:val="18"/>
        </w:rPr>
      </w:pPr>
    </w:p>
    <w:p w14:paraId="188FCC78" w14:textId="673D604D" w:rsidR="00331D43" w:rsidRDefault="00331D43" w:rsidP="00331D43">
      <w:pPr>
        <w:autoSpaceDE w:val="0"/>
        <w:autoSpaceDN w:val="0"/>
        <w:adjustRightInd w:val="0"/>
        <w:spacing w:afterLines="20" w:after="48"/>
        <w:ind w:left="426" w:hanging="426"/>
        <w:rPr>
          <w:rFonts w:ascii="Segoe UI" w:eastAsiaTheme="minorHAnsi" w:hAnsi="Segoe UI" w:cs="Segoe UI"/>
          <w:sz w:val="18"/>
          <w:szCs w:val="18"/>
        </w:rPr>
      </w:pPr>
    </w:p>
    <w:p w14:paraId="022FB6F2" w14:textId="054B7143" w:rsidR="00FE6435" w:rsidRDefault="00FE6435" w:rsidP="00AB6D8A">
      <w:pPr>
        <w:pStyle w:val="Heading1"/>
        <w:numPr>
          <w:ilvl w:val="0"/>
          <w:numId w:val="0"/>
        </w:numPr>
        <w:spacing w:after="240"/>
      </w:pPr>
      <w:bookmarkStart w:id="252" w:name="_Ref33448594"/>
      <w:bookmarkStart w:id="253" w:name="_Toc52873106"/>
      <w:bookmarkStart w:id="254" w:name="_Toc53075137"/>
      <w:r>
        <w:lastRenderedPageBreak/>
        <w:t>Appendices</w:t>
      </w:r>
      <w:bookmarkEnd w:id="252"/>
      <w:bookmarkEnd w:id="253"/>
      <w:bookmarkEnd w:id="254"/>
    </w:p>
    <w:p w14:paraId="6D1438E1" w14:textId="28C3DC48" w:rsidR="002F5D5F" w:rsidRDefault="002F5D5F" w:rsidP="009250B8">
      <w:pPr>
        <w:pStyle w:val="Heading2"/>
        <w:numPr>
          <w:ilvl w:val="0"/>
          <w:numId w:val="22"/>
        </w:numPr>
        <w:spacing w:before="0"/>
        <w:ind w:left="426" w:hanging="426"/>
      </w:pPr>
      <w:bookmarkStart w:id="255" w:name="_Toc52873107"/>
      <w:bookmarkStart w:id="256" w:name="_Toc53075138"/>
      <w:r>
        <w:t xml:space="preserve">Inter-model </w:t>
      </w:r>
      <w:r w:rsidR="00345ACB">
        <w:t xml:space="preserve">and spatial </w:t>
      </w:r>
      <w:r>
        <w:t xml:space="preserve">variability in </w:t>
      </w:r>
      <w:r w:rsidR="00345ACB">
        <w:t xml:space="preserve">Global Circulation Model </w:t>
      </w:r>
      <w:r>
        <w:t>predictions</w:t>
      </w:r>
      <w:bookmarkEnd w:id="255"/>
      <w:bookmarkEnd w:id="256"/>
    </w:p>
    <w:p w14:paraId="0AF27BCB" w14:textId="3B9B3287" w:rsidR="004F604E" w:rsidRDefault="004F604E" w:rsidP="004F604E">
      <w:pPr>
        <w:pStyle w:val="Caption"/>
        <w:rPr>
          <w:b w:val="0"/>
          <w:bCs w:val="0"/>
        </w:rPr>
      </w:pPr>
      <w:r>
        <w:t>Figure A.</w:t>
      </w:r>
      <w:r>
        <w:fldChar w:fldCharType="begin"/>
      </w:r>
      <w:r>
        <w:instrText>SEQ Main_Figure \* ARABIC \s 1</w:instrText>
      </w:r>
      <w:r>
        <w:fldChar w:fldCharType="separate"/>
      </w:r>
      <w:r w:rsidR="00235F13">
        <w:rPr>
          <w:noProof/>
        </w:rPr>
        <w:t>1</w:t>
      </w:r>
      <w:r>
        <w:fldChar w:fldCharType="end"/>
      </w:r>
      <w:r>
        <w:t xml:space="preserve">. </w:t>
      </w:r>
      <w:r w:rsidRPr="004F604E">
        <w:rPr>
          <w:b w:val="0"/>
          <w:bCs w:val="0"/>
        </w:rPr>
        <w:t xml:space="preserve">Example global circulation model outputs for eight representative models, showing the predicted change (relative to 1986-2005) in </w:t>
      </w:r>
      <w:r w:rsidR="004D1D49">
        <w:rPr>
          <w:b w:val="0"/>
          <w:bCs w:val="0"/>
        </w:rPr>
        <w:t xml:space="preserve">(a) </w:t>
      </w:r>
      <w:r w:rsidRPr="004F604E">
        <w:rPr>
          <w:b w:val="0"/>
          <w:bCs w:val="0"/>
        </w:rPr>
        <w:t xml:space="preserve">annual average surface temperature, </w:t>
      </w:r>
      <w:r w:rsidR="004D1D49">
        <w:rPr>
          <w:b w:val="0"/>
          <w:bCs w:val="0"/>
        </w:rPr>
        <w:t xml:space="preserve">(b) </w:t>
      </w:r>
      <w:r w:rsidRPr="004F604E">
        <w:rPr>
          <w:b w:val="0"/>
          <w:bCs w:val="0"/>
        </w:rPr>
        <w:t xml:space="preserve">rainfall and </w:t>
      </w:r>
      <w:r w:rsidR="004D1D49">
        <w:rPr>
          <w:b w:val="0"/>
          <w:bCs w:val="0"/>
        </w:rPr>
        <w:t xml:space="preserve">(c) </w:t>
      </w:r>
      <w:r w:rsidRPr="004F604E">
        <w:rPr>
          <w:b w:val="0"/>
          <w:bCs w:val="0"/>
        </w:rPr>
        <w:t>evapotranspiration for the year (2050). The eight models provide a representative coverage of the annual and seasonal range in projections across all Australia. The highlighted region is the ‘Rangelands’ NRM super-cluster (https://www.climatechangeinaustralia.gov.au/en/climate-projections/future-climate/regional-climate-change-explorer/super-clusters/?current=RA&amp;popup=true&amp;tooltip=true)</w:t>
      </w:r>
      <w:r>
        <w:rPr>
          <w:b w:val="0"/>
          <w:bCs w:val="0"/>
        </w:rPr>
        <w:t>.</w:t>
      </w:r>
    </w:p>
    <w:p w14:paraId="546BD7C9" w14:textId="374CCE86" w:rsidR="002F5D5F" w:rsidRDefault="004D1D49" w:rsidP="002F5D5F">
      <w:pPr>
        <w:pStyle w:val="BodyText"/>
      </w:pPr>
      <w:r>
        <w:t xml:space="preserve">(a) </w:t>
      </w:r>
      <w:r w:rsidR="002F5D5F">
        <w:t>Mean annual surface temperature change (degrees) (2050)</w:t>
      </w:r>
    </w:p>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4"/>
        <w:gridCol w:w="2184"/>
        <w:gridCol w:w="2184"/>
        <w:gridCol w:w="2184"/>
        <w:gridCol w:w="1754"/>
      </w:tblGrid>
      <w:tr w:rsidR="002F5D5F" w14:paraId="5A98F42E" w14:textId="77777777" w:rsidTr="1F802AF8">
        <w:tc>
          <w:tcPr>
            <w:tcW w:w="2184" w:type="dxa"/>
            <w:tcMar>
              <w:left w:w="0" w:type="dxa"/>
              <w:right w:w="0" w:type="dxa"/>
            </w:tcMar>
          </w:tcPr>
          <w:p w14:paraId="484219B4" w14:textId="77777777" w:rsidR="002F5D5F" w:rsidRDefault="002F5D5F" w:rsidP="0004089D">
            <w:pPr>
              <w:pStyle w:val="BodyText"/>
            </w:pPr>
            <w:r>
              <w:t>CanESM2</w:t>
            </w:r>
          </w:p>
          <w:p w14:paraId="2AE0E682" w14:textId="77777777" w:rsidR="002F5D5F" w:rsidRDefault="002F5D5F" w:rsidP="0004089D">
            <w:pPr>
              <w:pStyle w:val="BodyText"/>
            </w:pPr>
            <w:r>
              <w:rPr>
                <w:noProof/>
              </w:rPr>
              <w:drawing>
                <wp:inline distT="0" distB="0" distL="0" distR="0" wp14:anchorId="0E1018C0" wp14:editId="0B1DCE8F">
                  <wp:extent cx="1350000" cy="936000"/>
                  <wp:effectExtent l="0" t="0" r="3175" b="0"/>
                  <wp:docPr id="539269033" name="Picture 136324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05"/>
                          <pic:cNvPicPr/>
                        </pic:nvPicPr>
                        <pic:blipFill>
                          <a:blip r:embed="rId102">
                            <a:extLst>
                              <a:ext uri="{28A0092B-C50C-407E-A947-70E740481C1C}">
                                <a14:useLocalDpi xmlns:a14="http://schemas.microsoft.com/office/drawing/2010/main" val="0"/>
                              </a:ext>
                            </a:extLst>
                          </a:blip>
                          <a:stretch>
                            <a:fillRect/>
                          </a:stretch>
                        </pic:blipFill>
                        <pic:spPr>
                          <a:xfrm>
                            <a:off x="0" y="0"/>
                            <a:ext cx="1350000" cy="936000"/>
                          </a:xfrm>
                          <a:prstGeom prst="rect">
                            <a:avLst/>
                          </a:prstGeom>
                        </pic:spPr>
                      </pic:pic>
                    </a:graphicData>
                  </a:graphic>
                </wp:inline>
              </w:drawing>
            </w:r>
          </w:p>
        </w:tc>
        <w:tc>
          <w:tcPr>
            <w:tcW w:w="2184" w:type="dxa"/>
            <w:tcMar>
              <w:left w:w="0" w:type="dxa"/>
              <w:right w:w="0" w:type="dxa"/>
            </w:tcMar>
          </w:tcPr>
          <w:p w14:paraId="10F7D415" w14:textId="77777777" w:rsidR="002F5D5F" w:rsidRDefault="002F5D5F" w:rsidP="0004089D">
            <w:pPr>
              <w:pStyle w:val="BodyText"/>
            </w:pPr>
            <w:r>
              <w:t xml:space="preserve">CNRM-CM5   </w:t>
            </w:r>
          </w:p>
          <w:p w14:paraId="0E8FEEB7" w14:textId="77777777" w:rsidR="002F5D5F" w:rsidRDefault="002F5D5F" w:rsidP="0004089D">
            <w:pPr>
              <w:pStyle w:val="BodyText"/>
            </w:pPr>
            <w:r>
              <w:rPr>
                <w:noProof/>
              </w:rPr>
              <w:drawing>
                <wp:inline distT="0" distB="0" distL="0" distR="0" wp14:anchorId="7529B33B" wp14:editId="118A03A4">
                  <wp:extent cx="1350000" cy="936000"/>
                  <wp:effectExtent l="0" t="0" r="3175" b="0"/>
                  <wp:docPr id="1363245507" name="Picture 136324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2547"/>
                          <a:stretch/>
                        </pic:blipFill>
                        <pic:spPr bwMode="auto">
                          <a:xfrm>
                            <a:off x="0" y="0"/>
                            <a:ext cx="1350000" cy="936000"/>
                          </a:xfrm>
                          <a:prstGeom prst="rect">
                            <a:avLst/>
                          </a:prstGeom>
                          <a:ln>
                            <a:noFill/>
                          </a:ln>
                          <a:extLst>
                            <a:ext uri="{53640926-AAD7-44D8-BBD7-CCE9431645EC}">
                              <a14:shadowObscured xmlns:a14="http://schemas.microsoft.com/office/drawing/2010/main"/>
                            </a:ext>
                          </a:extLst>
                        </pic:spPr>
                      </pic:pic>
                    </a:graphicData>
                  </a:graphic>
                </wp:inline>
              </w:drawing>
            </w:r>
          </w:p>
        </w:tc>
        <w:tc>
          <w:tcPr>
            <w:tcW w:w="2184" w:type="dxa"/>
            <w:tcMar>
              <w:left w:w="0" w:type="dxa"/>
              <w:right w:w="0" w:type="dxa"/>
            </w:tcMar>
          </w:tcPr>
          <w:p w14:paraId="42C5A817" w14:textId="77777777" w:rsidR="002F5D5F" w:rsidRDefault="002F5D5F" w:rsidP="0004089D">
            <w:pPr>
              <w:pStyle w:val="BodyText"/>
            </w:pPr>
            <w:r>
              <w:t xml:space="preserve">ACCESS1-0      </w:t>
            </w:r>
          </w:p>
          <w:p w14:paraId="33CE4A61" w14:textId="77777777" w:rsidR="002F5D5F" w:rsidRDefault="002F5D5F" w:rsidP="0004089D">
            <w:pPr>
              <w:pStyle w:val="BodyText"/>
            </w:pPr>
            <w:r>
              <w:rPr>
                <w:noProof/>
              </w:rPr>
              <w:drawing>
                <wp:inline distT="0" distB="0" distL="0" distR="0" wp14:anchorId="033F0C6A" wp14:editId="76BA6D30">
                  <wp:extent cx="1350000" cy="936000"/>
                  <wp:effectExtent l="0" t="0" r="3175" b="0"/>
                  <wp:docPr id="1210201994" name="Picture 136324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06"/>
                          <pic:cNvPicPr/>
                        </pic:nvPicPr>
                        <pic:blipFill>
                          <a:blip r:embed="rId104">
                            <a:extLst>
                              <a:ext uri="{28A0092B-C50C-407E-A947-70E740481C1C}">
                                <a14:useLocalDpi xmlns:a14="http://schemas.microsoft.com/office/drawing/2010/main" val="0"/>
                              </a:ext>
                            </a:extLst>
                          </a:blip>
                          <a:stretch>
                            <a:fillRect/>
                          </a:stretch>
                        </pic:blipFill>
                        <pic:spPr>
                          <a:xfrm>
                            <a:off x="0" y="0"/>
                            <a:ext cx="1350000" cy="936000"/>
                          </a:xfrm>
                          <a:prstGeom prst="rect">
                            <a:avLst/>
                          </a:prstGeom>
                        </pic:spPr>
                      </pic:pic>
                    </a:graphicData>
                  </a:graphic>
                </wp:inline>
              </w:drawing>
            </w:r>
          </w:p>
        </w:tc>
        <w:tc>
          <w:tcPr>
            <w:tcW w:w="2184" w:type="dxa"/>
            <w:tcMar>
              <w:left w:w="0" w:type="dxa"/>
              <w:right w:w="0" w:type="dxa"/>
            </w:tcMar>
          </w:tcPr>
          <w:p w14:paraId="0C0844C8" w14:textId="77777777" w:rsidR="002F5D5F" w:rsidRDefault="002F5D5F" w:rsidP="0004089D">
            <w:pPr>
              <w:pStyle w:val="BodyText"/>
            </w:pPr>
            <w:r>
              <w:t>MIROC5</w:t>
            </w:r>
          </w:p>
          <w:p w14:paraId="34436275" w14:textId="77777777" w:rsidR="002F5D5F" w:rsidRDefault="002F5D5F" w:rsidP="0004089D">
            <w:pPr>
              <w:pStyle w:val="BodyText"/>
            </w:pPr>
            <w:r>
              <w:rPr>
                <w:noProof/>
              </w:rPr>
              <w:drawing>
                <wp:inline distT="0" distB="0" distL="0" distR="0" wp14:anchorId="3C09E503" wp14:editId="68FBB6A2">
                  <wp:extent cx="1350000" cy="936000"/>
                  <wp:effectExtent l="0" t="0" r="3175" b="0"/>
                  <wp:docPr id="445640084" name="Picture 136324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08"/>
                          <pic:cNvPicPr/>
                        </pic:nvPicPr>
                        <pic:blipFill>
                          <a:blip r:embed="rId105">
                            <a:extLst>
                              <a:ext uri="{28A0092B-C50C-407E-A947-70E740481C1C}">
                                <a14:useLocalDpi xmlns:a14="http://schemas.microsoft.com/office/drawing/2010/main" val="0"/>
                              </a:ext>
                            </a:extLst>
                          </a:blip>
                          <a:stretch>
                            <a:fillRect/>
                          </a:stretch>
                        </pic:blipFill>
                        <pic:spPr>
                          <a:xfrm>
                            <a:off x="0" y="0"/>
                            <a:ext cx="1350000" cy="936000"/>
                          </a:xfrm>
                          <a:prstGeom prst="rect">
                            <a:avLst/>
                          </a:prstGeom>
                        </pic:spPr>
                      </pic:pic>
                    </a:graphicData>
                  </a:graphic>
                </wp:inline>
              </w:drawing>
            </w:r>
          </w:p>
        </w:tc>
        <w:tc>
          <w:tcPr>
            <w:tcW w:w="1754" w:type="dxa"/>
            <w:vMerge w:val="restart"/>
            <w:vAlign w:val="center"/>
          </w:tcPr>
          <w:p w14:paraId="1824E604" w14:textId="77777777" w:rsidR="002F5D5F" w:rsidRDefault="002F5D5F" w:rsidP="0004089D">
            <w:pPr>
              <w:pStyle w:val="BodyText"/>
            </w:pPr>
            <w:r>
              <w:rPr>
                <w:szCs w:val="22"/>
              </w:rPr>
              <w:object w:dxaOrig="2040" w:dyaOrig="5880" w14:anchorId="64FB34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194.7pt" o:ole="">
                  <v:imagedata r:id="rId106" o:title=""/>
                </v:shape>
                <o:OLEObject Type="Embed" ProgID="PBrush" ShapeID="_x0000_i1025" DrawAspect="Content" ObjectID="_1663747103" r:id="rId107"/>
              </w:object>
            </w:r>
          </w:p>
        </w:tc>
      </w:tr>
      <w:tr w:rsidR="002F5D5F" w14:paraId="212905F5" w14:textId="77777777" w:rsidTr="1F802AF8">
        <w:tc>
          <w:tcPr>
            <w:tcW w:w="2184" w:type="dxa"/>
            <w:tcMar>
              <w:left w:w="0" w:type="dxa"/>
              <w:right w:w="0" w:type="dxa"/>
            </w:tcMar>
          </w:tcPr>
          <w:p w14:paraId="38DC628D" w14:textId="77777777" w:rsidR="002F5D5F" w:rsidRDefault="002F5D5F" w:rsidP="0004089D">
            <w:pPr>
              <w:pStyle w:val="BodyText"/>
            </w:pPr>
            <w:r>
              <w:t>HadGEM2CC</w:t>
            </w:r>
          </w:p>
          <w:p w14:paraId="79BD8CE4" w14:textId="77777777" w:rsidR="002F5D5F" w:rsidRDefault="002F5D5F" w:rsidP="0004089D">
            <w:pPr>
              <w:pStyle w:val="BodyText"/>
            </w:pPr>
            <w:r>
              <w:rPr>
                <w:noProof/>
              </w:rPr>
              <w:drawing>
                <wp:inline distT="0" distB="0" distL="0" distR="0" wp14:anchorId="322C0747" wp14:editId="1B9A49C8">
                  <wp:extent cx="1350000" cy="936000"/>
                  <wp:effectExtent l="0" t="0" r="3175" b="0"/>
                  <wp:docPr id="662369687" name="Picture 136324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12"/>
                          <pic:cNvPicPr/>
                        </pic:nvPicPr>
                        <pic:blipFill>
                          <a:blip r:embed="rId108">
                            <a:extLst>
                              <a:ext uri="{28A0092B-C50C-407E-A947-70E740481C1C}">
                                <a14:useLocalDpi xmlns:a14="http://schemas.microsoft.com/office/drawing/2010/main" val="0"/>
                              </a:ext>
                            </a:extLst>
                          </a:blip>
                          <a:stretch>
                            <a:fillRect/>
                          </a:stretch>
                        </pic:blipFill>
                        <pic:spPr>
                          <a:xfrm>
                            <a:off x="0" y="0"/>
                            <a:ext cx="1350000" cy="936000"/>
                          </a:xfrm>
                          <a:prstGeom prst="rect">
                            <a:avLst/>
                          </a:prstGeom>
                        </pic:spPr>
                      </pic:pic>
                    </a:graphicData>
                  </a:graphic>
                </wp:inline>
              </w:drawing>
            </w:r>
          </w:p>
        </w:tc>
        <w:tc>
          <w:tcPr>
            <w:tcW w:w="2184" w:type="dxa"/>
            <w:tcMar>
              <w:left w:w="0" w:type="dxa"/>
              <w:right w:w="0" w:type="dxa"/>
            </w:tcMar>
          </w:tcPr>
          <w:p w14:paraId="77D30694" w14:textId="77777777" w:rsidR="002F5D5F" w:rsidRDefault="002F5D5F" w:rsidP="0004089D">
            <w:pPr>
              <w:pStyle w:val="BodyText"/>
            </w:pPr>
            <w:r>
              <w:t xml:space="preserve">NorESM1-M   </w:t>
            </w:r>
          </w:p>
          <w:p w14:paraId="75B0506D" w14:textId="77777777" w:rsidR="002F5D5F" w:rsidRDefault="002F5D5F" w:rsidP="0004089D">
            <w:pPr>
              <w:pStyle w:val="BodyText"/>
            </w:pPr>
            <w:r>
              <w:rPr>
                <w:noProof/>
              </w:rPr>
              <w:drawing>
                <wp:inline distT="0" distB="0" distL="0" distR="0" wp14:anchorId="0A37EBB9" wp14:editId="090D4AD6">
                  <wp:extent cx="1350000" cy="936000"/>
                  <wp:effectExtent l="0" t="0" r="3175" b="0"/>
                  <wp:docPr id="22111152" name="Picture 136324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09"/>
                          <pic:cNvPicPr/>
                        </pic:nvPicPr>
                        <pic:blipFill>
                          <a:blip r:embed="rId109">
                            <a:extLst>
                              <a:ext uri="{28A0092B-C50C-407E-A947-70E740481C1C}">
                                <a14:useLocalDpi xmlns:a14="http://schemas.microsoft.com/office/drawing/2010/main" val="0"/>
                              </a:ext>
                            </a:extLst>
                          </a:blip>
                          <a:stretch>
                            <a:fillRect/>
                          </a:stretch>
                        </pic:blipFill>
                        <pic:spPr>
                          <a:xfrm>
                            <a:off x="0" y="0"/>
                            <a:ext cx="1350000" cy="936000"/>
                          </a:xfrm>
                          <a:prstGeom prst="rect">
                            <a:avLst/>
                          </a:prstGeom>
                        </pic:spPr>
                      </pic:pic>
                    </a:graphicData>
                  </a:graphic>
                </wp:inline>
              </w:drawing>
            </w:r>
          </w:p>
        </w:tc>
        <w:tc>
          <w:tcPr>
            <w:tcW w:w="2184" w:type="dxa"/>
            <w:tcMar>
              <w:left w:w="0" w:type="dxa"/>
              <w:right w:w="0" w:type="dxa"/>
            </w:tcMar>
          </w:tcPr>
          <w:p w14:paraId="080A5EC3" w14:textId="77777777" w:rsidR="002F5D5F" w:rsidRDefault="002F5D5F" w:rsidP="0004089D">
            <w:pPr>
              <w:pStyle w:val="BodyText"/>
            </w:pPr>
            <w:r>
              <w:t xml:space="preserve">GFDL-ESM2M     </w:t>
            </w:r>
          </w:p>
          <w:p w14:paraId="10E20761" w14:textId="77777777" w:rsidR="002F5D5F" w:rsidRDefault="002F5D5F" w:rsidP="0004089D">
            <w:pPr>
              <w:pStyle w:val="BodyText"/>
            </w:pPr>
            <w:r>
              <w:rPr>
                <w:noProof/>
              </w:rPr>
              <w:drawing>
                <wp:inline distT="0" distB="0" distL="0" distR="0" wp14:anchorId="1B81530B" wp14:editId="5DFCAAAA">
                  <wp:extent cx="1350000" cy="936000"/>
                  <wp:effectExtent l="0" t="0" r="3175" b="0"/>
                  <wp:docPr id="261319816" name="Picture 136324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10"/>
                          <pic:cNvPicPr/>
                        </pic:nvPicPr>
                        <pic:blipFill>
                          <a:blip r:embed="rId110">
                            <a:extLst>
                              <a:ext uri="{28A0092B-C50C-407E-A947-70E740481C1C}">
                                <a14:useLocalDpi xmlns:a14="http://schemas.microsoft.com/office/drawing/2010/main" val="0"/>
                              </a:ext>
                            </a:extLst>
                          </a:blip>
                          <a:stretch>
                            <a:fillRect/>
                          </a:stretch>
                        </pic:blipFill>
                        <pic:spPr>
                          <a:xfrm>
                            <a:off x="0" y="0"/>
                            <a:ext cx="1350000" cy="936000"/>
                          </a:xfrm>
                          <a:prstGeom prst="rect">
                            <a:avLst/>
                          </a:prstGeom>
                        </pic:spPr>
                      </pic:pic>
                    </a:graphicData>
                  </a:graphic>
                </wp:inline>
              </w:drawing>
            </w:r>
          </w:p>
        </w:tc>
        <w:tc>
          <w:tcPr>
            <w:tcW w:w="2184" w:type="dxa"/>
            <w:tcMar>
              <w:left w:w="0" w:type="dxa"/>
              <w:right w:w="0" w:type="dxa"/>
            </w:tcMar>
          </w:tcPr>
          <w:p w14:paraId="4A41D1FB" w14:textId="77777777" w:rsidR="002F5D5F" w:rsidRDefault="002F5D5F" w:rsidP="0004089D">
            <w:pPr>
              <w:pStyle w:val="BodyText"/>
            </w:pPr>
            <w:r>
              <w:t>CESM1-CAM5</w:t>
            </w:r>
          </w:p>
          <w:p w14:paraId="5A21576F" w14:textId="77777777" w:rsidR="002F5D5F" w:rsidRDefault="002F5D5F" w:rsidP="0004089D">
            <w:pPr>
              <w:pStyle w:val="BodyText"/>
            </w:pPr>
            <w:r>
              <w:rPr>
                <w:noProof/>
              </w:rPr>
              <w:drawing>
                <wp:inline distT="0" distB="0" distL="0" distR="0" wp14:anchorId="120BA03C" wp14:editId="412C1B11">
                  <wp:extent cx="1350000" cy="936000"/>
                  <wp:effectExtent l="0" t="0" r="3175" b="0"/>
                  <wp:docPr id="329265592" name="Picture 136324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11"/>
                          <pic:cNvPicPr/>
                        </pic:nvPicPr>
                        <pic:blipFill>
                          <a:blip r:embed="rId111">
                            <a:extLst>
                              <a:ext uri="{28A0092B-C50C-407E-A947-70E740481C1C}">
                                <a14:useLocalDpi xmlns:a14="http://schemas.microsoft.com/office/drawing/2010/main" val="0"/>
                              </a:ext>
                            </a:extLst>
                          </a:blip>
                          <a:stretch>
                            <a:fillRect/>
                          </a:stretch>
                        </pic:blipFill>
                        <pic:spPr>
                          <a:xfrm>
                            <a:off x="0" y="0"/>
                            <a:ext cx="1350000" cy="936000"/>
                          </a:xfrm>
                          <a:prstGeom prst="rect">
                            <a:avLst/>
                          </a:prstGeom>
                        </pic:spPr>
                      </pic:pic>
                    </a:graphicData>
                  </a:graphic>
                </wp:inline>
              </w:drawing>
            </w:r>
          </w:p>
        </w:tc>
        <w:tc>
          <w:tcPr>
            <w:tcW w:w="1754" w:type="dxa"/>
            <w:vMerge/>
          </w:tcPr>
          <w:p w14:paraId="4C242194" w14:textId="77777777" w:rsidR="002F5D5F" w:rsidRDefault="002F5D5F" w:rsidP="0004089D">
            <w:pPr>
              <w:pStyle w:val="BodyText"/>
            </w:pPr>
          </w:p>
        </w:tc>
      </w:tr>
    </w:tbl>
    <w:p w14:paraId="3DD63DA7" w14:textId="77777777" w:rsidR="002F5D5F" w:rsidRDefault="002F5D5F" w:rsidP="002F5D5F">
      <w:pPr>
        <w:pStyle w:val="BodyText"/>
      </w:pPr>
    </w:p>
    <w:p w14:paraId="5F080B9A" w14:textId="717A098F" w:rsidR="002F5D5F" w:rsidRDefault="004D1D49" w:rsidP="002F5D5F">
      <w:pPr>
        <w:pStyle w:val="BodyText"/>
      </w:pPr>
      <w:r>
        <w:t xml:space="preserve">(b) </w:t>
      </w:r>
      <w:r w:rsidR="002F5D5F">
        <w:t>Annual rainfall change (%) (2050)</w:t>
      </w:r>
    </w:p>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4"/>
        <w:gridCol w:w="2184"/>
        <w:gridCol w:w="2184"/>
        <w:gridCol w:w="2184"/>
        <w:gridCol w:w="1754"/>
      </w:tblGrid>
      <w:tr w:rsidR="002F5D5F" w14:paraId="54C35354" w14:textId="77777777" w:rsidTr="1F802AF8">
        <w:tc>
          <w:tcPr>
            <w:tcW w:w="2184" w:type="dxa"/>
            <w:tcMar>
              <w:left w:w="0" w:type="dxa"/>
              <w:right w:w="0" w:type="dxa"/>
            </w:tcMar>
          </w:tcPr>
          <w:p w14:paraId="52B20E47" w14:textId="77777777" w:rsidR="002F5D5F" w:rsidRDefault="002F5D5F" w:rsidP="0004089D">
            <w:pPr>
              <w:pStyle w:val="BodyText"/>
            </w:pPr>
            <w:r>
              <w:t>CanESM2</w:t>
            </w:r>
          </w:p>
          <w:p w14:paraId="13DA92E3" w14:textId="77777777" w:rsidR="002F5D5F" w:rsidRDefault="002F5D5F" w:rsidP="0004089D">
            <w:pPr>
              <w:pStyle w:val="BodyText"/>
            </w:pPr>
            <w:r>
              <w:rPr>
                <w:noProof/>
              </w:rPr>
              <w:drawing>
                <wp:inline distT="0" distB="0" distL="0" distR="0" wp14:anchorId="49C74461" wp14:editId="541736D0">
                  <wp:extent cx="1360800" cy="936000"/>
                  <wp:effectExtent l="0" t="0" r="0" b="0"/>
                  <wp:docPr id="1704955610" name="Picture 136324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21"/>
                          <pic:cNvPicPr/>
                        </pic:nvPicPr>
                        <pic:blipFill>
                          <a:blip r:embed="rId112">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4341C0D1" w14:textId="77777777" w:rsidR="002F5D5F" w:rsidRDefault="002F5D5F" w:rsidP="0004089D">
            <w:pPr>
              <w:pStyle w:val="BodyText"/>
            </w:pPr>
            <w:r>
              <w:t xml:space="preserve">CNRM-CM5   </w:t>
            </w:r>
          </w:p>
          <w:p w14:paraId="4C8EEE29" w14:textId="77777777" w:rsidR="002F5D5F" w:rsidRDefault="002F5D5F" w:rsidP="0004089D">
            <w:pPr>
              <w:pStyle w:val="BodyText"/>
            </w:pPr>
            <w:r>
              <w:rPr>
                <w:noProof/>
              </w:rPr>
              <w:drawing>
                <wp:inline distT="0" distB="0" distL="0" distR="0" wp14:anchorId="4A93F4FD" wp14:editId="199EA906">
                  <wp:extent cx="1360800" cy="936000"/>
                  <wp:effectExtent l="0" t="0" r="0" b="0"/>
                  <wp:docPr id="1203511350" name="Picture 136324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22"/>
                          <pic:cNvPicPr/>
                        </pic:nvPicPr>
                        <pic:blipFill>
                          <a:blip r:embed="rId113">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22538BBD" w14:textId="77777777" w:rsidR="002F5D5F" w:rsidRDefault="002F5D5F" w:rsidP="0004089D">
            <w:pPr>
              <w:pStyle w:val="BodyText"/>
            </w:pPr>
            <w:r>
              <w:t xml:space="preserve">ACCESS1-0      </w:t>
            </w:r>
          </w:p>
          <w:p w14:paraId="7A249A43" w14:textId="77777777" w:rsidR="002F5D5F" w:rsidRDefault="002F5D5F" w:rsidP="0004089D">
            <w:pPr>
              <w:pStyle w:val="BodyText"/>
            </w:pPr>
            <w:r>
              <w:rPr>
                <w:noProof/>
              </w:rPr>
              <w:drawing>
                <wp:inline distT="0" distB="0" distL="0" distR="0" wp14:anchorId="5DC660CC" wp14:editId="76C70E63">
                  <wp:extent cx="1360800" cy="936000"/>
                  <wp:effectExtent l="0" t="0" r="0" b="0"/>
                  <wp:docPr id="837939213" name="Picture 136324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23"/>
                          <pic:cNvPicPr/>
                        </pic:nvPicPr>
                        <pic:blipFill>
                          <a:blip r:embed="rId114">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693EFCEA" w14:textId="77777777" w:rsidR="002F5D5F" w:rsidRDefault="002F5D5F" w:rsidP="0004089D">
            <w:pPr>
              <w:pStyle w:val="BodyText"/>
            </w:pPr>
            <w:r>
              <w:t>MIROC5</w:t>
            </w:r>
          </w:p>
          <w:p w14:paraId="30799186" w14:textId="77777777" w:rsidR="002F5D5F" w:rsidRDefault="002F5D5F" w:rsidP="0004089D">
            <w:pPr>
              <w:pStyle w:val="BodyText"/>
            </w:pPr>
            <w:r>
              <w:rPr>
                <w:noProof/>
              </w:rPr>
              <w:drawing>
                <wp:inline distT="0" distB="0" distL="0" distR="0" wp14:anchorId="21D0B712" wp14:editId="4D7FE98B">
                  <wp:extent cx="1360800" cy="936000"/>
                  <wp:effectExtent l="0" t="0" r="0" b="0"/>
                  <wp:docPr id="532050688" name="Picture 136324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24"/>
                          <pic:cNvPicPr/>
                        </pic:nvPicPr>
                        <pic:blipFill>
                          <a:blip r:embed="rId115">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1754" w:type="dxa"/>
            <w:vMerge w:val="restart"/>
            <w:vAlign w:val="center"/>
          </w:tcPr>
          <w:p w14:paraId="42D08677" w14:textId="77777777" w:rsidR="002F5D5F" w:rsidRDefault="002F5D5F" w:rsidP="0004089D">
            <w:pPr>
              <w:pStyle w:val="BodyText"/>
            </w:pPr>
            <w:r>
              <w:rPr>
                <w:szCs w:val="22"/>
              </w:rPr>
              <w:object w:dxaOrig="1980" w:dyaOrig="5580" w14:anchorId="1428676B">
                <v:shape id="_x0000_i1026" type="#_x0000_t75" style="width:1in;height:201.6pt" o:ole="">
                  <v:imagedata r:id="rId116" o:title=""/>
                </v:shape>
                <o:OLEObject Type="Embed" ProgID="PBrush" ShapeID="_x0000_i1026" DrawAspect="Content" ObjectID="_1663747104" r:id="rId117"/>
              </w:object>
            </w:r>
          </w:p>
        </w:tc>
      </w:tr>
      <w:tr w:rsidR="002F5D5F" w14:paraId="19C074B3" w14:textId="77777777" w:rsidTr="1F802AF8">
        <w:tc>
          <w:tcPr>
            <w:tcW w:w="2184" w:type="dxa"/>
            <w:tcMar>
              <w:left w:w="0" w:type="dxa"/>
              <w:right w:w="0" w:type="dxa"/>
            </w:tcMar>
          </w:tcPr>
          <w:p w14:paraId="64609E05" w14:textId="77777777" w:rsidR="002F5D5F" w:rsidRDefault="002F5D5F" w:rsidP="0004089D">
            <w:pPr>
              <w:pStyle w:val="BodyText"/>
            </w:pPr>
            <w:r>
              <w:t>HadGEM2CC</w:t>
            </w:r>
          </w:p>
          <w:p w14:paraId="699B2438" w14:textId="77777777" w:rsidR="002F5D5F" w:rsidRDefault="002F5D5F" w:rsidP="0004089D">
            <w:pPr>
              <w:pStyle w:val="BodyText"/>
            </w:pPr>
            <w:r>
              <w:rPr>
                <w:noProof/>
              </w:rPr>
              <w:drawing>
                <wp:inline distT="0" distB="0" distL="0" distR="0" wp14:anchorId="6A2AF56D" wp14:editId="3F2F63D2">
                  <wp:extent cx="1360800" cy="936000"/>
                  <wp:effectExtent l="0" t="0" r="0" b="0"/>
                  <wp:docPr id="2109964466" name="Picture 136324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25"/>
                          <pic:cNvPicPr/>
                        </pic:nvPicPr>
                        <pic:blipFill>
                          <a:blip r:embed="rId118">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7FC96297" w14:textId="77777777" w:rsidR="002F5D5F" w:rsidRDefault="002F5D5F" w:rsidP="0004089D">
            <w:pPr>
              <w:pStyle w:val="BodyText"/>
            </w:pPr>
            <w:r>
              <w:t xml:space="preserve">NorESM1-M   </w:t>
            </w:r>
          </w:p>
          <w:p w14:paraId="6BD82A6C" w14:textId="77777777" w:rsidR="002F5D5F" w:rsidRDefault="002F5D5F" w:rsidP="0004089D">
            <w:pPr>
              <w:pStyle w:val="BodyText"/>
            </w:pPr>
            <w:r>
              <w:rPr>
                <w:noProof/>
              </w:rPr>
              <w:drawing>
                <wp:inline distT="0" distB="0" distL="0" distR="0" wp14:anchorId="2C5A902A" wp14:editId="18153F77">
                  <wp:extent cx="1360800" cy="936000"/>
                  <wp:effectExtent l="0" t="0" r="0" b="0"/>
                  <wp:docPr id="822524074" name="Picture 136324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26"/>
                          <pic:cNvPicPr/>
                        </pic:nvPicPr>
                        <pic:blipFill>
                          <a:blip r:embed="rId119">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5EE05CE8" w14:textId="77777777" w:rsidR="002F5D5F" w:rsidRDefault="002F5D5F" w:rsidP="0004089D">
            <w:pPr>
              <w:pStyle w:val="BodyText"/>
            </w:pPr>
            <w:r>
              <w:t xml:space="preserve">GFDL-ESM2M     </w:t>
            </w:r>
          </w:p>
          <w:p w14:paraId="60590ADE" w14:textId="77777777" w:rsidR="002F5D5F" w:rsidRDefault="002F5D5F" w:rsidP="0004089D">
            <w:pPr>
              <w:pStyle w:val="BodyText"/>
            </w:pPr>
            <w:r>
              <w:rPr>
                <w:noProof/>
              </w:rPr>
              <w:drawing>
                <wp:inline distT="0" distB="0" distL="0" distR="0" wp14:anchorId="65E8A908" wp14:editId="02307959">
                  <wp:extent cx="1360800" cy="936000"/>
                  <wp:effectExtent l="0" t="0" r="0" b="0"/>
                  <wp:docPr id="1850805832" name="Picture 1363245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27"/>
                          <pic:cNvPicPr/>
                        </pic:nvPicPr>
                        <pic:blipFill>
                          <a:blip r:embed="rId120">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5302D7A4" w14:textId="77777777" w:rsidR="002F5D5F" w:rsidRDefault="002F5D5F" w:rsidP="0004089D">
            <w:pPr>
              <w:pStyle w:val="BodyText"/>
            </w:pPr>
            <w:r>
              <w:t>CESM1-CAM5</w:t>
            </w:r>
          </w:p>
          <w:p w14:paraId="2F17851F" w14:textId="77777777" w:rsidR="002F5D5F" w:rsidRDefault="002F5D5F" w:rsidP="0004089D">
            <w:pPr>
              <w:pStyle w:val="BodyText"/>
            </w:pPr>
            <w:r>
              <w:rPr>
                <w:noProof/>
              </w:rPr>
              <w:drawing>
                <wp:inline distT="0" distB="0" distL="0" distR="0" wp14:anchorId="665AA897" wp14:editId="18ABF8E4">
                  <wp:extent cx="1360800" cy="936000"/>
                  <wp:effectExtent l="0" t="0" r="0" b="0"/>
                  <wp:docPr id="828673098" name="Picture 1363245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28"/>
                          <pic:cNvPicPr/>
                        </pic:nvPicPr>
                        <pic:blipFill>
                          <a:blip r:embed="rId121">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1754" w:type="dxa"/>
            <w:vMerge/>
          </w:tcPr>
          <w:p w14:paraId="345AC83C" w14:textId="77777777" w:rsidR="002F5D5F" w:rsidRDefault="002F5D5F" w:rsidP="0004089D">
            <w:pPr>
              <w:pStyle w:val="BodyText"/>
            </w:pPr>
          </w:p>
        </w:tc>
      </w:tr>
    </w:tbl>
    <w:p w14:paraId="2B0E7D2C" w14:textId="77777777" w:rsidR="004D1D49" w:rsidRDefault="004D1D49" w:rsidP="002F5D5F">
      <w:pPr>
        <w:pStyle w:val="BodyText"/>
      </w:pPr>
    </w:p>
    <w:p w14:paraId="5FFC43E6" w14:textId="5A8CF3FF" w:rsidR="002F5D5F" w:rsidRDefault="004D1D49" w:rsidP="002F5D5F">
      <w:pPr>
        <w:pStyle w:val="BodyText"/>
      </w:pPr>
      <w:r>
        <w:lastRenderedPageBreak/>
        <w:t xml:space="preserve">(c) </w:t>
      </w:r>
      <w:r w:rsidR="002F5D5F">
        <w:t>Mean annual evapotranspiration change (%) (2050)</w:t>
      </w:r>
    </w:p>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4"/>
        <w:gridCol w:w="2184"/>
        <w:gridCol w:w="2184"/>
        <w:gridCol w:w="2184"/>
        <w:gridCol w:w="1754"/>
      </w:tblGrid>
      <w:tr w:rsidR="002F5D5F" w14:paraId="1A76E285" w14:textId="77777777" w:rsidTr="1F802AF8">
        <w:tc>
          <w:tcPr>
            <w:tcW w:w="2184" w:type="dxa"/>
            <w:tcMar>
              <w:left w:w="0" w:type="dxa"/>
              <w:right w:w="0" w:type="dxa"/>
            </w:tcMar>
          </w:tcPr>
          <w:p w14:paraId="6BC5AA90" w14:textId="77777777" w:rsidR="002F5D5F" w:rsidRDefault="002F5D5F" w:rsidP="0004089D">
            <w:pPr>
              <w:pStyle w:val="BodyText"/>
            </w:pPr>
            <w:r>
              <w:t>CanESM2</w:t>
            </w:r>
          </w:p>
          <w:p w14:paraId="192D589E" w14:textId="77777777" w:rsidR="002F5D5F" w:rsidRDefault="002F5D5F" w:rsidP="0004089D">
            <w:pPr>
              <w:pStyle w:val="BodyText"/>
            </w:pPr>
            <w:r>
              <w:rPr>
                <w:noProof/>
              </w:rPr>
              <w:drawing>
                <wp:inline distT="0" distB="0" distL="0" distR="0" wp14:anchorId="5F42ADFD" wp14:editId="18780718">
                  <wp:extent cx="1360800" cy="936000"/>
                  <wp:effectExtent l="0" t="0" r="0" b="0"/>
                  <wp:docPr id="1853651905" name="Picture 136324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37"/>
                          <pic:cNvPicPr/>
                        </pic:nvPicPr>
                        <pic:blipFill>
                          <a:blip r:embed="rId122">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7BAD5413" w14:textId="77777777" w:rsidR="002F5D5F" w:rsidRDefault="002F5D5F" w:rsidP="0004089D">
            <w:pPr>
              <w:pStyle w:val="BodyText"/>
            </w:pPr>
            <w:r>
              <w:t xml:space="preserve">CNRM-CM5   </w:t>
            </w:r>
          </w:p>
          <w:p w14:paraId="437F6353" w14:textId="77777777" w:rsidR="002F5D5F" w:rsidRDefault="002F5D5F" w:rsidP="0004089D">
            <w:pPr>
              <w:pStyle w:val="BodyText"/>
            </w:pPr>
            <w:r>
              <w:rPr>
                <w:noProof/>
              </w:rPr>
              <w:drawing>
                <wp:inline distT="0" distB="0" distL="0" distR="0" wp14:anchorId="1FE3E94D" wp14:editId="4FB4DA0B">
                  <wp:extent cx="1360800" cy="936000"/>
                  <wp:effectExtent l="0" t="0" r="0" b="0"/>
                  <wp:docPr id="785435709" name="Picture 136324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38"/>
                          <pic:cNvPicPr/>
                        </pic:nvPicPr>
                        <pic:blipFill>
                          <a:blip r:embed="rId123">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09123BE6" w14:textId="77777777" w:rsidR="002F5D5F" w:rsidRDefault="002F5D5F" w:rsidP="0004089D">
            <w:pPr>
              <w:pStyle w:val="BodyText"/>
            </w:pPr>
            <w:r>
              <w:t xml:space="preserve">ACCESS1-0      </w:t>
            </w:r>
          </w:p>
          <w:p w14:paraId="1B90AABE" w14:textId="77777777" w:rsidR="002F5D5F" w:rsidRDefault="002F5D5F" w:rsidP="0004089D">
            <w:pPr>
              <w:pStyle w:val="BodyText"/>
            </w:pPr>
            <w:r>
              <w:rPr>
                <w:noProof/>
              </w:rPr>
              <w:drawing>
                <wp:inline distT="0" distB="0" distL="0" distR="0" wp14:anchorId="319A944F" wp14:editId="681DA5EB">
                  <wp:extent cx="1360800" cy="936000"/>
                  <wp:effectExtent l="0" t="0" r="0" b="0"/>
                  <wp:docPr id="1045633619" name="Picture 136324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39"/>
                          <pic:cNvPicPr/>
                        </pic:nvPicPr>
                        <pic:blipFill>
                          <a:blip r:embed="rId124">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17F2F9BE" w14:textId="77777777" w:rsidR="002F5D5F" w:rsidRDefault="002F5D5F" w:rsidP="0004089D">
            <w:pPr>
              <w:pStyle w:val="BodyText"/>
            </w:pPr>
            <w:r>
              <w:t>MIROC5</w:t>
            </w:r>
          </w:p>
          <w:p w14:paraId="5F63A2C5" w14:textId="77777777" w:rsidR="002F5D5F" w:rsidRDefault="002F5D5F" w:rsidP="0004089D">
            <w:pPr>
              <w:pStyle w:val="BodyText"/>
            </w:pPr>
            <w:r>
              <w:rPr>
                <w:noProof/>
              </w:rPr>
              <w:drawing>
                <wp:inline distT="0" distB="0" distL="0" distR="0" wp14:anchorId="1B5FDDDC" wp14:editId="547324FA">
                  <wp:extent cx="1360800" cy="936000"/>
                  <wp:effectExtent l="0" t="0" r="0" b="0"/>
                  <wp:docPr id="1488654152" name="Picture 136324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40"/>
                          <pic:cNvPicPr/>
                        </pic:nvPicPr>
                        <pic:blipFill>
                          <a:blip r:embed="rId125">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1754" w:type="dxa"/>
            <w:vMerge w:val="restart"/>
            <w:vAlign w:val="center"/>
          </w:tcPr>
          <w:p w14:paraId="0C685AFA" w14:textId="77777777" w:rsidR="002F5D5F" w:rsidRDefault="002F5D5F" w:rsidP="0004089D">
            <w:pPr>
              <w:pStyle w:val="BodyText"/>
            </w:pPr>
            <w:r>
              <w:rPr>
                <w:noProof/>
              </w:rPr>
              <w:drawing>
                <wp:anchor distT="0" distB="0" distL="114300" distR="114300" simplePos="0" relativeHeight="251658243" behindDoc="0" locked="0" layoutInCell="1" allowOverlap="1" wp14:anchorId="69C7BB9F" wp14:editId="605E6748">
                  <wp:simplePos x="0" y="0"/>
                  <wp:positionH relativeFrom="column">
                    <wp:posOffset>2540</wp:posOffset>
                  </wp:positionH>
                  <wp:positionV relativeFrom="page">
                    <wp:posOffset>237490</wp:posOffset>
                  </wp:positionV>
                  <wp:extent cx="896620" cy="2418080"/>
                  <wp:effectExtent l="0" t="0" r="0" b="1270"/>
                  <wp:wrapNone/>
                  <wp:docPr id="1363245545" name="Picture 136324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96620" cy="24180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5D5F" w14:paraId="24C0A895" w14:textId="77777777" w:rsidTr="1F802AF8">
        <w:tc>
          <w:tcPr>
            <w:tcW w:w="2184" w:type="dxa"/>
            <w:tcMar>
              <w:left w:w="0" w:type="dxa"/>
              <w:right w:w="0" w:type="dxa"/>
            </w:tcMar>
          </w:tcPr>
          <w:p w14:paraId="5DDCB68C" w14:textId="77777777" w:rsidR="002F5D5F" w:rsidRDefault="002F5D5F" w:rsidP="0004089D">
            <w:pPr>
              <w:pStyle w:val="BodyText"/>
            </w:pPr>
            <w:r>
              <w:t>HadGEM2CC</w:t>
            </w:r>
          </w:p>
          <w:p w14:paraId="7753F578" w14:textId="77777777" w:rsidR="002F5D5F" w:rsidRDefault="002F5D5F" w:rsidP="0004089D">
            <w:pPr>
              <w:pStyle w:val="BodyText"/>
            </w:pPr>
            <w:r>
              <w:rPr>
                <w:noProof/>
              </w:rPr>
              <w:drawing>
                <wp:inline distT="0" distB="0" distL="0" distR="0" wp14:anchorId="73613675" wp14:editId="20AD148B">
                  <wp:extent cx="1360800" cy="936000"/>
                  <wp:effectExtent l="0" t="0" r="0" b="0"/>
                  <wp:docPr id="260216015" name="Picture 136324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41"/>
                          <pic:cNvPicPr/>
                        </pic:nvPicPr>
                        <pic:blipFill>
                          <a:blip r:embed="rId127">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6AFCE9E9" w14:textId="77777777" w:rsidR="002F5D5F" w:rsidRDefault="002F5D5F" w:rsidP="0004089D">
            <w:pPr>
              <w:pStyle w:val="BodyText"/>
            </w:pPr>
            <w:r>
              <w:t xml:space="preserve">NorESM1-M   </w:t>
            </w:r>
          </w:p>
          <w:p w14:paraId="03A69073" w14:textId="77777777" w:rsidR="002F5D5F" w:rsidRDefault="002F5D5F" w:rsidP="0004089D">
            <w:pPr>
              <w:pStyle w:val="BodyText"/>
            </w:pPr>
            <w:r>
              <w:rPr>
                <w:noProof/>
              </w:rPr>
              <w:drawing>
                <wp:inline distT="0" distB="0" distL="0" distR="0" wp14:anchorId="20596544" wp14:editId="2AF9D4BD">
                  <wp:extent cx="1360800" cy="936000"/>
                  <wp:effectExtent l="0" t="0" r="0" b="0"/>
                  <wp:docPr id="958572941" name="Picture 136324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42"/>
                          <pic:cNvPicPr/>
                        </pic:nvPicPr>
                        <pic:blipFill>
                          <a:blip r:embed="rId128">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2800488C" w14:textId="77777777" w:rsidR="002F5D5F" w:rsidRDefault="002F5D5F" w:rsidP="0004089D">
            <w:pPr>
              <w:pStyle w:val="BodyText"/>
            </w:pPr>
            <w:r>
              <w:t xml:space="preserve">GFDL-ESM2M     </w:t>
            </w:r>
          </w:p>
          <w:p w14:paraId="2DEBE240" w14:textId="77777777" w:rsidR="002F5D5F" w:rsidRDefault="002F5D5F" w:rsidP="0004089D">
            <w:pPr>
              <w:pStyle w:val="BodyText"/>
            </w:pPr>
            <w:r>
              <w:rPr>
                <w:noProof/>
              </w:rPr>
              <w:drawing>
                <wp:inline distT="0" distB="0" distL="0" distR="0" wp14:anchorId="1C1733B1" wp14:editId="4D6331FF">
                  <wp:extent cx="1360800" cy="936000"/>
                  <wp:effectExtent l="0" t="0" r="0" b="0"/>
                  <wp:docPr id="90495774" name="Picture 136324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43"/>
                          <pic:cNvPicPr/>
                        </pic:nvPicPr>
                        <pic:blipFill>
                          <a:blip r:embed="rId129">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2184" w:type="dxa"/>
            <w:tcMar>
              <w:left w:w="0" w:type="dxa"/>
              <w:right w:w="0" w:type="dxa"/>
            </w:tcMar>
          </w:tcPr>
          <w:p w14:paraId="4D537E5A" w14:textId="77777777" w:rsidR="002F5D5F" w:rsidRDefault="002F5D5F" w:rsidP="0004089D">
            <w:pPr>
              <w:pStyle w:val="BodyText"/>
            </w:pPr>
            <w:r>
              <w:t>CESM1-CAM5</w:t>
            </w:r>
          </w:p>
          <w:p w14:paraId="17231904" w14:textId="77777777" w:rsidR="002F5D5F" w:rsidRDefault="002F5D5F" w:rsidP="0004089D">
            <w:pPr>
              <w:pStyle w:val="BodyText"/>
            </w:pPr>
            <w:r>
              <w:rPr>
                <w:noProof/>
              </w:rPr>
              <w:drawing>
                <wp:inline distT="0" distB="0" distL="0" distR="0" wp14:anchorId="08B28D77" wp14:editId="7181ED95">
                  <wp:extent cx="1360800" cy="936000"/>
                  <wp:effectExtent l="0" t="0" r="0" b="0"/>
                  <wp:docPr id="1636800939" name="Picture 136324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44"/>
                          <pic:cNvPicPr/>
                        </pic:nvPicPr>
                        <pic:blipFill>
                          <a:blip r:embed="rId130">
                            <a:extLst>
                              <a:ext uri="{28A0092B-C50C-407E-A947-70E740481C1C}">
                                <a14:useLocalDpi xmlns:a14="http://schemas.microsoft.com/office/drawing/2010/main" val="0"/>
                              </a:ext>
                            </a:extLst>
                          </a:blip>
                          <a:stretch>
                            <a:fillRect/>
                          </a:stretch>
                        </pic:blipFill>
                        <pic:spPr>
                          <a:xfrm>
                            <a:off x="0" y="0"/>
                            <a:ext cx="1360800" cy="936000"/>
                          </a:xfrm>
                          <a:prstGeom prst="rect">
                            <a:avLst/>
                          </a:prstGeom>
                        </pic:spPr>
                      </pic:pic>
                    </a:graphicData>
                  </a:graphic>
                </wp:inline>
              </w:drawing>
            </w:r>
          </w:p>
        </w:tc>
        <w:tc>
          <w:tcPr>
            <w:tcW w:w="1754" w:type="dxa"/>
            <w:vMerge/>
          </w:tcPr>
          <w:p w14:paraId="38836B85" w14:textId="77777777" w:rsidR="002F5D5F" w:rsidRDefault="002F5D5F" w:rsidP="0004089D">
            <w:pPr>
              <w:pStyle w:val="BodyText"/>
            </w:pPr>
          </w:p>
        </w:tc>
      </w:tr>
    </w:tbl>
    <w:p w14:paraId="3A44BE4E" w14:textId="4AB86254" w:rsidR="002F5D5F" w:rsidRDefault="002F5D5F" w:rsidP="002F5D5F">
      <w:pPr>
        <w:pStyle w:val="BodyText"/>
      </w:pPr>
    </w:p>
    <w:p w14:paraId="1EA10BC8" w14:textId="77777777" w:rsidR="002F5D5F" w:rsidRDefault="002F5D5F">
      <w:pPr>
        <w:rPr>
          <w:rFonts w:ascii="Calibri" w:eastAsia="Calibri" w:hAnsi="Calibri"/>
          <w:color w:val="000000"/>
          <w:szCs w:val="22"/>
        </w:rPr>
      </w:pPr>
      <w:r>
        <w:br w:type="page"/>
      </w:r>
    </w:p>
    <w:p w14:paraId="72332C8F" w14:textId="4C12CFA8" w:rsidR="004126DC" w:rsidRDefault="004126DC" w:rsidP="009250B8">
      <w:pPr>
        <w:pStyle w:val="Heading2"/>
        <w:numPr>
          <w:ilvl w:val="0"/>
          <w:numId w:val="22"/>
        </w:numPr>
        <w:spacing w:before="0"/>
        <w:ind w:left="426" w:hanging="426"/>
      </w:pPr>
      <w:bookmarkStart w:id="257" w:name="_Toc52873108"/>
      <w:bookmarkStart w:id="258" w:name="_Toc53075139"/>
      <w:r>
        <w:lastRenderedPageBreak/>
        <w:t xml:space="preserve">NRM </w:t>
      </w:r>
      <w:r w:rsidR="00AA789C">
        <w:t xml:space="preserve">zone </w:t>
      </w:r>
      <w:r>
        <w:t>climate change projections</w:t>
      </w:r>
      <w:bookmarkEnd w:id="257"/>
      <w:bookmarkEnd w:id="258"/>
    </w:p>
    <w:p w14:paraId="5A952659" w14:textId="419254CE" w:rsidR="00B14A0B" w:rsidRDefault="003F133F" w:rsidP="003F133F">
      <w:pPr>
        <w:pStyle w:val="Caption"/>
        <w:rPr>
          <w:b w:val="0"/>
          <w:bCs w:val="0"/>
        </w:rPr>
      </w:pPr>
      <w:r>
        <w:t xml:space="preserve">Figure </w:t>
      </w:r>
      <w:r w:rsidR="00700E7F">
        <w:t>B</w:t>
      </w:r>
      <w:r>
        <w:t>.</w:t>
      </w:r>
      <w:r w:rsidR="00CE448B">
        <w:t>1</w:t>
      </w:r>
      <w:r w:rsidR="0083260E">
        <w:t xml:space="preserve">. </w:t>
      </w:r>
      <w:r w:rsidR="00700E7F" w:rsidRPr="00A90C92">
        <w:rPr>
          <w:b w:val="0"/>
          <w:bCs w:val="0"/>
        </w:rPr>
        <w:t>Climate change factor summaries</w:t>
      </w:r>
      <w:r w:rsidR="00700E7F">
        <w:rPr>
          <w:b w:val="0"/>
          <w:bCs w:val="0"/>
        </w:rPr>
        <w:t xml:space="preserve"> for </w:t>
      </w:r>
      <w:r w:rsidR="007748E7">
        <w:rPr>
          <w:b w:val="0"/>
          <w:bCs w:val="0"/>
        </w:rPr>
        <w:t xml:space="preserve">2050 for </w:t>
      </w:r>
      <w:r w:rsidR="00700E7F">
        <w:rPr>
          <w:b w:val="0"/>
          <w:bCs w:val="0"/>
        </w:rPr>
        <w:t xml:space="preserve">each NRM sub </w:t>
      </w:r>
      <w:r w:rsidR="00FD4731">
        <w:rPr>
          <w:b w:val="0"/>
          <w:bCs w:val="0"/>
        </w:rPr>
        <w:t>cluster</w:t>
      </w:r>
      <w:r w:rsidR="00700E7F">
        <w:rPr>
          <w:b w:val="0"/>
          <w:bCs w:val="0"/>
        </w:rPr>
        <w:t xml:space="preserve"> and for each of </w:t>
      </w:r>
      <w:r w:rsidR="00FD4731">
        <w:rPr>
          <w:b w:val="0"/>
          <w:bCs w:val="0"/>
        </w:rPr>
        <w:t>21</w:t>
      </w:r>
      <w:r w:rsidR="00700E7F">
        <w:rPr>
          <w:b w:val="0"/>
          <w:bCs w:val="0"/>
        </w:rPr>
        <w:t xml:space="preserve"> factors listed in Table 6. White bars = RCP4.5; Grey bars = RCP8.5. Bars denote the median and 10</w:t>
      </w:r>
      <w:r w:rsidR="00700E7F" w:rsidRPr="00725DFD">
        <w:rPr>
          <w:b w:val="0"/>
          <w:bCs w:val="0"/>
          <w:vertAlign w:val="superscript"/>
        </w:rPr>
        <w:t>th</w:t>
      </w:r>
      <w:r w:rsidR="00700E7F">
        <w:rPr>
          <w:b w:val="0"/>
          <w:bCs w:val="0"/>
        </w:rPr>
        <w:t xml:space="preserve"> and 90</w:t>
      </w:r>
      <w:r w:rsidR="00700E7F" w:rsidRPr="00725DFD">
        <w:rPr>
          <w:b w:val="0"/>
          <w:bCs w:val="0"/>
          <w:vertAlign w:val="superscript"/>
        </w:rPr>
        <w:t>th</w:t>
      </w:r>
      <w:r w:rsidR="00700E7F">
        <w:rPr>
          <w:b w:val="0"/>
          <w:bCs w:val="0"/>
        </w:rPr>
        <w:t xml:space="preserve"> percentile projections across up to 40 global circulation models</w:t>
      </w:r>
      <w:r w:rsidR="00CE4FB5">
        <w:rPr>
          <w:b w:val="0"/>
          <w:bCs w:val="0"/>
        </w:rPr>
        <w:t>. Values in x-axis label</w:t>
      </w:r>
      <w:r w:rsidR="00257075">
        <w:rPr>
          <w:b w:val="0"/>
          <w:bCs w:val="0"/>
        </w:rPr>
        <w:t>s for factors (</w:t>
      </w:r>
      <w:r w:rsidR="001B1A21">
        <w:rPr>
          <w:b w:val="0"/>
          <w:bCs w:val="0"/>
        </w:rPr>
        <w:t>m</w:t>
      </w:r>
      <w:r w:rsidR="00257075">
        <w:rPr>
          <w:b w:val="0"/>
          <w:bCs w:val="0"/>
        </w:rPr>
        <w:t>) – (</w:t>
      </w:r>
      <w:r w:rsidR="001B1A21">
        <w:rPr>
          <w:b w:val="0"/>
          <w:bCs w:val="0"/>
        </w:rPr>
        <w:t>u</w:t>
      </w:r>
      <w:r w:rsidR="00257075">
        <w:rPr>
          <w:b w:val="0"/>
          <w:bCs w:val="0"/>
        </w:rPr>
        <w:t xml:space="preserve">) </w:t>
      </w:r>
      <w:r w:rsidR="00CE4FB5">
        <w:rPr>
          <w:b w:val="0"/>
          <w:bCs w:val="0"/>
        </w:rPr>
        <w:t xml:space="preserve"> are current </w:t>
      </w:r>
      <w:r w:rsidR="00264572">
        <w:rPr>
          <w:b w:val="0"/>
          <w:bCs w:val="0"/>
        </w:rPr>
        <w:t xml:space="preserve">(1986 -  </w:t>
      </w:r>
      <w:r w:rsidR="00257075">
        <w:rPr>
          <w:b w:val="0"/>
          <w:bCs w:val="0"/>
        </w:rPr>
        <w:t>2005</w:t>
      </w:r>
      <w:r w:rsidR="00264572">
        <w:rPr>
          <w:b w:val="0"/>
          <w:bCs w:val="0"/>
        </w:rPr>
        <w:t xml:space="preserve">) </w:t>
      </w:r>
      <w:r w:rsidR="00257075">
        <w:rPr>
          <w:b w:val="0"/>
          <w:bCs w:val="0"/>
        </w:rPr>
        <w:t xml:space="preserve">average </w:t>
      </w:r>
      <w:r w:rsidR="00264572">
        <w:rPr>
          <w:b w:val="0"/>
          <w:bCs w:val="0"/>
        </w:rPr>
        <w:t>conditions.</w:t>
      </w:r>
    </w:p>
    <w:p w14:paraId="3C56DCC1" w14:textId="44E481F9" w:rsidR="00066153" w:rsidRPr="00066153"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066153">
        <w:rPr>
          <w:rFonts w:asciiTheme="minorHAnsi" w:hAnsiTheme="minorHAnsi" w:cstheme="minorHAnsi"/>
          <w:color w:val="007E9A" w:themeColor="accent1" w:themeShade="BF"/>
          <w:sz w:val="18"/>
          <w:szCs w:val="18"/>
        </w:rPr>
        <w:t>Mean temperature change</w:t>
      </w:r>
    </w:p>
    <w:p w14:paraId="6B5FBAF1" w14:textId="31CDA036" w:rsidR="00066153" w:rsidRPr="00066153"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066153">
        <w:rPr>
          <w:rFonts w:asciiTheme="minorHAnsi" w:hAnsiTheme="minorHAnsi" w:cstheme="minorHAnsi"/>
          <w:color w:val="007E9A" w:themeColor="accent1" w:themeShade="BF"/>
          <w:sz w:val="18"/>
          <w:szCs w:val="18"/>
        </w:rPr>
        <w:t>Maximum temperature change</w:t>
      </w:r>
    </w:p>
    <w:p w14:paraId="52939FCB" w14:textId="0105848E" w:rsidR="00066153" w:rsidRPr="00066153"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066153">
        <w:rPr>
          <w:rFonts w:asciiTheme="minorHAnsi" w:hAnsiTheme="minorHAnsi" w:cstheme="minorHAnsi"/>
          <w:color w:val="007E9A" w:themeColor="accent1" w:themeShade="BF"/>
          <w:sz w:val="18"/>
          <w:szCs w:val="18"/>
        </w:rPr>
        <w:t>Minimum temperature change</w:t>
      </w:r>
    </w:p>
    <w:p w14:paraId="04660C7C" w14:textId="60BACBD0" w:rsidR="00066153" w:rsidRPr="00066153"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066153">
        <w:rPr>
          <w:rFonts w:asciiTheme="minorHAnsi" w:hAnsiTheme="minorHAnsi" w:cstheme="minorHAnsi"/>
          <w:color w:val="007E9A" w:themeColor="accent1" w:themeShade="BF"/>
          <w:sz w:val="18"/>
          <w:szCs w:val="18"/>
        </w:rPr>
        <w:t>Precipitation change</w:t>
      </w:r>
    </w:p>
    <w:p w14:paraId="59F9AD70" w14:textId="51BA94DD"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Shortwave radiation change</w:t>
      </w:r>
    </w:p>
    <w:p w14:paraId="5A7F8AF6" w14:textId="20E773C7"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Potential-evapotranspiration change</w:t>
      </w:r>
    </w:p>
    <w:p w14:paraId="6A02E112" w14:textId="29CB435A"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Windspeed change</w:t>
      </w:r>
    </w:p>
    <w:p w14:paraId="0B816A5A" w14:textId="29BE9361"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Relative humidity change</w:t>
      </w:r>
    </w:p>
    <w:p w14:paraId="7EE8C6EC" w14:textId="7BD516AD"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Coldest night change</w:t>
      </w:r>
    </w:p>
    <w:p w14:paraId="43244BC9" w14:textId="5908A253"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Hottest day change</w:t>
      </w:r>
    </w:p>
    <w:p w14:paraId="627C4831" w14:textId="2D0A93B0"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Wettest day change</w:t>
      </w:r>
    </w:p>
    <w:p w14:paraId="54EA6866" w14:textId="684CFB19"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Wettest 1-in-20 year change</w:t>
      </w:r>
    </w:p>
    <w:p w14:paraId="778E7F19" w14:textId="7B2C7C9D"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number of days/year below 0 degrees</w:t>
      </w:r>
    </w:p>
    <w:p w14:paraId="30AED3C0" w14:textId="723CFA20"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number of days/year above 35 degrees</w:t>
      </w:r>
    </w:p>
    <w:p w14:paraId="3DFE355B" w14:textId="392A8156"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days/year &gt; 99.9th percentile rainfall</w:t>
      </w:r>
    </w:p>
    <w:p w14:paraId="5C51BE45" w14:textId="5C8A2B37"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number months/year &lt; 10th percentile rainfall</w:t>
      </w:r>
    </w:p>
    <w:p w14:paraId="7F2F85E9" w14:textId="29DF9965"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annual average cumulative forest fire danger index</w:t>
      </w:r>
    </w:p>
    <w:p w14:paraId="5D31321B" w14:textId="1842EB12"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number days/year with FFDI &gt; High</w:t>
      </w:r>
    </w:p>
    <w:p w14:paraId="435C1664" w14:textId="1C81D6D3" w:rsidR="00066153" w:rsidRPr="00F27FB6"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time in drought</w:t>
      </w:r>
    </w:p>
    <w:p w14:paraId="3ED3D956" w14:textId="1C80700B" w:rsidR="00066153" w:rsidRDefault="00066153" w:rsidP="009250B8">
      <w:pPr>
        <w:pStyle w:val="ListParagraph"/>
        <w:numPr>
          <w:ilvl w:val="0"/>
          <w:numId w:val="23"/>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extreme drought frequency</w:t>
      </w:r>
    </w:p>
    <w:p w14:paraId="287957D6" w14:textId="39F796A1" w:rsidR="00F27FB6" w:rsidRPr="00F27FB6" w:rsidRDefault="009250B8" w:rsidP="009250B8">
      <w:pPr>
        <w:pStyle w:val="ListParagraph"/>
        <w:numPr>
          <w:ilvl w:val="0"/>
          <w:numId w:val="23"/>
        </w:numPr>
        <w:rPr>
          <w:rFonts w:asciiTheme="minorHAnsi" w:hAnsiTheme="minorHAnsi" w:cstheme="minorHAnsi"/>
          <w:color w:val="007E9A" w:themeColor="accent1" w:themeShade="BF"/>
          <w:sz w:val="18"/>
          <w:szCs w:val="18"/>
        </w:rPr>
      </w:pPr>
      <w:r>
        <w:rPr>
          <w:rFonts w:asciiTheme="minorHAnsi" w:hAnsiTheme="minorHAnsi" w:cstheme="minorHAnsi"/>
          <w:color w:val="007E9A" w:themeColor="accent1" w:themeShade="BF"/>
          <w:sz w:val="18"/>
          <w:szCs w:val="18"/>
        </w:rPr>
        <w:t>Change in extreme drought duration</w:t>
      </w:r>
    </w:p>
    <w:p w14:paraId="66EC43F7" w14:textId="130A5BCD" w:rsidR="005C6350" w:rsidRDefault="003E398D" w:rsidP="009250B8">
      <w:pPr>
        <w:pStyle w:val="ListParagraph"/>
        <w:sectPr w:rsidR="005C6350" w:rsidSect="00826105">
          <w:pgSz w:w="11906" w:h="16838" w:code="9"/>
          <w:pgMar w:top="1134" w:right="1134" w:bottom="1134" w:left="1134" w:header="510" w:footer="624" w:gutter="0"/>
          <w:cols w:space="850"/>
          <w:docGrid w:linePitch="360"/>
        </w:sectPr>
      </w:pPr>
      <w:r>
        <w:br w:type="page"/>
      </w:r>
    </w:p>
    <w:p w14:paraId="7E165D73" w14:textId="3C7ADE2B" w:rsidR="004730B4" w:rsidRDefault="004730B4">
      <w:r>
        <w:lastRenderedPageBreak/>
        <w:t>(a)</w:t>
      </w:r>
    </w:p>
    <w:p w14:paraId="49032D41" w14:textId="159B3393" w:rsidR="003E398D" w:rsidRDefault="009A795D">
      <w:r>
        <w:rPr>
          <w:noProof/>
        </w:rPr>
        <w:drawing>
          <wp:inline distT="0" distB="0" distL="0" distR="0" wp14:anchorId="69E40B53" wp14:editId="20846730">
            <wp:extent cx="4068568" cy="1631092"/>
            <wp:effectExtent l="0" t="0" r="825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41984"/>
                    <a:stretch/>
                  </pic:blipFill>
                  <pic:spPr bwMode="auto">
                    <a:xfrm>
                      <a:off x="0" y="0"/>
                      <a:ext cx="4068568" cy="1631092"/>
                    </a:xfrm>
                    <a:prstGeom prst="rect">
                      <a:avLst/>
                    </a:prstGeom>
                    <a:ln>
                      <a:noFill/>
                    </a:ln>
                    <a:extLst>
                      <a:ext uri="{53640926-AAD7-44D8-BBD7-CCE9431645EC}">
                        <a14:shadowObscured xmlns:a14="http://schemas.microsoft.com/office/drawing/2010/main"/>
                      </a:ext>
                    </a:extLst>
                  </pic:spPr>
                </pic:pic>
              </a:graphicData>
            </a:graphic>
          </wp:inline>
        </w:drawing>
      </w:r>
    </w:p>
    <w:p w14:paraId="7A8E31C1" w14:textId="14A850CF" w:rsidR="002E292C" w:rsidRDefault="009339FF">
      <w:r>
        <w:rPr>
          <w:noProof/>
        </w:rPr>
        <w:drawing>
          <wp:inline distT="0" distB="0" distL="0" distR="0" wp14:anchorId="170B5EA8" wp14:editId="1277723C">
            <wp:extent cx="4036540" cy="1625381"/>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41728"/>
                    <a:stretch/>
                  </pic:blipFill>
                  <pic:spPr bwMode="auto">
                    <a:xfrm>
                      <a:off x="0" y="0"/>
                      <a:ext cx="4036540" cy="1625381"/>
                    </a:xfrm>
                    <a:prstGeom prst="rect">
                      <a:avLst/>
                    </a:prstGeom>
                    <a:ln>
                      <a:noFill/>
                    </a:ln>
                    <a:extLst>
                      <a:ext uri="{53640926-AAD7-44D8-BBD7-CCE9431645EC}">
                        <a14:shadowObscured xmlns:a14="http://schemas.microsoft.com/office/drawing/2010/main"/>
                      </a:ext>
                    </a:extLst>
                  </pic:spPr>
                </pic:pic>
              </a:graphicData>
            </a:graphic>
          </wp:inline>
        </w:drawing>
      </w:r>
    </w:p>
    <w:p w14:paraId="44D293B5" w14:textId="74511A44" w:rsidR="009339FF" w:rsidRDefault="00D570D5">
      <w:r>
        <w:rPr>
          <w:noProof/>
        </w:rPr>
        <w:drawing>
          <wp:inline distT="0" distB="0" distL="0" distR="0" wp14:anchorId="4934AA9F" wp14:editId="0B661A74">
            <wp:extent cx="4027473" cy="1614617"/>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b="41984"/>
                    <a:stretch/>
                  </pic:blipFill>
                  <pic:spPr bwMode="auto">
                    <a:xfrm>
                      <a:off x="0" y="0"/>
                      <a:ext cx="4027473" cy="1614617"/>
                    </a:xfrm>
                    <a:prstGeom prst="rect">
                      <a:avLst/>
                    </a:prstGeom>
                    <a:ln>
                      <a:noFill/>
                    </a:ln>
                    <a:extLst>
                      <a:ext uri="{53640926-AAD7-44D8-BBD7-CCE9431645EC}">
                        <a14:shadowObscured xmlns:a14="http://schemas.microsoft.com/office/drawing/2010/main"/>
                      </a:ext>
                    </a:extLst>
                  </pic:spPr>
                </pic:pic>
              </a:graphicData>
            </a:graphic>
          </wp:inline>
        </w:drawing>
      </w:r>
    </w:p>
    <w:p w14:paraId="58BDC5A0" w14:textId="565A8AAA" w:rsidR="001B7D95" w:rsidRDefault="00CF34CC">
      <w:r>
        <w:rPr>
          <w:noProof/>
        </w:rPr>
        <w:drawing>
          <wp:inline distT="0" distB="0" distL="0" distR="0" wp14:anchorId="3AD4C185" wp14:editId="67117F86">
            <wp:extent cx="3978876" cy="1602161"/>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41731"/>
                    <a:stretch/>
                  </pic:blipFill>
                  <pic:spPr bwMode="auto">
                    <a:xfrm>
                      <a:off x="0" y="0"/>
                      <a:ext cx="3978876" cy="1602161"/>
                    </a:xfrm>
                    <a:prstGeom prst="rect">
                      <a:avLst/>
                    </a:prstGeom>
                    <a:ln>
                      <a:noFill/>
                    </a:ln>
                    <a:extLst>
                      <a:ext uri="{53640926-AAD7-44D8-BBD7-CCE9431645EC}">
                        <a14:shadowObscured xmlns:a14="http://schemas.microsoft.com/office/drawing/2010/main"/>
                      </a:ext>
                    </a:extLst>
                  </pic:spPr>
                </pic:pic>
              </a:graphicData>
            </a:graphic>
          </wp:inline>
        </w:drawing>
      </w:r>
    </w:p>
    <w:p w14:paraId="1C75A427" w14:textId="299BBAD0" w:rsidR="00341A18" w:rsidRDefault="00D570D5">
      <w:r>
        <w:rPr>
          <w:noProof/>
        </w:rPr>
        <w:drawing>
          <wp:inline distT="0" distB="0" distL="0" distR="0" wp14:anchorId="1C3F0D69" wp14:editId="2556180A">
            <wp:extent cx="4014000" cy="2772000"/>
            <wp:effectExtent l="0" t="0" r="5715" b="9525"/>
            <wp:docPr id="9522147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35">
                      <a:extLst>
                        <a:ext uri="{28A0092B-C50C-407E-A947-70E740481C1C}">
                          <a14:useLocalDpi xmlns:a14="http://schemas.microsoft.com/office/drawing/2010/main" val="0"/>
                        </a:ext>
                      </a:extLst>
                    </a:blip>
                    <a:stretch>
                      <a:fillRect/>
                    </a:stretch>
                  </pic:blipFill>
                  <pic:spPr>
                    <a:xfrm>
                      <a:off x="0" y="0"/>
                      <a:ext cx="4014000" cy="2772000"/>
                    </a:xfrm>
                    <a:prstGeom prst="rect">
                      <a:avLst/>
                    </a:prstGeom>
                  </pic:spPr>
                </pic:pic>
              </a:graphicData>
            </a:graphic>
          </wp:inline>
        </w:drawing>
      </w:r>
      <w:r>
        <w:br w:type="page"/>
      </w:r>
    </w:p>
    <w:p w14:paraId="18016C0D" w14:textId="7737D4B2" w:rsidR="004730B4" w:rsidRDefault="004730B4">
      <w:r>
        <w:lastRenderedPageBreak/>
        <w:t>(b)</w:t>
      </w:r>
    </w:p>
    <w:p w14:paraId="79D36892" w14:textId="3623D725" w:rsidR="00341A18" w:rsidRDefault="00D160EA">
      <w:r>
        <w:rPr>
          <w:noProof/>
        </w:rPr>
        <w:drawing>
          <wp:inline distT="0" distB="0" distL="0" distR="0" wp14:anchorId="61D229D5" wp14:editId="72E501BC">
            <wp:extent cx="4064400" cy="160200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41784"/>
                    <a:stretch/>
                  </pic:blipFill>
                  <pic:spPr bwMode="auto">
                    <a:xfrm>
                      <a:off x="0" y="0"/>
                      <a:ext cx="4064400" cy="1602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F7848A3" w14:textId="77777777" w:rsidR="00341A18" w:rsidRDefault="00341A18">
      <w:r>
        <w:rPr>
          <w:noProof/>
        </w:rPr>
        <w:drawing>
          <wp:inline distT="0" distB="0" distL="0" distR="0" wp14:anchorId="221E16B4" wp14:editId="56807BC9">
            <wp:extent cx="4064400" cy="1602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41784"/>
                    <a:stretch/>
                  </pic:blipFill>
                  <pic:spPr bwMode="auto">
                    <a:xfrm>
                      <a:off x="0" y="0"/>
                      <a:ext cx="4064400" cy="1602000"/>
                    </a:xfrm>
                    <a:prstGeom prst="rect">
                      <a:avLst/>
                    </a:prstGeom>
                    <a:ln>
                      <a:noFill/>
                    </a:ln>
                    <a:extLst>
                      <a:ext uri="{53640926-AAD7-44D8-BBD7-CCE9431645EC}">
                        <a14:shadowObscured xmlns:a14="http://schemas.microsoft.com/office/drawing/2010/main"/>
                      </a:ext>
                    </a:extLst>
                  </pic:spPr>
                </pic:pic>
              </a:graphicData>
            </a:graphic>
          </wp:inline>
        </w:drawing>
      </w:r>
    </w:p>
    <w:p w14:paraId="59139C32" w14:textId="77777777" w:rsidR="001756B5" w:rsidRDefault="001756B5">
      <w:r>
        <w:rPr>
          <w:noProof/>
        </w:rPr>
        <w:drawing>
          <wp:inline distT="0" distB="0" distL="0" distR="0" wp14:anchorId="2D207AB6" wp14:editId="1A19BCD7">
            <wp:extent cx="4064400" cy="1602000"/>
            <wp:effectExtent l="0" t="0" r="5715" b="4445"/>
            <wp:docPr id="1904945824" name="Picture 190494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42162"/>
                    <a:stretch/>
                  </pic:blipFill>
                  <pic:spPr bwMode="auto">
                    <a:xfrm>
                      <a:off x="0" y="0"/>
                      <a:ext cx="4064400" cy="1602000"/>
                    </a:xfrm>
                    <a:prstGeom prst="rect">
                      <a:avLst/>
                    </a:prstGeom>
                    <a:ln>
                      <a:noFill/>
                    </a:ln>
                    <a:extLst>
                      <a:ext uri="{53640926-AAD7-44D8-BBD7-CCE9431645EC}">
                        <a14:shadowObscured xmlns:a14="http://schemas.microsoft.com/office/drawing/2010/main"/>
                      </a:ext>
                    </a:extLst>
                  </pic:spPr>
                </pic:pic>
              </a:graphicData>
            </a:graphic>
          </wp:inline>
        </w:drawing>
      </w:r>
    </w:p>
    <w:p w14:paraId="74939ADD" w14:textId="77777777" w:rsidR="001756B5" w:rsidRDefault="001756B5">
      <w:r>
        <w:rPr>
          <w:noProof/>
        </w:rPr>
        <w:drawing>
          <wp:inline distT="0" distB="0" distL="0" distR="0" wp14:anchorId="1184BA77" wp14:editId="686E5061">
            <wp:extent cx="4064400" cy="1602000"/>
            <wp:effectExtent l="0" t="0" r="0" b="0"/>
            <wp:docPr id="1904945825" name="Picture 190494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42918"/>
                    <a:stretch/>
                  </pic:blipFill>
                  <pic:spPr bwMode="auto">
                    <a:xfrm>
                      <a:off x="0" y="0"/>
                      <a:ext cx="4064400" cy="1602000"/>
                    </a:xfrm>
                    <a:prstGeom prst="rect">
                      <a:avLst/>
                    </a:prstGeom>
                    <a:ln>
                      <a:noFill/>
                    </a:ln>
                    <a:extLst>
                      <a:ext uri="{53640926-AAD7-44D8-BBD7-CCE9431645EC}">
                        <a14:shadowObscured xmlns:a14="http://schemas.microsoft.com/office/drawing/2010/main"/>
                      </a:ext>
                    </a:extLst>
                  </pic:spPr>
                </pic:pic>
              </a:graphicData>
            </a:graphic>
          </wp:inline>
        </w:drawing>
      </w:r>
    </w:p>
    <w:p w14:paraId="20B37042" w14:textId="77777777" w:rsidR="001756B5" w:rsidRDefault="001756B5">
      <w:r>
        <w:rPr>
          <w:noProof/>
        </w:rPr>
        <w:drawing>
          <wp:inline distT="0" distB="0" distL="0" distR="0" wp14:anchorId="1D384C5F" wp14:editId="6B0E95FE">
            <wp:extent cx="4054224" cy="2825115"/>
            <wp:effectExtent l="0" t="0" r="3810" b="0"/>
            <wp:docPr id="1904945826" name="Picture 190494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1" b="-950"/>
                    <a:stretch/>
                  </pic:blipFill>
                  <pic:spPr bwMode="auto">
                    <a:xfrm>
                      <a:off x="0" y="0"/>
                      <a:ext cx="4054224" cy="2825115"/>
                    </a:xfrm>
                    <a:prstGeom prst="rect">
                      <a:avLst/>
                    </a:prstGeom>
                    <a:ln>
                      <a:noFill/>
                    </a:ln>
                    <a:extLst>
                      <a:ext uri="{53640926-AAD7-44D8-BBD7-CCE9431645EC}">
                        <a14:shadowObscured xmlns:a14="http://schemas.microsoft.com/office/drawing/2010/main"/>
                      </a:ext>
                    </a:extLst>
                  </pic:spPr>
                </pic:pic>
              </a:graphicData>
            </a:graphic>
          </wp:inline>
        </w:drawing>
      </w:r>
    </w:p>
    <w:p w14:paraId="6EF304F9" w14:textId="32DC3FBF" w:rsidR="004730B4" w:rsidRDefault="004730B4">
      <w:r>
        <w:lastRenderedPageBreak/>
        <w:t>(c)</w:t>
      </w:r>
    </w:p>
    <w:p w14:paraId="15EFD01A" w14:textId="3612166C" w:rsidR="001756B5" w:rsidRDefault="001756B5">
      <w:r>
        <w:rPr>
          <w:noProof/>
        </w:rPr>
        <w:drawing>
          <wp:inline distT="0" distB="0" distL="0" distR="0" wp14:anchorId="4EE63FA2" wp14:editId="299D1BAC">
            <wp:extent cx="3991699" cy="1614616"/>
            <wp:effectExtent l="0" t="0" r="0" b="5080"/>
            <wp:docPr id="1904945827" name="Picture 190494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41406"/>
                    <a:stretch/>
                  </pic:blipFill>
                  <pic:spPr bwMode="auto">
                    <a:xfrm>
                      <a:off x="0" y="0"/>
                      <a:ext cx="4019420" cy="1625829"/>
                    </a:xfrm>
                    <a:prstGeom prst="rect">
                      <a:avLst/>
                    </a:prstGeom>
                    <a:ln>
                      <a:noFill/>
                    </a:ln>
                    <a:extLst>
                      <a:ext uri="{53640926-AAD7-44D8-BBD7-CCE9431645EC}">
                        <a14:shadowObscured xmlns:a14="http://schemas.microsoft.com/office/drawing/2010/main"/>
                      </a:ext>
                    </a:extLst>
                  </pic:spPr>
                </pic:pic>
              </a:graphicData>
            </a:graphic>
          </wp:inline>
        </w:drawing>
      </w:r>
    </w:p>
    <w:p w14:paraId="5F34087F" w14:textId="77777777" w:rsidR="003072B8" w:rsidRDefault="003072B8">
      <w:r>
        <w:rPr>
          <w:noProof/>
        </w:rPr>
        <w:drawing>
          <wp:inline distT="0" distB="0" distL="0" distR="0" wp14:anchorId="578CB651" wp14:editId="0B3B6CA1">
            <wp:extent cx="3991701" cy="1614617"/>
            <wp:effectExtent l="0" t="0" r="0" b="5080"/>
            <wp:docPr id="1904945828" name="Picture 190494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41406"/>
                    <a:stretch/>
                  </pic:blipFill>
                  <pic:spPr bwMode="auto">
                    <a:xfrm>
                      <a:off x="0" y="0"/>
                      <a:ext cx="4045836" cy="1636514"/>
                    </a:xfrm>
                    <a:prstGeom prst="rect">
                      <a:avLst/>
                    </a:prstGeom>
                    <a:ln>
                      <a:noFill/>
                    </a:ln>
                    <a:extLst>
                      <a:ext uri="{53640926-AAD7-44D8-BBD7-CCE9431645EC}">
                        <a14:shadowObscured xmlns:a14="http://schemas.microsoft.com/office/drawing/2010/main"/>
                      </a:ext>
                    </a:extLst>
                  </pic:spPr>
                </pic:pic>
              </a:graphicData>
            </a:graphic>
          </wp:inline>
        </w:drawing>
      </w:r>
    </w:p>
    <w:p w14:paraId="3A4B9679" w14:textId="77777777" w:rsidR="003072B8" w:rsidRDefault="003072B8">
      <w:r>
        <w:rPr>
          <w:noProof/>
        </w:rPr>
        <w:drawing>
          <wp:inline distT="0" distB="0" distL="0" distR="0" wp14:anchorId="18351566" wp14:editId="01C3197C">
            <wp:extent cx="4012065" cy="1622854"/>
            <wp:effectExtent l="0" t="0" r="7620" b="0"/>
            <wp:docPr id="1904945829" name="Picture 190494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41406"/>
                    <a:stretch/>
                  </pic:blipFill>
                  <pic:spPr bwMode="auto">
                    <a:xfrm>
                      <a:off x="0" y="0"/>
                      <a:ext cx="4037536" cy="1633157"/>
                    </a:xfrm>
                    <a:prstGeom prst="rect">
                      <a:avLst/>
                    </a:prstGeom>
                    <a:ln>
                      <a:noFill/>
                    </a:ln>
                    <a:extLst>
                      <a:ext uri="{53640926-AAD7-44D8-BBD7-CCE9431645EC}">
                        <a14:shadowObscured xmlns:a14="http://schemas.microsoft.com/office/drawing/2010/main"/>
                      </a:ext>
                    </a:extLst>
                  </pic:spPr>
                </pic:pic>
              </a:graphicData>
            </a:graphic>
          </wp:inline>
        </w:drawing>
      </w:r>
    </w:p>
    <w:p w14:paraId="0A78CFE0" w14:textId="77777777" w:rsidR="003072B8" w:rsidRDefault="003072B8">
      <w:r>
        <w:rPr>
          <w:noProof/>
        </w:rPr>
        <w:drawing>
          <wp:inline distT="0" distB="0" distL="0" distR="0" wp14:anchorId="5D3B1EF2" wp14:editId="34B557FB">
            <wp:extent cx="4012064" cy="1622854"/>
            <wp:effectExtent l="0" t="0" r="7620" b="0"/>
            <wp:docPr id="1904945830" name="Picture 190494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b="41406"/>
                    <a:stretch/>
                  </pic:blipFill>
                  <pic:spPr bwMode="auto">
                    <a:xfrm>
                      <a:off x="0" y="0"/>
                      <a:ext cx="4061101" cy="1642689"/>
                    </a:xfrm>
                    <a:prstGeom prst="rect">
                      <a:avLst/>
                    </a:prstGeom>
                    <a:ln>
                      <a:noFill/>
                    </a:ln>
                    <a:extLst>
                      <a:ext uri="{53640926-AAD7-44D8-BBD7-CCE9431645EC}">
                        <a14:shadowObscured xmlns:a14="http://schemas.microsoft.com/office/drawing/2010/main"/>
                      </a:ext>
                    </a:extLst>
                  </pic:spPr>
                </pic:pic>
              </a:graphicData>
            </a:graphic>
          </wp:inline>
        </w:drawing>
      </w:r>
    </w:p>
    <w:p w14:paraId="47A4040C" w14:textId="77777777" w:rsidR="003072B8" w:rsidRDefault="003072B8">
      <w:r>
        <w:rPr>
          <w:noProof/>
        </w:rPr>
        <w:drawing>
          <wp:inline distT="0" distB="0" distL="0" distR="0" wp14:anchorId="6F223561" wp14:editId="2BFCF8ED">
            <wp:extent cx="4014000" cy="2772000"/>
            <wp:effectExtent l="0" t="0" r="5715" b="9525"/>
            <wp:docPr id="1572656463" name="Picture 190494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45831"/>
                    <pic:cNvPicPr/>
                  </pic:nvPicPr>
                  <pic:blipFill>
                    <a:blip r:embed="rId145">
                      <a:extLst>
                        <a:ext uri="{28A0092B-C50C-407E-A947-70E740481C1C}">
                          <a14:useLocalDpi xmlns:a14="http://schemas.microsoft.com/office/drawing/2010/main" val="0"/>
                        </a:ext>
                      </a:extLst>
                    </a:blip>
                    <a:stretch>
                      <a:fillRect/>
                    </a:stretch>
                  </pic:blipFill>
                  <pic:spPr>
                    <a:xfrm>
                      <a:off x="0" y="0"/>
                      <a:ext cx="4014000" cy="2772000"/>
                    </a:xfrm>
                    <a:prstGeom prst="rect">
                      <a:avLst/>
                    </a:prstGeom>
                  </pic:spPr>
                </pic:pic>
              </a:graphicData>
            </a:graphic>
          </wp:inline>
        </w:drawing>
      </w:r>
    </w:p>
    <w:p w14:paraId="665417A5" w14:textId="1054FC6B" w:rsidR="004730B4" w:rsidRDefault="004730B4">
      <w:r>
        <w:lastRenderedPageBreak/>
        <w:t>(d)</w:t>
      </w:r>
    </w:p>
    <w:p w14:paraId="23C9151E" w14:textId="25AFDA3D" w:rsidR="003E6758" w:rsidRDefault="003E6758">
      <w:r>
        <w:rPr>
          <w:noProof/>
        </w:rPr>
        <w:drawing>
          <wp:inline distT="0" distB="0" distL="0" distR="0" wp14:anchorId="2ADB68D4" wp14:editId="22E6642E">
            <wp:extent cx="4057200" cy="1620000"/>
            <wp:effectExtent l="0" t="0" r="635" b="0"/>
            <wp:docPr id="1904945832" name="Picture 190494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b="42162"/>
                    <a:stretch/>
                  </pic:blipFill>
                  <pic:spPr bwMode="auto">
                    <a:xfrm>
                      <a:off x="0" y="0"/>
                      <a:ext cx="4057200" cy="1620000"/>
                    </a:xfrm>
                    <a:prstGeom prst="rect">
                      <a:avLst/>
                    </a:prstGeom>
                    <a:ln>
                      <a:noFill/>
                    </a:ln>
                    <a:extLst>
                      <a:ext uri="{53640926-AAD7-44D8-BBD7-CCE9431645EC}">
                        <a14:shadowObscured xmlns:a14="http://schemas.microsoft.com/office/drawing/2010/main"/>
                      </a:ext>
                    </a:extLst>
                  </pic:spPr>
                </pic:pic>
              </a:graphicData>
            </a:graphic>
          </wp:inline>
        </w:drawing>
      </w:r>
    </w:p>
    <w:p w14:paraId="3404CDF4" w14:textId="77777777" w:rsidR="003E6758" w:rsidRDefault="003E6758">
      <w:r>
        <w:rPr>
          <w:noProof/>
        </w:rPr>
        <w:drawing>
          <wp:inline distT="0" distB="0" distL="0" distR="0" wp14:anchorId="024E5F18" wp14:editId="7B9E0882">
            <wp:extent cx="4057200" cy="1620000"/>
            <wp:effectExtent l="0" t="0" r="635" b="0"/>
            <wp:docPr id="1904945833" name="Picture 190494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b="41784"/>
                    <a:stretch/>
                  </pic:blipFill>
                  <pic:spPr bwMode="auto">
                    <a:xfrm>
                      <a:off x="0" y="0"/>
                      <a:ext cx="4057200" cy="1620000"/>
                    </a:xfrm>
                    <a:prstGeom prst="rect">
                      <a:avLst/>
                    </a:prstGeom>
                    <a:ln>
                      <a:noFill/>
                    </a:ln>
                    <a:extLst>
                      <a:ext uri="{53640926-AAD7-44D8-BBD7-CCE9431645EC}">
                        <a14:shadowObscured xmlns:a14="http://schemas.microsoft.com/office/drawing/2010/main"/>
                      </a:ext>
                    </a:extLst>
                  </pic:spPr>
                </pic:pic>
              </a:graphicData>
            </a:graphic>
          </wp:inline>
        </w:drawing>
      </w:r>
    </w:p>
    <w:p w14:paraId="59BCB2DA" w14:textId="77777777" w:rsidR="003E6758" w:rsidRDefault="003E6758">
      <w:r>
        <w:rPr>
          <w:noProof/>
        </w:rPr>
        <w:drawing>
          <wp:inline distT="0" distB="0" distL="0" distR="0" wp14:anchorId="5C2F2BE0" wp14:editId="78B94E39">
            <wp:extent cx="4057200" cy="1620000"/>
            <wp:effectExtent l="0" t="0" r="635" b="0"/>
            <wp:docPr id="1904945834" name="Picture 190494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41784"/>
                    <a:stretch/>
                  </pic:blipFill>
                  <pic:spPr bwMode="auto">
                    <a:xfrm>
                      <a:off x="0" y="0"/>
                      <a:ext cx="4057200" cy="1620000"/>
                    </a:xfrm>
                    <a:prstGeom prst="rect">
                      <a:avLst/>
                    </a:prstGeom>
                    <a:ln>
                      <a:noFill/>
                    </a:ln>
                    <a:extLst>
                      <a:ext uri="{53640926-AAD7-44D8-BBD7-CCE9431645EC}">
                        <a14:shadowObscured xmlns:a14="http://schemas.microsoft.com/office/drawing/2010/main"/>
                      </a:ext>
                    </a:extLst>
                  </pic:spPr>
                </pic:pic>
              </a:graphicData>
            </a:graphic>
          </wp:inline>
        </w:drawing>
      </w:r>
    </w:p>
    <w:p w14:paraId="17CEAE80" w14:textId="77777777" w:rsidR="003E6758" w:rsidRDefault="003E6758">
      <w:r>
        <w:rPr>
          <w:noProof/>
        </w:rPr>
        <w:drawing>
          <wp:inline distT="0" distB="0" distL="0" distR="0" wp14:anchorId="5742FC03" wp14:editId="77FAC93B">
            <wp:extent cx="4057200" cy="1620000"/>
            <wp:effectExtent l="0" t="0" r="635" b="0"/>
            <wp:docPr id="1904945835" name="Picture 190494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b="42162"/>
                    <a:stretch/>
                  </pic:blipFill>
                  <pic:spPr bwMode="auto">
                    <a:xfrm>
                      <a:off x="0" y="0"/>
                      <a:ext cx="4057200" cy="1620000"/>
                    </a:xfrm>
                    <a:prstGeom prst="rect">
                      <a:avLst/>
                    </a:prstGeom>
                    <a:ln>
                      <a:noFill/>
                    </a:ln>
                    <a:extLst>
                      <a:ext uri="{53640926-AAD7-44D8-BBD7-CCE9431645EC}">
                        <a14:shadowObscured xmlns:a14="http://schemas.microsoft.com/office/drawing/2010/main"/>
                      </a:ext>
                    </a:extLst>
                  </pic:spPr>
                </pic:pic>
              </a:graphicData>
            </a:graphic>
          </wp:inline>
        </w:drawing>
      </w:r>
    </w:p>
    <w:p w14:paraId="6FDFDD24" w14:textId="77777777" w:rsidR="003E6758" w:rsidRDefault="003E6758">
      <w:r>
        <w:rPr>
          <w:noProof/>
        </w:rPr>
        <w:drawing>
          <wp:inline distT="0" distB="0" distL="0" distR="0" wp14:anchorId="720CDC5E" wp14:editId="6B06C542">
            <wp:extent cx="4085967" cy="2821699"/>
            <wp:effectExtent l="0" t="0" r="0" b="0"/>
            <wp:docPr id="1306950551" name="Picture 190494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45836"/>
                    <pic:cNvPicPr/>
                  </pic:nvPicPr>
                  <pic:blipFill>
                    <a:blip r:embed="rId150">
                      <a:extLst>
                        <a:ext uri="{28A0092B-C50C-407E-A947-70E740481C1C}">
                          <a14:useLocalDpi xmlns:a14="http://schemas.microsoft.com/office/drawing/2010/main" val="0"/>
                        </a:ext>
                      </a:extLst>
                    </a:blip>
                    <a:stretch>
                      <a:fillRect/>
                    </a:stretch>
                  </pic:blipFill>
                  <pic:spPr>
                    <a:xfrm>
                      <a:off x="0" y="0"/>
                      <a:ext cx="4085967" cy="2821699"/>
                    </a:xfrm>
                    <a:prstGeom prst="rect">
                      <a:avLst/>
                    </a:prstGeom>
                  </pic:spPr>
                </pic:pic>
              </a:graphicData>
            </a:graphic>
          </wp:inline>
        </w:drawing>
      </w:r>
    </w:p>
    <w:p w14:paraId="59D518BA" w14:textId="67EBEDBF" w:rsidR="004730B4" w:rsidRDefault="004730B4">
      <w:r>
        <w:lastRenderedPageBreak/>
        <w:t>(e)</w:t>
      </w:r>
    </w:p>
    <w:p w14:paraId="7F73E5A6" w14:textId="26B07068" w:rsidR="00093E66" w:rsidRDefault="00093E66">
      <w:r>
        <w:rPr>
          <w:noProof/>
        </w:rPr>
        <w:drawing>
          <wp:inline distT="0" distB="0" distL="0" distR="0" wp14:anchorId="27C2D12D" wp14:editId="7DCA534F">
            <wp:extent cx="4032000" cy="1620000"/>
            <wp:effectExtent l="0" t="0" r="6985" b="0"/>
            <wp:docPr id="1904945837" name="Picture 190494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10A954EC" w14:textId="77777777" w:rsidR="00093E66" w:rsidRDefault="00093E66">
      <w:r>
        <w:rPr>
          <w:noProof/>
        </w:rPr>
        <w:drawing>
          <wp:inline distT="0" distB="0" distL="0" distR="0" wp14:anchorId="23BF8278" wp14:editId="55EAF1E9">
            <wp:extent cx="4032000" cy="1620000"/>
            <wp:effectExtent l="0" t="0" r="6985" b="0"/>
            <wp:docPr id="1904945838" name="Picture 190494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6BD71F44" w14:textId="77777777" w:rsidR="00093E66" w:rsidRDefault="00093E66">
      <w:r>
        <w:rPr>
          <w:noProof/>
        </w:rPr>
        <w:drawing>
          <wp:inline distT="0" distB="0" distL="0" distR="0" wp14:anchorId="76E70B6B" wp14:editId="314F6D5C">
            <wp:extent cx="4032000" cy="1620000"/>
            <wp:effectExtent l="0" t="0" r="6985" b="0"/>
            <wp:docPr id="1904945839" name="Picture 190494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23CC1FAE" w14:textId="77777777" w:rsidR="00093E66" w:rsidRDefault="00093E66">
      <w:r>
        <w:rPr>
          <w:noProof/>
        </w:rPr>
        <w:drawing>
          <wp:inline distT="0" distB="0" distL="0" distR="0" wp14:anchorId="0B94E20E" wp14:editId="4F23239C">
            <wp:extent cx="4032000" cy="1620000"/>
            <wp:effectExtent l="0" t="0" r="6985" b="0"/>
            <wp:docPr id="1904945840" name="Picture 190494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30266574" w14:textId="77777777" w:rsidR="00093E66" w:rsidRDefault="00093E66">
      <w:r>
        <w:rPr>
          <w:noProof/>
        </w:rPr>
        <w:drawing>
          <wp:inline distT="0" distB="0" distL="0" distR="0" wp14:anchorId="34C0A57D" wp14:editId="1219F290">
            <wp:extent cx="4055798" cy="2800865"/>
            <wp:effectExtent l="0" t="0" r="1905" b="0"/>
            <wp:docPr id="494882293" name="Picture 190494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45841"/>
                    <pic:cNvPicPr/>
                  </pic:nvPicPr>
                  <pic:blipFill>
                    <a:blip r:embed="rId155">
                      <a:extLst>
                        <a:ext uri="{28A0092B-C50C-407E-A947-70E740481C1C}">
                          <a14:useLocalDpi xmlns:a14="http://schemas.microsoft.com/office/drawing/2010/main" val="0"/>
                        </a:ext>
                      </a:extLst>
                    </a:blip>
                    <a:stretch>
                      <a:fillRect/>
                    </a:stretch>
                  </pic:blipFill>
                  <pic:spPr>
                    <a:xfrm>
                      <a:off x="0" y="0"/>
                      <a:ext cx="4055798" cy="2800865"/>
                    </a:xfrm>
                    <a:prstGeom prst="rect">
                      <a:avLst/>
                    </a:prstGeom>
                  </pic:spPr>
                </pic:pic>
              </a:graphicData>
            </a:graphic>
          </wp:inline>
        </w:drawing>
      </w:r>
    </w:p>
    <w:p w14:paraId="67D7CF96" w14:textId="34E5F969" w:rsidR="004730B4" w:rsidRDefault="004730B4">
      <w:r>
        <w:lastRenderedPageBreak/>
        <w:t>(f)</w:t>
      </w:r>
    </w:p>
    <w:p w14:paraId="5902777C" w14:textId="0E297771" w:rsidR="009F51BA" w:rsidRDefault="009F51BA">
      <w:r>
        <w:rPr>
          <w:noProof/>
        </w:rPr>
        <w:drawing>
          <wp:inline distT="0" distB="0" distL="0" distR="0" wp14:anchorId="7DB8A4D2" wp14:editId="087B3E74">
            <wp:extent cx="4032000" cy="1620000"/>
            <wp:effectExtent l="0" t="0" r="6985" b="0"/>
            <wp:docPr id="1904945842" name="Picture 190494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65BFCC71" w14:textId="77777777" w:rsidR="009F51BA" w:rsidRDefault="009F51BA">
      <w:r>
        <w:rPr>
          <w:noProof/>
        </w:rPr>
        <w:drawing>
          <wp:inline distT="0" distB="0" distL="0" distR="0" wp14:anchorId="00FE034E" wp14:editId="7B17AE32">
            <wp:extent cx="4032000" cy="1620000"/>
            <wp:effectExtent l="0" t="0" r="6985" b="0"/>
            <wp:docPr id="1904945843" name="Picture 190494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3B9FD3CB" w14:textId="77777777" w:rsidR="009F51BA" w:rsidRDefault="009F51BA">
      <w:r>
        <w:rPr>
          <w:noProof/>
        </w:rPr>
        <w:drawing>
          <wp:inline distT="0" distB="0" distL="0" distR="0" wp14:anchorId="75A2B302" wp14:editId="5682ADFF">
            <wp:extent cx="4032000" cy="1620000"/>
            <wp:effectExtent l="0" t="0" r="6985" b="0"/>
            <wp:docPr id="1904945845" name="Picture 190494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b="41028"/>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0FF06B6E" w14:textId="77777777" w:rsidR="009F51BA" w:rsidRDefault="009F51BA">
      <w:r>
        <w:rPr>
          <w:noProof/>
        </w:rPr>
        <w:drawing>
          <wp:inline distT="0" distB="0" distL="0" distR="0" wp14:anchorId="6C7D26AD" wp14:editId="6E59F6F6">
            <wp:extent cx="4032000" cy="1620000"/>
            <wp:effectExtent l="0" t="0" r="6985" b="0"/>
            <wp:docPr id="1904945846" name="Picture 190494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b="42162"/>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46D365B1" w14:textId="77777777" w:rsidR="009F51BA" w:rsidRDefault="009F51BA">
      <w:r>
        <w:rPr>
          <w:noProof/>
        </w:rPr>
        <w:drawing>
          <wp:inline distT="0" distB="0" distL="0" distR="0" wp14:anchorId="7490AC44" wp14:editId="0C6427B8">
            <wp:extent cx="4031940" cy="2784389"/>
            <wp:effectExtent l="0" t="0" r="6985" b="0"/>
            <wp:docPr id="1896577746" name="Picture 190494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45847"/>
                    <pic:cNvPicPr/>
                  </pic:nvPicPr>
                  <pic:blipFill>
                    <a:blip r:embed="rId160">
                      <a:extLst>
                        <a:ext uri="{28A0092B-C50C-407E-A947-70E740481C1C}">
                          <a14:useLocalDpi xmlns:a14="http://schemas.microsoft.com/office/drawing/2010/main" val="0"/>
                        </a:ext>
                      </a:extLst>
                    </a:blip>
                    <a:stretch>
                      <a:fillRect/>
                    </a:stretch>
                  </pic:blipFill>
                  <pic:spPr>
                    <a:xfrm>
                      <a:off x="0" y="0"/>
                      <a:ext cx="4031940" cy="2784389"/>
                    </a:xfrm>
                    <a:prstGeom prst="rect">
                      <a:avLst/>
                    </a:prstGeom>
                  </pic:spPr>
                </pic:pic>
              </a:graphicData>
            </a:graphic>
          </wp:inline>
        </w:drawing>
      </w:r>
    </w:p>
    <w:p w14:paraId="021C6E99" w14:textId="5637941E" w:rsidR="004730B4" w:rsidRDefault="004730B4">
      <w:r>
        <w:lastRenderedPageBreak/>
        <w:t>(g)</w:t>
      </w:r>
    </w:p>
    <w:p w14:paraId="0FFC5B32" w14:textId="2837DCC0" w:rsidR="00FC2ECA" w:rsidRDefault="00FC2ECA">
      <w:r>
        <w:rPr>
          <w:noProof/>
        </w:rPr>
        <w:drawing>
          <wp:inline distT="0" distB="0" distL="0" distR="0" wp14:anchorId="54E0A19B" wp14:editId="79546421">
            <wp:extent cx="4032000" cy="1620000"/>
            <wp:effectExtent l="0" t="0" r="6985" b="0"/>
            <wp:docPr id="1904945848" name="Picture 190494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1AEF920D" w14:textId="77777777" w:rsidR="00FC2ECA" w:rsidRDefault="00FC2ECA">
      <w:r>
        <w:rPr>
          <w:noProof/>
        </w:rPr>
        <w:drawing>
          <wp:inline distT="0" distB="0" distL="0" distR="0" wp14:anchorId="045DF4F5" wp14:editId="35923F39">
            <wp:extent cx="4032000" cy="1620000"/>
            <wp:effectExtent l="0" t="0" r="6985" b="0"/>
            <wp:docPr id="1904945849" name="Picture 190494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16BA3095" w14:textId="77777777" w:rsidR="00FC2ECA" w:rsidRDefault="00FC2ECA">
      <w:r>
        <w:rPr>
          <w:noProof/>
        </w:rPr>
        <w:drawing>
          <wp:inline distT="0" distB="0" distL="0" distR="0" wp14:anchorId="4F9A0EB3" wp14:editId="469043A6">
            <wp:extent cx="4032000" cy="1620000"/>
            <wp:effectExtent l="0" t="0" r="6985" b="0"/>
            <wp:docPr id="1904945850" name="Picture 190494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62311C91" w14:textId="77777777" w:rsidR="00FC2ECA" w:rsidRDefault="00FC2ECA">
      <w:r>
        <w:rPr>
          <w:noProof/>
        </w:rPr>
        <w:drawing>
          <wp:inline distT="0" distB="0" distL="0" distR="0" wp14:anchorId="0474CC6E" wp14:editId="27801E42">
            <wp:extent cx="4032000" cy="1620000"/>
            <wp:effectExtent l="0" t="0" r="6985" b="0"/>
            <wp:docPr id="1904945851" name="Picture 190494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508F45B4" w14:textId="77777777" w:rsidR="00FC2ECA" w:rsidRDefault="00FC2ECA">
      <w:r>
        <w:rPr>
          <w:noProof/>
        </w:rPr>
        <w:drawing>
          <wp:inline distT="0" distB="0" distL="0" distR="0" wp14:anchorId="2D504D8D" wp14:editId="7915937A">
            <wp:extent cx="4031940" cy="2784389"/>
            <wp:effectExtent l="0" t="0" r="6985" b="0"/>
            <wp:docPr id="102586338" name="Picture 190494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45852"/>
                    <pic:cNvPicPr/>
                  </pic:nvPicPr>
                  <pic:blipFill>
                    <a:blip r:embed="rId165">
                      <a:extLst>
                        <a:ext uri="{28A0092B-C50C-407E-A947-70E740481C1C}">
                          <a14:useLocalDpi xmlns:a14="http://schemas.microsoft.com/office/drawing/2010/main" val="0"/>
                        </a:ext>
                      </a:extLst>
                    </a:blip>
                    <a:stretch>
                      <a:fillRect/>
                    </a:stretch>
                  </pic:blipFill>
                  <pic:spPr>
                    <a:xfrm>
                      <a:off x="0" y="0"/>
                      <a:ext cx="4031940" cy="2784389"/>
                    </a:xfrm>
                    <a:prstGeom prst="rect">
                      <a:avLst/>
                    </a:prstGeom>
                  </pic:spPr>
                </pic:pic>
              </a:graphicData>
            </a:graphic>
          </wp:inline>
        </w:drawing>
      </w:r>
    </w:p>
    <w:p w14:paraId="7A269EE4" w14:textId="147612EB" w:rsidR="004730B4" w:rsidRDefault="004730B4">
      <w:r>
        <w:lastRenderedPageBreak/>
        <w:t>(h)</w:t>
      </w:r>
    </w:p>
    <w:p w14:paraId="494A1591" w14:textId="1F9D8C93" w:rsidR="00FC2ECA" w:rsidRDefault="00FC2ECA">
      <w:r>
        <w:rPr>
          <w:noProof/>
        </w:rPr>
        <w:drawing>
          <wp:inline distT="0" distB="0" distL="0" distR="0" wp14:anchorId="4D58A5C1" wp14:editId="4BC7B6CA">
            <wp:extent cx="4032000" cy="1620000"/>
            <wp:effectExtent l="0" t="0" r="6985" b="0"/>
            <wp:docPr id="1904945853" name="Picture 190494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4FDEDF11" w14:textId="77777777" w:rsidR="00E71275" w:rsidRDefault="00E71275">
      <w:r>
        <w:rPr>
          <w:noProof/>
        </w:rPr>
        <w:drawing>
          <wp:inline distT="0" distB="0" distL="0" distR="0" wp14:anchorId="71F02C5E" wp14:editId="47BC4CCF">
            <wp:extent cx="4032000" cy="1620000"/>
            <wp:effectExtent l="0" t="0" r="6985" b="0"/>
            <wp:docPr id="1904945854" name="Picture 190494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41028"/>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0188DF2C" w14:textId="77777777" w:rsidR="00E71275" w:rsidRDefault="00E71275">
      <w:r>
        <w:rPr>
          <w:noProof/>
        </w:rPr>
        <w:drawing>
          <wp:inline distT="0" distB="0" distL="0" distR="0" wp14:anchorId="65EB3FCF" wp14:editId="1DDB6A7B">
            <wp:extent cx="4032000" cy="1620000"/>
            <wp:effectExtent l="0" t="0" r="6985" b="0"/>
            <wp:docPr id="1904945855" name="Picture 190494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5B411143" w14:textId="77777777" w:rsidR="00E71275" w:rsidRDefault="00E71275">
      <w:r>
        <w:rPr>
          <w:noProof/>
        </w:rPr>
        <w:drawing>
          <wp:inline distT="0" distB="0" distL="0" distR="0" wp14:anchorId="78B8BF87" wp14:editId="0590BCE4">
            <wp:extent cx="4032000" cy="1620000"/>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79A36DF2" w14:textId="77777777" w:rsidR="00E71275" w:rsidRDefault="00E71275">
      <w:r>
        <w:rPr>
          <w:noProof/>
        </w:rPr>
        <w:drawing>
          <wp:inline distT="0" distB="0" distL="0" distR="0" wp14:anchorId="6EC97753" wp14:editId="1CAB1FE4">
            <wp:extent cx="4014000" cy="2772000"/>
            <wp:effectExtent l="0" t="0" r="5715" b="9525"/>
            <wp:docPr id="2821185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170">
                      <a:extLst>
                        <a:ext uri="{28A0092B-C50C-407E-A947-70E740481C1C}">
                          <a14:useLocalDpi xmlns:a14="http://schemas.microsoft.com/office/drawing/2010/main" val="0"/>
                        </a:ext>
                      </a:extLst>
                    </a:blip>
                    <a:stretch>
                      <a:fillRect/>
                    </a:stretch>
                  </pic:blipFill>
                  <pic:spPr>
                    <a:xfrm>
                      <a:off x="0" y="0"/>
                      <a:ext cx="4014000" cy="2772000"/>
                    </a:xfrm>
                    <a:prstGeom prst="rect">
                      <a:avLst/>
                    </a:prstGeom>
                  </pic:spPr>
                </pic:pic>
              </a:graphicData>
            </a:graphic>
          </wp:inline>
        </w:drawing>
      </w:r>
    </w:p>
    <w:p w14:paraId="5250F8CE" w14:textId="34CF8C4A" w:rsidR="004730B4" w:rsidRDefault="004730B4">
      <w:r>
        <w:lastRenderedPageBreak/>
        <w:t>(i)</w:t>
      </w:r>
    </w:p>
    <w:p w14:paraId="1FBA6F5F" w14:textId="1B20BF20" w:rsidR="00E71275" w:rsidRDefault="00E71275">
      <w:r>
        <w:rPr>
          <w:noProof/>
        </w:rPr>
        <w:drawing>
          <wp:inline distT="0" distB="0" distL="0" distR="0" wp14:anchorId="52CCDB80" wp14:editId="6BF335FB">
            <wp:extent cx="4032000" cy="1620000"/>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1D3FBB58" w14:textId="77777777" w:rsidR="00AA723A" w:rsidRDefault="00AA723A">
      <w:r>
        <w:rPr>
          <w:noProof/>
        </w:rPr>
        <w:drawing>
          <wp:inline distT="0" distB="0" distL="0" distR="0" wp14:anchorId="711FD968" wp14:editId="6C6ADB50">
            <wp:extent cx="4032000" cy="1620000"/>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29344963" w14:textId="77777777" w:rsidR="00AA723A" w:rsidRDefault="00AA723A">
      <w:r>
        <w:rPr>
          <w:noProof/>
        </w:rPr>
        <w:drawing>
          <wp:inline distT="0" distB="0" distL="0" distR="0" wp14:anchorId="74B7A637" wp14:editId="5A6C7316">
            <wp:extent cx="4032000" cy="162000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49FBE95D" w14:textId="77777777" w:rsidR="00AA723A" w:rsidRDefault="00AA723A">
      <w:r>
        <w:rPr>
          <w:noProof/>
        </w:rPr>
        <w:drawing>
          <wp:inline distT="0" distB="0" distL="0" distR="0" wp14:anchorId="1FAD8195" wp14:editId="0D8809E8">
            <wp:extent cx="4032000" cy="1620000"/>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40FB5C64" w14:textId="77777777" w:rsidR="00AA723A" w:rsidRDefault="00AA723A">
      <w:r>
        <w:rPr>
          <w:noProof/>
        </w:rPr>
        <w:drawing>
          <wp:inline distT="0" distB="0" distL="0" distR="0" wp14:anchorId="518B56A9" wp14:editId="36F0C6E0">
            <wp:extent cx="4031940" cy="2784389"/>
            <wp:effectExtent l="0" t="0" r="6985" b="0"/>
            <wp:docPr id="51712398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175">
                      <a:extLst>
                        <a:ext uri="{28A0092B-C50C-407E-A947-70E740481C1C}">
                          <a14:useLocalDpi xmlns:a14="http://schemas.microsoft.com/office/drawing/2010/main" val="0"/>
                        </a:ext>
                      </a:extLst>
                    </a:blip>
                    <a:stretch>
                      <a:fillRect/>
                    </a:stretch>
                  </pic:blipFill>
                  <pic:spPr>
                    <a:xfrm>
                      <a:off x="0" y="0"/>
                      <a:ext cx="4031940" cy="2784389"/>
                    </a:xfrm>
                    <a:prstGeom prst="rect">
                      <a:avLst/>
                    </a:prstGeom>
                  </pic:spPr>
                </pic:pic>
              </a:graphicData>
            </a:graphic>
          </wp:inline>
        </w:drawing>
      </w:r>
    </w:p>
    <w:p w14:paraId="0EA24306" w14:textId="0CB22476" w:rsidR="004730B4" w:rsidRDefault="004730B4">
      <w:r>
        <w:lastRenderedPageBreak/>
        <w:t>(j)</w:t>
      </w:r>
    </w:p>
    <w:p w14:paraId="293C7090" w14:textId="37067AD0" w:rsidR="00AA723A" w:rsidRDefault="00AA723A">
      <w:r>
        <w:rPr>
          <w:noProof/>
        </w:rPr>
        <w:drawing>
          <wp:inline distT="0" distB="0" distL="0" distR="0" wp14:anchorId="25AD4899" wp14:editId="4E0A3EB0">
            <wp:extent cx="4032000" cy="162000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144F8700" w14:textId="77777777" w:rsidR="00404323" w:rsidRDefault="00404323">
      <w:r>
        <w:rPr>
          <w:noProof/>
        </w:rPr>
        <w:drawing>
          <wp:inline distT="0" distB="0" distL="0" distR="0" wp14:anchorId="40D6B514" wp14:editId="7A13D26E">
            <wp:extent cx="4032000" cy="1620000"/>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64DEE686" w14:textId="77777777" w:rsidR="00404323" w:rsidRDefault="00404323">
      <w:r>
        <w:rPr>
          <w:noProof/>
        </w:rPr>
        <w:drawing>
          <wp:inline distT="0" distB="0" distL="0" distR="0" wp14:anchorId="118A3B5B" wp14:editId="657CC6C3">
            <wp:extent cx="4032000" cy="1620000"/>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36529417" w14:textId="77777777" w:rsidR="00404323" w:rsidRDefault="00404323">
      <w:r>
        <w:rPr>
          <w:noProof/>
        </w:rPr>
        <w:drawing>
          <wp:inline distT="0" distB="0" distL="0" distR="0" wp14:anchorId="1925A450" wp14:editId="7EE209F7">
            <wp:extent cx="4032000" cy="1620000"/>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5C5A42CE" w14:textId="77777777" w:rsidR="00404323" w:rsidRDefault="00404323">
      <w:r>
        <w:rPr>
          <w:noProof/>
        </w:rPr>
        <w:drawing>
          <wp:inline distT="0" distB="0" distL="0" distR="0" wp14:anchorId="4A41D565" wp14:editId="40A554D9">
            <wp:extent cx="4014000" cy="2772000"/>
            <wp:effectExtent l="0" t="0" r="5715" b="9525"/>
            <wp:docPr id="1304011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80">
                      <a:extLst>
                        <a:ext uri="{28A0092B-C50C-407E-A947-70E740481C1C}">
                          <a14:useLocalDpi xmlns:a14="http://schemas.microsoft.com/office/drawing/2010/main" val="0"/>
                        </a:ext>
                      </a:extLst>
                    </a:blip>
                    <a:stretch>
                      <a:fillRect/>
                    </a:stretch>
                  </pic:blipFill>
                  <pic:spPr>
                    <a:xfrm>
                      <a:off x="0" y="0"/>
                      <a:ext cx="4014000" cy="2772000"/>
                    </a:xfrm>
                    <a:prstGeom prst="rect">
                      <a:avLst/>
                    </a:prstGeom>
                  </pic:spPr>
                </pic:pic>
              </a:graphicData>
            </a:graphic>
          </wp:inline>
        </w:drawing>
      </w:r>
    </w:p>
    <w:p w14:paraId="18954ADC" w14:textId="5988228E" w:rsidR="004730B4" w:rsidRDefault="004730B4">
      <w:r>
        <w:lastRenderedPageBreak/>
        <w:t>(k)</w:t>
      </w:r>
    </w:p>
    <w:p w14:paraId="67C7F466" w14:textId="2C6422BC" w:rsidR="00404323" w:rsidRDefault="00404323">
      <w:r>
        <w:rPr>
          <w:noProof/>
        </w:rPr>
        <w:drawing>
          <wp:inline distT="0" distB="0" distL="0" distR="0" wp14:anchorId="4903BFD2" wp14:editId="21B4D616">
            <wp:extent cx="4032000" cy="162000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07FDF1F5" w14:textId="77777777" w:rsidR="00D15114" w:rsidRDefault="00D15114">
      <w:r>
        <w:rPr>
          <w:noProof/>
        </w:rPr>
        <w:drawing>
          <wp:inline distT="0" distB="0" distL="0" distR="0" wp14:anchorId="6BC8EE93" wp14:editId="3185C7E2">
            <wp:extent cx="4032000" cy="162000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65058C3F" w14:textId="77777777" w:rsidR="00D15114" w:rsidRDefault="00D15114">
      <w:r>
        <w:rPr>
          <w:noProof/>
        </w:rPr>
        <w:drawing>
          <wp:inline distT="0" distB="0" distL="0" distR="0" wp14:anchorId="3B0B90D0" wp14:editId="74520449">
            <wp:extent cx="4032000" cy="1620000"/>
            <wp:effectExtent l="0" t="0" r="698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b="41406"/>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489387F2" w14:textId="77777777" w:rsidR="00D15114" w:rsidRDefault="00D15114">
      <w:r>
        <w:rPr>
          <w:noProof/>
        </w:rPr>
        <w:drawing>
          <wp:inline distT="0" distB="0" distL="0" distR="0" wp14:anchorId="00FFE774" wp14:editId="097B66E6">
            <wp:extent cx="4032000" cy="16200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38046D40" w14:textId="77777777" w:rsidR="00D15114" w:rsidRDefault="00D15114">
      <w:r>
        <w:rPr>
          <w:noProof/>
        </w:rPr>
        <w:drawing>
          <wp:inline distT="0" distB="0" distL="0" distR="0" wp14:anchorId="06AEF046" wp14:editId="5E273B20">
            <wp:extent cx="4067725" cy="2809102"/>
            <wp:effectExtent l="0" t="0" r="0" b="0"/>
            <wp:docPr id="69531128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85">
                      <a:extLst>
                        <a:ext uri="{28A0092B-C50C-407E-A947-70E740481C1C}">
                          <a14:useLocalDpi xmlns:a14="http://schemas.microsoft.com/office/drawing/2010/main" val="0"/>
                        </a:ext>
                      </a:extLst>
                    </a:blip>
                    <a:stretch>
                      <a:fillRect/>
                    </a:stretch>
                  </pic:blipFill>
                  <pic:spPr>
                    <a:xfrm>
                      <a:off x="0" y="0"/>
                      <a:ext cx="4067725" cy="2809102"/>
                    </a:xfrm>
                    <a:prstGeom prst="rect">
                      <a:avLst/>
                    </a:prstGeom>
                  </pic:spPr>
                </pic:pic>
              </a:graphicData>
            </a:graphic>
          </wp:inline>
        </w:drawing>
      </w:r>
    </w:p>
    <w:p w14:paraId="3D5F3688" w14:textId="57CE7FC9" w:rsidR="004730B4" w:rsidRDefault="004730B4">
      <w:r>
        <w:lastRenderedPageBreak/>
        <w:t>(l)</w:t>
      </w:r>
    </w:p>
    <w:p w14:paraId="4D051F9F" w14:textId="63D3548B" w:rsidR="00F7446E" w:rsidRDefault="00F7446E">
      <w:r>
        <w:rPr>
          <w:noProof/>
        </w:rPr>
        <w:drawing>
          <wp:inline distT="0" distB="0" distL="0" distR="0" wp14:anchorId="5AFD7DDC" wp14:editId="221435F6">
            <wp:extent cx="4032000" cy="1620000"/>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6D3EAC1C" w14:textId="77777777" w:rsidR="00F7446E" w:rsidRDefault="00F7446E">
      <w:r>
        <w:rPr>
          <w:noProof/>
        </w:rPr>
        <w:drawing>
          <wp:inline distT="0" distB="0" distL="0" distR="0" wp14:anchorId="1F548309" wp14:editId="7C66D117">
            <wp:extent cx="4032000" cy="1620000"/>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b="41028"/>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12CBFFE8" w14:textId="77777777" w:rsidR="00F7446E" w:rsidRDefault="00F7446E">
      <w:r>
        <w:rPr>
          <w:noProof/>
        </w:rPr>
        <w:drawing>
          <wp:inline distT="0" distB="0" distL="0" distR="0" wp14:anchorId="26231244" wp14:editId="0F705E70">
            <wp:extent cx="4032000" cy="1620000"/>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39F55283" w14:textId="77777777" w:rsidR="00F7446E" w:rsidRDefault="00F7446E">
      <w:r>
        <w:rPr>
          <w:noProof/>
        </w:rPr>
        <w:drawing>
          <wp:inline distT="0" distB="0" distL="0" distR="0" wp14:anchorId="4993615F" wp14:editId="64E3A48F">
            <wp:extent cx="4032000" cy="1620000"/>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b="41784"/>
                    <a:stretch/>
                  </pic:blipFill>
                  <pic:spPr bwMode="auto">
                    <a:xfrm>
                      <a:off x="0" y="0"/>
                      <a:ext cx="4032000" cy="1620000"/>
                    </a:xfrm>
                    <a:prstGeom prst="rect">
                      <a:avLst/>
                    </a:prstGeom>
                    <a:ln>
                      <a:noFill/>
                    </a:ln>
                    <a:extLst>
                      <a:ext uri="{53640926-AAD7-44D8-BBD7-CCE9431645EC}">
                        <a14:shadowObscured xmlns:a14="http://schemas.microsoft.com/office/drawing/2010/main"/>
                      </a:ext>
                    </a:extLst>
                  </pic:spPr>
                </pic:pic>
              </a:graphicData>
            </a:graphic>
          </wp:inline>
        </w:drawing>
      </w:r>
    </w:p>
    <w:p w14:paraId="6D7B7CCC" w14:textId="774D0344" w:rsidR="004E33DA" w:rsidRDefault="00F7446E">
      <w:r>
        <w:rPr>
          <w:noProof/>
        </w:rPr>
        <w:drawing>
          <wp:inline distT="0" distB="0" distL="0" distR="0" wp14:anchorId="762E0354" wp14:editId="0C2CF2CB">
            <wp:extent cx="4043869" cy="2792627"/>
            <wp:effectExtent l="0" t="0" r="0" b="8255"/>
            <wp:docPr id="36355258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190">
                      <a:extLst>
                        <a:ext uri="{28A0092B-C50C-407E-A947-70E740481C1C}">
                          <a14:useLocalDpi xmlns:a14="http://schemas.microsoft.com/office/drawing/2010/main" val="0"/>
                        </a:ext>
                      </a:extLst>
                    </a:blip>
                    <a:stretch>
                      <a:fillRect/>
                    </a:stretch>
                  </pic:blipFill>
                  <pic:spPr>
                    <a:xfrm>
                      <a:off x="0" y="0"/>
                      <a:ext cx="4043869" cy="2792627"/>
                    </a:xfrm>
                    <a:prstGeom prst="rect">
                      <a:avLst/>
                    </a:prstGeom>
                  </pic:spPr>
                </pic:pic>
              </a:graphicData>
            </a:graphic>
          </wp:inline>
        </w:drawing>
      </w:r>
      <w:r w:rsidR="00341A18">
        <w:t xml:space="preserve"> </w:t>
      </w:r>
      <w:r>
        <w:br w:type="page"/>
      </w:r>
    </w:p>
    <w:p w14:paraId="383C0E6C" w14:textId="3EF4979C" w:rsidR="00B224B1" w:rsidRPr="00EE274B" w:rsidRDefault="00B224B1" w:rsidP="00B224B1">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m</w:t>
      </w:r>
      <w:r w:rsidRPr="00EE274B">
        <w:rPr>
          <w:rFonts w:eastAsiaTheme="majorEastAsia"/>
          <w:bCs/>
          <w:color w:val="00313C" w:themeColor="accent2"/>
        </w:rPr>
        <w:t>)</w:t>
      </w:r>
    </w:p>
    <w:p w14:paraId="7477E201" w14:textId="7409A057" w:rsidR="005036C2" w:rsidRDefault="009C5C64">
      <w:pPr>
        <w:rPr>
          <w:rFonts w:ascii="Calibri" w:eastAsiaTheme="majorEastAsia" w:hAnsi="Calibri" w:cstheme="majorBidi"/>
          <w:bCs/>
          <w:color w:val="00313C" w:themeColor="accent2"/>
          <w:sz w:val="32"/>
          <w:szCs w:val="26"/>
        </w:rPr>
      </w:pPr>
      <w:r>
        <w:rPr>
          <w:noProof/>
        </w:rPr>
        <w:drawing>
          <wp:inline distT="0" distB="0" distL="0" distR="0" wp14:anchorId="30590C96" wp14:editId="336B1E5A">
            <wp:extent cx="5122798" cy="3538800"/>
            <wp:effectExtent l="0" t="0" r="1905" b="5080"/>
            <wp:docPr id="228671303" name="Picture 190494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45847"/>
                    <pic:cNvPicPr/>
                  </pic:nvPicPr>
                  <pic:blipFill>
                    <a:blip r:embed="rId191">
                      <a:extLst>
                        <a:ext uri="{28A0092B-C50C-407E-A947-70E740481C1C}">
                          <a14:useLocalDpi xmlns:a14="http://schemas.microsoft.com/office/drawing/2010/main" val="0"/>
                        </a:ext>
                      </a:extLst>
                    </a:blip>
                    <a:stretch>
                      <a:fillRect/>
                    </a:stretch>
                  </pic:blipFill>
                  <pic:spPr>
                    <a:xfrm>
                      <a:off x="0" y="0"/>
                      <a:ext cx="5122798" cy="3538800"/>
                    </a:xfrm>
                    <a:prstGeom prst="rect">
                      <a:avLst/>
                    </a:prstGeom>
                  </pic:spPr>
                </pic:pic>
              </a:graphicData>
            </a:graphic>
          </wp:inline>
        </w:drawing>
      </w:r>
    </w:p>
    <w:p w14:paraId="0FE0F6D2" w14:textId="77777777" w:rsidR="00B224B1" w:rsidRDefault="00B224B1">
      <w:pPr>
        <w:rPr>
          <w:rFonts w:ascii="Calibri" w:eastAsiaTheme="majorEastAsia" w:hAnsi="Calibri" w:cstheme="majorBidi"/>
          <w:bCs/>
          <w:color w:val="00313C" w:themeColor="accent2"/>
          <w:sz w:val="32"/>
          <w:szCs w:val="26"/>
        </w:rPr>
      </w:pPr>
    </w:p>
    <w:p w14:paraId="4C275A5A" w14:textId="74187D9E" w:rsidR="00B224B1" w:rsidRPr="00EE274B" w:rsidRDefault="00B224B1" w:rsidP="00B224B1">
      <w:pPr>
        <w:rPr>
          <w:rFonts w:eastAsiaTheme="majorEastAsia"/>
          <w:bCs/>
          <w:color w:val="00313C" w:themeColor="accent2"/>
        </w:rPr>
      </w:pPr>
      <w:r w:rsidRPr="00EE274B">
        <w:rPr>
          <w:rFonts w:eastAsiaTheme="majorEastAsia"/>
          <w:bCs/>
          <w:color w:val="00313C" w:themeColor="accent2"/>
        </w:rPr>
        <w:t>(</w:t>
      </w:r>
      <w:r>
        <w:rPr>
          <w:rFonts w:eastAsiaTheme="majorEastAsia"/>
          <w:bCs/>
          <w:color w:val="00313C" w:themeColor="accent2"/>
        </w:rPr>
        <w:t>n</w:t>
      </w:r>
      <w:r w:rsidRPr="00EE274B">
        <w:rPr>
          <w:rFonts w:eastAsiaTheme="majorEastAsia"/>
          <w:bCs/>
          <w:color w:val="00313C" w:themeColor="accent2"/>
        </w:rPr>
        <w:t>)</w:t>
      </w:r>
    </w:p>
    <w:p w14:paraId="1CFE1AFF" w14:textId="50A06020" w:rsidR="009F7E76" w:rsidRDefault="009C5C64">
      <w:pPr>
        <w:rPr>
          <w:rFonts w:ascii="Calibri" w:eastAsiaTheme="majorEastAsia" w:hAnsi="Calibri" w:cstheme="majorBidi"/>
          <w:bCs/>
          <w:color w:val="00313C" w:themeColor="accent2"/>
          <w:sz w:val="32"/>
          <w:szCs w:val="26"/>
        </w:rPr>
      </w:pPr>
      <w:r>
        <w:rPr>
          <w:noProof/>
        </w:rPr>
        <w:drawing>
          <wp:inline distT="0" distB="0" distL="0" distR="0" wp14:anchorId="33948816" wp14:editId="2F783CE9">
            <wp:extent cx="5122798" cy="3538800"/>
            <wp:effectExtent l="0" t="0" r="1905" b="5080"/>
            <wp:docPr id="1214516210" name="Picture 190494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45852"/>
                    <pic:cNvPicPr/>
                  </pic:nvPicPr>
                  <pic:blipFill>
                    <a:blip r:embed="rId192">
                      <a:extLst>
                        <a:ext uri="{28A0092B-C50C-407E-A947-70E740481C1C}">
                          <a14:useLocalDpi xmlns:a14="http://schemas.microsoft.com/office/drawing/2010/main" val="0"/>
                        </a:ext>
                      </a:extLst>
                    </a:blip>
                    <a:stretch>
                      <a:fillRect/>
                    </a:stretch>
                  </pic:blipFill>
                  <pic:spPr>
                    <a:xfrm>
                      <a:off x="0" y="0"/>
                      <a:ext cx="5122798" cy="3538800"/>
                    </a:xfrm>
                    <a:prstGeom prst="rect">
                      <a:avLst/>
                    </a:prstGeom>
                  </pic:spPr>
                </pic:pic>
              </a:graphicData>
            </a:graphic>
          </wp:inline>
        </w:drawing>
      </w:r>
    </w:p>
    <w:p w14:paraId="60097E71" w14:textId="77777777" w:rsidR="009F7E76" w:rsidRDefault="009F7E76">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7FE95962" w14:textId="400B202D" w:rsidR="00B224B1" w:rsidRPr="00EE274B" w:rsidRDefault="00B224B1" w:rsidP="00B224B1">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o</w:t>
      </w:r>
      <w:r w:rsidRPr="00EE274B">
        <w:rPr>
          <w:rFonts w:eastAsiaTheme="majorEastAsia"/>
          <w:bCs/>
          <w:color w:val="00313C" w:themeColor="accent2"/>
        </w:rPr>
        <w:t>)</w:t>
      </w:r>
    </w:p>
    <w:p w14:paraId="781D611D" w14:textId="1F6EF079" w:rsidR="009F7E76" w:rsidRDefault="00B224B1">
      <w:pPr>
        <w:rPr>
          <w:rFonts w:ascii="Calibri" w:eastAsiaTheme="majorEastAsia" w:hAnsi="Calibri" w:cstheme="majorBidi"/>
          <w:bCs/>
          <w:color w:val="00313C" w:themeColor="accent2"/>
          <w:sz w:val="32"/>
          <w:szCs w:val="26"/>
        </w:rPr>
      </w:pPr>
      <w:r>
        <w:rPr>
          <w:noProof/>
        </w:rPr>
        <w:drawing>
          <wp:inline distT="0" distB="0" distL="0" distR="0" wp14:anchorId="19454098" wp14:editId="32C584CC">
            <wp:extent cx="5122798" cy="3538800"/>
            <wp:effectExtent l="0" t="0" r="1905" b="5080"/>
            <wp:docPr id="7183042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193">
                      <a:extLst>
                        <a:ext uri="{28A0092B-C50C-407E-A947-70E740481C1C}">
                          <a14:useLocalDpi xmlns:a14="http://schemas.microsoft.com/office/drawing/2010/main" val="0"/>
                        </a:ext>
                      </a:extLst>
                    </a:blip>
                    <a:stretch>
                      <a:fillRect/>
                    </a:stretch>
                  </pic:blipFill>
                  <pic:spPr>
                    <a:xfrm>
                      <a:off x="0" y="0"/>
                      <a:ext cx="5122798" cy="3538800"/>
                    </a:xfrm>
                    <a:prstGeom prst="rect">
                      <a:avLst/>
                    </a:prstGeom>
                  </pic:spPr>
                </pic:pic>
              </a:graphicData>
            </a:graphic>
          </wp:inline>
        </w:drawing>
      </w:r>
    </w:p>
    <w:p w14:paraId="2E042FEF" w14:textId="77777777" w:rsidR="00B224B1" w:rsidRDefault="00B224B1">
      <w:pPr>
        <w:rPr>
          <w:rFonts w:ascii="Calibri" w:eastAsiaTheme="majorEastAsia" w:hAnsi="Calibri" w:cstheme="majorBidi"/>
          <w:bCs/>
          <w:color w:val="00313C" w:themeColor="accent2"/>
          <w:sz w:val="32"/>
          <w:szCs w:val="26"/>
        </w:rPr>
      </w:pPr>
    </w:p>
    <w:p w14:paraId="37C5E963" w14:textId="3713D60F" w:rsidR="00B224B1" w:rsidRPr="00EE274B" w:rsidRDefault="00B224B1" w:rsidP="00B224B1">
      <w:pPr>
        <w:rPr>
          <w:rFonts w:eastAsiaTheme="majorEastAsia"/>
          <w:bCs/>
          <w:color w:val="00313C" w:themeColor="accent2"/>
        </w:rPr>
      </w:pPr>
      <w:r w:rsidRPr="00EE274B">
        <w:rPr>
          <w:rFonts w:eastAsiaTheme="majorEastAsia"/>
          <w:bCs/>
          <w:color w:val="00313C" w:themeColor="accent2"/>
        </w:rPr>
        <w:t>(</w:t>
      </w:r>
      <w:r>
        <w:rPr>
          <w:rFonts w:eastAsiaTheme="majorEastAsia"/>
          <w:bCs/>
          <w:color w:val="00313C" w:themeColor="accent2"/>
        </w:rPr>
        <w:t>p</w:t>
      </w:r>
      <w:r w:rsidRPr="00EE274B">
        <w:rPr>
          <w:rFonts w:eastAsiaTheme="majorEastAsia"/>
          <w:bCs/>
          <w:color w:val="00313C" w:themeColor="accent2"/>
        </w:rPr>
        <w:t>)</w:t>
      </w:r>
    </w:p>
    <w:p w14:paraId="57DF2C01" w14:textId="3C0DBD36" w:rsidR="009F7E76" w:rsidRDefault="00B224B1">
      <w:pPr>
        <w:rPr>
          <w:rFonts w:ascii="Calibri" w:eastAsiaTheme="majorEastAsia" w:hAnsi="Calibri" w:cstheme="majorBidi"/>
          <w:bCs/>
          <w:color w:val="00313C" w:themeColor="accent2"/>
          <w:sz w:val="32"/>
          <w:szCs w:val="26"/>
        </w:rPr>
      </w:pPr>
      <w:r>
        <w:rPr>
          <w:noProof/>
        </w:rPr>
        <w:drawing>
          <wp:inline distT="0" distB="0" distL="0" distR="0" wp14:anchorId="76208D6A" wp14:editId="5E844AE4">
            <wp:extent cx="5122798" cy="3538800"/>
            <wp:effectExtent l="0" t="0" r="1905" b="5080"/>
            <wp:docPr id="1467753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194">
                      <a:extLst>
                        <a:ext uri="{28A0092B-C50C-407E-A947-70E740481C1C}">
                          <a14:useLocalDpi xmlns:a14="http://schemas.microsoft.com/office/drawing/2010/main" val="0"/>
                        </a:ext>
                      </a:extLst>
                    </a:blip>
                    <a:stretch>
                      <a:fillRect/>
                    </a:stretch>
                  </pic:blipFill>
                  <pic:spPr>
                    <a:xfrm>
                      <a:off x="0" y="0"/>
                      <a:ext cx="5122798" cy="3538800"/>
                    </a:xfrm>
                    <a:prstGeom prst="rect">
                      <a:avLst/>
                    </a:prstGeom>
                  </pic:spPr>
                </pic:pic>
              </a:graphicData>
            </a:graphic>
          </wp:inline>
        </w:drawing>
      </w:r>
    </w:p>
    <w:p w14:paraId="181D90E3" w14:textId="541A71C9" w:rsidR="00876F82" w:rsidRDefault="00876F82">
      <w:pPr>
        <w:rPr>
          <w:rFonts w:ascii="Calibri" w:eastAsiaTheme="majorEastAsia" w:hAnsi="Calibri" w:cstheme="majorBidi"/>
          <w:bCs/>
          <w:color w:val="00313C" w:themeColor="accent2"/>
          <w:sz w:val="32"/>
          <w:szCs w:val="26"/>
        </w:rPr>
      </w:pPr>
    </w:p>
    <w:p w14:paraId="158BFFDE" w14:textId="77777777" w:rsidR="00876F82" w:rsidRDefault="00876F82">
      <w:pPr>
        <w:rPr>
          <w:rFonts w:ascii="Calibri" w:eastAsiaTheme="majorEastAsia" w:hAnsi="Calibri" w:cstheme="majorBidi"/>
          <w:bCs/>
          <w:color w:val="00313C" w:themeColor="accent2"/>
          <w:sz w:val="32"/>
          <w:szCs w:val="26"/>
        </w:rPr>
      </w:pPr>
    </w:p>
    <w:p w14:paraId="26F05298" w14:textId="77777777" w:rsidR="005C6350" w:rsidRDefault="005C6350">
      <w:pPr>
        <w:rPr>
          <w:rFonts w:ascii="Calibri" w:eastAsiaTheme="majorEastAsia" w:hAnsi="Calibri" w:cstheme="majorBidi"/>
          <w:bCs/>
          <w:color w:val="00313C" w:themeColor="accent2"/>
          <w:sz w:val="32"/>
          <w:szCs w:val="26"/>
        </w:rPr>
        <w:sectPr w:rsidR="005C6350" w:rsidSect="00175CFB">
          <w:type w:val="continuous"/>
          <w:pgSz w:w="11906" w:h="16838" w:code="9"/>
          <w:pgMar w:top="567" w:right="1134" w:bottom="567" w:left="1134" w:header="510" w:footer="624" w:gutter="0"/>
          <w:cols w:space="850"/>
          <w:docGrid w:linePitch="360"/>
        </w:sectPr>
      </w:pPr>
    </w:p>
    <w:p w14:paraId="326811EC" w14:textId="77777777" w:rsidR="00E33B72" w:rsidRDefault="00E33B72">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1ECC4933" w14:textId="77777777" w:rsidR="00E33B72" w:rsidRPr="00EE274B" w:rsidRDefault="00E33B72" w:rsidP="00E33B72">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q</w:t>
      </w:r>
      <w:r w:rsidRPr="00EE274B">
        <w:rPr>
          <w:rFonts w:eastAsiaTheme="majorEastAsia"/>
          <w:bCs/>
          <w:color w:val="00313C" w:themeColor="accent2"/>
        </w:rPr>
        <w:t>)</w:t>
      </w:r>
    </w:p>
    <w:p w14:paraId="1E20F608" w14:textId="77777777" w:rsidR="00E33B72" w:rsidRDefault="00E33B72" w:rsidP="00E33B72">
      <w:pPr>
        <w:rPr>
          <w:rFonts w:ascii="Calibri" w:eastAsiaTheme="majorEastAsia" w:hAnsi="Calibri" w:cstheme="majorBidi"/>
          <w:bCs/>
          <w:color w:val="00313C" w:themeColor="accent2"/>
          <w:sz w:val="32"/>
          <w:szCs w:val="26"/>
        </w:rPr>
      </w:pPr>
      <w:r>
        <w:rPr>
          <w:noProof/>
        </w:rPr>
        <w:drawing>
          <wp:inline distT="0" distB="0" distL="0" distR="0" wp14:anchorId="509000A1" wp14:editId="143A034B">
            <wp:extent cx="5123936" cy="3538588"/>
            <wp:effectExtent l="0" t="0" r="635" b="5080"/>
            <wp:docPr id="11700204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5">
                      <a:extLst>
                        <a:ext uri="{28A0092B-C50C-407E-A947-70E740481C1C}">
                          <a14:useLocalDpi xmlns:a14="http://schemas.microsoft.com/office/drawing/2010/main" val="0"/>
                        </a:ext>
                      </a:extLst>
                    </a:blip>
                    <a:stretch>
                      <a:fillRect/>
                    </a:stretch>
                  </pic:blipFill>
                  <pic:spPr>
                    <a:xfrm>
                      <a:off x="0" y="0"/>
                      <a:ext cx="5123936" cy="3538588"/>
                    </a:xfrm>
                    <a:prstGeom prst="rect">
                      <a:avLst/>
                    </a:prstGeom>
                  </pic:spPr>
                </pic:pic>
              </a:graphicData>
            </a:graphic>
          </wp:inline>
        </w:drawing>
      </w:r>
    </w:p>
    <w:p w14:paraId="718B55D6" w14:textId="77777777" w:rsidR="00E33B72" w:rsidRDefault="00E33B72" w:rsidP="00E33B72">
      <w:pPr>
        <w:rPr>
          <w:rFonts w:ascii="Calibri" w:eastAsiaTheme="majorEastAsia" w:hAnsi="Calibri" w:cstheme="majorBidi"/>
          <w:bCs/>
          <w:color w:val="00313C" w:themeColor="accent2"/>
          <w:sz w:val="32"/>
          <w:szCs w:val="26"/>
        </w:rPr>
      </w:pPr>
    </w:p>
    <w:p w14:paraId="0968F725" w14:textId="77777777" w:rsidR="00E33B72" w:rsidRPr="00EE274B" w:rsidRDefault="00E33B72" w:rsidP="00E33B72">
      <w:pPr>
        <w:rPr>
          <w:rFonts w:eastAsiaTheme="majorEastAsia"/>
          <w:bCs/>
          <w:color w:val="00313C" w:themeColor="accent2"/>
        </w:rPr>
      </w:pPr>
      <w:r w:rsidRPr="00EE274B">
        <w:rPr>
          <w:rFonts w:eastAsiaTheme="majorEastAsia"/>
          <w:bCs/>
          <w:color w:val="00313C" w:themeColor="accent2"/>
        </w:rPr>
        <w:t>(</w:t>
      </w:r>
      <w:r>
        <w:rPr>
          <w:rFonts w:eastAsiaTheme="majorEastAsia"/>
          <w:bCs/>
          <w:color w:val="00313C" w:themeColor="accent2"/>
        </w:rPr>
        <w:t>r</w:t>
      </w:r>
      <w:r w:rsidRPr="00EE274B">
        <w:rPr>
          <w:rFonts w:eastAsiaTheme="majorEastAsia"/>
          <w:bCs/>
          <w:color w:val="00313C" w:themeColor="accent2"/>
        </w:rPr>
        <w:t>)</w:t>
      </w:r>
    </w:p>
    <w:p w14:paraId="1ADDF86C" w14:textId="7DD95D20" w:rsidR="003E4969" w:rsidRDefault="00E33B72" w:rsidP="00E33B72">
      <w:pPr>
        <w:rPr>
          <w:rFonts w:ascii="Calibri" w:eastAsiaTheme="majorEastAsia" w:hAnsi="Calibri" w:cstheme="majorBidi"/>
          <w:bCs/>
          <w:color w:val="00313C" w:themeColor="accent2"/>
          <w:sz w:val="32"/>
          <w:szCs w:val="26"/>
        </w:rPr>
      </w:pPr>
      <w:r>
        <w:rPr>
          <w:noProof/>
        </w:rPr>
        <w:drawing>
          <wp:inline distT="0" distB="0" distL="0" distR="0" wp14:anchorId="067D7123" wp14:editId="109D0E65">
            <wp:extent cx="5123813" cy="3538505"/>
            <wp:effectExtent l="0" t="0" r="635" b="5080"/>
            <wp:docPr id="684499592" name="Picture 190494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945844"/>
                    <pic:cNvPicPr/>
                  </pic:nvPicPr>
                  <pic:blipFill>
                    <a:blip r:embed="rId196">
                      <a:extLst>
                        <a:ext uri="{28A0092B-C50C-407E-A947-70E740481C1C}">
                          <a14:useLocalDpi xmlns:a14="http://schemas.microsoft.com/office/drawing/2010/main" val="0"/>
                        </a:ext>
                      </a:extLst>
                    </a:blip>
                    <a:stretch>
                      <a:fillRect/>
                    </a:stretch>
                  </pic:blipFill>
                  <pic:spPr>
                    <a:xfrm>
                      <a:off x="0" y="0"/>
                      <a:ext cx="5123813" cy="3538505"/>
                    </a:xfrm>
                    <a:prstGeom prst="rect">
                      <a:avLst/>
                    </a:prstGeom>
                  </pic:spPr>
                </pic:pic>
              </a:graphicData>
            </a:graphic>
          </wp:inline>
        </w:drawing>
      </w:r>
    </w:p>
    <w:p w14:paraId="16D6A1B8" w14:textId="77777777" w:rsidR="003E4969" w:rsidRDefault="003E4969">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116D3434" w14:textId="6AB77DBA" w:rsidR="00B0637E" w:rsidRPr="00EE274B" w:rsidRDefault="00B0637E" w:rsidP="00B0637E">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s</w:t>
      </w:r>
      <w:r w:rsidRPr="00EE274B">
        <w:rPr>
          <w:rFonts w:eastAsiaTheme="majorEastAsia"/>
          <w:bCs/>
          <w:color w:val="00313C" w:themeColor="accent2"/>
        </w:rPr>
        <w:t>)</w:t>
      </w:r>
    </w:p>
    <w:p w14:paraId="72FA0D33" w14:textId="346E626C" w:rsidR="00E33B72" w:rsidRDefault="004D6CFF" w:rsidP="00E33B72">
      <w:pPr>
        <w:rPr>
          <w:rFonts w:ascii="Calibri" w:eastAsiaTheme="majorEastAsia" w:hAnsi="Calibri" w:cstheme="majorBidi"/>
          <w:bCs/>
          <w:color w:val="00313C" w:themeColor="accent2"/>
          <w:sz w:val="32"/>
          <w:szCs w:val="26"/>
        </w:rPr>
      </w:pPr>
      <w:r w:rsidRPr="1F802AF8">
        <w:rPr>
          <w:noProof/>
        </w:rPr>
        <w:t xml:space="preserve"> </w:t>
      </w:r>
      <w:r>
        <w:rPr>
          <w:noProof/>
        </w:rPr>
        <w:drawing>
          <wp:inline distT="0" distB="0" distL="0" distR="0" wp14:anchorId="6138A261" wp14:editId="743DEA5E">
            <wp:extent cx="5008882" cy="3459130"/>
            <wp:effectExtent l="0" t="0" r="1270" b="8255"/>
            <wp:docPr id="1546363672" name="Picture 130252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05"/>
                    <pic:cNvPicPr/>
                  </pic:nvPicPr>
                  <pic:blipFill>
                    <a:blip r:embed="rId197">
                      <a:extLst>
                        <a:ext uri="{28A0092B-C50C-407E-A947-70E740481C1C}">
                          <a14:useLocalDpi xmlns:a14="http://schemas.microsoft.com/office/drawing/2010/main" val="0"/>
                        </a:ext>
                      </a:extLst>
                    </a:blip>
                    <a:stretch>
                      <a:fillRect/>
                    </a:stretch>
                  </pic:blipFill>
                  <pic:spPr>
                    <a:xfrm>
                      <a:off x="0" y="0"/>
                      <a:ext cx="5008882" cy="3459130"/>
                    </a:xfrm>
                    <a:prstGeom prst="rect">
                      <a:avLst/>
                    </a:prstGeom>
                  </pic:spPr>
                </pic:pic>
              </a:graphicData>
            </a:graphic>
          </wp:inline>
        </w:drawing>
      </w:r>
    </w:p>
    <w:p w14:paraId="006B3C44" w14:textId="77777777" w:rsidR="00B0637E" w:rsidRDefault="00B0637E" w:rsidP="00B0637E">
      <w:pPr>
        <w:rPr>
          <w:rFonts w:eastAsiaTheme="majorEastAsia"/>
          <w:bCs/>
          <w:color w:val="00313C" w:themeColor="accent2"/>
        </w:rPr>
      </w:pPr>
    </w:p>
    <w:p w14:paraId="452B672E" w14:textId="7FFB1765" w:rsidR="00B0637E" w:rsidRPr="00EE274B" w:rsidRDefault="00B0637E" w:rsidP="00B0637E">
      <w:pPr>
        <w:rPr>
          <w:rFonts w:eastAsiaTheme="majorEastAsia"/>
          <w:bCs/>
          <w:color w:val="00313C" w:themeColor="accent2"/>
        </w:rPr>
      </w:pPr>
      <w:r w:rsidRPr="00EE274B">
        <w:rPr>
          <w:rFonts w:eastAsiaTheme="majorEastAsia"/>
          <w:bCs/>
          <w:color w:val="00313C" w:themeColor="accent2"/>
        </w:rPr>
        <w:t>(</w:t>
      </w:r>
      <w:r>
        <w:rPr>
          <w:rFonts w:eastAsiaTheme="majorEastAsia"/>
          <w:bCs/>
          <w:color w:val="00313C" w:themeColor="accent2"/>
        </w:rPr>
        <w:t>t</w:t>
      </w:r>
      <w:r w:rsidRPr="00EE274B">
        <w:rPr>
          <w:rFonts w:eastAsiaTheme="majorEastAsia"/>
          <w:bCs/>
          <w:color w:val="00313C" w:themeColor="accent2"/>
        </w:rPr>
        <w:t>)</w:t>
      </w:r>
    </w:p>
    <w:p w14:paraId="4B10BFBA" w14:textId="160A4EC6" w:rsidR="003E4969" w:rsidRDefault="00B0637E" w:rsidP="00E33B72">
      <w:pPr>
        <w:rPr>
          <w:rFonts w:ascii="Calibri" w:eastAsiaTheme="majorEastAsia" w:hAnsi="Calibri" w:cstheme="majorBidi"/>
          <w:bCs/>
          <w:color w:val="00313C" w:themeColor="accent2"/>
          <w:sz w:val="32"/>
          <w:szCs w:val="26"/>
        </w:rPr>
      </w:pPr>
      <w:r>
        <w:rPr>
          <w:noProof/>
        </w:rPr>
        <w:drawing>
          <wp:inline distT="0" distB="0" distL="0" distR="0" wp14:anchorId="247CB6C2" wp14:editId="06550267">
            <wp:extent cx="5122798" cy="3538800"/>
            <wp:effectExtent l="0" t="0" r="1905" b="5080"/>
            <wp:docPr id="129787500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98">
                      <a:extLst>
                        <a:ext uri="{28A0092B-C50C-407E-A947-70E740481C1C}">
                          <a14:useLocalDpi xmlns:a14="http://schemas.microsoft.com/office/drawing/2010/main" val="0"/>
                        </a:ext>
                      </a:extLst>
                    </a:blip>
                    <a:stretch>
                      <a:fillRect/>
                    </a:stretch>
                  </pic:blipFill>
                  <pic:spPr>
                    <a:xfrm>
                      <a:off x="0" y="0"/>
                      <a:ext cx="5122798" cy="3538800"/>
                    </a:xfrm>
                    <a:prstGeom prst="rect">
                      <a:avLst/>
                    </a:prstGeom>
                  </pic:spPr>
                </pic:pic>
              </a:graphicData>
            </a:graphic>
          </wp:inline>
        </w:drawing>
      </w:r>
    </w:p>
    <w:p w14:paraId="1734C692" w14:textId="77777777" w:rsidR="00B0637E" w:rsidRDefault="00B0637E" w:rsidP="00E33B72">
      <w:pPr>
        <w:rPr>
          <w:rFonts w:ascii="Calibri" w:eastAsiaTheme="majorEastAsia" w:hAnsi="Calibri" w:cstheme="majorBidi"/>
          <w:bCs/>
          <w:color w:val="00313C" w:themeColor="accent2"/>
          <w:sz w:val="32"/>
          <w:szCs w:val="26"/>
        </w:rPr>
      </w:pPr>
    </w:p>
    <w:p w14:paraId="5185AECE" w14:textId="2BF61F9C" w:rsidR="00B0637E" w:rsidRDefault="00B0637E">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0DEF926E" w14:textId="14173D09" w:rsidR="00B0637E" w:rsidRPr="00EE274B" w:rsidRDefault="00B0637E" w:rsidP="00B0637E">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u</w:t>
      </w:r>
      <w:r w:rsidRPr="00EE274B">
        <w:rPr>
          <w:rFonts w:eastAsiaTheme="majorEastAsia"/>
          <w:bCs/>
          <w:color w:val="00313C" w:themeColor="accent2"/>
        </w:rPr>
        <w:t>)</w:t>
      </w:r>
    </w:p>
    <w:p w14:paraId="5630894E" w14:textId="4B63A52A" w:rsidR="00B0637E" w:rsidRDefault="00B0637E" w:rsidP="00E33B72">
      <w:pPr>
        <w:rPr>
          <w:rFonts w:ascii="Calibri" w:eastAsiaTheme="majorEastAsia" w:hAnsi="Calibri" w:cstheme="majorBidi"/>
          <w:bCs/>
          <w:color w:val="00313C" w:themeColor="accent2"/>
          <w:sz w:val="32"/>
          <w:szCs w:val="26"/>
        </w:rPr>
      </w:pPr>
      <w:r>
        <w:rPr>
          <w:noProof/>
        </w:rPr>
        <w:drawing>
          <wp:inline distT="0" distB="0" distL="0" distR="0" wp14:anchorId="2AECA87F" wp14:editId="0649CC6A">
            <wp:extent cx="5122798" cy="3538800"/>
            <wp:effectExtent l="0" t="0" r="1905" b="5080"/>
            <wp:docPr id="41818850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99">
                      <a:extLst>
                        <a:ext uri="{28A0092B-C50C-407E-A947-70E740481C1C}">
                          <a14:useLocalDpi xmlns:a14="http://schemas.microsoft.com/office/drawing/2010/main" val="0"/>
                        </a:ext>
                      </a:extLst>
                    </a:blip>
                    <a:stretch>
                      <a:fillRect/>
                    </a:stretch>
                  </pic:blipFill>
                  <pic:spPr>
                    <a:xfrm>
                      <a:off x="0" y="0"/>
                      <a:ext cx="5122798" cy="3538800"/>
                    </a:xfrm>
                    <a:prstGeom prst="rect">
                      <a:avLst/>
                    </a:prstGeom>
                  </pic:spPr>
                </pic:pic>
              </a:graphicData>
            </a:graphic>
          </wp:inline>
        </w:drawing>
      </w:r>
    </w:p>
    <w:p w14:paraId="116FD9DD" w14:textId="4906A0D0" w:rsidR="007748E7" w:rsidRDefault="00876F82">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6C77A9BF" w14:textId="0447C7AB" w:rsidR="007748E7" w:rsidRDefault="007748E7" w:rsidP="007748E7">
      <w:pPr>
        <w:pStyle w:val="Caption"/>
        <w:rPr>
          <w:b w:val="0"/>
          <w:bCs w:val="0"/>
        </w:rPr>
      </w:pPr>
      <w:r>
        <w:lastRenderedPageBreak/>
        <w:t>Figure B.</w:t>
      </w:r>
      <w:r w:rsidR="00CE448B">
        <w:t>2</w:t>
      </w:r>
      <w:r>
        <w:t xml:space="preserve">. </w:t>
      </w:r>
      <w:r w:rsidRPr="00A90C92">
        <w:rPr>
          <w:b w:val="0"/>
          <w:bCs w:val="0"/>
        </w:rPr>
        <w:t>Climate change factor summaries</w:t>
      </w:r>
      <w:r>
        <w:rPr>
          <w:b w:val="0"/>
          <w:bCs w:val="0"/>
        </w:rPr>
        <w:t xml:space="preserve"> for 20</w:t>
      </w:r>
      <w:r w:rsidR="00CE448B">
        <w:rPr>
          <w:b w:val="0"/>
          <w:bCs w:val="0"/>
        </w:rPr>
        <w:t>9</w:t>
      </w:r>
      <w:r>
        <w:rPr>
          <w:b w:val="0"/>
          <w:bCs w:val="0"/>
        </w:rPr>
        <w:t>0 for each NRM sub cluster and for each of 21 factors listed in Table 6. White bars = RCP4.5; Grey bars = RCP8.5. Bars denote the median and 10</w:t>
      </w:r>
      <w:r w:rsidRPr="00725DFD">
        <w:rPr>
          <w:b w:val="0"/>
          <w:bCs w:val="0"/>
          <w:vertAlign w:val="superscript"/>
        </w:rPr>
        <w:t>th</w:t>
      </w:r>
      <w:r>
        <w:rPr>
          <w:b w:val="0"/>
          <w:bCs w:val="0"/>
        </w:rPr>
        <w:t xml:space="preserve"> and 90</w:t>
      </w:r>
      <w:r w:rsidRPr="00725DFD">
        <w:rPr>
          <w:b w:val="0"/>
          <w:bCs w:val="0"/>
          <w:vertAlign w:val="superscript"/>
        </w:rPr>
        <w:t>th</w:t>
      </w:r>
      <w:r>
        <w:rPr>
          <w:b w:val="0"/>
          <w:bCs w:val="0"/>
        </w:rPr>
        <w:t xml:space="preserve"> percentile projections across up to 40 global circulation models. Values in x-axis labels for factors (m) – (u)  are current (1986 -  2005) average conditions.</w:t>
      </w:r>
    </w:p>
    <w:p w14:paraId="45B7EE56" w14:textId="77777777" w:rsidR="007748E7" w:rsidRPr="00066153"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066153">
        <w:rPr>
          <w:rFonts w:asciiTheme="minorHAnsi" w:hAnsiTheme="minorHAnsi" w:cstheme="minorHAnsi"/>
          <w:color w:val="007E9A" w:themeColor="accent1" w:themeShade="BF"/>
          <w:sz w:val="18"/>
          <w:szCs w:val="18"/>
        </w:rPr>
        <w:t>Mean temperature change</w:t>
      </w:r>
    </w:p>
    <w:p w14:paraId="3C3F2D16" w14:textId="77777777" w:rsidR="007748E7" w:rsidRPr="00066153"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066153">
        <w:rPr>
          <w:rFonts w:asciiTheme="minorHAnsi" w:hAnsiTheme="minorHAnsi" w:cstheme="minorHAnsi"/>
          <w:color w:val="007E9A" w:themeColor="accent1" w:themeShade="BF"/>
          <w:sz w:val="18"/>
          <w:szCs w:val="18"/>
        </w:rPr>
        <w:t>Maximum temperature change</w:t>
      </w:r>
    </w:p>
    <w:p w14:paraId="5EB188A5" w14:textId="77777777" w:rsidR="007748E7" w:rsidRPr="00066153"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066153">
        <w:rPr>
          <w:rFonts w:asciiTheme="minorHAnsi" w:hAnsiTheme="minorHAnsi" w:cstheme="minorHAnsi"/>
          <w:color w:val="007E9A" w:themeColor="accent1" w:themeShade="BF"/>
          <w:sz w:val="18"/>
          <w:szCs w:val="18"/>
        </w:rPr>
        <w:t>Minimum temperature change</w:t>
      </w:r>
    </w:p>
    <w:p w14:paraId="5BD4121C" w14:textId="77777777" w:rsidR="007748E7" w:rsidRPr="00066153"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066153">
        <w:rPr>
          <w:rFonts w:asciiTheme="minorHAnsi" w:hAnsiTheme="minorHAnsi" w:cstheme="minorHAnsi"/>
          <w:color w:val="007E9A" w:themeColor="accent1" w:themeShade="BF"/>
          <w:sz w:val="18"/>
          <w:szCs w:val="18"/>
        </w:rPr>
        <w:t>Precipitation change</w:t>
      </w:r>
    </w:p>
    <w:p w14:paraId="71C792C9"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Shortwave radiation change</w:t>
      </w:r>
    </w:p>
    <w:p w14:paraId="10572853"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Potential-evapotranspiration change</w:t>
      </w:r>
    </w:p>
    <w:p w14:paraId="7AB2C301"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Windspeed change</w:t>
      </w:r>
    </w:p>
    <w:p w14:paraId="36EFE8D0"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Relative humidity change</w:t>
      </w:r>
    </w:p>
    <w:p w14:paraId="2CC33952"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Coldest night change</w:t>
      </w:r>
    </w:p>
    <w:p w14:paraId="587ADCBF"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Hottest day change</w:t>
      </w:r>
    </w:p>
    <w:p w14:paraId="7C73830B"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Wettest day change</w:t>
      </w:r>
    </w:p>
    <w:p w14:paraId="76774044"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Wettest 1-in-20 year change</w:t>
      </w:r>
    </w:p>
    <w:p w14:paraId="57E979E5"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number of days/year below 0 degrees</w:t>
      </w:r>
    </w:p>
    <w:p w14:paraId="32F63683"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number of days/year above 35 degrees</w:t>
      </w:r>
    </w:p>
    <w:p w14:paraId="2A95FDC8"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days/year &gt; 99.9th percentile rainfall</w:t>
      </w:r>
    </w:p>
    <w:p w14:paraId="5735B25A"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number months/year &lt; 10th percentile rainfall</w:t>
      </w:r>
    </w:p>
    <w:p w14:paraId="42081896"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annual average cumulative forest fire danger index</w:t>
      </w:r>
    </w:p>
    <w:p w14:paraId="4BA40FED"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number days/year with FFDI &gt; High</w:t>
      </w:r>
    </w:p>
    <w:p w14:paraId="7003E457"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time in drought</w:t>
      </w:r>
    </w:p>
    <w:p w14:paraId="605BD75D" w14:textId="77777777" w:rsidR="007748E7" w:rsidRDefault="007748E7" w:rsidP="007748E7">
      <w:pPr>
        <w:pStyle w:val="ListParagraph"/>
        <w:numPr>
          <w:ilvl w:val="0"/>
          <w:numId w:val="25"/>
        </w:numPr>
        <w:rPr>
          <w:rFonts w:asciiTheme="minorHAnsi" w:hAnsiTheme="minorHAnsi" w:cstheme="minorHAnsi"/>
          <w:color w:val="007E9A" w:themeColor="accent1" w:themeShade="BF"/>
          <w:sz w:val="18"/>
          <w:szCs w:val="18"/>
        </w:rPr>
      </w:pPr>
      <w:r w:rsidRPr="00F27FB6">
        <w:rPr>
          <w:rFonts w:asciiTheme="minorHAnsi" w:hAnsiTheme="minorHAnsi" w:cstheme="minorHAnsi"/>
          <w:color w:val="007E9A" w:themeColor="accent1" w:themeShade="BF"/>
          <w:sz w:val="18"/>
          <w:szCs w:val="18"/>
        </w:rPr>
        <w:t>Change in extreme drought frequency</w:t>
      </w:r>
    </w:p>
    <w:p w14:paraId="3E61EB12" w14:textId="77777777" w:rsidR="007748E7" w:rsidRPr="00F27FB6" w:rsidRDefault="007748E7" w:rsidP="007748E7">
      <w:pPr>
        <w:pStyle w:val="ListParagraph"/>
        <w:numPr>
          <w:ilvl w:val="0"/>
          <w:numId w:val="25"/>
        </w:numPr>
        <w:rPr>
          <w:rFonts w:asciiTheme="minorHAnsi" w:hAnsiTheme="minorHAnsi" w:cstheme="minorHAnsi"/>
          <w:color w:val="007E9A" w:themeColor="accent1" w:themeShade="BF"/>
          <w:sz w:val="18"/>
          <w:szCs w:val="18"/>
        </w:rPr>
      </w:pPr>
      <w:r>
        <w:rPr>
          <w:rFonts w:asciiTheme="minorHAnsi" w:hAnsiTheme="minorHAnsi" w:cstheme="minorHAnsi"/>
          <w:color w:val="007E9A" w:themeColor="accent1" w:themeShade="BF"/>
          <w:sz w:val="18"/>
          <w:szCs w:val="18"/>
        </w:rPr>
        <w:t>Change in extreme drought duration</w:t>
      </w:r>
    </w:p>
    <w:p w14:paraId="4D83D4AD" w14:textId="77777777" w:rsidR="007748E7" w:rsidRDefault="007748E7" w:rsidP="007748E7">
      <w:pPr>
        <w:pStyle w:val="ListParagraph"/>
        <w:sectPr w:rsidR="007748E7" w:rsidSect="007748E7">
          <w:headerReference w:type="even" r:id="rId200"/>
          <w:headerReference w:type="default" r:id="rId201"/>
          <w:headerReference w:type="first" r:id="rId202"/>
          <w:footerReference w:type="first" r:id="rId203"/>
          <w:type w:val="continuous"/>
          <w:pgSz w:w="11906" w:h="16838" w:code="9"/>
          <w:pgMar w:top="1134" w:right="1134" w:bottom="1134" w:left="1134" w:header="510" w:footer="624" w:gutter="0"/>
          <w:cols w:space="850"/>
          <w:docGrid w:linePitch="360"/>
        </w:sectPr>
      </w:pPr>
      <w:r>
        <w:br w:type="page"/>
      </w:r>
    </w:p>
    <w:p w14:paraId="5582C118" w14:textId="77777777" w:rsidR="007748E7" w:rsidRDefault="007748E7" w:rsidP="007748E7">
      <w:r>
        <w:lastRenderedPageBreak/>
        <w:t>(a)</w:t>
      </w:r>
    </w:p>
    <w:p w14:paraId="1436A42B" w14:textId="463CDD06" w:rsidR="007748E7" w:rsidRDefault="0086596D" w:rsidP="007748E7">
      <w:r>
        <w:rPr>
          <w:noProof/>
        </w:rPr>
        <w:drawing>
          <wp:inline distT="0" distB="0" distL="0" distR="0" wp14:anchorId="27F80AD2" wp14:editId="5833AB50">
            <wp:extent cx="5083791" cy="2295693"/>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b="34612"/>
                    <a:stretch/>
                  </pic:blipFill>
                  <pic:spPr bwMode="auto">
                    <a:xfrm>
                      <a:off x="0" y="0"/>
                      <a:ext cx="5184133" cy="2341005"/>
                    </a:xfrm>
                    <a:prstGeom prst="rect">
                      <a:avLst/>
                    </a:prstGeom>
                    <a:ln>
                      <a:noFill/>
                    </a:ln>
                    <a:extLst>
                      <a:ext uri="{53640926-AAD7-44D8-BBD7-CCE9431645EC}">
                        <a14:shadowObscured xmlns:a14="http://schemas.microsoft.com/office/drawing/2010/main"/>
                      </a:ext>
                    </a:extLst>
                  </pic:spPr>
                </pic:pic>
              </a:graphicData>
            </a:graphic>
          </wp:inline>
        </w:drawing>
      </w:r>
    </w:p>
    <w:p w14:paraId="0F44AF0F" w14:textId="4B6A7D22" w:rsidR="007748E7" w:rsidRDefault="001406DC" w:rsidP="007748E7">
      <w:r>
        <w:rPr>
          <w:noProof/>
        </w:rPr>
        <w:drawing>
          <wp:inline distT="0" distB="0" distL="0" distR="0" wp14:anchorId="4F4F648E" wp14:editId="51400DBA">
            <wp:extent cx="5076968" cy="22869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b="34773"/>
                    <a:stretch/>
                  </pic:blipFill>
                  <pic:spPr bwMode="auto">
                    <a:xfrm>
                      <a:off x="0" y="0"/>
                      <a:ext cx="5187895" cy="2336918"/>
                    </a:xfrm>
                    <a:prstGeom prst="rect">
                      <a:avLst/>
                    </a:prstGeom>
                    <a:ln>
                      <a:noFill/>
                    </a:ln>
                    <a:extLst>
                      <a:ext uri="{53640926-AAD7-44D8-BBD7-CCE9431645EC}">
                        <a14:shadowObscured xmlns:a14="http://schemas.microsoft.com/office/drawing/2010/main"/>
                      </a:ext>
                    </a:extLst>
                  </pic:spPr>
                </pic:pic>
              </a:graphicData>
            </a:graphic>
          </wp:inline>
        </w:drawing>
      </w:r>
    </w:p>
    <w:p w14:paraId="58FC9715" w14:textId="4CE2EF2C" w:rsidR="00FB4154" w:rsidRDefault="001406DC" w:rsidP="007748E7">
      <w:r>
        <w:rPr>
          <w:noProof/>
        </w:rPr>
        <w:drawing>
          <wp:inline distT="0" distB="0" distL="0" distR="0" wp14:anchorId="15D41354" wp14:editId="215B8777">
            <wp:extent cx="5089709" cy="3432412"/>
            <wp:effectExtent l="0" t="0" r="0" b="0"/>
            <wp:docPr id="1302523905" name="Picture 130252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b="2348"/>
                    <a:stretch/>
                  </pic:blipFill>
                  <pic:spPr bwMode="auto">
                    <a:xfrm>
                      <a:off x="0" y="0"/>
                      <a:ext cx="5198971" cy="3506096"/>
                    </a:xfrm>
                    <a:prstGeom prst="rect">
                      <a:avLst/>
                    </a:prstGeom>
                    <a:ln>
                      <a:noFill/>
                    </a:ln>
                    <a:extLst>
                      <a:ext uri="{53640926-AAD7-44D8-BBD7-CCE9431645EC}">
                        <a14:shadowObscured xmlns:a14="http://schemas.microsoft.com/office/drawing/2010/main"/>
                      </a:ext>
                    </a:extLst>
                  </pic:spPr>
                </pic:pic>
              </a:graphicData>
            </a:graphic>
          </wp:inline>
        </w:drawing>
      </w:r>
    </w:p>
    <w:p w14:paraId="38FE4845" w14:textId="77777777" w:rsidR="00FB4154" w:rsidRDefault="00FB4154">
      <w:r>
        <w:br w:type="page"/>
      </w:r>
    </w:p>
    <w:p w14:paraId="1B66AC0B" w14:textId="77777777" w:rsidR="007748E7" w:rsidRDefault="007748E7" w:rsidP="007748E7"/>
    <w:p w14:paraId="6D3CE927" w14:textId="3F8E54D2" w:rsidR="007748E7" w:rsidRDefault="001406DC" w:rsidP="007748E7">
      <w:r>
        <w:rPr>
          <w:noProof/>
        </w:rPr>
        <w:drawing>
          <wp:inline distT="0" distB="0" distL="0" distR="0" wp14:anchorId="5258C5B8" wp14:editId="4F68B37A">
            <wp:extent cx="4753350" cy="2135875"/>
            <wp:effectExtent l="0" t="0" r="0" b="0"/>
            <wp:docPr id="1302523906" name="Picture 130252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b="34935"/>
                    <a:stretch/>
                  </pic:blipFill>
                  <pic:spPr bwMode="auto">
                    <a:xfrm>
                      <a:off x="0" y="0"/>
                      <a:ext cx="4859050" cy="2183370"/>
                    </a:xfrm>
                    <a:prstGeom prst="rect">
                      <a:avLst/>
                    </a:prstGeom>
                    <a:ln>
                      <a:noFill/>
                    </a:ln>
                    <a:extLst>
                      <a:ext uri="{53640926-AAD7-44D8-BBD7-CCE9431645EC}">
                        <a14:shadowObscured xmlns:a14="http://schemas.microsoft.com/office/drawing/2010/main"/>
                      </a:ext>
                    </a:extLst>
                  </pic:spPr>
                </pic:pic>
              </a:graphicData>
            </a:graphic>
          </wp:inline>
        </w:drawing>
      </w:r>
    </w:p>
    <w:p w14:paraId="54C965EB" w14:textId="31870476" w:rsidR="007748E7" w:rsidRDefault="000E6D1A" w:rsidP="007748E7">
      <w:r>
        <w:rPr>
          <w:noProof/>
        </w:rPr>
        <w:drawing>
          <wp:inline distT="0" distB="0" distL="0" distR="0" wp14:anchorId="23C2F24B" wp14:editId="7EBA2197">
            <wp:extent cx="4742595" cy="3275237"/>
            <wp:effectExtent l="0" t="0" r="1270" b="1905"/>
            <wp:docPr id="1327571230" name="Picture 130252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07"/>
                    <pic:cNvPicPr/>
                  </pic:nvPicPr>
                  <pic:blipFill>
                    <a:blip r:embed="rId208">
                      <a:extLst>
                        <a:ext uri="{28A0092B-C50C-407E-A947-70E740481C1C}">
                          <a14:useLocalDpi xmlns:a14="http://schemas.microsoft.com/office/drawing/2010/main" val="0"/>
                        </a:ext>
                      </a:extLst>
                    </a:blip>
                    <a:stretch>
                      <a:fillRect/>
                    </a:stretch>
                  </pic:blipFill>
                  <pic:spPr>
                    <a:xfrm>
                      <a:off x="0" y="0"/>
                      <a:ext cx="4742595" cy="3275237"/>
                    </a:xfrm>
                    <a:prstGeom prst="rect">
                      <a:avLst/>
                    </a:prstGeom>
                  </pic:spPr>
                </pic:pic>
              </a:graphicData>
            </a:graphic>
          </wp:inline>
        </w:drawing>
      </w:r>
      <w:r>
        <w:br w:type="page"/>
      </w:r>
    </w:p>
    <w:p w14:paraId="4D57BFD0" w14:textId="77777777" w:rsidR="007748E7" w:rsidRDefault="007748E7" w:rsidP="007748E7">
      <w:r>
        <w:lastRenderedPageBreak/>
        <w:t>(b)</w:t>
      </w:r>
    </w:p>
    <w:p w14:paraId="3A66676E" w14:textId="5171D7EE" w:rsidR="007748E7" w:rsidRDefault="001F0B59" w:rsidP="007748E7">
      <w:r>
        <w:rPr>
          <w:noProof/>
        </w:rPr>
        <w:drawing>
          <wp:inline distT="0" distB="0" distL="0" distR="0" wp14:anchorId="1775AA18" wp14:editId="45A788A1">
            <wp:extent cx="5411338" cy="2431535"/>
            <wp:effectExtent l="0" t="0" r="0" b="6985"/>
            <wp:docPr id="1302523908" name="Picture 130252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b="34935"/>
                    <a:stretch/>
                  </pic:blipFill>
                  <pic:spPr bwMode="auto">
                    <a:xfrm>
                      <a:off x="0" y="0"/>
                      <a:ext cx="5419656" cy="2435273"/>
                    </a:xfrm>
                    <a:prstGeom prst="rect">
                      <a:avLst/>
                    </a:prstGeom>
                    <a:ln>
                      <a:noFill/>
                    </a:ln>
                    <a:extLst>
                      <a:ext uri="{53640926-AAD7-44D8-BBD7-CCE9431645EC}">
                        <a14:shadowObscured xmlns:a14="http://schemas.microsoft.com/office/drawing/2010/main"/>
                      </a:ext>
                    </a:extLst>
                  </pic:spPr>
                </pic:pic>
              </a:graphicData>
            </a:graphic>
          </wp:inline>
        </w:drawing>
      </w:r>
      <w:r w:rsidR="007748E7">
        <w:t xml:space="preserve"> </w:t>
      </w:r>
    </w:p>
    <w:p w14:paraId="059AAAC6" w14:textId="0EFB49AD" w:rsidR="007748E7" w:rsidRDefault="00774A97" w:rsidP="007748E7">
      <w:r>
        <w:rPr>
          <w:noProof/>
        </w:rPr>
        <w:drawing>
          <wp:inline distT="0" distB="0" distL="0" distR="0" wp14:anchorId="594618BC" wp14:editId="47315C2F">
            <wp:extent cx="5410283" cy="2442949"/>
            <wp:effectExtent l="0" t="0" r="0" b="0"/>
            <wp:docPr id="1302523916" name="Picture 130252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b="34617"/>
                    <a:stretch/>
                  </pic:blipFill>
                  <pic:spPr bwMode="auto">
                    <a:xfrm>
                      <a:off x="0" y="0"/>
                      <a:ext cx="5420125" cy="2447393"/>
                    </a:xfrm>
                    <a:prstGeom prst="rect">
                      <a:avLst/>
                    </a:prstGeom>
                    <a:ln>
                      <a:noFill/>
                    </a:ln>
                    <a:extLst>
                      <a:ext uri="{53640926-AAD7-44D8-BBD7-CCE9431645EC}">
                        <a14:shadowObscured xmlns:a14="http://schemas.microsoft.com/office/drawing/2010/main"/>
                      </a:ext>
                    </a:extLst>
                  </pic:spPr>
                </pic:pic>
              </a:graphicData>
            </a:graphic>
          </wp:inline>
        </w:drawing>
      </w:r>
    </w:p>
    <w:p w14:paraId="1996302B" w14:textId="5E5F1C4C" w:rsidR="007748E7" w:rsidRDefault="00774A97" w:rsidP="007748E7">
      <w:r>
        <w:rPr>
          <w:noProof/>
        </w:rPr>
        <w:drawing>
          <wp:inline distT="0" distB="0" distL="0" distR="0" wp14:anchorId="01CD6B1A" wp14:editId="4BAA4CCB">
            <wp:extent cx="5390868" cy="3722930"/>
            <wp:effectExtent l="0" t="0" r="635" b="0"/>
            <wp:docPr id="2072220535" name="Picture 130252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17"/>
                    <pic:cNvPicPr/>
                  </pic:nvPicPr>
                  <pic:blipFill>
                    <a:blip r:embed="rId211">
                      <a:extLst>
                        <a:ext uri="{28A0092B-C50C-407E-A947-70E740481C1C}">
                          <a14:useLocalDpi xmlns:a14="http://schemas.microsoft.com/office/drawing/2010/main" val="0"/>
                        </a:ext>
                      </a:extLst>
                    </a:blip>
                    <a:stretch>
                      <a:fillRect/>
                    </a:stretch>
                  </pic:blipFill>
                  <pic:spPr>
                    <a:xfrm>
                      <a:off x="0" y="0"/>
                      <a:ext cx="5390868" cy="3722930"/>
                    </a:xfrm>
                    <a:prstGeom prst="rect">
                      <a:avLst/>
                    </a:prstGeom>
                  </pic:spPr>
                </pic:pic>
              </a:graphicData>
            </a:graphic>
          </wp:inline>
        </w:drawing>
      </w:r>
    </w:p>
    <w:p w14:paraId="31C2AAFA" w14:textId="5216BD2F" w:rsidR="007748E7" w:rsidRDefault="00D6041F" w:rsidP="007748E7">
      <w:r>
        <w:rPr>
          <w:noProof/>
        </w:rPr>
        <w:lastRenderedPageBreak/>
        <w:drawing>
          <wp:inline distT="0" distB="0" distL="0" distR="0" wp14:anchorId="4D648D17" wp14:editId="5F50D9CA">
            <wp:extent cx="5394651" cy="2429302"/>
            <wp:effectExtent l="0" t="0" r="0" b="9525"/>
            <wp:docPr id="1302523918" name="Picture 130252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b="34793"/>
                    <a:stretch/>
                  </pic:blipFill>
                  <pic:spPr bwMode="auto">
                    <a:xfrm>
                      <a:off x="0" y="0"/>
                      <a:ext cx="5403264" cy="2433180"/>
                    </a:xfrm>
                    <a:prstGeom prst="rect">
                      <a:avLst/>
                    </a:prstGeom>
                    <a:ln>
                      <a:noFill/>
                    </a:ln>
                    <a:extLst>
                      <a:ext uri="{53640926-AAD7-44D8-BBD7-CCE9431645EC}">
                        <a14:shadowObscured xmlns:a14="http://schemas.microsoft.com/office/drawing/2010/main"/>
                      </a:ext>
                    </a:extLst>
                  </pic:spPr>
                </pic:pic>
              </a:graphicData>
            </a:graphic>
          </wp:inline>
        </w:drawing>
      </w:r>
    </w:p>
    <w:p w14:paraId="14260BFE" w14:textId="50D64AB4" w:rsidR="00D6041F" w:rsidRDefault="00D6041F" w:rsidP="007748E7">
      <w:r>
        <w:rPr>
          <w:noProof/>
        </w:rPr>
        <w:drawing>
          <wp:inline distT="0" distB="0" distL="0" distR="0" wp14:anchorId="0080B34D" wp14:editId="3BC0169D">
            <wp:extent cx="5363569" cy="3704080"/>
            <wp:effectExtent l="0" t="0" r="8890" b="0"/>
            <wp:docPr id="2098430311" name="Picture 130252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19"/>
                    <pic:cNvPicPr/>
                  </pic:nvPicPr>
                  <pic:blipFill>
                    <a:blip r:embed="rId213">
                      <a:extLst>
                        <a:ext uri="{28A0092B-C50C-407E-A947-70E740481C1C}">
                          <a14:useLocalDpi xmlns:a14="http://schemas.microsoft.com/office/drawing/2010/main" val="0"/>
                        </a:ext>
                      </a:extLst>
                    </a:blip>
                    <a:stretch>
                      <a:fillRect/>
                    </a:stretch>
                  </pic:blipFill>
                  <pic:spPr>
                    <a:xfrm>
                      <a:off x="0" y="0"/>
                      <a:ext cx="5363569" cy="3704080"/>
                    </a:xfrm>
                    <a:prstGeom prst="rect">
                      <a:avLst/>
                    </a:prstGeom>
                  </pic:spPr>
                </pic:pic>
              </a:graphicData>
            </a:graphic>
          </wp:inline>
        </w:drawing>
      </w:r>
    </w:p>
    <w:p w14:paraId="47FCB4DB" w14:textId="77777777" w:rsidR="00D6041F" w:rsidRDefault="00D6041F">
      <w:r>
        <w:br w:type="page"/>
      </w:r>
    </w:p>
    <w:p w14:paraId="12A6DA94" w14:textId="77777777" w:rsidR="007748E7" w:rsidRDefault="007748E7" w:rsidP="007748E7">
      <w:r>
        <w:lastRenderedPageBreak/>
        <w:t>(c)</w:t>
      </w:r>
    </w:p>
    <w:p w14:paraId="261C284C" w14:textId="1AAEEC22" w:rsidR="007748E7" w:rsidRDefault="005C0107" w:rsidP="007748E7">
      <w:r>
        <w:rPr>
          <w:noProof/>
        </w:rPr>
        <w:drawing>
          <wp:inline distT="0" distB="0" distL="0" distR="0" wp14:anchorId="43A5873B" wp14:editId="53306504">
            <wp:extent cx="5247005" cy="2374711"/>
            <wp:effectExtent l="0" t="0" r="0" b="6985"/>
            <wp:docPr id="1302523920" name="Picture 130252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b="34465"/>
                    <a:stretch/>
                  </pic:blipFill>
                  <pic:spPr bwMode="auto">
                    <a:xfrm>
                      <a:off x="0" y="0"/>
                      <a:ext cx="5267540" cy="2384005"/>
                    </a:xfrm>
                    <a:prstGeom prst="rect">
                      <a:avLst/>
                    </a:prstGeom>
                    <a:ln>
                      <a:noFill/>
                    </a:ln>
                    <a:extLst>
                      <a:ext uri="{53640926-AAD7-44D8-BBD7-CCE9431645EC}">
                        <a14:shadowObscured xmlns:a14="http://schemas.microsoft.com/office/drawing/2010/main"/>
                      </a:ext>
                    </a:extLst>
                  </pic:spPr>
                </pic:pic>
              </a:graphicData>
            </a:graphic>
          </wp:inline>
        </w:drawing>
      </w:r>
    </w:p>
    <w:p w14:paraId="2142BEDB" w14:textId="02D2ACE0" w:rsidR="007748E7" w:rsidRDefault="005C0107" w:rsidP="007748E7">
      <w:r>
        <w:rPr>
          <w:noProof/>
        </w:rPr>
        <w:drawing>
          <wp:inline distT="0" distB="0" distL="0" distR="0" wp14:anchorId="673ECCD6" wp14:editId="02A03E72">
            <wp:extent cx="5212592" cy="2340591"/>
            <wp:effectExtent l="0" t="0" r="7620" b="3175"/>
            <wp:docPr id="1302523921" name="Picture 130252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b="34980"/>
                    <a:stretch/>
                  </pic:blipFill>
                  <pic:spPr bwMode="auto">
                    <a:xfrm>
                      <a:off x="0" y="0"/>
                      <a:ext cx="5221583" cy="2344628"/>
                    </a:xfrm>
                    <a:prstGeom prst="rect">
                      <a:avLst/>
                    </a:prstGeom>
                    <a:ln>
                      <a:noFill/>
                    </a:ln>
                    <a:extLst>
                      <a:ext uri="{53640926-AAD7-44D8-BBD7-CCE9431645EC}">
                        <a14:shadowObscured xmlns:a14="http://schemas.microsoft.com/office/drawing/2010/main"/>
                      </a:ext>
                    </a:extLst>
                  </pic:spPr>
                </pic:pic>
              </a:graphicData>
            </a:graphic>
          </wp:inline>
        </w:drawing>
      </w:r>
    </w:p>
    <w:p w14:paraId="18A0A9D5" w14:textId="6F937040" w:rsidR="007748E7" w:rsidRDefault="00A23C81" w:rsidP="007748E7">
      <w:r>
        <w:rPr>
          <w:noProof/>
        </w:rPr>
        <w:drawing>
          <wp:inline distT="0" distB="0" distL="0" distR="0" wp14:anchorId="0646316D" wp14:editId="588855C8">
            <wp:extent cx="5186152" cy="3581554"/>
            <wp:effectExtent l="0" t="0" r="0" b="0"/>
            <wp:docPr id="1919797419" name="Picture 130252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22"/>
                    <pic:cNvPicPr/>
                  </pic:nvPicPr>
                  <pic:blipFill>
                    <a:blip r:embed="rId216">
                      <a:extLst>
                        <a:ext uri="{28A0092B-C50C-407E-A947-70E740481C1C}">
                          <a14:useLocalDpi xmlns:a14="http://schemas.microsoft.com/office/drawing/2010/main" val="0"/>
                        </a:ext>
                      </a:extLst>
                    </a:blip>
                    <a:stretch>
                      <a:fillRect/>
                    </a:stretch>
                  </pic:blipFill>
                  <pic:spPr>
                    <a:xfrm>
                      <a:off x="0" y="0"/>
                      <a:ext cx="5186152" cy="3581554"/>
                    </a:xfrm>
                    <a:prstGeom prst="rect">
                      <a:avLst/>
                    </a:prstGeom>
                  </pic:spPr>
                </pic:pic>
              </a:graphicData>
            </a:graphic>
          </wp:inline>
        </w:drawing>
      </w:r>
    </w:p>
    <w:p w14:paraId="66A014C9" w14:textId="5C0E0BB3" w:rsidR="007748E7" w:rsidRDefault="00A23C81" w:rsidP="007748E7">
      <w:r>
        <w:rPr>
          <w:noProof/>
        </w:rPr>
        <w:lastRenderedPageBreak/>
        <w:drawing>
          <wp:inline distT="0" distB="0" distL="0" distR="0" wp14:anchorId="21E3C2CC" wp14:editId="014FC69C">
            <wp:extent cx="5158016" cy="2333767"/>
            <wp:effectExtent l="0" t="0" r="5080" b="0"/>
            <wp:docPr id="1302523923" name="Picture 130252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b="34484"/>
                    <a:stretch/>
                  </pic:blipFill>
                  <pic:spPr bwMode="auto">
                    <a:xfrm>
                      <a:off x="0" y="0"/>
                      <a:ext cx="5174862" cy="2341389"/>
                    </a:xfrm>
                    <a:prstGeom prst="rect">
                      <a:avLst/>
                    </a:prstGeom>
                    <a:ln>
                      <a:noFill/>
                    </a:ln>
                    <a:extLst>
                      <a:ext uri="{53640926-AAD7-44D8-BBD7-CCE9431645EC}">
                        <a14:shadowObscured xmlns:a14="http://schemas.microsoft.com/office/drawing/2010/main"/>
                      </a:ext>
                    </a:extLst>
                  </pic:spPr>
                </pic:pic>
              </a:graphicData>
            </a:graphic>
          </wp:inline>
        </w:drawing>
      </w:r>
    </w:p>
    <w:p w14:paraId="264A5D01" w14:textId="4583F5F9" w:rsidR="00A23C81" w:rsidRDefault="00A23C81" w:rsidP="007748E7">
      <w:r>
        <w:rPr>
          <w:noProof/>
        </w:rPr>
        <w:drawing>
          <wp:inline distT="0" distB="0" distL="0" distR="0" wp14:anchorId="3E35D05C" wp14:editId="6C82F6D5">
            <wp:extent cx="5117910" cy="3534428"/>
            <wp:effectExtent l="0" t="0" r="6985" b="8890"/>
            <wp:docPr id="1159518417" name="Picture 130252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24"/>
                    <pic:cNvPicPr/>
                  </pic:nvPicPr>
                  <pic:blipFill>
                    <a:blip r:embed="rId217">
                      <a:extLst>
                        <a:ext uri="{28A0092B-C50C-407E-A947-70E740481C1C}">
                          <a14:useLocalDpi xmlns:a14="http://schemas.microsoft.com/office/drawing/2010/main" val="0"/>
                        </a:ext>
                      </a:extLst>
                    </a:blip>
                    <a:stretch>
                      <a:fillRect/>
                    </a:stretch>
                  </pic:blipFill>
                  <pic:spPr>
                    <a:xfrm>
                      <a:off x="0" y="0"/>
                      <a:ext cx="5117910" cy="3534428"/>
                    </a:xfrm>
                    <a:prstGeom prst="rect">
                      <a:avLst/>
                    </a:prstGeom>
                  </pic:spPr>
                </pic:pic>
              </a:graphicData>
            </a:graphic>
          </wp:inline>
        </w:drawing>
      </w:r>
    </w:p>
    <w:p w14:paraId="72802F0A" w14:textId="77777777" w:rsidR="00A23C81" w:rsidRDefault="00A23C81">
      <w:r>
        <w:br w:type="page"/>
      </w:r>
    </w:p>
    <w:p w14:paraId="0DDEBE1E" w14:textId="77777777" w:rsidR="007748E7" w:rsidRDefault="007748E7" w:rsidP="007748E7">
      <w:r>
        <w:lastRenderedPageBreak/>
        <w:t>(d)</w:t>
      </w:r>
    </w:p>
    <w:p w14:paraId="353034B4" w14:textId="6A2D36BE" w:rsidR="007748E7" w:rsidRDefault="00A628B3" w:rsidP="007748E7">
      <w:r>
        <w:rPr>
          <w:noProof/>
        </w:rPr>
        <w:drawing>
          <wp:inline distT="0" distB="0" distL="0" distR="0" wp14:anchorId="639A14D4" wp14:editId="77443101">
            <wp:extent cx="5440114" cy="2456597"/>
            <wp:effectExtent l="0" t="0" r="8255" b="1270"/>
            <wp:docPr id="1302523925" name="Picture 130252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b="34612"/>
                    <a:stretch/>
                  </pic:blipFill>
                  <pic:spPr bwMode="auto">
                    <a:xfrm>
                      <a:off x="0" y="0"/>
                      <a:ext cx="5452280" cy="2462091"/>
                    </a:xfrm>
                    <a:prstGeom prst="rect">
                      <a:avLst/>
                    </a:prstGeom>
                    <a:ln>
                      <a:noFill/>
                    </a:ln>
                    <a:extLst>
                      <a:ext uri="{53640926-AAD7-44D8-BBD7-CCE9431645EC}">
                        <a14:shadowObscured xmlns:a14="http://schemas.microsoft.com/office/drawing/2010/main"/>
                      </a:ext>
                    </a:extLst>
                  </pic:spPr>
                </pic:pic>
              </a:graphicData>
            </a:graphic>
          </wp:inline>
        </w:drawing>
      </w:r>
    </w:p>
    <w:p w14:paraId="1562B2E3" w14:textId="736CB76C" w:rsidR="007748E7" w:rsidRDefault="00E36AFE" w:rsidP="007748E7">
      <w:r>
        <w:rPr>
          <w:noProof/>
        </w:rPr>
        <w:drawing>
          <wp:inline distT="0" distB="0" distL="0" distR="0" wp14:anchorId="2CC593F6" wp14:editId="0E18E0D6">
            <wp:extent cx="5465929" cy="2468254"/>
            <wp:effectExtent l="0" t="0" r="1905" b="8255"/>
            <wp:docPr id="1302523926" name="Picture 130252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b="34612"/>
                    <a:stretch/>
                  </pic:blipFill>
                  <pic:spPr bwMode="auto">
                    <a:xfrm>
                      <a:off x="0" y="0"/>
                      <a:ext cx="5485130" cy="2476924"/>
                    </a:xfrm>
                    <a:prstGeom prst="rect">
                      <a:avLst/>
                    </a:prstGeom>
                    <a:ln>
                      <a:noFill/>
                    </a:ln>
                    <a:extLst>
                      <a:ext uri="{53640926-AAD7-44D8-BBD7-CCE9431645EC}">
                        <a14:shadowObscured xmlns:a14="http://schemas.microsoft.com/office/drawing/2010/main"/>
                      </a:ext>
                    </a:extLst>
                  </pic:spPr>
                </pic:pic>
              </a:graphicData>
            </a:graphic>
          </wp:inline>
        </w:drawing>
      </w:r>
    </w:p>
    <w:p w14:paraId="06756B9C" w14:textId="437CD7A0" w:rsidR="007748E7" w:rsidRDefault="00E36AFE" w:rsidP="007748E7">
      <w:r>
        <w:rPr>
          <w:noProof/>
        </w:rPr>
        <w:drawing>
          <wp:inline distT="0" distB="0" distL="0" distR="0" wp14:anchorId="2768E8B4" wp14:editId="6B7633C0">
            <wp:extent cx="5465446" cy="3774435"/>
            <wp:effectExtent l="0" t="0" r="1905" b="0"/>
            <wp:docPr id="859338334" name="Picture 130252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27"/>
                    <pic:cNvPicPr/>
                  </pic:nvPicPr>
                  <pic:blipFill>
                    <a:blip r:embed="rId220">
                      <a:extLst>
                        <a:ext uri="{28A0092B-C50C-407E-A947-70E740481C1C}">
                          <a14:useLocalDpi xmlns:a14="http://schemas.microsoft.com/office/drawing/2010/main" val="0"/>
                        </a:ext>
                      </a:extLst>
                    </a:blip>
                    <a:stretch>
                      <a:fillRect/>
                    </a:stretch>
                  </pic:blipFill>
                  <pic:spPr>
                    <a:xfrm>
                      <a:off x="0" y="0"/>
                      <a:ext cx="5465446" cy="3774435"/>
                    </a:xfrm>
                    <a:prstGeom prst="rect">
                      <a:avLst/>
                    </a:prstGeom>
                  </pic:spPr>
                </pic:pic>
              </a:graphicData>
            </a:graphic>
          </wp:inline>
        </w:drawing>
      </w:r>
    </w:p>
    <w:p w14:paraId="61ADFB8A" w14:textId="7C0B837E" w:rsidR="007748E7" w:rsidRDefault="00E36AFE" w:rsidP="007748E7">
      <w:r>
        <w:rPr>
          <w:noProof/>
        </w:rPr>
        <w:lastRenderedPageBreak/>
        <w:drawing>
          <wp:inline distT="0" distB="0" distL="0" distR="0" wp14:anchorId="60C06618" wp14:editId="30AC4DED">
            <wp:extent cx="5056496" cy="2277728"/>
            <wp:effectExtent l="0" t="0" r="0" b="8890"/>
            <wp:docPr id="1302523928" name="Picture 130252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b="34773"/>
                    <a:stretch/>
                  </pic:blipFill>
                  <pic:spPr bwMode="auto">
                    <a:xfrm>
                      <a:off x="0" y="0"/>
                      <a:ext cx="5074227" cy="2285715"/>
                    </a:xfrm>
                    <a:prstGeom prst="rect">
                      <a:avLst/>
                    </a:prstGeom>
                    <a:ln>
                      <a:noFill/>
                    </a:ln>
                    <a:extLst>
                      <a:ext uri="{53640926-AAD7-44D8-BBD7-CCE9431645EC}">
                        <a14:shadowObscured xmlns:a14="http://schemas.microsoft.com/office/drawing/2010/main"/>
                      </a:ext>
                    </a:extLst>
                  </pic:spPr>
                </pic:pic>
              </a:graphicData>
            </a:graphic>
          </wp:inline>
        </w:drawing>
      </w:r>
    </w:p>
    <w:p w14:paraId="6A97BBFD" w14:textId="760CD96E" w:rsidR="00BE5674" w:rsidRDefault="00E36AFE" w:rsidP="007748E7">
      <w:r>
        <w:rPr>
          <w:noProof/>
        </w:rPr>
        <w:drawing>
          <wp:inline distT="0" distB="0" distL="0" distR="0" wp14:anchorId="30EA1576" wp14:editId="5D365CA1">
            <wp:extent cx="5076968" cy="3506153"/>
            <wp:effectExtent l="0" t="0" r="0" b="0"/>
            <wp:docPr id="884501155" name="Picture 130252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29"/>
                    <pic:cNvPicPr/>
                  </pic:nvPicPr>
                  <pic:blipFill>
                    <a:blip r:embed="rId218">
                      <a:extLst>
                        <a:ext uri="{28A0092B-C50C-407E-A947-70E740481C1C}">
                          <a14:useLocalDpi xmlns:a14="http://schemas.microsoft.com/office/drawing/2010/main" val="0"/>
                        </a:ext>
                      </a:extLst>
                    </a:blip>
                    <a:stretch>
                      <a:fillRect/>
                    </a:stretch>
                  </pic:blipFill>
                  <pic:spPr>
                    <a:xfrm>
                      <a:off x="0" y="0"/>
                      <a:ext cx="5076968" cy="3506153"/>
                    </a:xfrm>
                    <a:prstGeom prst="rect">
                      <a:avLst/>
                    </a:prstGeom>
                  </pic:spPr>
                </pic:pic>
              </a:graphicData>
            </a:graphic>
          </wp:inline>
        </w:drawing>
      </w:r>
    </w:p>
    <w:p w14:paraId="65FE4775" w14:textId="77777777" w:rsidR="00BE5674" w:rsidRDefault="00BE5674">
      <w:r>
        <w:br w:type="page"/>
      </w:r>
    </w:p>
    <w:p w14:paraId="5A13D776" w14:textId="77777777" w:rsidR="007748E7" w:rsidRDefault="007748E7" w:rsidP="007748E7">
      <w:r>
        <w:lastRenderedPageBreak/>
        <w:t>(e)</w:t>
      </w:r>
    </w:p>
    <w:p w14:paraId="463DC20D" w14:textId="18D8B03A" w:rsidR="007748E7" w:rsidRDefault="007755DF" w:rsidP="007748E7">
      <w:r>
        <w:rPr>
          <w:noProof/>
        </w:rPr>
        <w:drawing>
          <wp:inline distT="0" distB="0" distL="0" distR="0" wp14:anchorId="4BED572B" wp14:editId="098C7D09">
            <wp:extent cx="5288508" cy="2376342"/>
            <wp:effectExtent l="0" t="0" r="7620" b="5080"/>
            <wp:docPr id="1302523931" name="Picture 130252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b="34935"/>
                    <a:stretch/>
                  </pic:blipFill>
                  <pic:spPr bwMode="auto">
                    <a:xfrm>
                      <a:off x="0" y="0"/>
                      <a:ext cx="5298566" cy="2380861"/>
                    </a:xfrm>
                    <a:prstGeom prst="rect">
                      <a:avLst/>
                    </a:prstGeom>
                    <a:ln>
                      <a:noFill/>
                    </a:ln>
                    <a:extLst>
                      <a:ext uri="{53640926-AAD7-44D8-BBD7-CCE9431645EC}">
                        <a14:shadowObscured xmlns:a14="http://schemas.microsoft.com/office/drawing/2010/main"/>
                      </a:ext>
                    </a:extLst>
                  </pic:spPr>
                </pic:pic>
              </a:graphicData>
            </a:graphic>
          </wp:inline>
        </w:drawing>
      </w:r>
    </w:p>
    <w:p w14:paraId="4A4A540C" w14:textId="13310FC8" w:rsidR="007748E7" w:rsidRDefault="007755DF" w:rsidP="007748E7">
      <w:r>
        <w:rPr>
          <w:noProof/>
        </w:rPr>
        <w:drawing>
          <wp:inline distT="0" distB="0" distL="0" distR="0" wp14:anchorId="5C3720DB" wp14:editId="6DA56F00">
            <wp:extent cx="5295332" cy="2379409"/>
            <wp:effectExtent l="0" t="0" r="635" b="1905"/>
            <wp:docPr id="1302523932" name="Picture 130252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b="34935"/>
                    <a:stretch/>
                  </pic:blipFill>
                  <pic:spPr bwMode="auto">
                    <a:xfrm>
                      <a:off x="0" y="0"/>
                      <a:ext cx="5324978" cy="2392730"/>
                    </a:xfrm>
                    <a:prstGeom prst="rect">
                      <a:avLst/>
                    </a:prstGeom>
                    <a:ln>
                      <a:noFill/>
                    </a:ln>
                    <a:extLst>
                      <a:ext uri="{53640926-AAD7-44D8-BBD7-CCE9431645EC}">
                        <a14:shadowObscured xmlns:a14="http://schemas.microsoft.com/office/drawing/2010/main"/>
                      </a:ext>
                    </a:extLst>
                  </pic:spPr>
                </pic:pic>
              </a:graphicData>
            </a:graphic>
          </wp:inline>
        </w:drawing>
      </w:r>
    </w:p>
    <w:p w14:paraId="20873CB5" w14:textId="617EFD6E" w:rsidR="007748E7" w:rsidRDefault="007755DF" w:rsidP="007748E7">
      <w:r>
        <w:rPr>
          <w:noProof/>
        </w:rPr>
        <w:drawing>
          <wp:inline distT="0" distB="0" distL="0" distR="0" wp14:anchorId="5FCD47B8" wp14:editId="7EA03DB2">
            <wp:extent cx="5274858" cy="3642817"/>
            <wp:effectExtent l="0" t="0" r="2540" b="0"/>
            <wp:docPr id="1557832640" name="Picture 130252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33"/>
                    <pic:cNvPicPr/>
                  </pic:nvPicPr>
                  <pic:blipFill>
                    <a:blip r:embed="rId224">
                      <a:extLst>
                        <a:ext uri="{28A0092B-C50C-407E-A947-70E740481C1C}">
                          <a14:useLocalDpi xmlns:a14="http://schemas.microsoft.com/office/drawing/2010/main" val="0"/>
                        </a:ext>
                      </a:extLst>
                    </a:blip>
                    <a:stretch>
                      <a:fillRect/>
                    </a:stretch>
                  </pic:blipFill>
                  <pic:spPr>
                    <a:xfrm>
                      <a:off x="0" y="0"/>
                      <a:ext cx="5274858" cy="3642817"/>
                    </a:xfrm>
                    <a:prstGeom prst="rect">
                      <a:avLst/>
                    </a:prstGeom>
                  </pic:spPr>
                </pic:pic>
              </a:graphicData>
            </a:graphic>
          </wp:inline>
        </w:drawing>
      </w:r>
    </w:p>
    <w:p w14:paraId="7F30B841" w14:textId="0B66221D" w:rsidR="007748E7" w:rsidRDefault="007755DF" w:rsidP="007748E7">
      <w:r>
        <w:rPr>
          <w:noProof/>
        </w:rPr>
        <w:lastRenderedPageBreak/>
        <w:drawing>
          <wp:inline distT="0" distB="0" distL="0" distR="0" wp14:anchorId="68376842" wp14:editId="646BC8AD">
            <wp:extent cx="5111087" cy="2296620"/>
            <wp:effectExtent l="0" t="0" r="0" b="8890"/>
            <wp:docPr id="1302523934" name="Picture 130252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b="34935"/>
                    <a:stretch/>
                  </pic:blipFill>
                  <pic:spPr bwMode="auto">
                    <a:xfrm>
                      <a:off x="0" y="0"/>
                      <a:ext cx="5129293" cy="2304801"/>
                    </a:xfrm>
                    <a:prstGeom prst="rect">
                      <a:avLst/>
                    </a:prstGeom>
                    <a:ln>
                      <a:noFill/>
                    </a:ln>
                    <a:extLst>
                      <a:ext uri="{53640926-AAD7-44D8-BBD7-CCE9431645EC}">
                        <a14:shadowObscured xmlns:a14="http://schemas.microsoft.com/office/drawing/2010/main"/>
                      </a:ext>
                    </a:extLst>
                  </pic:spPr>
                </pic:pic>
              </a:graphicData>
            </a:graphic>
          </wp:inline>
        </w:drawing>
      </w:r>
    </w:p>
    <w:p w14:paraId="0B1980EA" w14:textId="4C8C42E6" w:rsidR="003A7AA2" w:rsidRDefault="007755DF" w:rsidP="007748E7">
      <w:r>
        <w:rPr>
          <w:noProof/>
        </w:rPr>
        <w:drawing>
          <wp:inline distT="0" distB="0" distL="0" distR="0" wp14:anchorId="3EBC3163" wp14:editId="15FE8E29">
            <wp:extent cx="5117910" cy="3534428"/>
            <wp:effectExtent l="0" t="0" r="6985" b="8890"/>
            <wp:docPr id="1799744465" name="Picture 130252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523935"/>
                    <pic:cNvPicPr/>
                  </pic:nvPicPr>
                  <pic:blipFill>
                    <a:blip r:embed="rId226">
                      <a:extLst>
                        <a:ext uri="{28A0092B-C50C-407E-A947-70E740481C1C}">
                          <a14:useLocalDpi xmlns:a14="http://schemas.microsoft.com/office/drawing/2010/main" val="0"/>
                        </a:ext>
                      </a:extLst>
                    </a:blip>
                    <a:stretch>
                      <a:fillRect/>
                    </a:stretch>
                  </pic:blipFill>
                  <pic:spPr>
                    <a:xfrm>
                      <a:off x="0" y="0"/>
                      <a:ext cx="5117910" cy="3534428"/>
                    </a:xfrm>
                    <a:prstGeom prst="rect">
                      <a:avLst/>
                    </a:prstGeom>
                  </pic:spPr>
                </pic:pic>
              </a:graphicData>
            </a:graphic>
          </wp:inline>
        </w:drawing>
      </w:r>
    </w:p>
    <w:p w14:paraId="3BEF4999" w14:textId="77777777" w:rsidR="003A7AA2" w:rsidRDefault="003A7AA2">
      <w:r>
        <w:br w:type="page"/>
      </w:r>
    </w:p>
    <w:p w14:paraId="6C7348AD" w14:textId="77777777" w:rsidR="007748E7" w:rsidRDefault="007748E7" w:rsidP="007748E7">
      <w:r>
        <w:lastRenderedPageBreak/>
        <w:t>(f)</w:t>
      </w:r>
    </w:p>
    <w:p w14:paraId="1DB8137B" w14:textId="01C06165" w:rsidR="007748E7" w:rsidRDefault="00945999" w:rsidP="007748E7">
      <w:r>
        <w:rPr>
          <w:noProof/>
        </w:rPr>
        <w:drawing>
          <wp:inline distT="0" distB="0" distL="0" distR="0" wp14:anchorId="4C65089A" wp14:editId="61A0714A">
            <wp:extent cx="5117911" cy="2305393"/>
            <wp:effectExtent l="0" t="0" r="6985" b="0"/>
            <wp:docPr id="808950944" name="Picture 80895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b="34773"/>
                    <a:stretch/>
                  </pic:blipFill>
                  <pic:spPr bwMode="auto">
                    <a:xfrm>
                      <a:off x="0" y="0"/>
                      <a:ext cx="5127054" cy="2309512"/>
                    </a:xfrm>
                    <a:prstGeom prst="rect">
                      <a:avLst/>
                    </a:prstGeom>
                    <a:ln>
                      <a:noFill/>
                    </a:ln>
                    <a:extLst>
                      <a:ext uri="{53640926-AAD7-44D8-BBD7-CCE9431645EC}">
                        <a14:shadowObscured xmlns:a14="http://schemas.microsoft.com/office/drawing/2010/main"/>
                      </a:ext>
                    </a:extLst>
                  </pic:spPr>
                </pic:pic>
              </a:graphicData>
            </a:graphic>
          </wp:inline>
        </w:drawing>
      </w:r>
    </w:p>
    <w:p w14:paraId="39D00843" w14:textId="62A17A25" w:rsidR="007748E7" w:rsidRDefault="00945999" w:rsidP="007748E7">
      <w:r>
        <w:rPr>
          <w:noProof/>
        </w:rPr>
        <w:drawing>
          <wp:inline distT="0" distB="0" distL="0" distR="0" wp14:anchorId="67D7D6AC" wp14:editId="63271F23">
            <wp:extent cx="5117465" cy="2316604"/>
            <wp:effectExtent l="0" t="0" r="6985" b="7620"/>
            <wp:docPr id="808950945" name="Picture 80895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b="34450"/>
                    <a:stretch/>
                  </pic:blipFill>
                  <pic:spPr bwMode="auto">
                    <a:xfrm>
                      <a:off x="0" y="0"/>
                      <a:ext cx="5137487" cy="2325667"/>
                    </a:xfrm>
                    <a:prstGeom prst="rect">
                      <a:avLst/>
                    </a:prstGeom>
                    <a:ln>
                      <a:noFill/>
                    </a:ln>
                    <a:extLst>
                      <a:ext uri="{53640926-AAD7-44D8-BBD7-CCE9431645EC}">
                        <a14:shadowObscured xmlns:a14="http://schemas.microsoft.com/office/drawing/2010/main"/>
                      </a:ext>
                    </a:extLst>
                  </pic:spPr>
                </pic:pic>
              </a:graphicData>
            </a:graphic>
          </wp:inline>
        </w:drawing>
      </w:r>
    </w:p>
    <w:p w14:paraId="7CD9BD1D" w14:textId="058C4F4D" w:rsidR="007748E7" w:rsidRDefault="00945999" w:rsidP="007748E7">
      <w:r>
        <w:rPr>
          <w:noProof/>
        </w:rPr>
        <w:drawing>
          <wp:inline distT="0" distB="0" distL="0" distR="0" wp14:anchorId="72CAFADC" wp14:editId="6EE27A32">
            <wp:extent cx="5124736" cy="3539141"/>
            <wp:effectExtent l="0" t="0" r="0" b="4445"/>
            <wp:docPr id="1908745683" name="Picture 80895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46"/>
                    <pic:cNvPicPr/>
                  </pic:nvPicPr>
                  <pic:blipFill>
                    <a:blip r:embed="rId229">
                      <a:extLst>
                        <a:ext uri="{28A0092B-C50C-407E-A947-70E740481C1C}">
                          <a14:useLocalDpi xmlns:a14="http://schemas.microsoft.com/office/drawing/2010/main" val="0"/>
                        </a:ext>
                      </a:extLst>
                    </a:blip>
                    <a:stretch>
                      <a:fillRect/>
                    </a:stretch>
                  </pic:blipFill>
                  <pic:spPr>
                    <a:xfrm>
                      <a:off x="0" y="0"/>
                      <a:ext cx="5124736" cy="3539141"/>
                    </a:xfrm>
                    <a:prstGeom prst="rect">
                      <a:avLst/>
                    </a:prstGeom>
                  </pic:spPr>
                </pic:pic>
              </a:graphicData>
            </a:graphic>
          </wp:inline>
        </w:drawing>
      </w:r>
    </w:p>
    <w:p w14:paraId="4F9CAF0B" w14:textId="61A420C8" w:rsidR="007748E7" w:rsidRDefault="002C12F4" w:rsidP="007748E7">
      <w:r>
        <w:rPr>
          <w:noProof/>
        </w:rPr>
        <w:lastRenderedPageBreak/>
        <w:drawing>
          <wp:inline distT="0" distB="0" distL="0" distR="0" wp14:anchorId="708A7471" wp14:editId="0176D35E">
            <wp:extent cx="5122776" cy="2313296"/>
            <wp:effectExtent l="0" t="0" r="1905" b="0"/>
            <wp:docPr id="808950947" name="Picture 80895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b="34612"/>
                    <a:stretch/>
                  </pic:blipFill>
                  <pic:spPr bwMode="auto">
                    <a:xfrm>
                      <a:off x="0" y="0"/>
                      <a:ext cx="5148117" cy="2324739"/>
                    </a:xfrm>
                    <a:prstGeom prst="rect">
                      <a:avLst/>
                    </a:prstGeom>
                    <a:ln>
                      <a:noFill/>
                    </a:ln>
                    <a:extLst>
                      <a:ext uri="{53640926-AAD7-44D8-BBD7-CCE9431645EC}">
                        <a14:shadowObscured xmlns:a14="http://schemas.microsoft.com/office/drawing/2010/main"/>
                      </a:ext>
                    </a:extLst>
                  </pic:spPr>
                </pic:pic>
              </a:graphicData>
            </a:graphic>
          </wp:inline>
        </w:drawing>
      </w:r>
    </w:p>
    <w:p w14:paraId="708ED395" w14:textId="45A25FD2" w:rsidR="002C12F4" w:rsidRDefault="002C12F4" w:rsidP="007748E7">
      <w:r>
        <w:rPr>
          <w:noProof/>
        </w:rPr>
        <w:drawing>
          <wp:inline distT="0" distB="0" distL="0" distR="0" wp14:anchorId="7A8A4EA8" wp14:editId="469772B9">
            <wp:extent cx="5131558" cy="3543853"/>
            <wp:effectExtent l="0" t="0" r="0" b="0"/>
            <wp:docPr id="605026138" name="Picture 80895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48"/>
                    <pic:cNvPicPr/>
                  </pic:nvPicPr>
                  <pic:blipFill>
                    <a:blip r:embed="rId231">
                      <a:extLst>
                        <a:ext uri="{28A0092B-C50C-407E-A947-70E740481C1C}">
                          <a14:useLocalDpi xmlns:a14="http://schemas.microsoft.com/office/drawing/2010/main" val="0"/>
                        </a:ext>
                      </a:extLst>
                    </a:blip>
                    <a:stretch>
                      <a:fillRect/>
                    </a:stretch>
                  </pic:blipFill>
                  <pic:spPr>
                    <a:xfrm>
                      <a:off x="0" y="0"/>
                      <a:ext cx="5131558" cy="3543853"/>
                    </a:xfrm>
                    <a:prstGeom prst="rect">
                      <a:avLst/>
                    </a:prstGeom>
                  </pic:spPr>
                </pic:pic>
              </a:graphicData>
            </a:graphic>
          </wp:inline>
        </w:drawing>
      </w:r>
    </w:p>
    <w:p w14:paraId="0142E731" w14:textId="77777777" w:rsidR="002C12F4" w:rsidRDefault="002C12F4">
      <w:r>
        <w:br w:type="page"/>
      </w:r>
    </w:p>
    <w:p w14:paraId="0BB54EF2" w14:textId="77777777" w:rsidR="002C12F4" w:rsidRDefault="002C12F4" w:rsidP="007748E7"/>
    <w:p w14:paraId="48F40F9D" w14:textId="77777777" w:rsidR="007748E7" w:rsidRDefault="007748E7" w:rsidP="007748E7">
      <w:r>
        <w:t>(g)</w:t>
      </w:r>
    </w:p>
    <w:p w14:paraId="5607D2F9" w14:textId="65374046" w:rsidR="007748E7" w:rsidRDefault="00A60910" w:rsidP="007748E7">
      <w:r>
        <w:rPr>
          <w:noProof/>
        </w:rPr>
        <w:drawing>
          <wp:inline distT="0" distB="0" distL="0" distR="0" wp14:anchorId="13A998FF" wp14:editId="3B18F82D">
            <wp:extent cx="5022376" cy="2273558"/>
            <wp:effectExtent l="0" t="0" r="6985" b="0"/>
            <wp:docPr id="808950949" name="Picture 80895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b="34450"/>
                    <a:stretch/>
                  </pic:blipFill>
                  <pic:spPr bwMode="auto">
                    <a:xfrm>
                      <a:off x="0" y="0"/>
                      <a:ext cx="5043218" cy="2282993"/>
                    </a:xfrm>
                    <a:prstGeom prst="rect">
                      <a:avLst/>
                    </a:prstGeom>
                    <a:ln>
                      <a:noFill/>
                    </a:ln>
                    <a:extLst>
                      <a:ext uri="{53640926-AAD7-44D8-BBD7-CCE9431645EC}">
                        <a14:shadowObscured xmlns:a14="http://schemas.microsoft.com/office/drawing/2010/main"/>
                      </a:ext>
                    </a:extLst>
                  </pic:spPr>
                </pic:pic>
              </a:graphicData>
            </a:graphic>
          </wp:inline>
        </w:drawing>
      </w:r>
    </w:p>
    <w:p w14:paraId="05358B9A" w14:textId="18036B51" w:rsidR="007748E7" w:rsidRDefault="00A60910" w:rsidP="007748E7">
      <w:r>
        <w:rPr>
          <w:noProof/>
        </w:rPr>
        <w:drawing>
          <wp:inline distT="0" distB="0" distL="0" distR="0" wp14:anchorId="5638CF9A" wp14:editId="47F5BAE7">
            <wp:extent cx="5063320" cy="2286448"/>
            <wp:effectExtent l="0" t="0" r="4445" b="0"/>
            <wp:docPr id="808950951" name="Picture 80895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b="34612"/>
                    <a:stretch/>
                  </pic:blipFill>
                  <pic:spPr bwMode="auto">
                    <a:xfrm>
                      <a:off x="0" y="0"/>
                      <a:ext cx="5076466" cy="2292384"/>
                    </a:xfrm>
                    <a:prstGeom prst="rect">
                      <a:avLst/>
                    </a:prstGeom>
                    <a:ln>
                      <a:noFill/>
                    </a:ln>
                    <a:extLst>
                      <a:ext uri="{53640926-AAD7-44D8-BBD7-CCE9431645EC}">
                        <a14:shadowObscured xmlns:a14="http://schemas.microsoft.com/office/drawing/2010/main"/>
                      </a:ext>
                    </a:extLst>
                  </pic:spPr>
                </pic:pic>
              </a:graphicData>
            </a:graphic>
          </wp:inline>
        </w:drawing>
      </w:r>
    </w:p>
    <w:p w14:paraId="7239510F" w14:textId="2B350F80" w:rsidR="007748E7" w:rsidRDefault="00A60910" w:rsidP="007748E7">
      <w:r>
        <w:rPr>
          <w:noProof/>
        </w:rPr>
        <w:drawing>
          <wp:inline distT="0" distB="0" distL="0" distR="0" wp14:anchorId="2DA07951" wp14:editId="3910009E">
            <wp:extent cx="5076968" cy="3506153"/>
            <wp:effectExtent l="0" t="0" r="0" b="0"/>
            <wp:docPr id="813558599" name="Picture 80895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52"/>
                    <pic:cNvPicPr/>
                  </pic:nvPicPr>
                  <pic:blipFill>
                    <a:blip r:embed="rId234">
                      <a:extLst>
                        <a:ext uri="{28A0092B-C50C-407E-A947-70E740481C1C}">
                          <a14:useLocalDpi xmlns:a14="http://schemas.microsoft.com/office/drawing/2010/main" val="0"/>
                        </a:ext>
                      </a:extLst>
                    </a:blip>
                    <a:stretch>
                      <a:fillRect/>
                    </a:stretch>
                  </pic:blipFill>
                  <pic:spPr>
                    <a:xfrm>
                      <a:off x="0" y="0"/>
                      <a:ext cx="5076968" cy="3506153"/>
                    </a:xfrm>
                    <a:prstGeom prst="rect">
                      <a:avLst/>
                    </a:prstGeom>
                  </pic:spPr>
                </pic:pic>
              </a:graphicData>
            </a:graphic>
          </wp:inline>
        </w:drawing>
      </w:r>
    </w:p>
    <w:p w14:paraId="1BE79C8B" w14:textId="631FD633" w:rsidR="007748E7" w:rsidRDefault="00A60910" w:rsidP="007748E7">
      <w:r>
        <w:rPr>
          <w:noProof/>
        </w:rPr>
        <w:lastRenderedPageBreak/>
        <w:drawing>
          <wp:inline distT="0" distB="0" distL="0" distR="0" wp14:anchorId="57695A7D" wp14:editId="35F478ED">
            <wp:extent cx="5220269" cy="2363142"/>
            <wp:effectExtent l="0" t="0" r="0" b="0"/>
            <wp:docPr id="808950953" name="Picture 80895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b="34450"/>
                    <a:stretch/>
                  </pic:blipFill>
                  <pic:spPr bwMode="auto">
                    <a:xfrm>
                      <a:off x="0" y="0"/>
                      <a:ext cx="5237272" cy="2370839"/>
                    </a:xfrm>
                    <a:prstGeom prst="rect">
                      <a:avLst/>
                    </a:prstGeom>
                    <a:ln>
                      <a:noFill/>
                    </a:ln>
                    <a:extLst>
                      <a:ext uri="{53640926-AAD7-44D8-BBD7-CCE9431645EC}">
                        <a14:shadowObscured xmlns:a14="http://schemas.microsoft.com/office/drawing/2010/main"/>
                      </a:ext>
                    </a:extLst>
                  </pic:spPr>
                </pic:pic>
              </a:graphicData>
            </a:graphic>
          </wp:inline>
        </w:drawing>
      </w:r>
    </w:p>
    <w:p w14:paraId="1F6D5026" w14:textId="0A7C9FD9" w:rsidR="0042525F" w:rsidRDefault="0042525F" w:rsidP="007748E7">
      <w:r>
        <w:rPr>
          <w:noProof/>
        </w:rPr>
        <w:drawing>
          <wp:inline distT="0" distB="0" distL="0" distR="0" wp14:anchorId="1531AE69" wp14:editId="7ECFF988">
            <wp:extent cx="5268037" cy="3638104"/>
            <wp:effectExtent l="0" t="0" r="8890" b="635"/>
            <wp:docPr id="2114893017" name="Picture 80895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54"/>
                    <pic:cNvPicPr/>
                  </pic:nvPicPr>
                  <pic:blipFill>
                    <a:blip r:embed="rId236">
                      <a:extLst>
                        <a:ext uri="{28A0092B-C50C-407E-A947-70E740481C1C}">
                          <a14:useLocalDpi xmlns:a14="http://schemas.microsoft.com/office/drawing/2010/main" val="0"/>
                        </a:ext>
                      </a:extLst>
                    </a:blip>
                    <a:stretch>
                      <a:fillRect/>
                    </a:stretch>
                  </pic:blipFill>
                  <pic:spPr>
                    <a:xfrm>
                      <a:off x="0" y="0"/>
                      <a:ext cx="5268037" cy="3638104"/>
                    </a:xfrm>
                    <a:prstGeom prst="rect">
                      <a:avLst/>
                    </a:prstGeom>
                  </pic:spPr>
                </pic:pic>
              </a:graphicData>
            </a:graphic>
          </wp:inline>
        </w:drawing>
      </w:r>
    </w:p>
    <w:p w14:paraId="6A0D0E0A" w14:textId="77777777" w:rsidR="0042525F" w:rsidRDefault="0042525F">
      <w:r>
        <w:br w:type="page"/>
      </w:r>
    </w:p>
    <w:p w14:paraId="4D993B16" w14:textId="77777777" w:rsidR="007748E7" w:rsidRDefault="007748E7" w:rsidP="007748E7"/>
    <w:p w14:paraId="3FA87881" w14:textId="77777777" w:rsidR="007748E7" w:rsidRDefault="007748E7" w:rsidP="007748E7">
      <w:r>
        <w:t>(h)</w:t>
      </w:r>
    </w:p>
    <w:p w14:paraId="3D23B744" w14:textId="1408AEDF" w:rsidR="007748E7" w:rsidRDefault="00A714F1" w:rsidP="007748E7">
      <w:r>
        <w:rPr>
          <w:noProof/>
        </w:rPr>
        <w:drawing>
          <wp:inline distT="0" distB="0" distL="0" distR="0" wp14:anchorId="2C2969FE" wp14:editId="0BA4C3A8">
            <wp:extent cx="5192973" cy="2356574"/>
            <wp:effectExtent l="0" t="0" r="8255" b="5715"/>
            <wp:docPr id="808950955" name="Picture 80895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b="34289"/>
                    <a:stretch/>
                  </pic:blipFill>
                  <pic:spPr bwMode="auto">
                    <a:xfrm>
                      <a:off x="0" y="0"/>
                      <a:ext cx="5215409" cy="2366756"/>
                    </a:xfrm>
                    <a:prstGeom prst="rect">
                      <a:avLst/>
                    </a:prstGeom>
                    <a:ln>
                      <a:noFill/>
                    </a:ln>
                    <a:extLst>
                      <a:ext uri="{53640926-AAD7-44D8-BBD7-CCE9431645EC}">
                        <a14:shadowObscured xmlns:a14="http://schemas.microsoft.com/office/drawing/2010/main"/>
                      </a:ext>
                    </a:extLst>
                  </pic:spPr>
                </pic:pic>
              </a:graphicData>
            </a:graphic>
          </wp:inline>
        </w:drawing>
      </w:r>
    </w:p>
    <w:p w14:paraId="1E3A93B5" w14:textId="564D1A44" w:rsidR="007748E7" w:rsidRDefault="00A714F1" w:rsidP="007748E7">
      <w:r>
        <w:rPr>
          <w:noProof/>
        </w:rPr>
        <w:drawing>
          <wp:inline distT="0" distB="0" distL="0" distR="0" wp14:anchorId="66F5974A" wp14:editId="4AF2B136">
            <wp:extent cx="5192395" cy="2344734"/>
            <wp:effectExtent l="0" t="0" r="8255" b="0"/>
            <wp:docPr id="808950956" name="Picture 80895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b="34612"/>
                    <a:stretch/>
                  </pic:blipFill>
                  <pic:spPr bwMode="auto">
                    <a:xfrm>
                      <a:off x="0" y="0"/>
                      <a:ext cx="5218749" cy="2356635"/>
                    </a:xfrm>
                    <a:prstGeom prst="rect">
                      <a:avLst/>
                    </a:prstGeom>
                    <a:ln>
                      <a:noFill/>
                    </a:ln>
                    <a:extLst>
                      <a:ext uri="{53640926-AAD7-44D8-BBD7-CCE9431645EC}">
                        <a14:shadowObscured xmlns:a14="http://schemas.microsoft.com/office/drawing/2010/main"/>
                      </a:ext>
                    </a:extLst>
                  </pic:spPr>
                </pic:pic>
              </a:graphicData>
            </a:graphic>
          </wp:inline>
        </w:drawing>
      </w:r>
    </w:p>
    <w:p w14:paraId="48413EBA" w14:textId="69531545" w:rsidR="007748E7" w:rsidRDefault="00A714F1" w:rsidP="007748E7">
      <w:r>
        <w:rPr>
          <w:noProof/>
        </w:rPr>
        <w:drawing>
          <wp:inline distT="0" distB="0" distL="0" distR="0" wp14:anchorId="3363E0D1" wp14:editId="5B8552C3">
            <wp:extent cx="5172500" cy="3572128"/>
            <wp:effectExtent l="0" t="0" r="9525" b="0"/>
            <wp:docPr id="1523822720" name="Picture 80895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57"/>
                    <pic:cNvPicPr/>
                  </pic:nvPicPr>
                  <pic:blipFill>
                    <a:blip r:embed="rId239">
                      <a:extLst>
                        <a:ext uri="{28A0092B-C50C-407E-A947-70E740481C1C}">
                          <a14:useLocalDpi xmlns:a14="http://schemas.microsoft.com/office/drawing/2010/main" val="0"/>
                        </a:ext>
                      </a:extLst>
                    </a:blip>
                    <a:stretch>
                      <a:fillRect/>
                    </a:stretch>
                  </pic:blipFill>
                  <pic:spPr>
                    <a:xfrm>
                      <a:off x="0" y="0"/>
                      <a:ext cx="5172500" cy="3572128"/>
                    </a:xfrm>
                    <a:prstGeom prst="rect">
                      <a:avLst/>
                    </a:prstGeom>
                  </pic:spPr>
                </pic:pic>
              </a:graphicData>
            </a:graphic>
          </wp:inline>
        </w:drawing>
      </w:r>
    </w:p>
    <w:p w14:paraId="0A103359" w14:textId="6CD9EA81" w:rsidR="007748E7" w:rsidRDefault="00A714F1" w:rsidP="007748E7">
      <w:r>
        <w:rPr>
          <w:noProof/>
        </w:rPr>
        <w:lastRenderedPageBreak/>
        <w:drawing>
          <wp:inline distT="0" distB="0" distL="0" distR="0" wp14:anchorId="7F064ED2" wp14:editId="24C4DD21">
            <wp:extent cx="4722126" cy="2137639"/>
            <wp:effectExtent l="0" t="0" r="2540" b="0"/>
            <wp:docPr id="808950958" name="Picture 80895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b="34450"/>
                    <a:stretch/>
                  </pic:blipFill>
                  <pic:spPr bwMode="auto">
                    <a:xfrm>
                      <a:off x="0" y="0"/>
                      <a:ext cx="4732282" cy="2142236"/>
                    </a:xfrm>
                    <a:prstGeom prst="rect">
                      <a:avLst/>
                    </a:prstGeom>
                    <a:ln>
                      <a:noFill/>
                    </a:ln>
                    <a:extLst>
                      <a:ext uri="{53640926-AAD7-44D8-BBD7-CCE9431645EC}">
                        <a14:shadowObscured xmlns:a14="http://schemas.microsoft.com/office/drawing/2010/main"/>
                      </a:ext>
                    </a:extLst>
                  </pic:spPr>
                </pic:pic>
              </a:graphicData>
            </a:graphic>
          </wp:inline>
        </w:drawing>
      </w:r>
    </w:p>
    <w:p w14:paraId="2A8EA5A4" w14:textId="1A4F8396" w:rsidR="00A714F1" w:rsidRDefault="00A714F1" w:rsidP="007748E7">
      <w:r>
        <w:rPr>
          <w:noProof/>
        </w:rPr>
        <w:drawing>
          <wp:inline distT="0" distB="0" distL="0" distR="0" wp14:anchorId="488AAA24" wp14:editId="2F64101C">
            <wp:extent cx="4742595" cy="3275236"/>
            <wp:effectExtent l="0" t="0" r="1270" b="1905"/>
            <wp:docPr id="1483398495" name="Picture 80895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59"/>
                    <pic:cNvPicPr/>
                  </pic:nvPicPr>
                  <pic:blipFill>
                    <a:blip r:embed="rId241">
                      <a:extLst>
                        <a:ext uri="{28A0092B-C50C-407E-A947-70E740481C1C}">
                          <a14:useLocalDpi xmlns:a14="http://schemas.microsoft.com/office/drawing/2010/main" val="0"/>
                        </a:ext>
                      </a:extLst>
                    </a:blip>
                    <a:stretch>
                      <a:fillRect/>
                    </a:stretch>
                  </pic:blipFill>
                  <pic:spPr>
                    <a:xfrm>
                      <a:off x="0" y="0"/>
                      <a:ext cx="4742595" cy="3275236"/>
                    </a:xfrm>
                    <a:prstGeom prst="rect">
                      <a:avLst/>
                    </a:prstGeom>
                  </pic:spPr>
                </pic:pic>
              </a:graphicData>
            </a:graphic>
          </wp:inline>
        </w:drawing>
      </w:r>
    </w:p>
    <w:p w14:paraId="7777CF15" w14:textId="77777777" w:rsidR="00A714F1" w:rsidRDefault="00A714F1">
      <w:r>
        <w:br w:type="page"/>
      </w:r>
    </w:p>
    <w:p w14:paraId="3D7542EB" w14:textId="77777777" w:rsidR="007748E7" w:rsidRDefault="007748E7" w:rsidP="007748E7">
      <w:r>
        <w:lastRenderedPageBreak/>
        <w:t>(i)</w:t>
      </w:r>
    </w:p>
    <w:p w14:paraId="56951001" w14:textId="1FA3BD4B" w:rsidR="007748E7" w:rsidRDefault="00C44DB3" w:rsidP="007748E7">
      <w:r>
        <w:rPr>
          <w:noProof/>
        </w:rPr>
        <w:drawing>
          <wp:inline distT="0" distB="0" distL="0" distR="0" wp14:anchorId="67A1A688" wp14:editId="2CCAC2D6">
            <wp:extent cx="5233917" cy="2375156"/>
            <wp:effectExtent l="0" t="0" r="5080" b="6350"/>
            <wp:docPr id="808950960" name="Picture 80895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b="34289"/>
                    <a:stretch/>
                  </pic:blipFill>
                  <pic:spPr bwMode="auto">
                    <a:xfrm>
                      <a:off x="0" y="0"/>
                      <a:ext cx="5245227" cy="2380289"/>
                    </a:xfrm>
                    <a:prstGeom prst="rect">
                      <a:avLst/>
                    </a:prstGeom>
                    <a:ln>
                      <a:noFill/>
                    </a:ln>
                    <a:extLst>
                      <a:ext uri="{53640926-AAD7-44D8-BBD7-CCE9431645EC}">
                        <a14:shadowObscured xmlns:a14="http://schemas.microsoft.com/office/drawing/2010/main"/>
                      </a:ext>
                    </a:extLst>
                  </pic:spPr>
                </pic:pic>
              </a:graphicData>
            </a:graphic>
          </wp:inline>
        </w:drawing>
      </w:r>
    </w:p>
    <w:p w14:paraId="2F93E003" w14:textId="18FB6B72" w:rsidR="007748E7" w:rsidRDefault="00C44DB3" w:rsidP="007748E7">
      <w:r>
        <w:rPr>
          <w:noProof/>
        </w:rPr>
        <w:drawing>
          <wp:inline distT="0" distB="0" distL="0" distR="0" wp14:anchorId="0055C052" wp14:editId="79A15C36">
            <wp:extent cx="5213445" cy="2354240"/>
            <wp:effectExtent l="0" t="0" r="6350" b="8255"/>
            <wp:docPr id="808950961" name="Picture 80895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b="34612"/>
                    <a:stretch/>
                  </pic:blipFill>
                  <pic:spPr bwMode="auto">
                    <a:xfrm>
                      <a:off x="0" y="0"/>
                      <a:ext cx="5236742" cy="2364760"/>
                    </a:xfrm>
                    <a:prstGeom prst="rect">
                      <a:avLst/>
                    </a:prstGeom>
                    <a:ln>
                      <a:noFill/>
                    </a:ln>
                    <a:extLst>
                      <a:ext uri="{53640926-AAD7-44D8-BBD7-CCE9431645EC}">
                        <a14:shadowObscured xmlns:a14="http://schemas.microsoft.com/office/drawing/2010/main"/>
                      </a:ext>
                    </a:extLst>
                  </pic:spPr>
                </pic:pic>
              </a:graphicData>
            </a:graphic>
          </wp:inline>
        </w:drawing>
      </w:r>
    </w:p>
    <w:p w14:paraId="5705B146" w14:textId="18C30C33" w:rsidR="007748E7" w:rsidRDefault="00C44DB3" w:rsidP="007748E7">
      <w:r>
        <w:rPr>
          <w:noProof/>
        </w:rPr>
        <w:drawing>
          <wp:inline distT="0" distB="0" distL="0" distR="0" wp14:anchorId="0DB7BDF9" wp14:editId="3E5B86F8">
            <wp:extent cx="5240742" cy="3619254"/>
            <wp:effectExtent l="0" t="0" r="0" b="635"/>
            <wp:docPr id="630462017" name="Picture 80895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62"/>
                    <pic:cNvPicPr/>
                  </pic:nvPicPr>
                  <pic:blipFill>
                    <a:blip r:embed="rId244">
                      <a:extLst>
                        <a:ext uri="{28A0092B-C50C-407E-A947-70E740481C1C}">
                          <a14:useLocalDpi xmlns:a14="http://schemas.microsoft.com/office/drawing/2010/main" val="0"/>
                        </a:ext>
                      </a:extLst>
                    </a:blip>
                    <a:stretch>
                      <a:fillRect/>
                    </a:stretch>
                  </pic:blipFill>
                  <pic:spPr>
                    <a:xfrm>
                      <a:off x="0" y="0"/>
                      <a:ext cx="5240742" cy="3619254"/>
                    </a:xfrm>
                    <a:prstGeom prst="rect">
                      <a:avLst/>
                    </a:prstGeom>
                  </pic:spPr>
                </pic:pic>
              </a:graphicData>
            </a:graphic>
          </wp:inline>
        </w:drawing>
      </w:r>
    </w:p>
    <w:p w14:paraId="106EB0A3" w14:textId="18D8E60B" w:rsidR="007748E7" w:rsidRDefault="00C44DB3" w:rsidP="007748E7">
      <w:r>
        <w:rPr>
          <w:noProof/>
        </w:rPr>
        <w:lastRenderedPageBreak/>
        <w:drawing>
          <wp:inline distT="0" distB="0" distL="0" distR="0" wp14:anchorId="53FDF82E" wp14:editId="58559B9A">
            <wp:extent cx="5131559" cy="2322984"/>
            <wp:effectExtent l="0" t="0" r="0" b="1270"/>
            <wp:docPr id="808950963" name="Picture 80895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34450"/>
                    <a:stretch/>
                  </pic:blipFill>
                  <pic:spPr bwMode="auto">
                    <a:xfrm>
                      <a:off x="0" y="0"/>
                      <a:ext cx="5142844" cy="2328092"/>
                    </a:xfrm>
                    <a:prstGeom prst="rect">
                      <a:avLst/>
                    </a:prstGeom>
                    <a:ln>
                      <a:noFill/>
                    </a:ln>
                    <a:extLst>
                      <a:ext uri="{53640926-AAD7-44D8-BBD7-CCE9431645EC}">
                        <a14:shadowObscured xmlns:a14="http://schemas.microsoft.com/office/drawing/2010/main"/>
                      </a:ext>
                    </a:extLst>
                  </pic:spPr>
                </pic:pic>
              </a:graphicData>
            </a:graphic>
          </wp:inline>
        </w:drawing>
      </w:r>
    </w:p>
    <w:p w14:paraId="017B0767" w14:textId="25350240" w:rsidR="00C44DB3" w:rsidRDefault="00C44DB3" w:rsidP="007748E7">
      <w:r>
        <w:rPr>
          <w:noProof/>
        </w:rPr>
        <w:drawing>
          <wp:inline distT="0" distB="0" distL="0" distR="0" wp14:anchorId="18D7F863" wp14:editId="673F5608">
            <wp:extent cx="5131434" cy="3543768"/>
            <wp:effectExtent l="0" t="0" r="0" b="0"/>
            <wp:docPr id="1146196953" name="Picture 80895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64"/>
                    <pic:cNvPicPr/>
                  </pic:nvPicPr>
                  <pic:blipFill>
                    <a:blip r:embed="rId246">
                      <a:extLst>
                        <a:ext uri="{28A0092B-C50C-407E-A947-70E740481C1C}">
                          <a14:useLocalDpi xmlns:a14="http://schemas.microsoft.com/office/drawing/2010/main" val="0"/>
                        </a:ext>
                      </a:extLst>
                    </a:blip>
                    <a:stretch>
                      <a:fillRect/>
                    </a:stretch>
                  </pic:blipFill>
                  <pic:spPr>
                    <a:xfrm>
                      <a:off x="0" y="0"/>
                      <a:ext cx="5131434" cy="3543768"/>
                    </a:xfrm>
                    <a:prstGeom prst="rect">
                      <a:avLst/>
                    </a:prstGeom>
                  </pic:spPr>
                </pic:pic>
              </a:graphicData>
            </a:graphic>
          </wp:inline>
        </w:drawing>
      </w:r>
    </w:p>
    <w:p w14:paraId="7DA4259E" w14:textId="77777777" w:rsidR="00C44DB3" w:rsidRDefault="00C44DB3">
      <w:r>
        <w:br w:type="page"/>
      </w:r>
    </w:p>
    <w:p w14:paraId="67D7B802" w14:textId="77777777" w:rsidR="007748E7" w:rsidRDefault="007748E7" w:rsidP="007748E7">
      <w:r>
        <w:lastRenderedPageBreak/>
        <w:t>(j)</w:t>
      </w:r>
    </w:p>
    <w:p w14:paraId="59BB0A67" w14:textId="1261A014" w:rsidR="007748E7" w:rsidRDefault="00AA1A50" w:rsidP="007748E7">
      <w:r>
        <w:rPr>
          <w:noProof/>
        </w:rPr>
        <w:drawing>
          <wp:inline distT="0" distB="0" distL="0" distR="0" wp14:anchorId="4646D3DD" wp14:editId="03D4711D">
            <wp:extent cx="4960962" cy="2245757"/>
            <wp:effectExtent l="0" t="0" r="0" b="2540"/>
            <wp:docPr id="808950965" name="Picture 80895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b="34450"/>
                    <a:stretch/>
                  </pic:blipFill>
                  <pic:spPr bwMode="auto">
                    <a:xfrm>
                      <a:off x="0" y="0"/>
                      <a:ext cx="4978956" cy="2253902"/>
                    </a:xfrm>
                    <a:prstGeom prst="rect">
                      <a:avLst/>
                    </a:prstGeom>
                    <a:ln>
                      <a:noFill/>
                    </a:ln>
                    <a:extLst>
                      <a:ext uri="{53640926-AAD7-44D8-BBD7-CCE9431645EC}">
                        <a14:shadowObscured xmlns:a14="http://schemas.microsoft.com/office/drawing/2010/main"/>
                      </a:ext>
                    </a:extLst>
                  </pic:spPr>
                </pic:pic>
              </a:graphicData>
            </a:graphic>
          </wp:inline>
        </w:drawing>
      </w:r>
    </w:p>
    <w:p w14:paraId="778B0960" w14:textId="2CB32DBA" w:rsidR="007748E7" w:rsidRDefault="00AA1A50" w:rsidP="007748E7">
      <w:r>
        <w:rPr>
          <w:noProof/>
        </w:rPr>
        <w:drawing>
          <wp:inline distT="0" distB="0" distL="0" distR="0" wp14:anchorId="70EE0140" wp14:editId="080410D9">
            <wp:extent cx="4988257" cy="2252551"/>
            <wp:effectExtent l="0" t="0" r="3175" b="0"/>
            <wp:docPr id="808950966" name="Picture 80895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b="34612"/>
                    <a:stretch/>
                  </pic:blipFill>
                  <pic:spPr bwMode="auto">
                    <a:xfrm>
                      <a:off x="0" y="0"/>
                      <a:ext cx="4998646" cy="2257242"/>
                    </a:xfrm>
                    <a:prstGeom prst="rect">
                      <a:avLst/>
                    </a:prstGeom>
                    <a:ln>
                      <a:noFill/>
                    </a:ln>
                    <a:extLst>
                      <a:ext uri="{53640926-AAD7-44D8-BBD7-CCE9431645EC}">
                        <a14:shadowObscured xmlns:a14="http://schemas.microsoft.com/office/drawing/2010/main"/>
                      </a:ext>
                    </a:extLst>
                  </pic:spPr>
                </pic:pic>
              </a:graphicData>
            </a:graphic>
          </wp:inline>
        </w:drawing>
      </w:r>
    </w:p>
    <w:p w14:paraId="2BF3A0A9" w14:textId="7B4277B1" w:rsidR="007748E7" w:rsidRDefault="00AA1A50" w:rsidP="007748E7">
      <w:r>
        <w:rPr>
          <w:noProof/>
        </w:rPr>
        <w:drawing>
          <wp:inline distT="0" distB="0" distL="0" distR="0" wp14:anchorId="3FF6BD4F" wp14:editId="1F0707DC">
            <wp:extent cx="4995080" cy="3449601"/>
            <wp:effectExtent l="0" t="0" r="0" b="0"/>
            <wp:docPr id="226996993" name="Picture 80895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67"/>
                    <pic:cNvPicPr/>
                  </pic:nvPicPr>
                  <pic:blipFill>
                    <a:blip r:embed="rId249">
                      <a:extLst>
                        <a:ext uri="{28A0092B-C50C-407E-A947-70E740481C1C}">
                          <a14:useLocalDpi xmlns:a14="http://schemas.microsoft.com/office/drawing/2010/main" val="0"/>
                        </a:ext>
                      </a:extLst>
                    </a:blip>
                    <a:stretch>
                      <a:fillRect/>
                    </a:stretch>
                  </pic:blipFill>
                  <pic:spPr>
                    <a:xfrm>
                      <a:off x="0" y="0"/>
                      <a:ext cx="4995080" cy="3449601"/>
                    </a:xfrm>
                    <a:prstGeom prst="rect">
                      <a:avLst/>
                    </a:prstGeom>
                  </pic:spPr>
                </pic:pic>
              </a:graphicData>
            </a:graphic>
          </wp:inline>
        </w:drawing>
      </w:r>
    </w:p>
    <w:p w14:paraId="3C6745BE" w14:textId="7AC7CA47" w:rsidR="007748E7" w:rsidRDefault="00AA1A50" w:rsidP="007748E7">
      <w:r>
        <w:rPr>
          <w:noProof/>
        </w:rPr>
        <w:lastRenderedPageBreak/>
        <w:drawing>
          <wp:inline distT="0" distB="0" distL="0" distR="0" wp14:anchorId="5DA80E50" wp14:editId="6BC55125">
            <wp:extent cx="4960962" cy="2234694"/>
            <wp:effectExtent l="0" t="0" r="0" b="0"/>
            <wp:docPr id="808950968" name="Picture 80895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b="34773"/>
                    <a:stretch/>
                  </pic:blipFill>
                  <pic:spPr bwMode="auto">
                    <a:xfrm>
                      <a:off x="0" y="0"/>
                      <a:ext cx="4969497" cy="2238538"/>
                    </a:xfrm>
                    <a:prstGeom prst="rect">
                      <a:avLst/>
                    </a:prstGeom>
                    <a:ln>
                      <a:noFill/>
                    </a:ln>
                    <a:extLst>
                      <a:ext uri="{53640926-AAD7-44D8-BBD7-CCE9431645EC}">
                        <a14:shadowObscured xmlns:a14="http://schemas.microsoft.com/office/drawing/2010/main"/>
                      </a:ext>
                    </a:extLst>
                  </pic:spPr>
                </pic:pic>
              </a:graphicData>
            </a:graphic>
          </wp:inline>
        </w:drawing>
      </w:r>
    </w:p>
    <w:p w14:paraId="60EB5566" w14:textId="298AF337" w:rsidR="00AA1A50" w:rsidRDefault="00AA1A50" w:rsidP="007748E7">
      <w:r>
        <w:rPr>
          <w:noProof/>
        </w:rPr>
        <w:drawing>
          <wp:inline distT="0" distB="0" distL="0" distR="0" wp14:anchorId="4FC9FC0D" wp14:editId="0BC6EA90">
            <wp:extent cx="4995080" cy="3449601"/>
            <wp:effectExtent l="0" t="0" r="0" b="0"/>
            <wp:docPr id="50956467" name="Picture 808950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69"/>
                    <pic:cNvPicPr/>
                  </pic:nvPicPr>
                  <pic:blipFill>
                    <a:blip r:embed="rId251">
                      <a:extLst>
                        <a:ext uri="{28A0092B-C50C-407E-A947-70E740481C1C}">
                          <a14:useLocalDpi xmlns:a14="http://schemas.microsoft.com/office/drawing/2010/main" val="0"/>
                        </a:ext>
                      </a:extLst>
                    </a:blip>
                    <a:stretch>
                      <a:fillRect/>
                    </a:stretch>
                  </pic:blipFill>
                  <pic:spPr>
                    <a:xfrm>
                      <a:off x="0" y="0"/>
                      <a:ext cx="4995080" cy="3449601"/>
                    </a:xfrm>
                    <a:prstGeom prst="rect">
                      <a:avLst/>
                    </a:prstGeom>
                  </pic:spPr>
                </pic:pic>
              </a:graphicData>
            </a:graphic>
          </wp:inline>
        </w:drawing>
      </w:r>
    </w:p>
    <w:p w14:paraId="52A15202" w14:textId="77777777" w:rsidR="00AA1A50" w:rsidRDefault="00AA1A50">
      <w:r>
        <w:br w:type="page"/>
      </w:r>
    </w:p>
    <w:p w14:paraId="3F381FEB" w14:textId="77777777" w:rsidR="007748E7" w:rsidRDefault="007748E7" w:rsidP="007748E7">
      <w:r>
        <w:lastRenderedPageBreak/>
        <w:t>(k)</w:t>
      </w:r>
    </w:p>
    <w:p w14:paraId="672D497E" w14:textId="156B2360" w:rsidR="007748E7" w:rsidRDefault="000935E7" w:rsidP="007748E7">
      <w:r>
        <w:rPr>
          <w:noProof/>
        </w:rPr>
        <w:drawing>
          <wp:inline distT="0" distB="0" distL="0" distR="0" wp14:anchorId="4A38CE2D" wp14:editId="69213C00">
            <wp:extent cx="5199797" cy="2359672"/>
            <wp:effectExtent l="0" t="0" r="1270" b="2540"/>
            <wp:docPr id="808950970" name="Picture 80895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b="34289"/>
                    <a:stretch/>
                  </pic:blipFill>
                  <pic:spPr bwMode="auto">
                    <a:xfrm>
                      <a:off x="0" y="0"/>
                      <a:ext cx="5214053" cy="2366141"/>
                    </a:xfrm>
                    <a:prstGeom prst="rect">
                      <a:avLst/>
                    </a:prstGeom>
                    <a:ln>
                      <a:noFill/>
                    </a:ln>
                    <a:extLst>
                      <a:ext uri="{53640926-AAD7-44D8-BBD7-CCE9431645EC}">
                        <a14:shadowObscured xmlns:a14="http://schemas.microsoft.com/office/drawing/2010/main"/>
                      </a:ext>
                    </a:extLst>
                  </pic:spPr>
                </pic:pic>
              </a:graphicData>
            </a:graphic>
          </wp:inline>
        </w:drawing>
      </w:r>
    </w:p>
    <w:p w14:paraId="4F695FC8" w14:textId="320FAE7F" w:rsidR="007748E7" w:rsidRDefault="000935E7" w:rsidP="007748E7">
      <w:r>
        <w:rPr>
          <w:noProof/>
        </w:rPr>
        <w:drawing>
          <wp:inline distT="0" distB="0" distL="0" distR="0" wp14:anchorId="1EA60565" wp14:editId="3B07B3DA">
            <wp:extent cx="5227093" cy="2383715"/>
            <wp:effectExtent l="0" t="0" r="0" b="0"/>
            <wp:docPr id="808950971" name="Picture 80895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b="33966"/>
                    <a:stretch/>
                  </pic:blipFill>
                  <pic:spPr bwMode="auto">
                    <a:xfrm>
                      <a:off x="0" y="0"/>
                      <a:ext cx="5249184" cy="2393789"/>
                    </a:xfrm>
                    <a:prstGeom prst="rect">
                      <a:avLst/>
                    </a:prstGeom>
                    <a:ln>
                      <a:noFill/>
                    </a:ln>
                    <a:extLst>
                      <a:ext uri="{53640926-AAD7-44D8-BBD7-CCE9431645EC}">
                        <a14:shadowObscured xmlns:a14="http://schemas.microsoft.com/office/drawing/2010/main"/>
                      </a:ext>
                    </a:extLst>
                  </pic:spPr>
                </pic:pic>
              </a:graphicData>
            </a:graphic>
          </wp:inline>
        </w:drawing>
      </w:r>
    </w:p>
    <w:p w14:paraId="188C62E9" w14:textId="2A63CD95" w:rsidR="007748E7" w:rsidRDefault="000935E7" w:rsidP="007748E7">
      <w:r>
        <w:rPr>
          <w:noProof/>
        </w:rPr>
        <w:drawing>
          <wp:inline distT="0" distB="0" distL="0" distR="0" wp14:anchorId="51D299E4" wp14:editId="318B8298">
            <wp:extent cx="5254390" cy="3628679"/>
            <wp:effectExtent l="0" t="0" r="3810" b="0"/>
            <wp:docPr id="1535320947" name="Picture 80895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72"/>
                    <pic:cNvPicPr/>
                  </pic:nvPicPr>
                  <pic:blipFill>
                    <a:blip r:embed="rId254">
                      <a:extLst>
                        <a:ext uri="{28A0092B-C50C-407E-A947-70E740481C1C}">
                          <a14:useLocalDpi xmlns:a14="http://schemas.microsoft.com/office/drawing/2010/main" val="0"/>
                        </a:ext>
                      </a:extLst>
                    </a:blip>
                    <a:stretch>
                      <a:fillRect/>
                    </a:stretch>
                  </pic:blipFill>
                  <pic:spPr>
                    <a:xfrm>
                      <a:off x="0" y="0"/>
                      <a:ext cx="5254390" cy="3628679"/>
                    </a:xfrm>
                    <a:prstGeom prst="rect">
                      <a:avLst/>
                    </a:prstGeom>
                  </pic:spPr>
                </pic:pic>
              </a:graphicData>
            </a:graphic>
          </wp:inline>
        </w:drawing>
      </w:r>
    </w:p>
    <w:p w14:paraId="5CBB43A8" w14:textId="44689202" w:rsidR="007748E7" w:rsidRDefault="000935E7" w:rsidP="007748E7">
      <w:r>
        <w:rPr>
          <w:noProof/>
        </w:rPr>
        <w:lastRenderedPageBreak/>
        <w:drawing>
          <wp:inline distT="0" distB="0" distL="0" distR="0" wp14:anchorId="7AB64026" wp14:editId="501DD73C">
            <wp:extent cx="5336275" cy="2403756"/>
            <wp:effectExtent l="0" t="0" r="0" b="0"/>
            <wp:docPr id="808950973" name="Picture 80895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b="34773"/>
                    <a:stretch/>
                  </pic:blipFill>
                  <pic:spPr bwMode="auto">
                    <a:xfrm>
                      <a:off x="0" y="0"/>
                      <a:ext cx="5357989" cy="2413537"/>
                    </a:xfrm>
                    <a:prstGeom prst="rect">
                      <a:avLst/>
                    </a:prstGeom>
                    <a:ln>
                      <a:noFill/>
                    </a:ln>
                    <a:extLst>
                      <a:ext uri="{53640926-AAD7-44D8-BBD7-CCE9431645EC}">
                        <a14:shadowObscured xmlns:a14="http://schemas.microsoft.com/office/drawing/2010/main"/>
                      </a:ext>
                    </a:extLst>
                  </pic:spPr>
                </pic:pic>
              </a:graphicData>
            </a:graphic>
          </wp:inline>
        </w:drawing>
      </w:r>
    </w:p>
    <w:p w14:paraId="171F7B05" w14:textId="623D8BAC" w:rsidR="000935E7" w:rsidRDefault="000935E7" w:rsidP="007748E7">
      <w:r>
        <w:rPr>
          <w:noProof/>
        </w:rPr>
        <w:drawing>
          <wp:inline distT="0" distB="0" distL="0" distR="0" wp14:anchorId="0FE8A5BC" wp14:editId="23D706B8">
            <wp:extent cx="5370394" cy="3708793"/>
            <wp:effectExtent l="0" t="0" r="1905" b="6350"/>
            <wp:docPr id="524746599" name="Picture 80895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50974"/>
                    <pic:cNvPicPr/>
                  </pic:nvPicPr>
                  <pic:blipFill>
                    <a:blip r:embed="rId256">
                      <a:extLst>
                        <a:ext uri="{28A0092B-C50C-407E-A947-70E740481C1C}">
                          <a14:useLocalDpi xmlns:a14="http://schemas.microsoft.com/office/drawing/2010/main" val="0"/>
                        </a:ext>
                      </a:extLst>
                    </a:blip>
                    <a:stretch>
                      <a:fillRect/>
                    </a:stretch>
                  </pic:blipFill>
                  <pic:spPr>
                    <a:xfrm>
                      <a:off x="0" y="0"/>
                      <a:ext cx="5370394" cy="3708793"/>
                    </a:xfrm>
                    <a:prstGeom prst="rect">
                      <a:avLst/>
                    </a:prstGeom>
                  </pic:spPr>
                </pic:pic>
              </a:graphicData>
            </a:graphic>
          </wp:inline>
        </w:drawing>
      </w:r>
    </w:p>
    <w:p w14:paraId="6E241E1F" w14:textId="77777777" w:rsidR="000935E7" w:rsidRDefault="000935E7">
      <w:r>
        <w:br w:type="page"/>
      </w:r>
    </w:p>
    <w:p w14:paraId="2DBF3361" w14:textId="77777777" w:rsidR="007748E7" w:rsidRDefault="007748E7" w:rsidP="007748E7">
      <w:r>
        <w:lastRenderedPageBreak/>
        <w:t>(l)</w:t>
      </w:r>
    </w:p>
    <w:p w14:paraId="1B22CB6F" w14:textId="55B91852" w:rsidR="007748E7" w:rsidRDefault="0025759F" w:rsidP="007748E7">
      <w:r>
        <w:rPr>
          <w:noProof/>
        </w:rPr>
        <w:drawing>
          <wp:inline distT="0" distB="0" distL="0" distR="0" wp14:anchorId="38E6D736" wp14:editId="0B29863B">
            <wp:extent cx="4960962" cy="2234694"/>
            <wp:effectExtent l="0" t="0" r="0" b="0"/>
            <wp:docPr id="808950975" name="Picture 80895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b="34773"/>
                    <a:stretch/>
                  </pic:blipFill>
                  <pic:spPr bwMode="auto">
                    <a:xfrm>
                      <a:off x="0" y="0"/>
                      <a:ext cx="4970252" cy="2238879"/>
                    </a:xfrm>
                    <a:prstGeom prst="rect">
                      <a:avLst/>
                    </a:prstGeom>
                    <a:ln>
                      <a:noFill/>
                    </a:ln>
                    <a:extLst>
                      <a:ext uri="{53640926-AAD7-44D8-BBD7-CCE9431645EC}">
                        <a14:shadowObscured xmlns:a14="http://schemas.microsoft.com/office/drawing/2010/main"/>
                      </a:ext>
                    </a:extLst>
                  </pic:spPr>
                </pic:pic>
              </a:graphicData>
            </a:graphic>
          </wp:inline>
        </w:drawing>
      </w:r>
    </w:p>
    <w:p w14:paraId="20E327D5" w14:textId="06376766" w:rsidR="007748E7" w:rsidRDefault="0025759F" w:rsidP="007748E7">
      <w:r>
        <w:rPr>
          <w:noProof/>
        </w:rPr>
        <w:drawing>
          <wp:inline distT="0" distB="0" distL="0" distR="0" wp14:anchorId="168656E6" wp14:editId="530F408D">
            <wp:extent cx="4947314" cy="2245095"/>
            <wp:effectExtent l="0" t="0" r="5715" b="3175"/>
            <wp:docPr id="758946848" name="Picture 75894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b="34289"/>
                    <a:stretch/>
                  </pic:blipFill>
                  <pic:spPr bwMode="auto">
                    <a:xfrm>
                      <a:off x="0" y="0"/>
                      <a:ext cx="4966275" cy="2253699"/>
                    </a:xfrm>
                    <a:prstGeom prst="rect">
                      <a:avLst/>
                    </a:prstGeom>
                    <a:ln>
                      <a:noFill/>
                    </a:ln>
                    <a:extLst>
                      <a:ext uri="{53640926-AAD7-44D8-BBD7-CCE9431645EC}">
                        <a14:shadowObscured xmlns:a14="http://schemas.microsoft.com/office/drawing/2010/main"/>
                      </a:ext>
                    </a:extLst>
                  </pic:spPr>
                </pic:pic>
              </a:graphicData>
            </a:graphic>
          </wp:inline>
        </w:drawing>
      </w:r>
    </w:p>
    <w:p w14:paraId="457BED4C" w14:textId="1346D1C3" w:rsidR="007748E7" w:rsidRDefault="0025759F" w:rsidP="007748E7">
      <w:r>
        <w:rPr>
          <w:noProof/>
        </w:rPr>
        <w:drawing>
          <wp:inline distT="0" distB="0" distL="0" distR="0" wp14:anchorId="1EE9E1A3" wp14:editId="0B2C4721">
            <wp:extent cx="4933668" cy="3407188"/>
            <wp:effectExtent l="0" t="0" r="635" b="3175"/>
            <wp:docPr id="821152270" name="Picture 758946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49"/>
                    <pic:cNvPicPr/>
                  </pic:nvPicPr>
                  <pic:blipFill>
                    <a:blip r:embed="rId259">
                      <a:extLst>
                        <a:ext uri="{28A0092B-C50C-407E-A947-70E740481C1C}">
                          <a14:useLocalDpi xmlns:a14="http://schemas.microsoft.com/office/drawing/2010/main" val="0"/>
                        </a:ext>
                      </a:extLst>
                    </a:blip>
                    <a:stretch>
                      <a:fillRect/>
                    </a:stretch>
                  </pic:blipFill>
                  <pic:spPr>
                    <a:xfrm>
                      <a:off x="0" y="0"/>
                      <a:ext cx="4933668" cy="3407188"/>
                    </a:xfrm>
                    <a:prstGeom prst="rect">
                      <a:avLst/>
                    </a:prstGeom>
                  </pic:spPr>
                </pic:pic>
              </a:graphicData>
            </a:graphic>
          </wp:inline>
        </w:drawing>
      </w:r>
    </w:p>
    <w:p w14:paraId="3E4B4B0F" w14:textId="62171B8B" w:rsidR="007748E7" w:rsidRDefault="0025759F" w:rsidP="007748E7">
      <w:r>
        <w:rPr>
          <w:noProof/>
        </w:rPr>
        <w:lastRenderedPageBreak/>
        <w:drawing>
          <wp:inline distT="0" distB="0" distL="0" distR="0" wp14:anchorId="2B888CD9" wp14:editId="3CB171AA">
            <wp:extent cx="4926842" cy="2230312"/>
            <wp:effectExtent l="0" t="0" r="7620" b="0"/>
            <wp:docPr id="758946850" name="Picture 75894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b="34450"/>
                    <a:stretch/>
                  </pic:blipFill>
                  <pic:spPr bwMode="auto">
                    <a:xfrm>
                      <a:off x="0" y="0"/>
                      <a:ext cx="4939207" cy="2235910"/>
                    </a:xfrm>
                    <a:prstGeom prst="rect">
                      <a:avLst/>
                    </a:prstGeom>
                    <a:ln>
                      <a:noFill/>
                    </a:ln>
                    <a:extLst>
                      <a:ext uri="{53640926-AAD7-44D8-BBD7-CCE9431645EC}">
                        <a14:shadowObscured xmlns:a14="http://schemas.microsoft.com/office/drawing/2010/main"/>
                      </a:ext>
                    </a:extLst>
                  </pic:spPr>
                </pic:pic>
              </a:graphicData>
            </a:graphic>
          </wp:inline>
        </w:drawing>
      </w:r>
    </w:p>
    <w:p w14:paraId="6D7AD3F7" w14:textId="0B661179" w:rsidR="0025759F" w:rsidRDefault="00D24348" w:rsidP="007748E7">
      <w:r>
        <w:rPr>
          <w:noProof/>
        </w:rPr>
        <w:drawing>
          <wp:inline distT="0" distB="0" distL="0" distR="0" wp14:anchorId="65B903A1" wp14:editId="7E6254D4">
            <wp:extent cx="4947316" cy="3416614"/>
            <wp:effectExtent l="0" t="0" r="5715" b="0"/>
            <wp:docPr id="1982718058" name="Picture 75894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51"/>
                    <pic:cNvPicPr/>
                  </pic:nvPicPr>
                  <pic:blipFill>
                    <a:blip r:embed="rId261">
                      <a:extLst>
                        <a:ext uri="{28A0092B-C50C-407E-A947-70E740481C1C}">
                          <a14:useLocalDpi xmlns:a14="http://schemas.microsoft.com/office/drawing/2010/main" val="0"/>
                        </a:ext>
                      </a:extLst>
                    </a:blip>
                    <a:stretch>
                      <a:fillRect/>
                    </a:stretch>
                  </pic:blipFill>
                  <pic:spPr>
                    <a:xfrm>
                      <a:off x="0" y="0"/>
                      <a:ext cx="4947316" cy="3416614"/>
                    </a:xfrm>
                    <a:prstGeom prst="rect">
                      <a:avLst/>
                    </a:prstGeom>
                  </pic:spPr>
                </pic:pic>
              </a:graphicData>
            </a:graphic>
          </wp:inline>
        </w:drawing>
      </w:r>
    </w:p>
    <w:p w14:paraId="698B5F1B" w14:textId="5D0B9EEE" w:rsidR="007748E7" w:rsidRDefault="007748E7" w:rsidP="007748E7">
      <w:r>
        <w:t xml:space="preserve"> </w:t>
      </w:r>
      <w:r>
        <w:br w:type="page"/>
      </w:r>
    </w:p>
    <w:p w14:paraId="22CC74CA"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m</w:t>
      </w:r>
      <w:r w:rsidRPr="00EE274B">
        <w:rPr>
          <w:rFonts w:eastAsiaTheme="majorEastAsia"/>
          <w:bCs/>
          <w:color w:val="00313C" w:themeColor="accent2"/>
        </w:rPr>
        <w:t>)</w:t>
      </w:r>
    </w:p>
    <w:p w14:paraId="18A92507" w14:textId="1F1C1C16" w:rsidR="007748E7" w:rsidRDefault="00B60EF0" w:rsidP="007748E7">
      <w:pPr>
        <w:rPr>
          <w:rFonts w:ascii="Calibri" w:eastAsiaTheme="majorEastAsia" w:hAnsi="Calibri" w:cstheme="majorBidi"/>
          <w:bCs/>
          <w:color w:val="00313C" w:themeColor="accent2"/>
          <w:sz w:val="32"/>
          <w:szCs w:val="26"/>
        </w:rPr>
      </w:pPr>
      <w:r>
        <w:rPr>
          <w:noProof/>
        </w:rPr>
        <w:drawing>
          <wp:inline distT="0" distB="0" distL="0" distR="0" wp14:anchorId="146E2B19" wp14:editId="1D5D538F">
            <wp:extent cx="5138384" cy="3548566"/>
            <wp:effectExtent l="0" t="0" r="5715" b="0"/>
            <wp:docPr id="869542378" name="Picture 75894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52"/>
                    <pic:cNvPicPr/>
                  </pic:nvPicPr>
                  <pic:blipFill>
                    <a:blip r:embed="rId262">
                      <a:extLst>
                        <a:ext uri="{28A0092B-C50C-407E-A947-70E740481C1C}">
                          <a14:useLocalDpi xmlns:a14="http://schemas.microsoft.com/office/drawing/2010/main" val="0"/>
                        </a:ext>
                      </a:extLst>
                    </a:blip>
                    <a:stretch>
                      <a:fillRect/>
                    </a:stretch>
                  </pic:blipFill>
                  <pic:spPr>
                    <a:xfrm>
                      <a:off x="0" y="0"/>
                      <a:ext cx="5138384" cy="3548566"/>
                    </a:xfrm>
                    <a:prstGeom prst="rect">
                      <a:avLst/>
                    </a:prstGeom>
                  </pic:spPr>
                </pic:pic>
              </a:graphicData>
            </a:graphic>
          </wp:inline>
        </w:drawing>
      </w:r>
    </w:p>
    <w:p w14:paraId="2BFE4780" w14:textId="77777777" w:rsidR="007748E7" w:rsidRDefault="007748E7" w:rsidP="007748E7">
      <w:pPr>
        <w:rPr>
          <w:rFonts w:ascii="Calibri" w:eastAsiaTheme="majorEastAsia" w:hAnsi="Calibri" w:cstheme="majorBidi"/>
          <w:bCs/>
          <w:color w:val="00313C" w:themeColor="accent2"/>
          <w:sz w:val="32"/>
          <w:szCs w:val="26"/>
        </w:rPr>
      </w:pPr>
    </w:p>
    <w:p w14:paraId="5509B7B1"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t>(</w:t>
      </w:r>
      <w:r>
        <w:rPr>
          <w:rFonts w:eastAsiaTheme="majorEastAsia"/>
          <w:bCs/>
          <w:color w:val="00313C" w:themeColor="accent2"/>
        </w:rPr>
        <w:t>n</w:t>
      </w:r>
      <w:r w:rsidRPr="00EE274B">
        <w:rPr>
          <w:rFonts w:eastAsiaTheme="majorEastAsia"/>
          <w:bCs/>
          <w:color w:val="00313C" w:themeColor="accent2"/>
        </w:rPr>
        <w:t>)</w:t>
      </w:r>
    </w:p>
    <w:p w14:paraId="70D8D1FF" w14:textId="64745EEE" w:rsidR="007748E7" w:rsidRDefault="00D266A9" w:rsidP="007748E7">
      <w:pPr>
        <w:rPr>
          <w:rFonts w:ascii="Calibri" w:eastAsiaTheme="majorEastAsia" w:hAnsi="Calibri" w:cstheme="majorBidi"/>
          <w:bCs/>
          <w:color w:val="00313C" w:themeColor="accent2"/>
          <w:sz w:val="32"/>
          <w:szCs w:val="26"/>
        </w:rPr>
      </w:pPr>
      <w:r>
        <w:rPr>
          <w:noProof/>
        </w:rPr>
        <w:drawing>
          <wp:inline distT="0" distB="0" distL="0" distR="0" wp14:anchorId="5F6AAD25" wp14:editId="205B693F">
            <wp:extent cx="5111089" cy="3529715"/>
            <wp:effectExtent l="0" t="0" r="0" b="0"/>
            <wp:docPr id="1162970319" name="Picture 758946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53"/>
                    <pic:cNvPicPr/>
                  </pic:nvPicPr>
                  <pic:blipFill>
                    <a:blip r:embed="rId263">
                      <a:extLst>
                        <a:ext uri="{28A0092B-C50C-407E-A947-70E740481C1C}">
                          <a14:useLocalDpi xmlns:a14="http://schemas.microsoft.com/office/drawing/2010/main" val="0"/>
                        </a:ext>
                      </a:extLst>
                    </a:blip>
                    <a:stretch>
                      <a:fillRect/>
                    </a:stretch>
                  </pic:blipFill>
                  <pic:spPr>
                    <a:xfrm>
                      <a:off x="0" y="0"/>
                      <a:ext cx="5111089" cy="3529715"/>
                    </a:xfrm>
                    <a:prstGeom prst="rect">
                      <a:avLst/>
                    </a:prstGeom>
                  </pic:spPr>
                </pic:pic>
              </a:graphicData>
            </a:graphic>
          </wp:inline>
        </w:drawing>
      </w:r>
    </w:p>
    <w:p w14:paraId="48FD1587" w14:textId="77777777" w:rsidR="007748E7" w:rsidRDefault="007748E7" w:rsidP="007748E7">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302FB97B"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o</w:t>
      </w:r>
      <w:r w:rsidRPr="00EE274B">
        <w:rPr>
          <w:rFonts w:eastAsiaTheme="majorEastAsia"/>
          <w:bCs/>
          <w:color w:val="00313C" w:themeColor="accent2"/>
        </w:rPr>
        <w:t>)</w:t>
      </w:r>
    </w:p>
    <w:p w14:paraId="31EB6A91" w14:textId="713D903A" w:rsidR="007748E7" w:rsidRDefault="00D266A9" w:rsidP="007748E7">
      <w:pPr>
        <w:rPr>
          <w:rFonts w:ascii="Calibri" w:eastAsiaTheme="majorEastAsia" w:hAnsi="Calibri" w:cstheme="majorBidi"/>
          <w:bCs/>
          <w:color w:val="00313C" w:themeColor="accent2"/>
          <w:sz w:val="32"/>
          <w:szCs w:val="26"/>
        </w:rPr>
      </w:pPr>
      <w:r>
        <w:rPr>
          <w:noProof/>
        </w:rPr>
        <w:drawing>
          <wp:inline distT="0" distB="0" distL="0" distR="0" wp14:anchorId="61D2FF06" wp14:editId="6DE1569F">
            <wp:extent cx="5157934" cy="3562066"/>
            <wp:effectExtent l="0" t="0" r="5080" b="635"/>
            <wp:docPr id="141181650" name="Picture 758946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54"/>
                    <pic:cNvPicPr/>
                  </pic:nvPicPr>
                  <pic:blipFill>
                    <a:blip r:embed="rId264">
                      <a:extLst>
                        <a:ext uri="{28A0092B-C50C-407E-A947-70E740481C1C}">
                          <a14:useLocalDpi xmlns:a14="http://schemas.microsoft.com/office/drawing/2010/main" val="0"/>
                        </a:ext>
                      </a:extLst>
                    </a:blip>
                    <a:stretch>
                      <a:fillRect/>
                    </a:stretch>
                  </pic:blipFill>
                  <pic:spPr>
                    <a:xfrm>
                      <a:off x="0" y="0"/>
                      <a:ext cx="5157934" cy="3562066"/>
                    </a:xfrm>
                    <a:prstGeom prst="rect">
                      <a:avLst/>
                    </a:prstGeom>
                  </pic:spPr>
                </pic:pic>
              </a:graphicData>
            </a:graphic>
          </wp:inline>
        </w:drawing>
      </w:r>
    </w:p>
    <w:p w14:paraId="2F641013" w14:textId="77777777" w:rsidR="007748E7" w:rsidRDefault="007748E7" w:rsidP="007748E7">
      <w:pPr>
        <w:rPr>
          <w:rFonts w:ascii="Calibri" w:eastAsiaTheme="majorEastAsia" w:hAnsi="Calibri" w:cstheme="majorBidi"/>
          <w:bCs/>
          <w:color w:val="00313C" w:themeColor="accent2"/>
          <w:sz w:val="32"/>
          <w:szCs w:val="26"/>
        </w:rPr>
      </w:pPr>
    </w:p>
    <w:p w14:paraId="2CC962C0"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t>(</w:t>
      </w:r>
      <w:r>
        <w:rPr>
          <w:rFonts w:eastAsiaTheme="majorEastAsia"/>
          <w:bCs/>
          <w:color w:val="00313C" w:themeColor="accent2"/>
        </w:rPr>
        <w:t>p</w:t>
      </w:r>
      <w:r w:rsidRPr="00EE274B">
        <w:rPr>
          <w:rFonts w:eastAsiaTheme="majorEastAsia"/>
          <w:bCs/>
          <w:color w:val="00313C" w:themeColor="accent2"/>
        </w:rPr>
        <w:t>)</w:t>
      </w:r>
    </w:p>
    <w:p w14:paraId="44DE1BEB" w14:textId="6FB9C51B" w:rsidR="007748E7" w:rsidRDefault="001A42B7" w:rsidP="007748E7">
      <w:pPr>
        <w:rPr>
          <w:rFonts w:ascii="Calibri" w:eastAsiaTheme="majorEastAsia" w:hAnsi="Calibri" w:cstheme="majorBidi"/>
          <w:bCs/>
          <w:color w:val="00313C" w:themeColor="accent2"/>
          <w:sz w:val="32"/>
          <w:szCs w:val="26"/>
        </w:rPr>
      </w:pPr>
      <w:r>
        <w:rPr>
          <w:noProof/>
        </w:rPr>
        <w:drawing>
          <wp:inline distT="0" distB="0" distL="0" distR="0" wp14:anchorId="44CB7F7D" wp14:editId="78C50F90">
            <wp:extent cx="5138169" cy="3548418"/>
            <wp:effectExtent l="0" t="0" r="5715" b="0"/>
            <wp:docPr id="1797912227" name="Picture 758946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55"/>
                    <pic:cNvPicPr/>
                  </pic:nvPicPr>
                  <pic:blipFill>
                    <a:blip r:embed="rId265">
                      <a:extLst>
                        <a:ext uri="{28A0092B-C50C-407E-A947-70E740481C1C}">
                          <a14:useLocalDpi xmlns:a14="http://schemas.microsoft.com/office/drawing/2010/main" val="0"/>
                        </a:ext>
                      </a:extLst>
                    </a:blip>
                    <a:stretch>
                      <a:fillRect/>
                    </a:stretch>
                  </pic:blipFill>
                  <pic:spPr>
                    <a:xfrm>
                      <a:off x="0" y="0"/>
                      <a:ext cx="5138169" cy="3548418"/>
                    </a:xfrm>
                    <a:prstGeom prst="rect">
                      <a:avLst/>
                    </a:prstGeom>
                  </pic:spPr>
                </pic:pic>
              </a:graphicData>
            </a:graphic>
          </wp:inline>
        </w:drawing>
      </w:r>
    </w:p>
    <w:p w14:paraId="17E1DABE" w14:textId="77777777" w:rsidR="007748E7" w:rsidRDefault="007748E7" w:rsidP="007748E7">
      <w:pPr>
        <w:rPr>
          <w:rFonts w:ascii="Calibri" w:eastAsiaTheme="majorEastAsia" w:hAnsi="Calibri" w:cstheme="majorBidi"/>
          <w:bCs/>
          <w:color w:val="00313C" w:themeColor="accent2"/>
          <w:sz w:val="32"/>
          <w:szCs w:val="26"/>
        </w:rPr>
      </w:pPr>
    </w:p>
    <w:p w14:paraId="4E9172BB" w14:textId="77777777" w:rsidR="007748E7" w:rsidRDefault="007748E7" w:rsidP="007748E7">
      <w:pPr>
        <w:rPr>
          <w:rFonts w:ascii="Calibri" w:eastAsiaTheme="majorEastAsia" w:hAnsi="Calibri" w:cstheme="majorBidi"/>
          <w:bCs/>
          <w:color w:val="00313C" w:themeColor="accent2"/>
          <w:sz w:val="32"/>
          <w:szCs w:val="26"/>
        </w:rPr>
      </w:pPr>
    </w:p>
    <w:p w14:paraId="3CEB4341" w14:textId="77777777" w:rsidR="007748E7" w:rsidRDefault="007748E7" w:rsidP="007748E7">
      <w:pPr>
        <w:rPr>
          <w:rFonts w:ascii="Calibri" w:eastAsiaTheme="majorEastAsia" w:hAnsi="Calibri" w:cstheme="majorBidi"/>
          <w:bCs/>
          <w:color w:val="00313C" w:themeColor="accent2"/>
          <w:sz w:val="32"/>
          <w:szCs w:val="26"/>
        </w:rPr>
        <w:sectPr w:rsidR="007748E7" w:rsidSect="00175CFB">
          <w:type w:val="continuous"/>
          <w:pgSz w:w="11906" w:h="16838" w:code="9"/>
          <w:pgMar w:top="567" w:right="1134" w:bottom="567" w:left="1134" w:header="510" w:footer="624" w:gutter="0"/>
          <w:cols w:space="850"/>
          <w:docGrid w:linePitch="360"/>
        </w:sectPr>
      </w:pPr>
    </w:p>
    <w:p w14:paraId="287FEDDB" w14:textId="77777777" w:rsidR="007748E7" w:rsidRDefault="007748E7" w:rsidP="007748E7">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4ED4AAD9"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q</w:t>
      </w:r>
      <w:r w:rsidRPr="00EE274B">
        <w:rPr>
          <w:rFonts w:eastAsiaTheme="majorEastAsia"/>
          <w:bCs/>
          <w:color w:val="00313C" w:themeColor="accent2"/>
        </w:rPr>
        <w:t>)</w:t>
      </w:r>
    </w:p>
    <w:p w14:paraId="4FAB1AD3" w14:textId="3DAAEBAE" w:rsidR="007748E7" w:rsidRDefault="00922BA8" w:rsidP="007748E7">
      <w:pPr>
        <w:rPr>
          <w:rFonts w:ascii="Calibri" w:eastAsiaTheme="majorEastAsia" w:hAnsi="Calibri" w:cstheme="majorBidi"/>
          <w:bCs/>
          <w:color w:val="00313C" w:themeColor="accent2"/>
          <w:sz w:val="32"/>
          <w:szCs w:val="26"/>
        </w:rPr>
      </w:pPr>
      <w:r>
        <w:rPr>
          <w:noProof/>
        </w:rPr>
        <w:drawing>
          <wp:inline distT="0" distB="0" distL="0" distR="0" wp14:anchorId="612044DB" wp14:editId="3AF3069E">
            <wp:extent cx="4940490" cy="3411901"/>
            <wp:effectExtent l="0" t="0" r="0" b="0"/>
            <wp:docPr id="604547687" name="Picture 75894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56"/>
                    <pic:cNvPicPr/>
                  </pic:nvPicPr>
                  <pic:blipFill>
                    <a:blip r:embed="rId266">
                      <a:extLst>
                        <a:ext uri="{28A0092B-C50C-407E-A947-70E740481C1C}">
                          <a14:useLocalDpi xmlns:a14="http://schemas.microsoft.com/office/drawing/2010/main" val="0"/>
                        </a:ext>
                      </a:extLst>
                    </a:blip>
                    <a:stretch>
                      <a:fillRect/>
                    </a:stretch>
                  </pic:blipFill>
                  <pic:spPr>
                    <a:xfrm>
                      <a:off x="0" y="0"/>
                      <a:ext cx="4940490" cy="3411901"/>
                    </a:xfrm>
                    <a:prstGeom prst="rect">
                      <a:avLst/>
                    </a:prstGeom>
                  </pic:spPr>
                </pic:pic>
              </a:graphicData>
            </a:graphic>
          </wp:inline>
        </w:drawing>
      </w:r>
    </w:p>
    <w:p w14:paraId="7231023E" w14:textId="77777777" w:rsidR="007748E7" w:rsidRDefault="007748E7" w:rsidP="007748E7">
      <w:pPr>
        <w:rPr>
          <w:rFonts w:ascii="Calibri" w:eastAsiaTheme="majorEastAsia" w:hAnsi="Calibri" w:cstheme="majorBidi"/>
          <w:bCs/>
          <w:color w:val="00313C" w:themeColor="accent2"/>
          <w:sz w:val="32"/>
          <w:szCs w:val="26"/>
        </w:rPr>
      </w:pPr>
    </w:p>
    <w:p w14:paraId="5D2FEC73"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t>(</w:t>
      </w:r>
      <w:r>
        <w:rPr>
          <w:rFonts w:eastAsiaTheme="majorEastAsia"/>
          <w:bCs/>
          <w:color w:val="00313C" w:themeColor="accent2"/>
        </w:rPr>
        <w:t>r</w:t>
      </w:r>
      <w:r w:rsidRPr="00EE274B">
        <w:rPr>
          <w:rFonts w:eastAsiaTheme="majorEastAsia"/>
          <w:bCs/>
          <w:color w:val="00313C" w:themeColor="accent2"/>
        </w:rPr>
        <w:t>)</w:t>
      </w:r>
    </w:p>
    <w:p w14:paraId="128ECF39" w14:textId="6A60A1D2" w:rsidR="007748E7" w:rsidRDefault="00922BA8" w:rsidP="007748E7">
      <w:pPr>
        <w:rPr>
          <w:rFonts w:ascii="Calibri" w:eastAsiaTheme="majorEastAsia" w:hAnsi="Calibri" w:cstheme="majorBidi"/>
          <w:bCs/>
          <w:color w:val="00313C" w:themeColor="accent2"/>
          <w:sz w:val="32"/>
          <w:szCs w:val="26"/>
        </w:rPr>
      </w:pPr>
      <w:r>
        <w:rPr>
          <w:noProof/>
        </w:rPr>
        <w:drawing>
          <wp:inline distT="0" distB="0" distL="0" distR="0" wp14:anchorId="182CE89B" wp14:editId="1851A641">
            <wp:extent cx="4940302" cy="3411770"/>
            <wp:effectExtent l="0" t="0" r="0" b="0"/>
            <wp:docPr id="1480871801" name="Picture 75894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57"/>
                    <pic:cNvPicPr/>
                  </pic:nvPicPr>
                  <pic:blipFill>
                    <a:blip r:embed="rId267">
                      <a:extLst>
                        <a:ext uri="{28A0092B-C50C-407E-A947-70E740481C1C}">
                          <a14:useLocalDpi xmlns:a14="http://schemas.microsoft.com/office/drawing/2010/main" val="0"/>
                        </a:ext>
                      </a:extLst>
                    </a:blip>
                    <a:stretch>
                      <a:fillRect/>
                    </a:stretch>
                  </pic:blipFill>
                  <pic:spPr>
                    <a:xfrm>
                      <a:off x="0" y="0"/>
                      <a:ext cx="4940302" cy="3411770"/>
                    </a:xfrm>
                    <a:prstGeom prst="rect">
                      <a:avLst/>
                    </a:prstGeom>
                  </pic:spPr>
                </pic:pic>
              </a:graphicData>
            </a:graphic>
          </wp:inline>
        </w:drawing>
      </w:r>
    </w:p>
    <w:p w14:paraId="0BB07036" w14:textId="77777777" w:rsidR="007748E7" w:rsidRDefault="007748E7" w:rsidP="007748E7">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0ACD8B6E"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s</w:t>
      </w:r>
      <w:r w:rsidRPr="00EE274B">
        <w:rPr>
          <w:rFonts w:eastAsiaTheme="majorEastAsia"/>
          <w:bCs/>
          <w:color w:val="00313C" w:themeColor="accent2"/>
        </w:rPr>
        <w:t>)</w:t>
      </w:r>
    </w:p>
    <w:p w14:paraId="0A6ABD33" w14:textId="47B2394E" w:rsidR="007748E7" w:rsidRDefault="007748E7" w:rsidP="007748E7">
      <w:pPr>
        <w:rPr>
          <w:rFonts w:ascii="Calibri" w:eastAsiaTheme="majorEastAsia" w:hAnsi="Calibri" w:cstheme="majorBidi"/>
          <w:bCs/>
          <w:color w:val="00313C" w:themeColor="accent2"/>
          <w:sz w:val="32"/>
          <w:szCs w:val="26"/>
        </w:rPr>
      </w:pPr>
      <w:r w:rsidRPr="1F802AF8">
        <w:rPr>
          <w:noProof/>
        </w:rPr>
        <w:t xml:space="preserve"> </w:t>
      </w:r>
      <w:r w:rsidR="002F3D69">
        <w:rPr>
          <w:noProof/>
        </w:rPr>
        <w:drawing>
          <wp:inline distT="0" distB="0" distL="0" distR="0" wp14:anchorId="1B4D4CE4" wp14:editId="0F63D0B3">
            <wp:extent cx="5076826" cy="3506054"/>
            <wp:effectExtent l="0" t="0" r="0" b="0"/>
            <wp:docPr id="19912982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68">
                      <a:extLst>
                        <a:ext uri="{28A0092B-C50C-407E-A947-70E740481C1C}">
                          <a14:useLocalDpi xmlns:a14="http://schemas.microsoft.com/office/drawing/2010/main" val="0"/>
                        </a:ext>
                      </a:extLst>
                    </a:blip>
                    <a:stretch>
                      <a:fillRect/>
                    </a:stretch>
                  </pic:blipFill>
                  <pic:spPr>
                    <a:xfrm>
                      <a:off x="0" y="0"/>
                      <a:ext cx="5076826" cy="3506054"/>
                    </a:xfrm>
                    <a:prstGeom prst="rect">
                      <a:avLst/>
                    </a:prstGeom>
                  </pic:spPr>
                </pic:pic>
              </a:graphicData>
            </a:graphic>
          </wp:inline>
        </w:drawing>
      </w:r>
    </w:p>
    <w:p w14:paraId="3BE916E2" w14:textId="77777777" w:rsidR="007748E7" w:rsidRDefault="007748E7" w:rsidP="007748E7">
      <w:pPr>
        <w:rPr>
          <w:rFonts w:eastAsiaTheme="majorEastAsia"/>
          <w:bCs/>
          <w:color w:val="00313C" w:themeColor="accent2"/>
        </w:rPr>
      </w:pPr>
    </w:p>
    <w:p w14:paraId="781FAF45"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t>(</w:t>
      </w:r>
      <w:r>
        <w:rPr>
          <w:rFonts w:eastAsiaTheme="majorEastAsia"/>
          <w:bCs/>
          <w:color w:val="00313C" w:themeColor="accent2"/>
        </w:rPr>
        <w:t>t</w:t>
      </w:r>
      <w:r w:rsidRPr="00EE274B">
        <w:rPr>
          <w:rFonts w:eastAsiaTheme="majorEastAsia"/>
          <w:bCs/>
          <w:color w:val="00313C" w:themeColor="accent2"/>
        </w:rPr>
        <w:t>)</w:t>
      </w:r>
    </w:p>
    <w:p w14:paraId="7293DBBB" w14:textId="1FBF3909" w:rsidR="007748E7" w:rsidRDefault="002100EA" w:rsidP="007748E7">
      <w:pPr>
        <w:rPr>
          <w:rFonts w:ascii="Calibri" w:eastAsiaTheme="majorEastAsia" w:hAnsi="Calibri" w:cstheme="majorBidi"/>
          <w:bCs/>
          <w:color w:val="00313C" w:themeColor="accent2"/>
          <w:sz w:val="32"/>
          <w:szCs w:val="26"/>
        </w:rPr>
      </w:pPr>
      <w:r>
        <w:rPr>
          <w:noProof/>
        </w:rPr>
        <w:drawing>
          <wp:inline distT="0" distB="0" distL="0" distR="0" wp14:anchorId="05FBD767" wp14:editId="034A28A4">
            <wp:extent cx="5070142" cy="3501440"/>
            <wp:effectExtent l="0" t="0" r="0" b="3810"/>
            <wp:docPr id="11167204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69">
                      <a:extLst>
                        <a:ext uri="{28A0092B-C50C-407E-A947-70E740481C1C}">
                          <a14:useLocalDpi xmlns:a14="http://schemas.microsoft.com/office/drawing/2010/main" val="0"/>
                        </a:ext>
                      </a:extLst>
                    </a:blip>
                    <a:stretch>
                      <a:fillRect/>
                    </a:stretch>
                  </pic:blipFill>
                  <pic:spPr>
                    <a:xfrm>
                      <a:off x="0" y="0"/>
                      <a:ext cx="5070142" cy="3501440"/>
                    </a:xfrm>
                    <a:prstGeom prst="rect">
                      <a:avLst/>
                    </a:prstGeom>
                  </pic:spPr>
                </pic:pic>
              </a:graphicData>
            </a:graphic>
          </wp:inline>
        </w:drawing>
      </w:r>
    </w:p>
    <w:p w14:paraId="2D6183E7" w14:textId="77777777" w:rsidR="007748E7" w:rsidRDefault="007748E7" w:rsidP="007748E7">
      <w:pPr>
        <w:rPr>
          <w:rFonts w:ascii="Calibri" w:eastAsiaTheme="majorEastAsia" w:hAnsi="Calibri" w:cstheme="majorBidi"/>
          <w:bCs/>
          <w:color w:val="00313C" w:themeColor="accent2"/>
          <w:sz w:val="32"/>
          <w:szCs w:val="26"/>
        </w:rPr>
      </w:pPr>
    </w:p>
    <w:p w14:paraId="110E0F36" w14:textId="77777777" w:rsidR="007748E7" w:rsidRDefault="007748E7" w:rsidP="007748E7">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636A395F" w14:textId="77777777" w:rsidR="007748E7" w:rsidRPr="00EE274B" w:rsidRDefault="007748E7" w:rsidP="007748E7">
      <w:pPr>
        <w:rPr>
          <w:rFonts w:eastAsiaTheme="majorEastAsia"/>
          <w:bCs/>
          <w:color w:val="00313C" w:themeColor="accent2"/>
        </w:rPr>
      </w:pPr>
      <w:r w:rsidRPr="00EE274B">
        <w:rPr>
          <w:rFonts w:eastAsiaTheme="majorEastAsia"/>
          <w:bCs/>
          <w:color w:val="00313C" w:themeColor="accent2"/>
        </w:rPr>
        <w:lastRenderedPageBreak/>
        <w:t>(</w:t>
      </w:r>
      <w:r>
        <w:rPr>
          <w:rFonts w:eastAsiaTheme="majorEastAsia"/>
          <w:bCs/>
          <w:color w:val="00313C" w:themeColor="accent2"/>
        </w:rPr>
        <w:t>u</w:t>
      </w:r>
      <w:r w:rsidRPr="00EE274B">
        <w:rPr>
          <w:rFonts w:eastAsiaTheme="majorEastAsia"/>
          <w:bCs/>
          <w:color w:val="00313C" w:themeColor="accent2"/>
        </w:rPr>
        <w:t>)</w:t>
      </w:r>
    </w:p>
    <w:p w14:paraId="7D27D889" w14:textId="64E774FE" w:rsidR="007748E7" w:rsidRDefault="00BD464D" w:rsidP="007748E7">
      <w:pPr>
        <w:rPr>
          <w:rFonts w:ascii="Calibri" w:eastAsiaTheme="majorEastAsia" w:hAnsi="Calibri" w:cstheme="majorBidi"/>
          <w:bCs/>
          <w:color w:val="00313C" w:themeColor="accent2"/>
          <w:sz w:val="32"/>
          <w:szCs w:val="26"/>
        </w:rPr>
      </w:pPr>
      <w:r>
        <w:rPr>
          <w:noProof/>
        </w:rPr>
        <w:drawing>
          <wp:inline distT="0" distB="0" distL="0" distR="0" wp14:anchorId="1E8013BC" wp14:editId="4F05C53D">
            <wp:extent cx="4872252" cy="3364775"/>
            <wp:effectExtent l="0" t="0" r="5080" b="7620"/>
            <wp:docPr id="467346878" name="Picture 75894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946860"/>
                    <pic:cNvPicPr/>
                  </pic:nvPicPr>
                  <pic:blipFill>
                    <a:blip r:embed="rId270">
                      <a:extLst>
                        <a:ext uri="{28A0092B-C50C-407E-A947-70E740481C1C}">
                          <a14:useLocalDpi xmlns:a14="http://schemas.microsoft.com/office/drawing/2010/main" val="0"/>
                        </a:ext>
                      </a:extLst>
                    </a:blip>
                    <a:stretch>
                      <a:fillRect/>
                    </a:stretch>
                  </pic:blipFill>
                  <pic:spPr>
                    <a:xfrm>
                      <a:off x="0" y="0"/>
                      <a:ext cx="4872252" cy="3364775"/>
                    </a:xfrm>
                    <a:prstGeom prst="rect">
                      <a:avLst/>
                    </a:prstGeom>
                  </pic:spPr>
                </pic:pic>
              </a:graphicData>
            </a:graphic>
          </wp:inline>
        </w:drawing>
      </w:r>
    </w:p>
    <w:p w14:paraId="1EFD4434" w14:textId="7C43483A" w:rsidR="00BE598B" w:rsidRDefault="00BE598B">
      <w:pPr>
        <w:rPr>
          <w:rFonts w:ascii="Calibri" w:eastAsiaTheme="majorEastAsia" w:hAnsi="Calibri" w:cstheme="majorBidi"/>
          <w:bCs/>
          <w:color w:val="00313C" w:themeColor="accent2"/>
          <w:sz w:val="32"/>
          <w:szCs w:val="26"/>
        </w:rPr>
      </w:pPr>
      <w:r>
        <w:rPr>
          <w:rFonts w:ascii="Calibri" w:eastAsiaTheme="majorEastAsia" w:hAnsi="Calibri" w:cstheme="majorBidi"/>
          <w:bCs/>
          <w:color w:val="00313C" w:themeColor="accent2"/>
          <w:sz w:val="32"/>
          <w:szCs w:val="26"/>
        </w:rPr>
        <w:br w:type="page"/>
      </w:r>
    </w:p>
    <w:p w14:paraId="446CB867" w14:textId="199884CF" w:rsidR="00852CC1" w:rsidRDefault="00EF513D" w:rsidP="00EF513D">
      <w:pPr>
        <w:pStyle w:val="Heading2"/>
        <w:numPr>
          <w:ilvl w:val="0"/>
          <w:numId w:val="0"/>
        </w:numPr>
        <w:spacing w:before="0"/>
        <w:ind w:left="576" w:hanging="576"/>
      </w:pPr>
      <w:bookmarkStart w:id="259" w:name="_Toc52873109"/>
      <w:bookmarkStart w:id="260" w:name="_Toc53075140"/>
      <w:r>
        <w:lastRenderedPageBreak/>
        <w:t xml:space="preserve">C. </w:t>
      </w:r>
      <w:r w:rsidR="00852CC1">
        <w:t xml:space="preserve">NRM </w:t>
      </w:r>
      <w:r w:rsidR="00AA789C">
        <w:t xml:space="preserve">zone </w:t>
      </w:r>
      <w:r w:rsidR="00852CC1">
        <w:t>climate change projection consensus summaries</w:t>
      </w:r>
      <w:bookmarkEnd w:id="259"/>
      <w:bookmarkEnd w:id="260"/>
    </w:p>
    <w:p w14:paraId="1814C443" w14:textId="152DF1CD" w:rsidR="001F63B1" w:rsidRDefault="001F63B1" w:rsidP="001F63B1">
      <w:pPr>
        <w:pStyle w:val="BodyText"/>
      </w:pPr>
      <w:r>
        <w:t>In each table below, for each of the 15 NRM sub-clusters, is given the following information:</w:t>
      </w:r>
    </w:p>
    <w:p w14:paraId="1EA1F55B" w14:textId="1A256AAD" w:rsidR="001F63B1" w:rsidRDefault="001F63B1" w:rsidP="009250B8">
      <w:pPr>
        <w:pStyle w:val="BodyText"/>
        <w:numPr>
          <w:ilvl w:val="0"/>
          <w:numId w:val="18"/>
        </w:numPr>
      </w:pPr>
      <w:r>
        <w:t>Map showing sub-region location</w:t>
      </w:r>
    </w:p>
    <w:p w14:paraId="287A3FD9" w14:textId="066FAB08" w:rsidR="001F63B1" w:rsidRDefault="001F63B1" w:rsidP="009250B8">
      <w:pPr>
        <w:pStyle w:val="BodyText"/>
        <w:numPr>
          <w:ilvl w:val="0"/>
          <w:numId w:val="18"/>
        </w:numPr>
      </w:pPr>
      <w:r>
        <w:t>Summary of currently registered ERF projects within the region (number of projects, and total project area, as of as of 3 June 2020). Revoked projects have been excluded.</w:t>
      </w:r>
    </w:p>
    <w:p w14:paraId="0500FD4B" w14:textId="195030F3" w:rsidR="001F63B1" w:rsidRDefault="001F63B1" w:rsidP="009250B8">
      <w:pPr>
        <w:pStyle w:val="BodyText"/>
        <w:numPr>
          <w:ilvl w:val="0"/>
          <w:numId w:val="18"/>
        </w:numPr>
      </w:pPr>
      <w:r>
        <w:t>Summary of climate change projections, with an estimate of the confidence of each projected change (</w:t>
      </w:r>
      <w:r w:rsidR="00EB0904">
        <w:t xml:space="preserve">as a consensus across approximately 40 global circulation models). Confidence is ranked as </w:t>
      </w:r>
      <w:r w:rsidR="00EB0904">
        <w:rPr>
          <w:i/>
          <w:iCs/>
        </w:rPr>
        <w:t>Low</w:t>
      </w:r>
      <w:r w:rsidR="00EB0904">
        <w:t xml:space="preserve">, </w:t>
      </w:r>
      <w:r w:rsidR="00EB0904">
        <w:rPr>
          <w:i/>
          <w:iCs/>
        </w:rPr>
        <w:t>Medium</w:t>
      </w:r>
      <w:r w:rsidR="00EB0904">
        <w:t xml:space="preserve">, </w:t>
      </w:r>
      <w:r w:rsidR="00EB0904">
        <w:rPr>
          <w:i/>
          <w:iCs/>
        </w:rPr>
        <w:t>High</w:t>
      </w:r>
      <w:r w:rsidR="00EB0904">
        <w:t xml:space="preserve">, and </w:t>
      </w:r>
      <w:r w:rsidR="00EB0904">
        <w:rPr>
          <w:i/>
          <w:iCs/>
        </w:rPr>
        <w:t>Very High</w:t>
      </w:r>
      <w:r w:rsidR="00EB0904">
        <w:t>.</w:t>
      </w:r>
    </w:p>
    <w:p w14:paraId="67DE7D14" w14:textId="2E300C90" w:rsidR="00EB0904" w:rsidRDefault="00EB0904" w:rsidP="009250B8">
      <w:pPr>
        <w:pStyle w:val="BodyText"/>
        <w:numPr>
          <w:ilvl w:val="0"/>
          <w:numId w:val="18"/>
        </w:numPr>
      </w:pPr>
      <w:r>
        <w:t>Timeseries charts showing historical trends in average annual temperature and rainfall (1950-present, blue lines), together with the range of model predictions (10</w:t>
      </w:r>
      <w:r w:rsidRPr="00EB0904">
        <w:rPr>
          <w:vertAlign w:val="superscript"/>
        </w:rPr>
        <w:t>th</w:t>
      </w:r>
      <w:r>
        <w:t xml:space="preserve"> and 90</w:t>
      </w:r>
      <w:r w:rsidRPr="00EB0904">
        <w:rPr>
          <w:vertAlign w:val="superscript"/>
        </w:rPr>
        <w:t>th</w:t>
      </w:r>
      <w:r>
        <w:t xml:space="preserve"> percentiles) across all available CMIP5 simulations (up to 2100). </w:t>
      </w:r>
    </w:p>
    <w:p w14:paraId="045EC270" w14:textId="3FEF8C3D" w:rsidR="00225753" w:rsidRDefault="00225753" w:rsidP="00225753">
      <w:pPr>
        <w:pStyle w:val="BodyText"/>
      </w:pPr>
      <w:r>
        <w:t>For all regions, o</w:t>
      </w:r>
      <w:r w:rsidRPr="00225753">
        <w:t xml:space="preserve">n </w:t>
      </w:r>
      <w:r>
        <w:t xml:space="preserve">an </w:t>
      </w:r>
      <w:r w:rsidRPr="00225753">
        <w:t>annual and decadal basis, natural variability in the climate system can act to either mask or enhance any long-term human induced trend, particularly in the next 20 years and for rainfall.</w:t>
      </w:r>
    </w:p>
    <w:p w14:paraId="18141B84" w14:textId="5D069A50" w:rsidR="001D5B04" w:rsidRDefault="001D5B04" w:rsidP="001D5B04">
      <w:pPr>
        <w:pStyle w:val="BodyText"/>
      </w:pPr>
      <w:r>
        <w:t>Climate change projection data and summaries obtained from</w:t>
      </w:r>
      <w:r w:rsidR="002F5D5F">
        <w:t xml:space="preserve"> published reports and data downloads from</w:t>
      </w:r>
      <w:r>
        <w:t xml:space="preserve">: </w:t>
      </w:r>
      <w:hyperlink r:id="rId271" w:history="1">
        <w:r>
          <w:rPr>
            <w:rStyle w:val="Hyperlink"/>
          </w:rPr>
          <w:t>https://www.climatechangeinaustralia.gov.au/en/climate-projections/about/</w:t>
        </w:r>
      </w:hyperlink>
      <w:r>
        <w:t>.</w:t>
      </w:r>
    </w:p>
    <w:p w14:paraId="16062D50" w14:textId="77777777" w:rsidR="001D5B04" w:rsidRDefault="001D5B04" w:rsidP="001D5B04">
      <w:pPr>
        <w:pStyle w:val="BodyText"/>
      </w:pPr>
    </w:p>
    <w:p w14:paraId="6B70642A" w14:textId="2032228A" w:rsidR="001F63B1" w:rsidRDefault="001F63B1" w:rsidP="001F63B1">
      <w:pPr>
        <w:pStyle w:val="BodyText"/>
      </w:pPr>
    </w:p>
    <w:p w14:paraId="3E63D72F" w14:textId="00A69430" w:rsidR="002F5D5F" w:rsidRDefault="002F5D5F">
      <w:pPr>
        <w:rPr>
          <w:rFonts w:ascii="Calibri" w:eastAsia="Calibri" w:hAnsi="Calibri"/>
          <w:color w:val="000000"/>
          <w:szCs w:val="22"/>
        </w:rPr>
      </w:pPr>
      <w:r>
        <w:br w:type="page"/>
      </w:r>
    </w:p>
    <w:tbl>
      <w:tblPr>
        <w:tblStyle w:val="TableGrid"/>
        <w:tblW w:w="0" w:type="auto"/>
        <w:tblLook w:val="04A0" w:firstRow="1" w:lastRow="0" w:firstColumn="1" w:lastColumn="0" w:noHBand="0" w:noVBand="1"/>
      </w:tblPr>
      <w:tblGrid>
        <w:gridCol w:w="2263"/>
        <w:gridCol w:w="7365"/>
      </w:tblGrid>
      <w:tr w:rsidR="0054376E" w14:paraId="7DF3F4DD" w14:textId="77777777" w:rsidTr="1F802AF8">
        <w:trPr>
          <w:trHeight w:val="329"/>
        </w:trPr>
        <w:tc>
          <w:tcPr>
            <w:tcW w:w="9628" w:type="dxa"/>
            <w:gridSpan w:val="2"/>
          </w:tcPr>
          <w:p w14:paraId="1374ABEA" w14:textId="0B232C26" w:rsidR="0054376E" w:rsidRPr="00EF238F" w:rsidRDefault="00EB0904" w:rsidP="00447D91">
            <w:pPr>
              <w:pStyle w:val="BodyText"/>
              <w:rPr>
                <w:b/>
                <w:bCs/>
                <w:sz w:val="20"/>
              </w:rPr>
            </w:pPr>
            <w:r>
              <w:lastRenderedPageBreak/>
              <w:br w:type="page"/>
            </w:r>
            <w:r w:rsidR="0054376E">
              <w:rPr>
                <w:b/>
                <w:bCs/>
                <w:sz w:val="20"/>
              </w:rPr>
              <w:t>Monsoonal North (West)</w:t>
            </w:r>
          </w:p>
        </w:tc>
      </w:tr>
      <w:tr w:rsidR="00DF0BD3" w14:paraId="4FEDCF25" w14:textId="77777777" w:rsidTr="1F802AF8">
        <w:trPr>
          <w:trHeight w:val="1815"/>
        </w:trPr>
        <w:tc>
          <w:tcPr>
            <w:tcW w:w="2263" w:type="dxa"/>
          </w:tcPr>
          <w:p w14:paraId="237A704A" w14:textId="20AF2FC6" w:rsidR="00EF238F" w:rsidRDefault="00EF238F" w:rsidP="00447D91">
            <w:pPr>
              <w:pStyle w:val="BodyText"/>
            </w:pPr>
            <w:r>
              <w:rPr>
                <w:noProof/>
              </w:rPr>
              <w:drawing>
                <wp:inline distT="0" distB="0" distL="0" distR="0" wp14:anchorId="7E68D9C3" wp14:editId="2B6C8EB4">
                  <wp:extent cx="1239715" cy="1045745"/>
                  <wp:effectExtent l="0" t="0" r="0" b="2540"/>
                  <wp:docPr id="10994295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72">
                            <a:extLst>
                              <a:ext uri="{28A0092B-C50C-407E-A947-70E740481C1C}">
                                <a14:useLocalDpi xmlns:a14="http://schemas.microsoft.com/office/drawing/2010/main" val="0"/>
                              </a:ext>
                            </a:extLst>
                          </a:blip>
                          <a:stretch>
                            <a:fillRect/>
                          </a:stretch>
                        </pic:blipFill>
                        <pic:spPr>
                          <a:xfrm>
                            <a:off x="0" y="0"/>
                            <a:ext cx="1239715" cy="1045745"/>
                          </a:xfrm>
                          <a:prstGeom prst="rect">
                            <a:avLst/>
                          </a:prstGeom>
                        </pic:spPr>
                      </pic:pic>
                    </a:graphicData>
                  </a:graphic>
                </wp:inline>
              </w:drawing>
            </w:r>
          </w:p>
        </w:tc>
        <w:tc>
          <w:tcPr>
            <w:tcW w:w="7365" w:type="dxa"/>
          </w:tcPr>
          <w:p w14:paraId="3E979DFA" w14:textId="15408CDF" w:rsidR="00EF238F" w:rsidRDefault="00EF238F" w:rsidP="00447D91">
            <w:pPr>
              <w:pStyle w:val="BodyText"/>
              <w:rPr>
                <w:b/>
                <w:bCs/>
                <w:sz w:val="20"/>
              </w:rPr>
            </w:pPr>
            <w:r w:rsidRPr="00EF238F">
              <w:rPr>
                <w:b/>
                <w:bCs/>
                <w:sz w:val="20"/>
              </w:rPr>
              <w:t>ERF Activity</w:t>
            </w:r>
            <w:r w:rsidR="0054376E">
              <w:rPr>
                <w:b/>
                <w:bCs/>
                <w:sz w:val="20"/>
              </w:rPr>
              <w:tab/>
            </w:r>
            <w:r w:rsidR="0054376E">
              <w:rPr>
                <w:b/>
                <w:bCs/>
                <w:sz w:val="20"/>
              </w:rPr>
              <w:tab/>
            </w:r>
            <w:r w:rsidR="0054376E">
              <w:rPr>
                <w:b/>
                <w:bCs/>
                <w:sz w:val="20"/>
              </w:rPr>
              <w:tab/>
            </w:r>
            <w:r w:rsidR="00210CF6">
              <w:rPr>
                <w:b/>
                <w:bCs/>
                <w:sz w:val="20"/>
              </w:rPr>
              <w:tab/>
            </w:r>
            <w:r w:rsidR="0054376E">
              <w:rPr>
                <w:b/>
                <w:bCs/>
                <w:sz w:val="20"/>
              </w:rPr>
              <w:t>n projects</w:t>
            </w:r>
            <w:r w:rsidR="0054376E">
              <w:rPr>
                <w:b/>
                <w:bCs/>
                <w:sz w:val="20"/>
              </w:rPr>
              <w:tab/>
              <w:t>Area (ha)</w:t>
            </w:r>
          </w:p>
          <w:p w14:paraId="2B329E40" w14:textId="63582D58" w:rsidR="00EF238F" w:rsidRPr="0054376E" w:rsidRDefault="0054376E" w:rsidP="00447D91">
            <w:pPr>
              <w:pStyle w:val="BodyText"/>
              <w:rPr>
                <w:sz w:val="20"/>
              </w:rPr>
            </w:pPr>
            <w:r w:rsidRPr="0054376E">
              <w:rPr>
                <w:sz w:val="20"/>
              </w:rPr>
              <w:t>Savanna fire management</w:t>
            </w:r>
            <w:r w:rsidRPr="0054376E">
              <w:rPr>
                <w:sz w:val="20"/>
              </w:rPr>
              <w:tab/>
            </w:r>
            <w:r>
              <w:rPr>
                <w:sz w:val="20"/>
              </w:rPr>
              <w:tab/>
            </w:r>
            <w:r w:rsidR="00210CF6">
              <w:rPr>
                <w:sz w:val="20"/>
              </w:rPr>
              <w:tab/>
            </w:r>
            <w:r w:rsidRPr="0054376E">
              <w:rPr>
                <w:sz w:val="20"/>
              </w:rPr>
              <w:t>99</w:t>
            </w:r>
            <w:r w:rsidRPr="0054376E">
              <w:rPr>
                <w:sz w:val="20"/>
              </w:rPr>
              <w:tab/>
              <w:t xml:space="preserve"> </w:t>
            </w:r>
            <w:r w:rsidRPr="0054376E">
              <w:rPr>
                <w:sz w:val="20"/>
              </w:rPr>
              <w:tab/>
              <w:t>21,933,335</w:t>
            </w:r>
          </w:p>
        </w:tc>
      </w:tr>
      <w:tr w:rsidR="00EF238F" w14:paraId="5C18A6ED" w14:textId="77777777" w:rsidTr="1F802AF8">
        <w:tc>
          <w:tcPr>
            <w:tcW w:w="9628" w:type="dxa"/>
            <w:gridSpan w:val="2"/>
          </w:tcPr>
          <w:p w14:paraId="7194BCEA" w14:textId="68C85520" w:rsidR="00EF238F" w:rsidRPr="00EF238F" w:rsidRDefault="00EF238F" w:rsidP="0054376E">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66DEC7DF" w14:textId="6CC99002" w:rsidR="00EF238F" w:rsidRPr="00BA224C" w:rsidRDefault="00EF238F" w:rsidP="009250B8">
            <w:pPr>
              <w:numPr>
                <w:ilvl w:val="0"/>
                <w:numId w:val="17"/>
              </w:numPr>
              <w:tabs>
                <w:tab w:val="clear" w:pos="720"/>
              </w:tabs>
              <w:ind w:left="313" w:right="136" w:hanging="313"/>
              <w:rPr>
                <w:rFonts w:asciiTheme="minorHAnsi" w:hAnsiTheme="minorHAnsi" w:cstheme="minorHAnsi"/>
                <w:color w:val="313E37"/>
                <w:sz w:val="18"/>
                <w:szCs w:val="18"/>
              </w:rPr>
            </w:pPr>
            <w:r w:rsidRPr="00225753">
              <w:rPr>
                <w:rFonts w:asciiTheme="minorHAnsi" w:hAnsiTheme="minorHAnsi" w:cstheme="minorHAnsi"/>
                <w:color w:val="FF0000"/>
                <w:sz w:val="18"/>
                <w:szCs w:val="18"/>
              </w:rPr>
              <w:t xml:space="preserve">Average temperatures </w:t>
            </w:r>
            <w:r w:rsidRPr="00BA224C">
              <w:rPr>
                <w:rFonts w:asciiTheme="minorHAnsi" w:hAnsiTheme="minorHAnsi" w:cstheme="minorHAnsi"/>
                <w:color w:val="313E37"/>
                <w:sz w:val="18"/>
                <w:szCs w:val="18"/>
              </w:rPr>
              <w:t>will continue to increase in all seasons (</w:t>
            </w:r>
            <w:r w:rsidRPr="00BA224C">
              <w:rPr>
                <w:rFonts w:asciiTheme="minorHAnsi" w:hAnsiTheme="minorHAnsi" w:cstheme="minorHAnsi"/>
                <w:i/>
                <w:iCs/>
                <w:color w:val="313E37"/>
                <w:sz w:val="18"/>
                <w:szCs w:val="18"/>
              </w:rPr>
              <w:t>very high confidence</w:t>
            </w:r>
            <w:r w:rsidRPr="00BA224C">
              <w:rPr>
                <w:rFonts w:asciiTheme="minorHAnsi" w:hAnsiTheme="minorHAnsi" w:cstheme="minorHAnsi"/>
                <w:color w:val="313E37"/>
                <w:sz w:val="18"/>
                <w:szCs w:val="18"/>
              </w:rPr>
              <w:t>).</w:t>
            </w:r>
            <w:r w:rsidR="004F5F62" w:rsidRPr="00BA224C">
              <w:rPr>
                <w:rFonts w:asciiTheme="minorHAnsi" w:hAnsiTheme="minorHAnsi" w:cstheme="minorHAnsi"/>
                <w:color w:val="313E37"/>
                <w:sz w:val="18"/>
                <w:szCs w:val="18"/>
              </w:rPr>
              <w:t xml:space="preserve"> </w:t>
            </w:r>
            <w:r w:rsidR="00DC47BB" w:rsidRPr="00BA224C">
              <w:rPr>
                <w:rFonts w:asciiTheme="minorHAnsi" w:hAnsiTheme="minorHAnsi" w:cstheme="minorHAnsi"/>
                <w:color w:val="313E37"/>
                <w:sz w:val="18"/>
                <w:szCs w:val="18"/>
              </w:rPr>
              <w:t>For the near future (2030), the annually averaged warming across all emission scenarios is projected to be around 0.5 to 1.4 °C above the climate of 1986 – 2005. By late in the century (2090), for a high emission scenario (RCP8.5) the projected range of warming is 2.8 to 5.1 °C. Under an intermediate scenario (RCP4.5) the projected warming is 1.3 to 2.8 °C.</w:t>
            </w:r>
          </w:p>
          <w:p w14:paraId="0BA6A822" w14:textId="78404467" w:rsidR="00EF238F" w:rsidRPr="00BA224C" w:rsidRDefault="00EF238F"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More hot days and warm spells are projected with </w:t>
            </w:r>
            <w:r w:rsidRPr="00BA224C">
              <w:rPr>
                <w:rFonts w:asciiTheme="minorHAnsi" w:hAnsiTheme="minorHAnsi" w:cstheme="minorHAnsi"/>
                <w:i/>
                <w:iCs/>
                <w:color w:val="313E37"/>
                <w:sz w:val="18"/>
                <w:szCs w:val="18"/>
              </w:rPr>
              <w:t>very high confidence</w:t>
            </w:r>
            <w:r w:rsidRPr="00BA224C">
              <w:rPr>
                <w:rFonts w:asciiTheme="minorHAnsi" w:hAnsiTheme="minorHAnsi" w:cstheme="minorHAnsi"/>
                <w:color w:val="313E37"/>
                <w:sz w:val="18"/>
                <w:szCs w:val="18"/>
              </w:rPr>
              <w:t>.</w:t>
            </w:r>
            <w:r w:rsidR="00DC47BB" w:rsidRPr="00BA224C">
              <w:rPr>
                <w:rFonts w:asciiTheme="minorHAnsi" w:hAnsiTheme="minorHAnsi" w:cstheme="minorHAnsi"/>
                <w:color w:val="313E37"/>
                <w:sz w:val="18"/>
                <w:szCs w:val="18"/>
              </w:rPr>
              <w:t xml:space="preserve"> </w:t>
            </w:r>
            <w:r w:rsidR="00DC47BB" w:rsidRPr="00225753">
              <w:rPr>
                <w:rFonts w:asciiTheme="minorHAnsi" w:hAnsiTheme="minorHAnsi" w:cstheme="minorHAnsi"/>
                <w:color w:val="FF0000"/>
                <w:sz w:val="18"/>
                <w:szCs w:val="18"/>
              </w:rPr>
              <w:t xml:space="preserve">Extreme temperatures </w:t>
            </w:r>
            <w:r w:rsidR="00DC47BB" w:rsidRPr="00BA224C">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00DC47BB" w:rsidRPr="00D52EC9">
              <w:rPr>
                <w:rFonts w:asciiTheme="minorHAnsi" w:hAnsiTheme="minorHAnsi" w:cstheme="minorHAnsi"/>
                <w:i/>
                <w:iCs/>
                <w:color w:val="313E37"/>
                <w:sz w:val="18"/>
                <w:szCs w:val="18"/>
              </w:rPr>
              <w:t>very high confidence</w:t>
            </w:r>
            <w:r w:rsidR="00DC47BB" w:rsidRPr="00BA224C">
              <w:rPr>
                <w:rFonts w:asciiTheme="minorHAnsi" w:hAnsiTheme="minorHAnsi" w:cstheme="minorHAnsi"/>
                <w:color w:val="313E37"/>
                <w:sz w:val="18"/>
                <w:szCs w:val="18"/>
              </w:rPr>
              <w:t>).</w:t>
            </w:r>
          </w:p>
          <w:p w14:paraId="138CC5F8" w14:textId="14D1A799" w:rsidR="00EF238F" w:rsidRPr="00BA224C" w:rsidRDefault="00EF238F"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 xml:space="preserve">Changes to </w:t>
            </w:r>
            <w:r w:rsidRPr="00225753">
              <w:rPr>
                <w:rFonts w:asciiTheme="minorHAnsi" w:hAnsiTheme="minorHAnsi" w:cstheme="minorHAnsi"/>
                <w:color w:val="FF0000"/>
                <w:sz w:val="18"/>
                <w:szCs w:val="18"/>
              </w:rPr>
              <w:t>rainfall</w:t>
            </w:r>
            <w:r w:rsidRPr="00BA224C">
              <w:rPr>
                <w:rFonts w:asciiTheme="minorHAnsi" w:hAnsiTheme="minorHAnsi" w:cstheme="minorHAnsi"/>
                <w:color w:val="313E37"/>
                <w:sz w:val="18"/>
                <w:szCs w:val="18"/>
              </w:rPr>
              <w:t xml:space="preserve"> are possible but unclear.</w:t>
            </w:r>
            <w:r w:rsidR="004F5F62" w:rsidRPr="00BA224C">
              <w:rPr>
                <w:rFonts w:asciiTheme="minorHAnsi" w:hAnsiTheme="minorHAnsi" w:cstheme="minorHAnsi"/>
                <w:color w:val="313E37"/>
                <w:sz w:val="18"/>
                <w:szCs w:val="18"/>
              </w:rPr>
              <w:t xml:space="preserve"> Providing confident rainfall projections for the Monsoonal North cluster is difficult because global climate models offer diverse results, and models have shortcomings in resolving some tropical processes. Natural climate variability is projected to remain the major driver of rainfall changes in the next few decades. By late in the century, potential summer rainfall changes are approximately -15 to +10 per cent under an intermediate emission scenario (RCP4.5) and approximately -25 to +20 per cent under a high scenario (RCP8.5). Per cent changes are much larger in winter in some models, but these changes are less reliable because average winter rainfall is very low.</w:t>
            </w:r>
          </w:p>
          <w:p w14:paraId="121DB8A1" w14:textId="77777777" w:rsidR="002B320D" w:rsidRDefault="00EF238F"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 xml:space="preserve">Increased intensity of </w:t>
            </w:r>
            <w:r w:rsidRPr="00225753">
              <w:rPr>
                <w:rFonts w:asciiTheme="minorHAnsi" w:hAnsiTheme="minorHAnsi" w:cstheme="minorHAnsi"/>
                <w:color w:val="FF0000"/>
                <w:sz w:val="18"/>
                <w:szCs w:val="18"/>
              </w:rPr>
              <w:t xml:space="preserve">extreme rainfall </w:t>
            </w:r>
            <w:r w:rsidRPr="00BA224C">
              <w:rPr>
                <w:rFonts w:asciiTheme="minorHAnsi" w:hAnsiTheme="minorHAnsi" w:cstheme="minorHAnsi"/>
                <w:color w:val="313E37"/>
                <w:sz w:val="18"/>
                <w:szCs w:val="18"/>
              </w:rPr>
              <w:t>events is projected, with </w:t>
            </w:r>
            <w:r w:rsidRPr="00BA224C">
              <w:rPr>
                <w:rFonts w:asciiTheme="minorHAnsi" w:hAnsiTheme="minorHAnsi" w:cstheme="minorHAnsi"/>
                <w:i/>
                <w:iCs/>
                <w:color w:val="313E37"/>
                <w:sz w:val="18"/>
                <w:szCs w:val="18"/>
              </w:rPr>
              <w:t>high confidence</w:t>
            </w:r>
            <w:r w:rsidRPr="00BA224C">
              <w:rPr>
                <w:rFonts w:asciiTheme="minorHAnsi" w:hAnsiTheme="minorHAnsi" w:cstheme="minorHAnsi"/>
                <w:color w:val="313E37"/>
                <w:sz w:val="18"/>
                <w:szCs w:val="18"/>
              </w:rPr>
              <w:t>.</w:t>
            </w:r>
            <w:r w:rsidR="00DC47BB" w:rsidRPr="00BA224C">
              <w:rPr>
                <w:rFonts w:asciiTheme="minorHAnsi" w:hAnsiTheme="minorHAnsi" w:cstheme="minorHAnsi"/>
                <w:color w:val="313E37"/>
                <w:sz w:val="18"/>
                <w:szCs w:val="18"/>
              </w:rPr>
              <w:t xml:space="preserve"> However, the magnitude of the increases cannot be confidently projected. </w:t>
            </w:r>
          </w:p>
          <w:p w14:paraId="1A93759E" w14:textId="2A0EBAB7" w:rsidR="00EF238F" w:rsidRPr="00BA224C" w:rsidRDefault="00DC47BB" w:rsidP="009250B8">
            <w:pPr>
              <w:numPr>
                <w:ilvl w:val="0"/>
                <w:numId w:val="17"/>
              </w:numPr>
              <w:ind w:left="313" w:right="136" w:hanging="313"/>
              <w:rPr>
                <w:rFonts w:asciiTheme="minorHAnsi" w:hAnsiTheme="minorHAnsi" w:cstheme="minorHAnsi"/>
                <w:color w:val="313E37"/>
                <w:sz w:val="18"/>
                <w:szCs w:val="18"/>
              </w:rPr>
            </w:pPr>
            <w:r w:rsidRPr="00FA5FBB">
              <w:rPr>
                <w:rFonts w:asciiTheme="minorHAnsi" w:hAnsiTheme="minorHAnsi" w:cstheme="minorHAnsi"/>
                <w:color w:val="FF0000"/>
                <w:sz w:val="18"/>
                <w:szCs w:val="18"/>
              </w:rPr>
              <w:t xml:space="preserve">Drought </w:t>
            </w:r>
            <w:r w:rsidRPr="00BA224C">
              <w:rPr>
                <w:rFonts w:asciiTheme="minorHAnsi" w:hAnsiTheme="minorHAnsi" w:cstheme="minorHAnsi"/>
                <w:color w:val="313E37"/>
                <w:sz w:val="18"/>
                <w:szCs w:val="18"/>
              </w:rPr>
              <w:t>will continue to be a feature of the regional climate variability, but projected changes are uncertain.</w:t>
            </w:r>
          </w:p>
          <w:p w14:paraId="2613DC8E" w14:textId="69C63B21" w:rsidR="00EF238F" w:rsidRPr="00BA224C" w:rsidRDefault="00EF238F"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 xml:space="preserve">Mean </w:t>
            </w:r>
            <w:r w:rsidRPr="00225753">
              <w:rPr>
                <w:rFonts w:asciiTheme="minorHAnsi" w:hAnsiTheme="minorHAnsi" w:cstheme="minorHAnsi"/>
                <w:color w:val="FF0000"/>
                <w:sz w:val="18"/>
                <w:szCs w:val="18"/>
              </w:rPr>
              <w:t xml:space="preserve">sea level </w:t>
            </w:r>
            <w:r w:rsidRPr="00BA224C">
              <w:rPr>
                <w:rFonts w:asciiTheme="minorHAnsi" w:hAnsiTheme="minorHAnsi" w:cstheme="minorHAnsi"/>
                <w:color w:val="313E37"/>
                <w:sz w:val="18"/>
                <w:szCs w:val="18"/>
              </w:rPr>
              <w:t>will continue to rise and height of extreme sea-level events will also increase (</w:t>
            </w:r>
            <w:r w:rsidRPr="00BA224C">
              <w:rPr>
                <w:rFonts w:asciiTheme="minorHAnsi" w:hAnsiTheme="minorHAnsi" w:cstheme="minorHAnsi"/>
                <w:i/>
                <w:iCs/>
                <w:color w:val="313E37"/>
                <w:sz w:val="18"/>
                <w:szCs w:val="18"/>
              </w:rPr>
              <w:t>very high confidence</w:t>
            </w:r>
            <w:r w:rsidRPr="00BA224C">
              <w:rPr>
                <w:rFonts w:asciiTheme="minorHAnsi" w:hAnsiTheme="minorHAnsi" w:cstheme="minorHAnsi"/>
                <w:color w:val="313E37"/>
                <w:sz w:val="18"/>
                <w:szCs w:val="18"/>
              </w:rPr>
              <w:t>).</w:t>
            </w:r>
          </w:p>
          <w:p w14:paraId="74D7440A" w14:textId="4687B270" w:rsidR="00C55D0E" w:rsidRPr="00BA224C" w:rsidRDefault="00C55D0E" w:rsidP="009250B8">
            <w:pPr>
              <w:numPr>
                <w:ilvl w:val="0"/>
                <w:numId w:val="17"/>
              </w:numPr>
              <w:ind w:left="313" w:right="136" w:hanging="313"/>
              <w:rPr>
                <w:rFonts w:asciiTheme="minorHAnsi" w:hAnsiTheme="minorHAnsi" w:cstheme="minorHAnsi"/>
                <w:color w:val="313E37"/>
                <w:sz w:val="18"/>
                <w:szCs w:val="18"/>
              </w:rPr>
            </w:pPr>
            <w:r w:rsidRPr="00225753">
              <w:rPr>
                <w:rFonts w:asciiTheme="minorHAnsi" w:hAnsiTheme="minorHAnsi" w:cstheme="minorHAnsi"/>
                <w:color w:val="FF0000"/>
                <w:sz w:val="18"/>
                <w:szCs w:val="18"/>
              </w:rPr>
              <w:t xml:space="preserve">Tropical cyclones </w:t>
            </w:r>
            <w:r w:rsidRPr="00BA224C">
              <w:rPr>
                <w:rFonts w:asciiTheme="minorHAnsi" w:hAnsiTheme="minorHAnsi" w:cstheme="minorHAnsi"/>
                <w:color w:val="313E37"/>
                <w:sz w:val="18"/>
                <w:szCs w:val="18"/>
              </w:rPr>
              <w:t>are projected to become less frequent, but the proportion of the most intense storms is projected to increase (</w:t>
            </w:r>
            <w:r w:rsidRPr="00BA224C">
              <w:rPr>
                <w:rFonts w:asciiTheme="minorHAnsi" w:hAnsiTheme="minorHAnsi" w:cstheme="minorHAnsi"/>
                <w:i/>
                <w:iCs/>
                <w:color w:val="313E37"/>
                <w:sz w:val="18"/>
                <w:szCs w:val="18"/>
              </w:rPr>
              <w:t>medium confidence</w:t>
            </w:r>
            <w:r w:rsidRPr="00BA224C">
              <w:rPr>
                <w:rFonts w:asciiTheme="minorHAnsi" w:hAnsiTheme="minorHAnsi" w:cstheme="minorHAnsi"/>
                <w:color w:val="313E37"/>
                <w:sz w:val="18"/>
                <w:szCs w:val="18"/>
              </w:rPr>
              <w:t>).</w:t>
            </w:r>
          </w:p>
          <w:p w14:paraId="4FE94CB6" w14:textId="5AD52AD4" w:rsidR="00C55D0E" w:rsidRPr="00BA224C" w:rsidRDefault="00C55D0E" w:rsidP="009250B8">
            <w:pPr>
              <w:numPr>
                <w:ilvl w:val="0"/>
                <w:numId w:val="17"/>
              </w:numPr>
              <w:ind w:left="313" w:right="136" w:hanging="313"/>
              <w:rPr>
                <w:rFonts w:asciiTheme="minorHAnsi" w:hAnsiTheme="minorHAnsi" w:cstheme="minorHAnsi"/>
                <w:color w:val="313E37"/>
                <w:sz w:val="18"/>
                <w:szCs w:val="18"/>
              </w:rPr>
            </w:pPr>
            <w:r w:rsidRPr="00225753">
              <w:rPr>
                <w:rFonts w:asciiTheme="minorHAnsi" w:hAnsiTheme="minorHAnsi" w:cstheme="minorHAnsi"/>
                <w:color w:val="FF0000"/>
                <w:sz w:val="18"/>
                <w:szCs w:val="18"/>
              </w:rPr>
              <w:t xml:space="preserve">Potential evapotranspiration </w:t>
            </w:r>
            <w:r w:rsidRPr="00BA224C">
              <w:rPr>
                <w:rFonts w:asciiTheme="minorHAnsi" w:hAnsiTheme="minorHAnsi" w:cstheme="minorHAnsi"/>
                <w:color w:val="313E37"/>
                <w:sz w:val="18"/>
                <w:szCs w:val="18"/>
              </w:rPr>
              <w:t>is projected to increase in all seasons as warming progresses (</w:t>
            </w:r>
            <w:r w:rsidRPr="00BA224C">
              <w:rPr>
                <w:rFonts w:asciiTheme="minorHAnsi" w:hAnsiTheme="minorHAnsi" w:cstheme="minorHAnsi"/>
                <w:i/>
                <w:iCs/>
                <w:color w:val="313E37"/>
                <w:sz w:val="18"/>
                <w:szCs w:val="18"/>
              </w:rPr>
              <w:t>high confidence</w:t>
            </w:r>
            <w:r w:rsidRPr="00BA224C">
              <w:rPr>
                <w:rFonts w:asciiTheme="minorHAnsi" w:hAnsiTheme="minorHAnsi" w:cstheme="minorHAnsi"/>
                <w:color w:val="313E37"/>
                <w:sz w:val="18"/>
                <w:szCs w:val="18"/>
              </w:rPr>
              <w:t>)</w:t>
            </w:r>
            <w:r w:rsidR="00225753">
              <w:rPr>
                <w:rFonts w:asciiTheme="minorHAnsi" w:hAnsiTheme="minorHAnsi" w:cstheme="minorHAnsi"/>
                <w:color w:val="313E37"/>
                <w:sz w:val="18"/>
                <w:szCs w:val="18"/>
              </w:rPr>
              <w:t xml:space="preserve">, though the magnitude is known only with </w:t>
            </w:r>
            <w:r w:rsidR="00225753">
              <w:rPr>
                <w:rFonts w:asciiTheme="minorHAnsi" w:hAnsiTheme="minorHAnsi" w:cstheme="minorHAnsi"/>
                <w:i/>
                <w:iCs/>
                <w:color w:val="313E37"/>
                <w:sz w:val="18"/>
                <w:szCs w:val="18"/>
              </w:rPr>
              <w:t>medium confidence.</w:t>
            </w:r>
            <w:r w:rsidR="00225753" w:rsidRPr="00225753">
              <w:rPr>
                <w:rFonts w:asciiTheme="minorHAnsi" w:hAnsiTheme="minorHAnsi" w:cstheme="minorHAnsi"/>
                <w:color w:val="313E37"/>
                <w:sz w:val="18"/>
                <w:szCs w:val="18"/>
              </w:rPr>
              <w:t xml:space="preserve"> Projected changes for autumn, winter and spring for 2030 are around 2 to 6 % (about 1 to 5 % for summer) and for 2090 are about 5 to 10 % (about 2 to 10 % for summer) for RCP4.5 and 10 to 20% (about 5 to 15 % for summer) for RCP8.5</w:t>
            </w:r>
            <w:r w:rsidR="00225753">
              <w:rPr>
                <w:rFonts w:asciiTheme="minorHAnsi" w:hAnsiTheme="minorHAnsi" w:cstheme="minorHAnsi"/>
                <w:color w:val="313E37"/>
                <w:sz w:val="18"/>
                <w:szCs w:val="18"/>
              </w:rPr>
              <w:t>.</w:t>
            </w:r>
          </w:p>
          <w:p w14:paraId="7A0C7763" w14:textId="7A5D4A29" w:rsidR="00C55D0E" w:rsidRPr="00BA224C" w:rsidRDefault="00C55D0E"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 xml:space="preserve">There is little change projected in </w:t>
            </w:r>
            <w:r w:rsidRPr="00225753">
              <w:rPr>
                <w:rFonts w:asciiTheme="minorHAnsi" w:hAnsiTheme="minorHAnsi" w:cstheme="minorHAnsi"/>
                <w:color w:val="FF0000"/>
                <w:sz w:val="18"/>
                <w:szCs w:val="18"/>
              </w:rPr>
              <w:t xml:space="preserve">relative humidity </w:t>
            </w:r>
            <w:r w:rsidRPr="00BA224C">
              <w:rPr>
                <w:rFonts w:asciiTheme="minorHAnsi" w:hAnsiTheme="minorHAnsi" w:cstheme="minorHAnsi"/>
                <w:color w:val="313E37"/>
                <w:sz w:val="18"/>
                <w:szCs w:val="18"/>
              </w:rPr>
              <w:t>until later in the century under a high emission scenario (RCP8.5), where a decrease in relative humidity is projected (</w:t>
            </w:r>
            <w:r w:rsidRPr="00BA224C">
              <w:rPr>
                <w:rFonts w:asciiTheme="minorHAnsi" w:hAnsiTheme="minorHAnsi" w:cstheme="minorHAnsi"/>
                <w:i/>
                <w:iCs/>
                <w:color w:val="313E37"/>
                <w:sz w:val="18"/>
                <w:szCs w:val="18"/>
              </w:rPr>
              <w:t>medium confidence</w:t>
            </w:r>
            <w:r w:rsidRPr="00BA224C">
              <w:rPr>
                <w:rFonts w:asciiTheme="minorHAnsi" w:hAnsiTheme="minorHAnsi" w:cstheme="minorHAnsi"/>
                <w:color w:val="313E37"/>
                <w:sz w:val="18"/>
                <w:szCs w:val="18"/>
              </w:rPr>
              <w:t>)</w:t>
            </w:r>
            <w:r w:rsidR="00771438">
              <w:rPr>
                <w:rFonts w:asciiTheme="minorHAnsi" w:hAnsiTheme="minorHAnsi" w:cstheme="minorHAnsi"/>
                <w:color w:val="313E37"/>
                <w:sz w:val="18"/>
                <w:szCs w:val="18"/>
              </w:rPr>
              <w:t xml:space="preserve">, </w:t>
            </w:r>
            <w:r w:rsidR="00771438" w:rsidRPr="00771438">
              <w:rPr>
                <w:rFonts w:asciiTheme="minorHAnsi" w:hAnsiTheme="minorHAnsi" w:cstheme="minorHAnsi"/>
                <w:color w:val="313E37"/>
                <w:sz w:val="18"/>
                <w:szCs w:val="18"/>
              </w:rPr>
              <w:t>with projected ranges of -6 to +1 % under RCP4.5 and -8 to +3 % under RCP8.5</w:t>
            </w:r>
            <w:r w:rsidR="00381D92" w:rsidRPr="00BA224C">
              <w:rPr>
                <w:rFonts w:asciiTheme="minorHAnsi" w:hAnsiTheme="minorHAnsi" w:cstheme="minorHAnsi"/>
                <w:color w:val="313E37"/>
                <w:sz w:val="18"/>
                <w:szCs w:val="18"/>
              </w:rPr>
              <w:t>.</w:t>
            </w:r>
            <w:r w:rsidR="00771438">
              <w:rPr>
                <w:rFonts w:asciiTheme="minorHAnsi" w:hAnsiTheme="minorHAnsi" w:cstheme="minorHAnsi"/>
                <w:color w:val="313E37"/>
                <w:sz w:val="18"/>
                <w:szCs w:val="18"/>
              </w:rPr>
              <w:t xml:space="preserve"> </w:t>
            </w:r>
          </w:p>
          <w:p w14:paraId="370ADC80" w14:textId="225BCDE8" w:rsidR="00381D92" w:rsidRPr="00BA224C" w:rsidRDefault="00381D92"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 xml:space="preserve">Annual changes in </w:t>
            </w:r>
            <w:r w:rsidRPr="00225753">
              <w:rPr>
                <w:rFonts w:asciiTheme="minorHAnsi" w:hAnsiTheme="minorHAnsi" w:cstheme="minorHAnsi"/>
                <w:color w:val="FF0000"/>
                <w:sz w:val="18"/>
                <w:szCs w:val="18"/>
              </w:rPr>
              <w:t xml:space="preserve">soil moisture </w:t>
            </w:r>
            <w:r w:rsidRPr="00BA224C">
              <w:rPr>
                <w:rFonts w:asciiTheme="minorHAnsi" w:hAnsiTheme="minorHAnsi" w:cstheme="minorHAnsi"/>
                <w:color w:val="313E37"/>
                <w:sz w:val="18"/>
                <w:szCs w:val="18"/>
              </w:rPr>
              <w:t xml:space="preserve">for RCP8.5 by 2090 range from around −13 % to +4 % with medium model agreement on substantial decrease. The percentage changes in soil moisture are strongly influenced by those in rainfall, but tend to be more negative due to the strong increase in potential evapotranspiration. Given the potential limitations of the underlying methods, there is only medium confidence that soil moisture will decline. </w:t>
            </w:r>
          </w:p>
          <w:p w14:paraId="36F6F328" w14:textId="4DA9EFC1" w:rsidR="00381D92" w:rsidRPr="00BA224C" w:rsidRDefault="00381D92" w:rsidP="009250B8">
            <w:pPr>
              <w:numPr>
                <w:ilvl w:val="0"/>
                <w:numId w:val="17"/>
              </w:numPr>
              <w:ind w:left="313" w:right="136" w:hanging="313"/>
              <w:rPr>
                <w:rFonts w:asciiTheme="minorHAnsi" w:hAnsiTheme="minorHAnsi" w:cstheme="minorHAnsi"/>
                <w:color w:val="313E37"/>
                <w:sz w:val="18"/>
                <w:szCs w:val="18"/>
              </w:rPr>
            </w:pPr>
            <w:r w:rsidRPr="00225753">
              <w:rPr>
                <w:rFonts w:asciiTheme="minorHAnsi" w:hAnsiTheme="minorHAnsi" w:cstheme="minorHAnsi"/>
                <w:color w:val="FF0000"/>
                <w:sz w:val="18"/>
                <w:szCs w:val="18"/>
              </w:rPr>
              <w:t xml:space="preserve">Runoff </w:t>
            </w:r>
            <w:r w:rsidRPr="00BA224C">
              <w:rPr>
                <w:rFonts w:asciiTheme="minorHAnsi" w:hAnsiTheme="minorHAnsi" w:cstheme="minorHAnsi"/>
                <w:color w:val="313E37"/>
                <w:sz w:val="18"/>
                <w:szCs w:val="18"/>
              </w:rPr>
              <w:t xml:space="preserve">could increase or decrease under RCP4.5 and RCP8.5 in 2090, though the majority of models suggest decrease. The confidence in these projections is </w:t>
            </w:r>
            <w:r w:rsidRPr="00BA224C">
              <w:rPr>
                <w:rFonts w:asciiTheme="minorHAnsi" w:hAnsiTheme="minorHAnsi" w:cstheme="minorHAnsi"/>
                <w:i/>
                <w:iCs/>
                <w:color w:val="313E37"/>
                <w:sz w:val="18"/>
                <w:szCs w:val="18"/>
              </w:rPr>
              <w:t>low</w:t>
            </w:r>
            <w:r w:rsidRPr="00BA224C">
              <w:rPr>
                <w:rFonts w:asciiTheme="minorHAnsi" w:hAnsiTheme="minorHAnsi" w:cstheme="minorHAnsi"/>
                <w:color w:val="313E37"/>
                <w:sz w:val="18"/>
                <w:szCs w:val="18"/>
              </w:rPr>
              <w:t xml:space="preserve"> because the method used is not able to consider changes to rainfall intensity, seasonality and changes in vegetation characteristics.</w:t>
            </w:r>
          </w:p>
          <w:p w14:paraId="5FED935A" w14:textId="1FB5B1C9" w:rsidR="00C55D0E" w:rsidRPr="00BA224C" w:rsidRDefault="00C55D0E"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 xml:space="preserve">In regions where abundant rain falls (Top End and the Kimberley), climate change is not expected to change the frequency of </w:t>
            </w:r>
            <w:r w:rsidRPr="00225753">
              <w:rPr>
                <w:rFonts w:asciiTheme="minorHAnsi" w:hAnsiTheme="minorHAnsi" w:cstheme="minorHAnsi"/>
                <w:color w:val="FF0000"/>
                <w:sz w:val="18"/>
                <w:szCs w:val="18"/>
              </w:rPr>
              <w:t xml:space="preserve">fire </w:t>
            </w:r>
            <w:r w:rsidRPr="00BA224C">
              <w:rPr>
                <w:rFonts w:asciiTheme="minorHAnsi" w:hAnsiTheme="minorHAnsi" w:cstheme="minorHAnsi"/>
                <w:color w:val="313E37"/>
                <w:sz w:val="18"/>
                <w:szCs w:val="18"/>
              </w:rPr>
              <w:t>(</w:t>
            </w:r>
            <w:r w:rsidRPr="00D52EC9">
              <w:rPr>
                <w:rFonts w:asciiTheme="minorHAnsi" w:hAnsiTheme="minorHAnsi" w:cstheme="minorHAnsi"/>
                <w:i/>
                <w:iCs/>
                <w:color w:val="313E37"/>
                <w:sz w:val="18"/>
                <w:szCs w:val="18"/>
              </w:rPr>
              <w:t>high confidence</w:t>
            </w:r>
            <w:r w:rsidRPr="00BA224C">
              <w:rPr>
                <w:rFonts w:asciiTheme="minorHAnsi" w:hAnsiTheme="minorHAnsi" w:cstheme="minorHAnsi"/>
                <w:color w:val="313E37"/>
                <w:sz w:val="18"/>
                <w:szCs w:val="18"/>
              </w:rPr>
              <w:t>). In more southerly locations, changes to future rainfall will be the determining factor of change to fire frequency. When fire does occur, there is high confidence that fire behaviour will be more extreme</w:t>
            </w:r>
            <w:r w:rsidR="00D52EC9">
              <w:rPr>
                <w:rFonts w:asciiTheme="minorHAnsi" w:hAnsiTheme="minorHAnsi" w:cstheme="minorHAnsi"/>
                <w:color w:val="313E37"/>
                <w:sz w:val="18"/>
                <w:szCs w:val="18"/>
              </w:rPr>
              <w:t>.</w:t>
            </w:r>
          </w:p>
          <w:p w14:paraId="0352ACA0" w14:textId="77777777" w:rsidR="00DC47BB" w:rsidRDefault="00DC47BB" w:rsidP="00DC47BB">
            <w:pPr>
              <w:ind w:left="313" w:right="136"/>
              <w:rPr>
                <w:rFonts w:asciiTheme="minorHAnsi" w:hAnsiTheme="minorHAnsi" w:cstheme="minorHAnsi"/>
                <w:color w:val="313E37"/>
                <w:sz w:val="20"/>
                <w:szCs w:val="20"/>
              </w:rPr>
            </w:pPr>
          </w:p>
          <w:p w14:paraId="66603512" w14:textId="7E432DAF" w:rsidR="00DF0BD3" w:rsidRDefault="00A94721" w:rsidP="00DF0BD3">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w:t>
            </w:r>
            <w:r w:rsidR="00D977F3">
              <w:rPr>
                <w:rFonts w:asciiTheme="minorHAnsi" w:hAnsiTheme="minorHAnsi" w:cstheme="minorHAnsi"/>
                <w:color w:val="313E37"/>
                <w:sz w:val="20"/>
                <w:szCs w:val="20"/>
              </w:rPr>
              <w:t>Annual temperature</w:t>
            </w:r>
            <w:r w:rsidR="00D977F3">
              <w:rPr>
                <w:rFonts w:asciiTheme="minorHAnsi" w:hAnsiTheme="minorHAnsi" w:cstheme="minorHAnsi"/>
                <w:color w:val="313E37"/>
                <w:sz w:val="20"/>
                <w:szCs w:val="20"/>
              </w:rPr>
              <w:tab/>
            </w:r>
            <w:r w:rsidR="00D977F3">
              <w:rPr>
                <w:rFonts w:asciiTheme="minorHAnsi" w:hAnsiTheme="minorHAnsi" w:cstheme="minorHAnsi"/>
                <w:color w:val="313E37"/>
                <w:sz w:val="20"/>
                <w:szCs w:val="20"/>
              </w:rPr>
              <w:tab/>
            </w:r>
            <w:r w:rsidR="00D977F3">
              <w:rPr>
                <w:rFonts w:asciiTheme="minorHAnsi" w:hAnsiTheme="minorHAnsi" w:cstheme="minorHAnsi"/>
                <w:color w:val="313E37"/>
                <w:sz w:val="20"/>
                <w:szCs w:val="20"/>
              </w:rPr>
              <w:tab/>
            </w:r>
            <w:r w:rsidR="00D977F3">
              <w:rPr>
                <w:rFonts w:asciiTheme="minorHAnsi" w:hAnsiTheme="minorHAnsi" w:cstheme="minorHAnsi"/>
                <w:color w:val="313E37"/>
                <w:sz w:val="20"/>
                <w:szCs w:val="20"/>
              </w:rPr>
              <w:tab/>
            </w:r>
            <w:r>
              <w:rPr>
                <w:rFonts w:asciiTheme="minorHAnsi" w:hAnsiTheme="minorHAnsi" w:cstheme="minorHAnsi"/>
                <w:color w:val="313E37"/>
                <w:sz w:val="20"/>
                <w:szCs w:val="20"/>
              </w:rPr>
              <w:t xml:space="preserve">              </w:t>
            </w:r>
            <w:r w:rsidR="00D977F3">
              <w:rPr>
                <w:rFonts w:asciiTheme="minorHAnsi" w:hAnsiTheme="minorHAnsi" w:cstheme="minorHAnsi"/>
                <w:color w:val="313E37"/>
                <w:sz w:val="20"/>
                <w:szCs w:val="20"/>
              </w:rPr>
              <w:t>Annual rainfall</w:t>
            </w:r>
          </w:p>
          <w:p w14:paraId="00DDE7F7" w14:textId="2C25898C" w:rsidR="00DF0BD3" w:rsidRPr="00EF238F" w:rsidRDefault="00D977F3" w:rsidP="00DF0BD3">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Pr>
                <w:noProof/>
              </w:rPr>
              <w:drawing>
                <wp:inline distT="0" distB="0" distL="0" distR="0" wp14:anchorId="7D1ADCC6" wp14:editId="7EAB5C30">
                  <wp:extent cx="2690037" cy="1768424"/>
                  <wp:effectExtent l="0" t="0" r="0" b="3810"/>
                  <wp:docPr id="86061323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273">
                            <a:extLst>
                              <a:ext uri="{28A0092B-C50C-407E-A947-70E740481C1C}">
                                <a14:useLocalDpi xmlns:a14="http://schemas.microsoft.com/office/drawing/2010/main" val="0"/>
                              </a:ext>
                            </a:extLst>
                          </a:blip>
                          <a:stretch>
                            <a:fillRect/>
                          </a:stretch>
                        </pic:blipFill>
                        <pic:spPr>
                          <a:xfrm>
                            <a:off x="0" y="0"/>
                            <a:ext cx="2690037" cy="1768424"/>
                          </a:xfrm>
                          <a:prstGeom prst="rect">
                            <a:avLst/>
                          </a:prstGeom>
                        </pic:spPr>
                      </pic:pic>
                    </a:graphicData>
                  </a:graphic>
                </wp:inline>
              </w:drawing>
            </w:r>
            <w:r w:rsidR="00A94721" w:rsidRPr="1F802AF8">
              <w:rPr>
                <w:rFonts w:asciiTheme="minorHAnsi" w:hAnsiTheme="minorHAnsi" w:cstheme="minorBidi"/>
                <w:color w:val="313E37"/>
                <w:sz w:val="20"/>
                <w:szCs w:val="20"/>
              </w:rPr>
              <w:t xml:space="preserve">    </w:t>
            </w:r>
            <w:r w:rsidR="00A94721">
              <w:rPr>
                <w:noProof/>
              </w:rPr>
              <w:drawing>
                <wp:inline distT="0" distB="0" distL="0" distR="0" wp14:anchorId="05EEF449" wp14:editId="0EFCA49D">
                  <wp:extent cx="2764465" cy="1808174"/>
                  <wp:effectExtent l="0" t="0" r="0" b="1905"/>
                  <wp:docPr id="2320232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274">
                            <a:extLst>
                              <a:ext uri="{28A0092B-C50C-407E-A947-70E740481C1C}">
                                <a14:useLocalDpi xmlns:a14="http://schemas.microsoft.com/office/drawing/2010/main" val="0"/>
                              </a:ext>
                            </a:extLst>
                          </a:blip>
                          <a:stretch>
                            <a:fillRect/>
                          </a:stretch>
                        </pic:blipFill>
                        <pic:spPr>
                          <a:xfrm>
                            <a:off x="0" y="0"/>
                            <a:ext cx="2764465" cy="1808174"/>
                          </a:xfrm>
                          <a:prstGeom prst="rect">
                            <a:avLst/>
                          </a:prstGeom>
                        </pic:spPr>
                      </pic:pic>
                    </a:graphicData>
                  </a:graphic>
                </wp:inline>
              </w:drawing>
            </w:r>
          </w:p>
        </w:tc>
      </w:tr>
      <w:tr w:rsidR="00476FCD" w14:paraId="07035D14" w14:textId="77777777" w:rsidTr="1F802AF8">
        <w:trPr>
          <w:trHeight w:val="329"/>
        </w:trPr>
        <w:tc>
          <w:tcPr>
            <w:tcW w:w="9628" w:type="dxa"/>
            <w:gridSpan w:val="2"/>
          </w:tcPr>
          <w:p w14:paraId="2A0E709F" w14:textId="7094EB4F" w:rsidR="00476FCD" w:rsidRPr="00EF238F" w:rsidRDefault="00476FCD" w:rsidP="00447D91">
            <w:pPr>
              <w:pStyle w:val="BodyText"/>
              <w:rPr>
                <w:b/>
                <w:bCs/>
                <w:sz w:val="20"/>
              </w:rPr>
            </w:pPr>
            <w:r>
              <w:rPr>
                <w:b/>
                <w:bCs/>
                <w:sz w:val="20"/>
              </w:rPr>
              <w:lastRenderedPageBreak/>
              <w:t>Monsoonal North (East)</w:t>
            </w:r>
          </w:p>
        </w:tc>
      </w:tr>
      <w:tr w:rsidR="00476FCD" w14:paraId="7696CBD7" w14:textId="77777777" w:rsidTr="1F802AF8">
        <w:trPr>
          <w:trHeight w:val="1815"/>
        </w:trPr>
        <w:tc>
          <w:tcPr>
            <w:tcW w:w="2263" w:type="dxa"/>
          </w:tcPr>
          <w:p w14:paraId="27168F86" w14:textId="0BEDD2C7" w:rsidR="00476FCD" w:rsidRDefault="00476FCD" w:rsidP="00476FCD">
            <w:pPr>
              <w:pStyle w:val="BodyText"/>
            </w:pPr>
            <w:r>
              <w:rPr>
                <w:noProof/>
              </w:rPr>
              <w:drawing>
                <wp:inline distT="0" distB="0" distL="0" distR="0" wp14:anchorId="3DBBE02E" wp14:editId="0D43C23A">
                  <wp:extent cx="1222130" cy="1025205"/>
                  <wp:effectExtent l="0" t="0" r="0" b="3810"/>
                  <wp:docPr id="20639155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75">
                            <a:extLst>
                              <a:ext uri="{28A0092B-C50C-407E-A947-70E740481C1C}">
                                <a14:useLocalDpi xmlns:a14="http://schemas.microsoft.com/office/drawing/2010/main" val="0"/>
                              </a:ext>
                            </a:extLst>
                          </a:blip>
                          <a:stretch>
                            <a:fillRect/>
                          </a:stretch>
                        </pic:blipFill>
                        <pic:spPr>
                          <a:xfrm>
                            <a:off x="0" y="0"/>
                            <a:ext cx="1222130" cy="1025205"/>
                          </a:xfrm>
                          <a:prstGeom prst="rect">
                            <a:avLst/>
                          </a:prstGeom>
                        </pic:spPr>
                      </pic:pic>
                    </a:graphicData>
                  </a:graphic>
                </wp:inline>
              </w:drawing>
            </w:r>
          </w:p>
        </w:tc>
        <w:tc>
          <w:tcPr>
            <w:tcW w:w="7365" w:type="dxa"/>
          </w:tcPr>
          <w:p w14:paraId="1ED2E0E5" w14:textId="77777777" w:rsidR="00476FCD" w:rsidRDefault="00476FCD" w:rsidP="00476FCD">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1B0A6798" w14:textId="6BE1196D" w:rsidR="00476FCD" w:rsidRPr="0054376E" w:rsidRDefault="00FB2D3A" w:rsidP="00476FCD">
            <w:pPr>
              <w:pStyle w:val="BodyText"/>
              <w:spacing w:before="0" w:after="0"/>
              <w:rPr>
                <w:sz w:val="20"/>
              </w:rPr>
            </w:pPr>
            <w:r>
              <w:rPr>
                <w:sz w:val="20"/>
              </w:rPr>
              <w:t>Re-</w:t>
            </w:r>
            <w:r w:rsidR="00187AAD">
              <w:rPr>
                <w:sz w:val="20"/>
              </w:rPr>
              <w:t>establishment</w:t>
            </w:r>
            <w:r w:rsidR="00187AAD" w:rsidRPr="0054376E">
              <w:rPr>
                <w:sz w:val="20"/>
              </w:rPr>
              <w:t xml:space="preserve"> of</w:t>
            </w:r>
            <w:r w:rsidR="00476FCD" w:rsidRPr="0054376E">
              <w:rPr>
                <w:sz w:val="20"/>
              </w:rPr>
              <w:t xml:space="preserve"> native forest cover</w:t>
            </w:r>
            <w:r w:rsidR="00476FCD" w:rsidRPr="0054376E">
              <w:rPr>
                <w:sz w:val="20"/>
              </w:rPr>
              <w:tab/>
              <w:t>3</w:t>
            </w:r>
            <w:r w:rsidR="00476FCD">
              <w:rPr>
                <w:sz w:val="20"/>
              </w:rPr>
              <w:tab/>
            </w:r>
            <w:r w:rsidR="00476FCD" w:rsidRPr="0054376E">
              <w:rPr>
                <w:sz w:val="20"/>
              </w:rPr>
              <w:tab/>
              <w:t xml:space="preserve"> 82,207 </w:t>
            </w:r>
          </w:p>
          <w:p w14:paraId="61362E30" w14:textId="7934E0BF" w:rsidR="00476FCD" w:rsidRPr="0054376E" w:rsidRDefault="00476FCD" w:rsidP="00476FCD">
            <w:pPr>
              <w:pStyle w:val="BodyText"/>
              <w:spacing w:before="0" w:after="0"/>
              <w:rPr>
                <w:sz w:val="20"/>
              </w:rPr>
            </w:pPr>
            <w:r w:rsidRPr="0054376E">
              <w:rPr>
                <w:sz w:val="20"/>
              </w:rPr>
              <w:t>Savanna fire management</w:t>
            </w:r>
            <w:r w:rsidRPr="0054376E">
              <w:rPr>
                <w:sz w:val="20"/>
              </w:rPr>
              <w:tab/>
            </w:r>
            <w:r>
              <w:rPr>
                <w:sz w:val="20"/>
              </w:rPr>
              <w:tab/>
            </w:r>
            <w:r>
              <w:rPr>
                <w:sz w:val="20"/>
              </w:rPr>
              <w:tab/>
            </w:r>
            <w:r w:rsidRPr="0054376E">
              <w:rPr>
                <w:sz w:val="20"/>
              </w:rPr>
              <w:t>20</w:t>
            </w:r>
            <w:r w:rsidRPr="0054376E">
              <w:rPr>
                <w:sz w:val="20"/>
              </w:rPr>
              <w:tab/>
            </w:r>
            <w:r>
              <w:rPr>
                <w:sz w:val="20"/>
              </w:rPr>
              <w:tab/>
            </w:r>
            <w:r w:rsidRPr="0054376E">
              <w:rPr>
                <w:sz w:val="20"/>
              </w:rPr>
              <w:t xml:space="preserve"> 2,593,575</w:t>
            </w:r>
          </w:p>
        </w:tc>
      </w:tr>
      <w:tr w:rsidR="00476FCD" w14:paraId="7E3E5038" w14:textId="77777777" w:rsidTr="1F802AF8">
        <w:tc>
          <w:tcPr>
            <w:tcW w:w="9628" w:type="dxa"/>
            <w:gridSpan w:val="2"/>
          </w:tcPr>
          <w:p w14:paraId="1216E03C" w14:textId="77777777" w:rsidR="00476FCD" w:rsidRPr="00EF238F" w:rsidRDefault="00476FCD" w:rsidP="00447D91">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12A50B48" w14:textId="3F8BB77E" w:rsidR="00476FCD" w:rsidRPr="00225753" w:rsidRDefault="00476FCD" w:rsidP="009250B8">
            <w:pPr>
              <w:numPr>
                <w:ilvl w:val="0"/>
                <w:numId w:val="17"/>
              </w:numPr>
              <w:ind w:left="334" w:right="136"/>
              <w:rPr>
                <w:rFonts w:asciiTheme="minorHAnsi" w:hAnsiTheme="minorHAnsi" w:cstheme="minorHAnsi"/>
                <w:color w:val="313E37"/>
                <w:sz w:val="18"/>
                <w:szCs w:val="18"/>
              </w:rPr>
            </w:pPr>
            <w:r w:rsidRPr="00903E6E">
              <w:rPr>
                <w:rFonts w:asciiTheme="minorHAnsi" w:hAnsiTheme="minorHAnsi" w:cstheme="minorHAnsi"/>
                <w:color w:val="FF0000"/>
                <w:sz w:val="18"/>
                <w:szCs w:val="18"/>
              </w:rPr>
              <w:t xml:space="preserve">Average temperatures </w:t>
            </w:r>
            <w:r w:rsidRPr="00225753">
              <w:rPr>
                <w:rFonts w:asciiTheme="minorHAnsi" w:hAnsiTheme="minorHAnsi" w:cstheme="minorHAnsi"/>
                <w:color w:val="313E37"/>
                <w:sz w:val="18"/>
                <w:szCs w:val="18"/>
              </w:rPr>
              <w:t>will continue to increase in all seasons (</w:t>
            </w:r>
            <w:r w:rsidRPr="00225753">
              <w:rPr>
                <w:rFonts w:asciiTheme="minorHAnsi" w:hAnsiTheme="minorHAnsi" w:cstheme="minorHAnsi"/>
                <w:i/>
                <w:iCs/>
                <w:color w:val="313E37"/>
                <w:sz w:val="18"/>
                <w:szCs w:val="18"/>
              </w:rPr>
              <w:t>very high confidence</w:t>
            </w:r>
            <w:r w:rsidRPr="00225753">
              <w:rPr>
                <w:rFonts w:asciiTheme="minorHAnsi" w:hAnsiTheme="minorHAnsi" w:cstheme="minorHAnsi"/>
                <w:color w:val="313E37"/>
                <w:sz w:val="18"/>
                <w:szCs w:val="18"/>
              </w:rPr>
              <w:t>).</w:t>
            </w:r>
            <w:r w:rsidR="00381D92" w:rsidRPr="00225753">
              <w:rPr>
                <w:rFonts w:asciiTheme="minorHAnsi" w:hAnsiTheme="minorHAnsi" w:cstheme="minorHAnsi"/>
                <w:color w:val="313E37"/>
                <w:sz w:val="18"/>
                <w:szCs w:val="18"/>
              </w:rPr>
              <w:t xml:space="preserve"> For the near future (2030), the annually averaged warming across all emission scenarios is projected to be around 0.4 to 1.3 °C above the climate of 1986 – 2005. By late in the century (2090), for a high emission scenario (RCP8.5) the projected range of warming is 2.5 to 5.0 °C. Under an intermediate scenario (RCP4.5) the projected warming is 1.2 to 2.7 °C.</w:t>
            </w:r>
          </w:p>
          <w:p w14:paraId="60AE8672" w14:textId="34806123" w:rsidR="00476FCD" w:rsidRPr="00225753" w:rsidRDefault="00476FCD" w:rsidP="009250B8">
            <w:pPr>
              <w:numPr>
                <w:ilvl w:val="0"/>
                <w:numId w:val="17"/>
              </w:numPr>
              <w:ind w:left="334" w:right="136"/>
              <w:rPr>
                <w:rFonts w:asciiTheme="minorHAnsi" w:hAnsiTheme="minorHAnsi" w:cstheme="minorHAnsi"/>
                <w:color w:val="313E37"/>
                <w:sz w:val="18"/>
                <w:szCs w:val="18"/>
              </w:rPr>
            </w:pPr>
            <w:r w:rsidRPr="00225753">
              <w:rPr>
                <w:rFonts w:asciiTheme="minorHAnsi" w:hAnsiTheme="minorHAnsi" w:cstheme="minorHAnsi"/>
                <w:color w:val="313E37"/>
                <w:sz w:val="18"/>
                <w:szCs w:val="18"/>
              </w:rPr>
              <w:t>More hot days and warm spells are projected with </w:t>
            </w:r>
            <w:r w:rsidRPr="00225753">
              <w:rPr>
                <w:rFonts w:asciiTheme="minorHAnsi" w:hAnsiTheme="minorHAnsi" w:cstheme="minorHAnsi"/>
                <w:i/>
                <w:iCs/>
                <w:color w:val="313E37"/>
                <w:sz w:val="18"/>
                <w:szCs w:val="18"/>
              </w:rPr>
              <w:t>very high confidence</w:t>
            </w:r>
            <w:r w:rsidRPr="00225753">
              <w:rPr>
                <w:rFonts w:asciiTheme="minorHAnsi" w:hAnsiTheme="minorHAnsi" w:cstheme="minorHAnsi"/>
                <w:color w:val="313E37"/>
                <w:sz w:val="18"/>
                <w:szCs w:val="18"/>
              </w:rPr>
              <w:t>.</w:t>
            </w:r>
            <w:r w:rsidR="00381D92" w:rsidRPr="00225753">
              <w:rPr>
                <w:rFonts w:asciiTheme="minorHAnsi" w:hAnsiTheme="minorHAnsi" w:cstheme="minorHAnsi"/>
                <w:color w:val="313E37"/>
                <w:sz w:val="18"/>
                <w:szCs w:val="18"/>
              </w:rPr>
              <w:t xml:space="preserve"> </w:t>
            </w:r>
            <w:r w:rsidR="00381D92" w:rsidRPr="00903E6E">
              <w:rPr>
                <w:rFonts w:asciiTheme="minorHAnsi" w:hAnsiTheme="minorHAnsi" w:cstheme="minorHAnsi"/>
                <w:color w:val="FF0000"/>
                <w:sz w:val="18"/>
                <w:szCs w:val="18"/>
              </w:rPr>
              <w:t xml:space="preserve">Extreme temperatures </w:t>
            </w:r>
            <w:r w:rsidR="00381D92" w:rsidRPr="00225753">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00381D92" w:rsidRPr="00903E6E">
              <w:rPr>
                <w:rFonts w:asciiTheme="minorHAnsi" w:hAnsiTheme="minorHAnsi" w:cstheme="minorHAnsi"/>
                <w:i/>
                <w:iCs/>
                <w:color w:val="313E37"/>
                <w:sz w:val="18"/>
                <w:szCs w:val="18"/>
              </w:rPr>
              <w:t>very high confidence</w:t>
            </w:r>
            <w:r w:rsidR="00381D92" w:rsidRPr="00225753">
              <w:rPr>
                <w:rFonts w:asciiTheme="minorHAnsi" w:hAnsiTheme="minorHAnsi" w:cstheme="minorHAnsi"/>
                <w:color w:val="313E37"/>
                <w:sz w:val="18"/>
                <w:szCs w:val="18"/>
              </w:rPr>
              <w:t>).</w:t>
            </w:r>
          </w:p>
          <w:p w14:paraId="2268B395" w14:textId="56C353FD" w:rsidR="00476FCD" w:rsidRPr="00225753" w:rsidRDefault="00476FCD" w:rsidP="009250B8">
            <w:pPr>
              <w:numPr>
                <w:ilvl w:val="0"/>
                <w:numId w:val="17"/>
              </w:numPr>
              <w:ind w:left="334" w:right="136"/>
              <w:rPr>
                <w:rFonts w:asciiTheme="minorHAnsi" w:hAnsiTheme="minorHAnsi" w:cstheme="minorHAnsi"/>
                <w:color w:val="313E37"/>
                <w:sz w:val="18"/>
                <w:szCs w:val="18"/>
              </w:rPr>
            </w:pPr>
            <w:r w:rsidRPr="00225753">
              <w:rPr>
                <w:rFonts w:asciiTheme="minorHAnsi" w:hAnsiTheme="minorHAnsi" w:cstheme="minorHAnsi"/>
                <w:color w:val="313E37"/>
                <w:sz w:val="18"/>
                <w:szCs w:val="18"/>
              </w:rPr>
              <w:t xml:space="preserve">Changes to </w:t>
            </w:r>
            <w:r w:rsidRPr="00903E6E">
              <w:rPr>
                <w:rFonts w:asciiTheme="minorHAnsi" w:hAnsiTheme="minorHAnsi" w:cstheme="minorHAnsi"/>
                <w:color w:val="FF0000"/>
                <w:sz w:val="18"/>
                <w:szCs w:val="18"/>
              </w:rPr>
              <w:t xml:space="preserve">rainfall </w:t>
            </w:r>
            <w:r w:rsidRPr="00225753">
              <w:rPr>
                <w:rFonts w:asciiTheme="minorHAnsi" w:hAnsiTheme="minorHAnsi" w:cstheme="minorHAnsi"/>
                <w:color w:val="313E37"/>
                <w:sz w:val="18"/>
                <w:szCs w:val="18"/>
              </w:rPr>
              <w:t>are possible but unclear.</w:t>
            </w:r>
            <w:r w:rsidR="00381D92" w:rsidRPr="00225753">
              <w:rPr>
                <w:rFonts w:asciiTheme="minorHAnsi" w:hAnsiTheme="minorHAnsi" w:cstheme="minorHAnsi"/>
                <w:color w:val="313E37"/>
                <w:sz w:val="18"/>
                <w:szCs w:val="18"/>
              </w:rPr>
              <w:t xml:space="preserve"> Providing confident rainfall projections for the Monsoonal North East sub-cluster is difficult because global climate models offer diverse results, and models have shortcomings in resolving some tropical processes. Natural climate variability is projected to remain the major driver of rainfall changes in the next few decades. By late in the century, potential summer rainfall changes are approximately -23 to +15 per cent under an intermediate emission scenario (RCP4.5) and approximately -28 to +28 per cent under a high scenario (RCP8.5). Per cent changes are much larger in winter in some models, but these changes are less reliable because average winter rainfall is very low.</w:t>
            </w:r>
          </w:p>
          <w:p w14:paraId="7DCF9A35" w14:textId="77777777" w:rsidR="002B320D" w:rsidRDefault="00476FCD" w:rsidP="009250B8">
            <w:pPr>
              <w:numPr>
                <w:ilvl w:val="0"/>
                <w:numId w:val="17"/>
              </w:numPr>
              <w:ind w:left="334" w:right="136"/>
              <w:rPr>
                <w:rFonts w:asciiTheme="minorHAnsi" w:hAnsiTheme="minorHAnsi" w:cstheme="minorHAnsi"/>
                <w:color w:val="313E37"/>
                <w:sz w:val="18"/>
                <w:szCs w:val="18"/>
              </w:rPr>
            </w:pPr>
            <w:r w:rsidRPr="00225753">
              <w:rPr>
                <w:rFonts w:asciiTheme="minorHAnsi" w:hAnsiTheme="minorHAnsi" w:cstheme="minorHAnsi"/>
                <w:color w:val="313E37"/>
                <w:sz w:val="18"/>
                <w:szCs w:val="18"/>
              </w:rPr>
              <w:t xml:space="preserve">Increased intensity of </w:t>
            </w:r>
            <w:r w:rsidRPr="00903E6E">
              <w:rPr>
                <w:rFonts w:asciiTheme="minorHAnsi" w:hAnsiTheme="minorHAnsi" w:cstheme="minorHAnsi"/>
                <w:color w:val="FF0000"/>
                <w:sz w:val="18"/>
                <w:szCs w:val="18"/>
              </w:rPr>
              <w:t xml:space="preserve">extreme rainfall </w:t>
            </w:r>
            <w:r w:rsidRPr="00225753">
              <w:rPr>
                <w:rFonts w:asciiTheme="minorHAnsi" w:hAnsiTheme="minorHAnsi" w:cstheme="minorHAnsi"/>
                <w:color w:val="313E37"/>
                <w:sz w:val="18"/>
                <w:szCs w:val="18"/>
              </w:rPr>
              <w:t>events is projected, with </w:t>
            </w:r>
            <w:r w:rsidRPr="00225753">
              <w:rPr>
                <w:rFonts w:asciiTheme="minorHAnsi" w:hAnsiTheme="minorHAnsi" w:cstheme="minorHAnsi"/>
                <w:i/>
                <w:iCs/>
                <w:color w:val="313E37"/>
                <w:sz w:val="18"/>
                <w:szCs w:val="18"/>
              </w:rPr>
              <w:t>high confidence</w:t>
            </w:r>
            <w:r w:rsidRPr="00225753">
              <w:rPr>
                <w:rFonts w:asciiTheme="minorHAnsi" w:hAnsiTheme="minorHAnsi" w:cstheme="minorHAnsi"/>
                <w:color w:val="313E37"/>
                <w:sz w:val="18"/>
                <w:szCs w:val="18"/>
              </w:rPr>
              <w:t>.</w:t>
            </w:r>
            <w:r w:rsidR="00381D92" w:rsidRPr="00225753">
              <w:rPr>
                <w:rFonts w:asciiTheme="minorHAnsi" w:hAnsiTheme="minorHAnsi" w:cstheme="minorHAnsi"/>
                <w:color w:val="313E37"/>
                <w:sz w:val="18"/>
                <w:szCs w:val="18"/>
              </w:rPr>
              <w:t xml:space="preserve"> </w:t>
            </w:r>
          </w:p>
          <w:p w14:paraId="25BE31BF" w14:textId="0C2EE338" w:rsidR="00476FCD" w:rsidRPr="00225753" w:rsidRDefault="00381D92" w:rsidP="009250B8">
            <w:pPr>
              <w:numPr>
                <w:ilvl w:val="0"/>
                <w:numId w:val="17"/>
              </w:numPr>
              <w:ind w:left="334" w:right="136"/>
              <w:rPr>
                <w:rFonts w:asciiTheme="minorHAnsi" w:hAnsiTheme="minorHAnsi" w:cstheme="minorHAnsi"/>
                <w:color w:val="313E37"/>
                <w:sz w:val="18"/>
                <w:szCs w:val="18"/>
              </w:rPr>
            </w:pPr>
            <w:r w:rsidRPr="00F0162B">
              <w:rPr>
                <w:rFonts w:asciiTheme="minorHAnsi" w:hAnsiTheme="minorHAnsi" w:cstheme="minorHAnsi"/>
                <w:color w:val="FF0000"/>
                <w:sz w:val="18"/>
                <w:szCs w:val="18"/>
              </w:rPr>
              <w:t xml:space="preserve">Drought </w:t>
            </w:r>
            <w:r w:rsidRPr="00225753">
              <w:rPr>
                <w:rFonts w:asciiTheme="minorHAnsi" w:hAnsiTheme="minorHAnsi" w:cstheme="minorHAnsi"/>
                <w:color w:val="313E37"/>
                <w:sz w:val="18"/>
                <w:szCs w:val="18"/>
              </w:rPr>
              <w:t>will continue to be a feature of the regional climate variability, but projected changes are uncertain.</w:t>
            </w:r>
          </w:p>
          <w:p w14:paraId="0C874554" w14:textId="77777777" w:rsidR="00476FCD" w:rsidRPr="00225753" w:rsidRDefault="00476FCD" w:rsidP="009250B8">
            <w:pPr>
              <w:numPr>
                <w:ilvl w:val="0"/>
                <w:numId w:val="17"/>
              </w:numPr>
              <w:ind w:left="334" w:right="136"/>
              <w:rPr>
                <w:rFonts w:asciiTheme="minorHAnsi" w:hAnsiTheme="minorHAnsi" w:cstheme="minorHAnsi"/>
                <w:color w:val="313E37"/>
                <w:sz w:val="18"/>
                <w:szCs w:val="18"/>
              </w:rPr>
            </w:pPr>
            <w:r w:rsidRPr="00225753">
              <w:rPr>
                <w:rFonts w:asciiTheme="minorHAnsi" w:hAnsiTheme="minorHAnsi" w:cstheme="minorHAnsi"/>
                <w:color w:val="313E37"/>
                <w:sz w:val="18"/>
                <w:szCs w:val="18"/>
              </w:rPr>
              <w:t xml:space="preserve">Mean </w:t>
            </w:r>
            <w:r w:rsidRPr="00903E6E">
              <w:rPr>
                <w:rFonts w:asciiTheme="minorHAnsi" w:hAnsiTheme="minorHAnsi" w:cstheme="minorHAnsi"/>
                <w:color w:val="FF0000"/>
                <w:sz w:val="18"/>
                <w:szCs w:val="18"/>
              </w:rPr>
              <w:t xml:space="preserve">sea level </w:t>
            </w:r>
            <w:r w:rsidRPr="00225753">
              <w:rPr>
                <w:rFonts w:asciiTheme="minorHAnsi" w:hAnsiTheme="minorHAnsi" w:cstheme="minorHAnsi"/>
                <w:color w:val="313E37"/>
                <w:sz w:val="18"/>
                <w:szCs w:val="18"/>
              </w:rPr>
              <w:t>will continue to rise and height of extreme sea-level events will also increase (</w:t>
            </w:r>
            <w:r w:rsidRPr="00225753">
              <w:rPr>
                <w:rFonts w:asciiTheme="minorHAnsi" w:hAnsiTheme="minorHAnsi" w:cstheme="minorHAnsi"/>
                <w:i/>
                <w:iCs/>
                <w:color w:val="313E37"/>
                <w:sz w:val="18"/>
                <w:szCs w:val="18"/>
              </w:rPr>
              <w:t>very high confidence</w:t>
            </w:r>
            <w:r w:rsidRPr="00225753">
              <w:rPr>
                <w:rFonts w:asciiTheme="minorHAnsi" w:hAnsiTheme="minorHAnsi" w:cstheme="minorHAnsi"/>
                <w:color w:val="313E37"/>
                <w:sz w:val="18"/>
                <w:szCs w:val="18"/>
              </w:rPr>
              <w:t>).</w:t>
            </w:r>
          </w:p>
          <w:p w14:paraId="3C7B724B" w14:textId="77777777" w:rsidR="00476FCD" w:rsidRPr="00225753" w:rsidRDefault="00476FCD" w:rsidP="009250B8">
            <w:pPr>
              <w:numPr>
                <w:ilvl w:val="0"/>
                <w:numId w:val="17"/>
              </w:numPr>
              <w:ind w:left="334" w:right="136"/>
              <w:rPr>
                <w:rFonts w:asciiTheme="minorHAnsi" w:hAnsiTheme="minorHAnsi" w:cstheme="minorHAnsi"/>
                <w:color w:val="313E37"/>
                <w:sz w:val="18"/>
                <w:szCs w:val="18"/>
              </w:rPr>
            </w:pPr>
            <w:r w:rsidRPr="00903E6E">
              <w:rPr>
                <w:rFonts w:asciiTheme="minorHAnsi" w:hAnsiTheme="minorHAnsi" w:cstheme="minorHAnsi"/>
                <w:color w:val="FF0000"/>
                <w:sz w:val="18"/>
                <w:szCs w:val="18"/>
              </w:rPr>
              <w:t xml:space="preserve">Tropical cyclones </w:t>
            </w:r>
            <w:r w:rsidRPr="00225753">
              <w:rPr>
                <w:rFonts w:asciiTheme="minorHAnsi" w:hAnsiTheme="minorHAnsi" w:cstheme="minorHAnsi"/>
                <w:color w:val="313E37"/>
                <w:sz w:val="18"/>
                <w:szCs w:val="18"/>
              </w:rPr>
              <w:t>are projected to become less frequent, but the proportion of the most intense storms is projected to increase (</w:t>
            </w:r>
            <w:r w:rsidRPr="00225753">
              <w:rPr>
                <w:rFonts w:asciiTheme="minorHAnsi" w:hAnsiTheme="minorHAnsi" w:cstheme="minorHAnsi"/>
                <w:i/>
                <w:iCs/>
                <w:color w:val="313E37"/>
                <w:sz w:val="18"/>
                <w:szCs w:val="18"/>
              </w:rPr>
              <w:t>medium confidence</w:t>
            </w:r>
            <w:r w:rsidRPr="00225753">
              <w:rPr>
                <w:rFonts w:asciiTheme="minorHAnsi" w:hAnsiTheme="minorHAnsi" w:cstheme="minorHAnsi"/>
                <w:color w:val="313E37"/>
                <w:sz w:val="18"/>
                <w:szCs w:val="18"/>
              </w:rPr>
              <w:t>).</w:t>
            </w:r>
          </w:p>
          <w:p w14:paraId="3C4ED9D2" w14:textId="77777777" w:rsidR="00903E6E" w:rsidRPr="00BA224C" w:rsidRDefault="00903E6E" w:rsidP="009250B8">
            <w:pPr>
              <w:numPr>
                <w:ilvl w:val="0"/>
                <w:numId w:val="17"/>
              </w:numPr>
              <w:ind w:left="313" w:right="136" w:hanging="313"/>
              <w:rPr>
                <w:rFonts w:asciiTheme="minorHAnsi" w:hAnsiTheme="minorHAnsi" w:cstheme="minorHAnsi"/>
                <w:color w:val="313E37"/>
                <w:sz w:val="18"/>
                <w:szCs w:val="18"/>
              </w:rPr>
            </w:pPr>
            <w:r w:rsidRPr="00225753">
              <w:rPr>
                <w:rFonts w:asciiTheme="minorHAnsi" w:hAnsiTheme="minorHAnsi" w:cstheme="minorHAnsi"/>
                <w:color w:val="FF0000"/>
                <w:sz w:val="18"/>
                <w:szCs w:val="18"/>
              </w:rPr>
              <w:t xml:space="preserve">Potential evapotranspiration </w:t>
            </w:r>
            <w:r w:rsidRPr="00BA224C">
              <w:rPr>
                <w:rFonts w:asciiTheme="minorHAnsi" w:hAnsiTheme="minorHAnsi" w:cstheme="minorHAnsi"/>
                <w:color w:val="313E37"/>
                <w:sz w:val="18"/>
                <w:szCs w:val="18"/>
              </w:rPr>
              <w:t>is projected to increase in all seasons as warming progresses (</w:t>
            </w:r>
            <w:r w:rsidRPr="00BA224C">
              <w:rPr>
                <w:rFonts w:asciiTheme="minorHAnsi" w:hAnsiTheme="minorHAnsi" w:cstheme="minorHAnsi"/>
                <w:i/>
                <w:iCs/>
                <w:color w:val="313E37"/>
                <w:sz w:val="18"/>
                <w:szCs w:val="18"/>
              </w:rPr>
              <w:t>high confidence</w:t>
            </w:r>
            <w:r w:rsidRPr="00BA224C">
              <w:rPr>
                <w:rFonts w:asciiTheme="minorHAnsi" w:hAnsiTheme="minorHAnsi" w:cstheme="minorHAnsi"/>
                <w:color w:val="313E37"/>
                <w:sz w:val="18"/>
                <w:szCs w:val="18"/>
              </w:rPr>
              <w:t>)</w:t>
            </w:r>
            <w:r>
              <w:rPr>
                <w:rFonts w:asciiTheme="minorHAnsi" w:hAnsiTheme="minorHAnsi" w:cstheme="minorHAnsi"/>
                <w:color w:val="313E37"/>
                <w:sz w:val="18"/>
                <w:szCs w:val="18"/>
              </w:rPr>
              <w:t xml:space="preserve">, though the magnitude is known only with </w:t>
            </w:r>
            <w:r>
              <w:rPr>
                <w:rFonts w:asciiTheme="minorHAnsi" w:hAnsiTheme="minorHAnsi" w:cstheme="minorHAnsi"/>
                <w:i/>
                <w:iCs/>
                <w:color w:val="313E37"/>
                <w:sz w:val="18"/>
                <w:szCs w:val="18"/>
              </w:rPr>
              <w:t>medium confidence.</w:t>
            </w:r>
            <w:r w:rsidRPr="00225753">
              <w:rPr>
                <w:rFonts w:asciiTheme="minorHAnsi" w:hAnsiTheme="minorHAnsi" w:cstheme="minorHAnsi"/>
                <w:color w:val="313E37"/>
                <w:sz w:val="18"/>
                <w:szCs w:val="18"/>
              </w:rPr>
              <w:t xml:space="preserve"> Projected changes for autumn, winter and spring for 2030 are around 2 to 6 % (about 1 to 5 % for summer) and for 2090 are about 5 to 10 % (about 2 to 10 % for summer) for RCP4.5 and 10 to 20% (about 5 to 15 % for summer) for RCP8.5</w:t>
            </w:r>
            <w:r>
              <w:rPr>
                <w:rFonts w:asciiTheme="minorHAnsi" w:hAnsiTheme="minorHAnsi" w:cstheme="minorHAnsi"/>
                <w:color w:val="313E37"/>
                <w:sz w:val="18"/>
                <w:szCs w:val="18"/>
              </w:rPr>
              <w:t>.</w:t>
            </w:r>
          </w:p>
          <w:p w14:paraId="3807312B" w14:textId="77777777" w:rsidR="00903E6E" w:rsidRPr="00BA224C" w:rsidRDefault="00903E6E"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 xml:space="preserve">There is little change projected in </w:t>
            </w:r>
            <w:r w:rsidRPr="00225753">
              <w:rPr>
                <w:rFonts w:asciiTheme="minorHAnsi" w:hAnsiTheme="minorHAnsi" w:cstheme="minorHAnsi"/>
                <w:color w:val="FF0000"/>
                <w:sz w:val="18"/>
                <w:szCs w:val="18"/>
              </w:rPr>
              <w:t xml:space="preserve">relative humidity </w:t>
            </w:r>
            <w:r w:rsidRPr="00BA224C">
              <w:rPr>
                <w:rFonts w:asciiTheme="minorHAnsi" w:hAnsiTheme="minorHAnsi" w:cstheme="minorHAnsi"/>
                <w:color w:val="313E37"/>
                <w:sz w:val="18"/>
                <w:szCs w:val="18"/>
              </w:rPr>
              <w:t>until later in the century under a high emission scenario (RCP8.5), where a decrease in relative humidity is projected (</w:t>
            </w:r>
            <w:r w:rsidRPr="00BA224C">
              <w:rPr>
                <w:rFonts w:asciiTheme="minorHAnsi" w:hAnsiTheme="minorHAnsi" w:cstheme="minorHAnsi"/>
                <w:i/>
                <w:iCs/>
                <w:color w:val="313E37"/>
                <w:sz w:val="18"/>
                <w:szCs w:val="18"/>
              </w:rPr>
              <w:t>medium confidence</w:t>
            </w:r>
            <w:r w:rsidRPr="00BA224C">
              <w:rPr>
                <w:rFonts w:asciiTheme="minorHAnsi" w:hAnsiTheme="minorHAnsi" w:cstheme="minorHAnsi"/>
                <w:color w:val="313E37"/>
                <w:sz w:val="18"/>
                <w:szCs w:val="18"/>
              </w:rPr>
              <w:t>)</w:t>
            </w:r>
            <w:r>
              <w:rPr>
                <w:rFonts w:asciiTheme="minorHAnsi" w:hAnsiTheme="minorHAnsi" w:cstheme="minorHAnsi"/>
                <w:color w:val="313E37"/>
                <w:sz w:val="18"/>
                <w:szCs w:val="18"/>
              </w:rPr>
              <w:t xml:space="preserve">, </w:t>
            </w:r>
            <w:r w:rsidRPr="00771438">
              <w:rPr>
                <w:rFonts w:asciiTheme="minorHAnsi" w:hAnsiTheme="minorHAnsi" w:cstheme="minorHAnsi"/>
                <w:color w:val="313E37"/>
                <w:sz w:val="18"/>
                <w:szCs w:val="18"/>
              </w:rPr>
              <w:t>with projected ranges of -6 to +1 % under RCP4.5 and -8 to +3 % under RCP8.5</w:t>
            </w:r>
            <w:r w:rsidRPr="00BA224C">
              <w:rPr>
                <w:rFonts w:asciiTheme="minorHAnsi" w:hAnsiTheme="minorHAnsi" w:cstheme="minorHAnsi"/>
                <w:color w:val="313E37"/>
                <w:sz w:val="18"/>
                <w:szCs w:val="18"/>
              </w:rPr>
              <w:t>.</w:t>
            </w:r>
            <w:r>
              <w:rPr>
                <w:rFonts w:asciiTheme="minorHAnsi" w:hAnsiTheme="minorHAnsi" w:cstheme="minorHAnsi"/>
                <w:color w:val="313E37"/>
                <w:sz w:val="18"/>
                <w:szCs w:val="18"/>
              </w:rPr>
              <w:t xml:space="preserve"> </w:t>
            </w:r>
          </w:p>
          <w:p w14:paraId="06F61D56" w14:textId="77777777" w:rsidR="00903E6E" w:rsidRPr="00BA224C" w:rsidRDefault="00903E6E" w:rsidP="009250B8">
            <w:pPr>
              <w:numPr>
                <w:ilvl w:val="0"/>
                <w:numId w:val="17"/>
              </w:numPr>
              <w:ind w:left="313" w:right="136" w:hanging="313"/>
              <w:rPr>
                <w:rFonts w:asciiTheme="minorHAnsi" w:hAnsiTheme="minorHAnsi" w:cstheme="minorHAnsi"/>
                <w:color w:val="313E37"/>
                <w:sz w:val="18"/>
                <w:szCs w:val="18"/>
              </w:rPr>
            </w:pPr>
            <w:r w:rsidRPr="00BA224C">
              <w:rPr>
                <w:rFonts w:asciiTheme="minorHAnsi" w:hAnsiTheme="minorHAnsi" w:cstheme="minorHAnsi"/>
                <w:color w:val="313E37"/>
                <w:sz w:val="18"/>
                <w:szCs w:val="18"/>
              </w:rPr>
              <w:t xml:space="preserve">Annual changes in </w:t>
            </w:r>
            <w:r w:rsidRPr="00225753">
              <w:rPr>
                <w:rFonts w:asciiTheme="minorHAnsi" w:hAnsiTheme="minorHAnsi" w:cstheme="minorHAnsi"/>
                <w:color w:val="FF0000"/>
                <w:sz w:val="18"/>
                <w:szCs w:val="18"/>
              </w:rPr>
              <w:t xml:space="preserve">soil moisture </w:t>
            </w:r>
            <w:r w:rsidRPr="00BA224C">
              <w:rPr>
                <w:rFonts w:asciiTheme="minorHAnsi" w:hAnsiTheme="minorHAnsi" w:cstheme="minorHAnsi"/>
                <w:color w:val="313E37"/>
                <w:sz w:val="18"/>
                <w:szCs w:val="18"/>
              </w:rPr>
              <w:t xml:space="preserve">for RCP8.5 by 2090 range from around −13 % to +4 % with medium model agreement on substantial decrease. The percentage changes in soil moisture are strongly influenced by those in rainfall, but tend to be more negative due to the strong increase in potential evapotranspiration. Given the potential limitations of the underlying methods, there is only </w:t>
            </w:r>
            <w:r w:rsidRPr="00903E6E">
              <w:rPr>
                <w:rFonts w:asciiTheme="minorHAnsi" w:hAnsiTheme="minorHAnsi" w:cstheme="minorHAnsi"/>
                <w:i/>
                <w:iCs/>
                <w:color w:val="313E37"/>
                <w:sz w:val="18"/>
                <w:szCs w:val="18"/>
              </w:rPr>
              <w:t>medium confidence</w:t>
            </w:r>
            <w:r w:rsidRPr="00BA224C">
              <w:rPr>
                <w:rFonts w:asciiTheme="minorHAnsi" w:hAnsiTheme="minorHAnsi" w:cstheme="minorHAnsi"/>
                <w:color w:val="313E37"/>
                <w:sz w:val="18"/>
                <w:szCs w:val="18"/>
              </w:rPr>
              <w:t xml:space="preserve"> that soil moisture will decline. </w:t>
            </w:r>
          </w:p>
          <w:p w14:paraId="2AD01022" w14:textId="77777777" w:rsidR="00903E6E" w:rsidRPr="00BA224C" w:rsidRDefault="00903E6E" w:rsidP="009250B8">
            <w:pPr>
              <w:numPr>
                <w:ilvl w:val="0"/>
                <w:numId w:val="17"/>
              </w:numPr>
              <w:ind w:left="313" w:right="136" w:hanging="313"/>
              <w:rPr>
                <w:rFonts w:asciiTheme="minorHAnsi" w:hAnsiTheme="minorHAnsi" w:cstheme="minorHAnsi"/>
                <w:color w:val="313E37"/>
                <w:sz w:val="18"/>
                <w:szCs w:val="18"/>
              </w:rPr>
            </w:pPr>
            <w:r w:rsidRPr="00225753">
              <w:rPr>
                <w:rFonts w:asciiTheme="minorHAnsi" w:hAnsiTheme="minorHAnsi" w:cstheme="minorHAnsi"/>
                <w:color w:val="FF0000"/>
                <w:sz w:val="18"/>
                <w:szCs w:val="18"/>
              </w:rPr>
              <w:t xml:space="preserve">Runoff </w:t>
            </w:r>
            <w:r w:rsidRPr="00BA224C">
              <w:rPr>
                <w:rFonts w:asciiTheme="minorHAnsi" w:hAnsiTheme="minorHAnsi" w:cstheme="minorHAnsi"/>
                <w:color w:val="313E37"/>
                <w:sz w:val="18"/>
                <w:szCs w:val="18"/>
              </w:rPr>
              <w:t xml:space="preserve">could increase or decrease under RCP4.5 and RCP8.5 in 2090, though the majority of models suggest decrease. The confidence in these projections is </w:t>
            </w:r>
            <w:r w:rsidRPr="00BA224C">
              <w:rPr>
                <w:rFonts w:asciiTheme="minorHAnsi" w:hAnsiTheme="minorHAnsi" w:cstheme="minorHAnsi"/>
                <w:i/>
                <w:iCs/>
                <w:color w:val="313E37"/>
                <w:sz w:val="18"/>
                <w:szCs w:val="18"/>
              </w:rPr>
              <w:t>low</w:t>
            </w:r>
            <w:r w:rsidRPr="00BA224C">
              <w:rPr>
                <w:rFonts w:asciiTheme="minorHAnsi" w:hAnsiTheme="minorHAnsi" w:cstheme="minorHAnsi"/>
                <w:color w:val="313E37"/>
                <w:sz w:val="18"/>
                <w:szCs w:val="18"/>
              </w:rPr>
              <w:t xml:space="preserve"> because the method used is not able to consider changes to rainfall intensity, seasonality and changes in vegetation characteristics.</w:t>
            </w:r>
          </w:p>
          <w:p w14:paraId="1A4C2603" w14:textId="5A36977D" w:rsidR="00476FCD" w:rsidRPr="00225753" w:rsidRDefault="00476FCD" w:rsidP="009250B8">
            <w:pPr>
              <w:numPr>
                <w:ilvl w:val="0"/>
                <w:numId w:val="17"/>
              </w:numPr>
              <w:ind w:left="334" w:right="136"/>
              <w:rPr>
                <w:rFonts w:asciiTheme="minorHAnsi" w:hAnsiTheme="minorHAnsi" w:cstheme="minorHAnsi"/>
                <w:color w:val="313E37"/>
                <w:sz w:val="18"/>
                <w:szCs w:val="18"/>
              </w:rPr>
            </w:pPr>
            <w:r w:rsidRPr="00225753">
              <w:rPr>
                <w:rFonts w:asciiTheme="minorHAnsi" w:hAnsiTheme="minorHAnsi" w:cstheme="minorHAnsi"/>
                <w:color w:val="313E37"/>
                <w:sz w:val="18"/>
                <w:szCs w:val="18"/>
              </w:rPr>
              <w:t xml:space="preserve">The primary determinant of bushfire in the Monsoonal North East is fuel availability, which varies mainly with rainfall. Changes to future rainfall will be the determining factor of change to </w:t>
            </w:r>
            <w:r w:rsidRPr="00903E6E">
              <w:rPr>
                <w:rFonts w:asciiTheme="minorHAnsi" w:hAnsiTheme="minorHAnsi" w:cstheme="minorHAnsi"/>
                <w:color w:val="FF0000"/>
                <w:sz w:val="18"/>
                <w:szCs w:val="18"/>
              </w:rPr>
              <w:t xml:space="preserve">fire </w:t>
            </w:r>
            <w:r w:rsidRPr="00225753">
              <w:rPr>
                <w:rFonts w:asciiTheme="minorHAnsi" w:hAnsiTheme="minorHAnsi" w:cstheme="minorHAnsi"/>
                <w:color w:val="313E37"/>
                <w:sz w:val="18"/>
                <w:szCs w:val="18"/>
              </w:rPr>
              <w:t xml:space="preserve">frequency. When fire does occur, there is </w:t>
            </w:r>
            <w:r w:rsidRPr="00225753">
              <w:rPr>
                <w:rFonts w:asciiTheme="minorHAnsi" w:hAnsiTheme="minorHAnsi" w:cstheme="minorHAnsi"/>
                <w:i/>
                <w:iCs/>
                <w:color w:val="313E37"/>
                <w:sz w:val="18"/>
                <w:szCs w:val="18"/>
              </w:rPr>
              <w:t>high confidence</w:t>
            </w:r>
            <w:r w:rsidRPr="00225753">
              <w:rPr>
                <w:rFonts w:asciiTheme="minorHAnsi" w:hAnsiTheme="minorHAnsi" w:cstheme="minorHAnsi"/>
                <w:color w:val="313E37"/>
                <w:sz w:val="18"/>
                <w:szCs w:val="18"/>
              </w:rPr>
              <w:t xml:space="preserve"> fire behaviour will be more extreme.</w:t>
            </w:r>
          </w:p>
          <w:p w14:paraId="01F8BB17" w14:textId="77777777" w:rsidR="00476FCD" w:rsidRDefault="00476FCD" w:rsidP="00447D91">
            <w:pPr>
              <w:ind w:right="136"/>
              <w:rPr>
                <w:rFonts w:asciiTheme="minorHAnsi" w:hAnsiTheme="minorHAnsi" w:cstheme="minorHAnsi"/>
                <w:color w:val="313E37"/>
                <w:sz w:val="20"/>
                <w:szCs w:val="20"/>
              </w:rPr>
            </w:pPr>
          </w:p>
          <w:p w14:paraId="3E2E1954" w14:textId="77777777" w:rsidR="00476FCD" w:rsidRDefault="00476FCD" w:rsidP="00447D91">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098E794C" w14:textId="42CD1244" w:rsidR="00476FCD" w:rsidRDefault="00476FCD" w:rsidP="00447D91">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sidR="00647F24">
              <w:rPr>
                <w:noProof/>
              </w:rPr>
              <w:drawing>
                <wp:inline distT="0" distB="0" distL="0" distR="0" wp14:anchorId="504288B4" wp14:editId="7B7EDE78">
                  <wp:extent cx="2637692" cy="1731276"/>
                  <wp:effectExtent l="0" t="0" r="0" b="2540"/>
                  <wp:docPr id="44560024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276">
                            <a:extLst>
                              <a:ext uri="{28A0092B-C50C-407E-A947-70E740481C1C}">
                                <a14:useLocalDpi xmlns:a14="http://schemas.microsoft.com/office/drawing/2010/main" val="0"/>
                              </a:ext>
                            </a:extLst>
                          </a:blip>
                          <a:stretch>
                            <a:fillRect/>
                          </a:stretch>
                        </pic:blipFill>
                        <pic:spPr>
                          <a:xfrm>
                            <a:off x="0" y="0"/>
                            <a:ext cx="2637692" cy="1731276"/>
                          </a:xfrm>
                          <a:prstGeom prst="rect">
                            <a:avLst/>
                          </a:prstGeom>
                        </pic:spPr>
                      </pic:pic>
                    </a:graphicData>
                  </a:graphic>
                </wp:inline>
              </w:drawing>
            </w:r>
            <w:r w:rsidRPr="1F802AF8">
              <w:rPr>
                <w:rFonts w:asciiTheme="minorHAnsi" w:hAnsiTheme="minorHAnsi" w:cstheme="minorBidi"/>
                <w:color w:val="313E37"/>
                <w:sz w:val="20"/>
                <w:szCs w:val="20"/>
              </w:rPr>
              <w:t xml:space="preserve">    </w:t>
            </w:r>
            <w:r w:rsidR="00647F24">
              <w:rPr>
                <w:noProof/>
              </w:rPr>
              <w:drawing>
                <wp:inline distT="0" distB="0" distL="0" distR="0" wp14:anchorId="30CF2CB3" wp14:editId="4D2992A9">
                  <wp:extent cx="2751992" cy="1802015"/>
                  <wp:effectExtent l="0" t="0" r="0" b="8255"/>
                  <wp:docPr id="150220170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277">
                            <a:extLst>
                              <a:ext uri="{28A0092B-C50C-407E-A947-70E740481C1C}">
                                <a14:useLocalDpi xmlns:a14="http://schemas.microsoft.com/office/drawing/2010/main" val="0"/>
                              </a:ext>
                            </a:extLst>
                          </a:blip>
                          <a:stretch>
                            <a:fillRect/>
                          </a:stretch>
                        </pic:blipFill>
                        <pic:spPr>
                          <a:xfrm>
                            <a:off x="0" y="0"/>
                            <a:ext cx="2751992" cy="1802015"/>
                          </a:xfrm>
                          <a:prstGeom prst="rect">
                            <a:avLst/>
                          </a:prstGeom>
                        </pic:spPr>
                      </pic:pic>
                    </a:graphicData>
                  </a:graphic>
                </wp:inline>
              </w:drawing>
            </w:r>
          </w:p>
          <w:p w14:paraId="39D0118E" w14:textId="77777777" w:rsidR="00476FCD" w:rsidRPr="00EF238F" w:rsidRDefault="00476FCD" w:rsidP="00447D91">
            <w:pPr>
              <w:ind w:right="136"/>
              <w:rPr>
                <w:rFonts w:asciiTheme="minorHAnsi" w:hAnsiTheme="minorHAnsi" w:cstheme="minorHAnsi"/>
                <w:color w:val="313E37"/>
                <w:sz w:val="20"/>
                <w:szCs w:val="20"/>
              </w:rPr>
            </w:pPr>
          </w:p>
        </w:tc>
      </w:tr>
      <w:tr w:rsidR="00C63F21" w14:paraId="24E571A3" w14:textId="77777777" w:rsidTr="1F802AF8">
        <w:trPr>
          <w:trHeight w:val="329"/>
        </w:trPr>
        <w:tc>
          <w:tcPr>
            <w:tcW w:w="9628" w:type="dxa"/>
            <w:gridSpan w:val="2"/>
          </w:tcPr>
          <w:p w14:paraId="678643D7" w14:textId="582E5476" w:rsidR="00C63F21" w:rsidRPr="00EF238F" w:rsidRDefault="00C63F21" w:rsidP="00447D91">
            <w:pPr>
              <w:pStyle w:val="BodyText"/>
              <w:rPr>
                <w:b/>
                <w:bCs/>
                <w:sz w:val="20"/>
              </w:rPr>
            </w:pPr>
            <w:r>
              <w:rPr>
                <w:b/>
                <w:bCs/>
                <w:sz w:val="20"/>
              </w:rPr>
              <w:lastRenderedPageBreak/>
              <w:t>Wet Tropics</w:t>
            </w:r>
          </w:p>
        </w:tc>
      </w:tr>
      <w:tr w:rsidR="00C63F21" w14:paraId="13A22632" w14:textId="77777777" w:rsidTr="1F802AF8">
        <w:trPr>
          <w:trHeight w:val="1815"/>
        </w:trPr>
        <w:tc>
          <w:tcPr>
            <w:tcW w:w="2263" w:type="dxa"/>
          </w:tcPr>
          <w:p w14:paraId="11454E96" w14:textId="4209478B" w:rsidR="00C63F21" w:rsidRDefault="00C63F21" w:rsidP="00447D91">
            <w:pPr>
              <w:pStyle w:val="BodyText"/>
            </w:pPr>
            <w:r>
              <w:rPr>
                <w:noProof/>
              </w:rPr>
              <w:drawing>
                <wp:inline distT="0" distB="0" distL="0" distR="0" wp14:anchorId="790A8672" wp14:editId="4EEC3AFB">
                  <wp:extent cx="1160584" cy="970565"/>
                  <wp:effectExtent l="0" t="0" r="1905" b="1270"/>
                  <wp:docPr id="73631347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278">
                            <a:extLst>
                              <a:ext uri="{28A0092B-C50C-407E-A947-70E740481C1C}">
                                <a14:useLocalDpi xmlns:a14="http://schemas.microsoft.com/office/drawing/2010/main" val="0"/>
                              </a:ext>
                            </a:extLst>
                          </a:blip>
                          <a:stretch>
                            <a:fillRect/>
                          </a:stretch>
                        </pic:blipFill>
                        <pic:spPr>
                          <a:xfrm>
                            <a:off x="0" y="0"/>
                            <a:ext cx="1160584" cy="970565"/>
                          </a:xfrm>
                          <a:prstGeom prst="rect">
                            <a:avLst/>
                          </a:prstGeom>
                        </pic:spPr>
                      </pic:pic>
                    </a:graphicData>
                  </a:graphic>
                </wp:inline>
              </w:drawing>
            </w:r>
          </w:p>
        </w:tc>
        <w:tc>
          <w:tcPr>
            <w:tcW w:w="7365" w:type="dxa"/>
          </w:tcPr>
          <w:p w14:paraId="2AE49833" w14:textId="77777777" w:rsidR="00C63F21" w:rsidRDefault="00C63F21" w:rsidP="00447D91">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26B3F50B" w14:textId="77777777" w:rsidR="00C63F21" w:rsidRPr="00C63F21" w:rsidRDefault="00C63F21" w:rsidP="00C63F21">
            <w:pPr>
              <w:pStyle w:val="BodyText"/>
              <w:spacing w:before="0" w:after="0" w:line="240" w:lineRule="auto"/>
              <w:rPr>
                <w:sz w:val="20"/>
              </w:rPr>
            </w:pPr>
            <w:r w:rsidRPr="00C63F21">
              <w:rPr>
                <w:sz w:val="20"/>
              </w:rPr>
              <w:t>Planting of new forests</w:t>
            </w:r>
            <w:r w:rsidRPr="00C63F21">
              <w:rPr>
                <w:sz w:val="20"/>
              </w:rPr>
              <w:tab/>
            </w:r>
            <w:r w:rsidRPr="00C63F21">
              <w:rPr>
                <w:sz w:val="20"/>
              </w:rPr>
              <w:tab/>
            </w:r>
            <w:r w:rsidRPr="00C63F21">
              <w:rPr>
                <w:sz w:val="20"/>
              </w:rPr>
              <w:tab/>
              <w:t>6</w:t>
            </w:r>
            <w:r w:rsidRPr="00C63F21">
              <w:rPr>
                <w:sz w:val="20"/>
              </w:rPr>
              <w:tab/>
            </w:r>
            <w:r w:rsidRPr="00C63F21">
              <w:rPr>
                <w:sz w:val="20"/>
              </w:rPr>
              <w:tab/>
              <w:t xml:space="preserve"> 916 </w:t>
            </w:r>
          </w:p>
          <w:p w14:paraId="60CC6ABB" w14:textId="2A58C91D" w:rsidR="00C63F21" w:rsidRPr="00C63F21" w:rsidRDefault="00FB2D3A" w:rsidP="00C63F21">
            <w:pPr>
              <w:pStyle w:val="BodyText"/>
              <w:spacing w:before="0" w:after="0" w:line="240" w:lineRule="auto"/>
              <w:rPr>
                <w:sz w:val="20"/>
              </w:rPr>
            </w:pPr>
            <w:r>
              <w:rPr>
                <w:sz w:val="20"/>
              </w:rPr>
              <w:t>Re-establishment</w:t>
            </w:r>
            <w:r w:rsidR="00187AAD">
              <w:rPr>
                <w:sz w:val="20"/>
              </w:rPr>
              <w:t xml:space="preserve"> </w:t>
            </w:r>
            <w:r w:rsidR="00C63F21" w:rsidRPr="00C63F21">
              <w:rPr>
                <w:sz w:val="20"/>
              </w:rPr>
              <w:t>of native forest cover</w:t>
            </w:r>
            <w:r w:rsidR="00C63F21" w:rsidRPr="00C63F21">
              <w:rPr>
                <w:sz w:val="20"/>
              </w:rPr>
              <w:tab/>
              <w:t>2</w:t>
            </w:r>
            <w:r w:rsidR="00C63F21" w:rsidRPr="00C63F21">
              <w:rPr>
                <w:sz w:val="20"/>
              </w:rPr>
              <w:tab/>
            </w:r>
            <w:r w:rsidR="00C63F21" w:rsidRPr="00C63F21">
              <w:rPr>
                <w:sz w:val="20"/>
              </w:rPr>
              <w:tab/>
              <w:t xml:space="preserve"> 4,596 </w:t>
            </w:r>
          </w:p>
          <w:p w14:paraId="54F9F112" w14:textId="1D276991" w:rsidR="00C63F21" w:rsidRPr="0054376E" w:rsidRDefault="00C63F21" w:rsidP="00C63F21">
            <w:pPr>
              <w:pStyle w:val="BodyText"/>
              <w:spacing w:before="0" w:after="0" w:line="240" w:lineRule="auto"/>
              <w:rPr>
                <w:sz w:val="20"/>
              </w:rPr>
            </w:pPr>
            <w:r w:rsidRPr="00C63F21">
              <w:rPr>
                <w:sz w:val="20"/>
              </w:rPr>
              <w:t>Savanna fire management</w:t>
            </w:r>
            <w:r w:rsidRPr="00C63F21">
              <w:rPr>
                <w:sz w:val="20"/>
              </w:rPr>
              <w:tab/>
            </w:r>
            <w:r w:rsidRPr="00C63F21">
              <w:rPr>
                <w:sz w:val="20"/>
              </w:rPr>
              <w:tab/>
            </w:r>
            <w:r w:rsidRPr="00C63F21">
              <w:rPr>
                <w:sz w:val="20"/>
              </w:rPr>
              <w:tab/>
              <w:t>55</w:t>
            </w:r>
            <w:r w:rsidRPr="00C63F21">
              <w:rPr>
                <w:sz w:val="20"/>
              </w:rPr>
              <w:tab/>
              <w:t xml:space="preserve"> </w:t>
            </w:r>
            <w:r w:rsidRPr="00C63F21">
              <w:rPr>
                <w:sz w:val="20"/>
              </w:rPr>
              <w:tab/>
              <w:t>4,628,184</w:t>
            </w:r>
          </w:p>
        </w:tc>
      </w:tr>
      <w:tr w:rsidR="00C63F21" w14:paraId="7D4BAF71" w14:textId="77777777" w:rsidTr="1F802AF8">
        <w:tc>
          <w:tcPr>
            <w:tcW w:w="9628" w:type="dxa"/>
            <w:gridSpan w:val="2"/>
          </w:tcPr>
          <w:p w14:paraId="4E9FF9CB" w14:textId="77777777" w:rsidR="00C63F21" w:rsidRPr="00EF238F" w:rsidRDefault="00C63F21" w:rsidP="00447D91">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6A3ED256" w14:textId="62C0443D" w:rsidR="00C63F21" w:rsidRPr="00ED20E7" w:rsidRDefault="00C63F21"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FF0000"/>
                <w:sz w:val="18"/>
                <w:szCs w:val="18"/>
              </w:rPr>
              <w:t xml:space="preserve">Average temperatures </w:t>
            </w:r>
            <w:r w:rsidRPr="00ED20E7">
              <w:rPr>
                <w:rFonts w:asciiTheme="minorHAnsi" w:hAnsiTheme="minorHAnsi" w:cstheme="minorHAnsi"/>
                <w:color w:val="313E37"/>
                <w:sz w:val="18"/>
                <w:szCs w:val="18"/>
              </w:rPr>
              <w:t>will continue to increase in all seasons (</w:t>
            </w:r>
            <w:r w:rsidRPr="00ED20E7">
              <w:rPr>
                <w:rFonts w:asciiTheme="minorHAnsi" w:hAnsiTheme="minorHAnsi" w:cstheme="minorHAnsi"/>
                <w:i/>
                <w:iCs/>
                <w:color w:val="313E37"/>
                <w:sz w:val="18"/>
                <w:szCs w:val="18"/>
              </w:rPr>
              <w:t>very high confidence</w:t>
            </w:r>
            <w:r w:rsidRPr="00ED20E7">
              <w:rPr>
                <w:rFonts w:asciiTheme="minorHAnsi" w:hAnsiTheme="minorHAnsi" w:cstheme="minorHAnsi"/>
                <w:color w:val="313E37"/>
                <w:sz w:val="18"/>
                <w:szCs w:val="18"/>
              </w:rPr>
              <w:t>).</w:t>
            </w:r>
            <w:r w:rsidR="00F0162B" w:rsidRPr="00ED20E7">
              <w:rPr>
                <w:rFonts w:asciiTheme="minorHAnsi" w:hAnsiTheme="minorHAnsi" w:cstheme="minorHAnsi"/>
                <w:color w:val="313E37"/>
                <w:sz w:val="18"/>
                <w:szCs w:val="18"/>
              </w:rPr>
              <w:t xml:space="preserve"> For the near future (2030), the annually averaged warming across all emission scenarios is projected to be around 0.3 to 1.1 °C above the climate of 1986–2005. By late in the century (2090), for a high emission scenario (RCP8.5) the projected range of warming is 2.3 to 3.9 °C. Under an intermediate scenario (RCP4.5) the projected warming is 1.0 to 2.0 °C.</w:t>
            </w:r>
          </w:p>
          <w:p w14:paraId="0718152C" w14:textId="4D5E14BF" w:rsidR="00C63F21" w:rsidRPr="00ED20E7" w:rsidRDefault="00C63F21"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313E37"/>
                <w:sz w:val="18"/>
                <w:szCs w:val="18"/>
              </w:rPr>
              <w:t xml:space="preserve">More hot days and warm spells </w:t>
            </w:r>
            <w:r w:rsidR="00F0162B" w:rsidRPr="00ED20E7">
              <w:rPr>
                <w:rFonts w:asciiTheme="minorHAnsi" w:hAnsiTheme="minorHAnsi" w:cstheme="minorHAnsi"/>
                <w:color w:val="313E37"/>
                <w:sz w:val="18"/>
                <w:szCs w:val="18"/>
              </w:rPr>
              <w:t xml:space="preserve">and </w:t>
            </w:r>
            <w:r w:rsidR="00F0162B" w:rsidRPr="00ED20E7">
              <w:rPr>
                <w:rFonts w:asciiTheme="minorHAnsi" w:hAnsiTheme="minorHAnsi" w:cstheme="minorHAnsi"/>
                <w:color w:val="FF0000"/>
                <w:sz w:val="18"/>
                <w:szCs w:val="18"/>
              </w:rPr>
              <w:t>extreme temperatures</w:t>
            </w:r>
            <w:r w:rsidR="00F0162B" w:rsidRPr="00ED20E7">
              <w:rPr>
                <w:rFonts w:asciiTheme="minorHAnsi" w:hAnsiTheme="minorHAnsi" w:cstheme="minorHAnsi"/>
                <w:color w:val="313E37"/>
                <w:sz w:val="18"/>
                <w:szCs w:val="18"/>
              </w:rPr>
              <w:t xml:space="preserve"> </w:t>
            </w:r>
            <w:r w:rsidRPr="00ED20E7">
              <w:rPr>
                <w:rFonts w:asciiTheme="minorHAnsi" w:hAnsiTheme="minorHAnsi" w:cstheme="minorHAnsi"/>
                <w:color w:val="313E37"/>
                <w:sz w:val="18"/>
                <w:szCs w:val="18"/>
              </w:rPr>
              <w:t>are projected with </w:t>
            </w:r>
            <w:r w:rsidRPr="00ED20E7">
              <w:rPr>
                <w:rFonts w:asciiTheme="minorHAnsi" w:hAnsiTheme="minorHAnsi" w:cstheme="minorHAnsi"/>
                <w:i/>
                <w:iCs/>
                <w:color w:val="313E37"/>
                <w:sz w:val="18"/>
                <w:szCs w:val="18"/>
              </w:rPr>
              <w:t>very high confidence</w:t>
            </w:r>
            <w:r w:rsidRPr="00ED20E7">
              <w:rPr>
                <w:rFonts w:asciiTheme="minorHAnsi" w:hAnsiTheme="minorHAnsi" w:cstheme="minorHAnsi"/>
                <w:color w:val="313E37"/>
                <w:sz w:val="18"/>
                <w:szCs w:val="18"/>
              </w:rPr>
              <w:t>.</w:t>
            </w:r>
          </w:p>
          <w:p w14:paraId="41F0E9FD" w14:textId="0F5DB299" w:rsidR="00C63F21" w:rsidRPr="00ED20E7" w:rsidRDefault="00C63F21"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313E37"/>
                <w:sz w:val="18"/>
                <w:szCs w:val="18"/>
              </w:rPr>
              <w:t xml:space="preserve">Changes to </w:t>
            </w:r>
            <w:r w:rsidRPr="00ED20E7">
              <w:rPr>
                <w:rFonts w:asciiTheme="minorHAnsi" w:hAnsiTheme="minorHAnsi" w:cstheme="minorHAnsi"/>
                <w:color w:val="FF0000"/>
                <w:sz w:val="18"/>
                <w:szCs w:val="18"/>
              </w:rPr>
              <w:t xml:space="preserve">rainfall </w:t>
            </w:r>
            <w:r w:rsidRPr="00ED20E7">
              <w:rPr>
                <w:rFonts w:asciiTheme="minorHAnsi" w:hAnsiTheme="minorHAnsi" w:cstheme="minorHAnsi"/>
                <w:color w:val="313E37"/>
                <w:sz w:val="18"/>
                <w:szCs w:val="18"/>
              </w:rPr>
              <w:t>are possible but unclear.</w:t>
            </w:r>
            <w:r w:rsidR="00F0162B" w:rsidRPr="00ED20E7">
              <w:rPr>
                <w:rFonts w:asciiTheme="minorHAnsi" w:hAnsiTheme="minorHAnsi" w:cstheme="minorHAnsi"/>
                <w:color w:val="313E37"/>
                <w:sz w:val="18"/>
                <w:szCs w:val="18"/>
              </w:rPr>
              <w:t xml:space="preserve"> In the near future (2030) natural variability is projected to predominate over trends due to greenhouse gas emissions. By late in the century, potential summer and autumn rainfall changes are approximately -25 to +20 per cent under a high emission scenario (RCP8.5) and -15 to +10 per cent under an intermediate scenario (RCP4.5).</w:t>
            </w:r>
          </w:p>
          <w:p w14:paraId="59716264" w14:textId="77777777" w:rsidR="002B320D" w:rsidRDefault="00C63F21"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313E37"/>
                <w:sz w:val="18"/>
                <w:szCs w:val="18"/>
              </w:rPr>
              <w:t xml:space="preserve">Increased intensity of </w:t>
            </w:r>
            <w:r w:rsidRPr="00ED20E7">
              <w:rPr>
                <w:rFonts w:asciiTheme="minorHAnsi" w:hAnsiTheme="minorHAnsi" w:cstheme="minorHAnsi"/>
                <w:color w:val="FF0000"/>
                <w:sz w:val="18"/>
                <w:szCs w:val="18"/>
              </w:rPr>
              <w:t xml:space="preserve">extreme rainfall </w:t>
            </w:r>
            <w:r w:rsidRPr="00ED20E7">
              <w:rPr>
                <w:rFonts w:asciiTheme="minorHAnsi" w:hAnsiTheme="minorHAnsi" w:cstheme="minorHAnsi"/>
                <w:color w:val="313E37"/>
                <w:sz w:val="18"/>
                <w:szCs w:val="18"/>
              </w:rPr>
              <w:t>events is projected, with </w:t>
            </w:r>
            <w:r w:rsidRPr="00ED20E7">
              <w:rPr>
                <w:rFonts w:asciiTheme="minorHAnsi" w:hAnsiTheme="minorHAnsi" w:cstheme="minorHAnsi"/>
                <w:i/>
                <w:iCs/>
                <w:color w:val="313E37"/>
                <w:sz w:val="18"/>
                <w:szCs w:val="18"/>
              </w:rPr>
              <w:t>high confidence</w:t>
            </w:r>
            <w:r w:rsidRPr="00ED20E7">
              <w:rPr>
                <w:rFonts w:asciiTheme="minorHAnsi" w:hAnsiTheme="minorHAnsi" w:cstheme="minorHAnsi"/>
                <w:color w:val="313E37"/>
                <w:sz w:val="18"/>
                <w:szCs w:val="18"/>
              </w:rPr>
              <w:t>.</w:t>
            </w:r>
            <w:r w:rsidR="00F0162B" w:rsidRPr="00ED20E7">
              <w:rPr>
                <w:rFonts w:asciiTheme="minorHAnsi" w:hAnsiTheme="minorHAnsi" w:cstheme="minorHAnsi"/>
                <w:color w:val="313E37"/>
                <w:sz w:val="18"/>
                <w:szCs w:val="18"/>
              </w:rPr>
              <w:t xml:space="preserve"> However, the magnitude of the increases cannot be confidently projected. </w:t>
            </w:r>
          </w:p>
          <w:p w14:paraId="524D60CE" w14:textId="5E00A2C6" w:rsidR="00C63F21" w:rsidRPr="00ED20E7" w:rsidRDefault="00F0162B"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FF0000"/>
                <w:sz w:val="18"/>
                <w:szCs w:val="18"/>
              </w:rPr>
              <w:t xml:space="preserve">Drought </w:t>
            </w:r>
            <w:r w:rsidRPr="00ED20E7">
              <w:rPr>
                <w:rFonts w:asciiTheme="minorHAnsi" w:hAnsiTheme="minorHAnsi" w:cstheme="minorHAnsi"/>
                <w:color w:val="313E37"/>
                <w:sz w:val="18"/>
                <w:szCs w:val="18"/>
              </w:rPr>
              <w:t>will continue to be a feature of the regional climate variability, but projected changes are uncertain.</w:t>
            </w:r>
          </w:p>
          <w:p w14:paraId="7D87AD20" w14:textId="77777777" w:rsidR="00C63F21" w:rsidRPr="00ED20E7" w:rsidRDefault="00C63F21"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313E37"/>
                <w:sz w:val="18"/>
                <w:szCs w:val="18"/>
              </w:rPr>
              <w:t xml:space="preserve">Mean </w:t>
            </w:r>
            <w:r w:rsidRPr="00ED20E7">
              <w:rPr>
                <w:rFonts w:asciiTheme="minorHAnsi" w:hAnsiTheme="minorHAnsi" w:cstheme="minorHAnsi"/>
                <w:color w:val="FF0000"/>
                <w:sz w:val="18"/>
                <w:szCs w:val="18"/>
              </w:rPr>
              <w:t xml:space="preserve">sea level </w:t>
            </w:r>
            <w:r w:rsidRPr="00ED20E7">
              <w:rPr>
                <w:rFonts w:asciiTheme="minorHAnsi" w:hAnsiTheme="minorHAnsi" w:cstheme="minorHAnsi"/>
                <w:color w:val="313E37"/>
                <w:sz w:val="18"/>
                <w:szCs w:val="18"/>
              </w:rPr>
              <w:t>will continue to rise and height of extreme sea-level events will also increase (</w:t>
            </w:r>
            <w:r w:rsidRPr="00ED20E7">
              <w:rPr>
                <w:rFonts w:asciiTheme="minorHAnsi" w:hAnsiTheme="minorHAnsi" w:cstheme="minorHAnsi"/>
                <w:i/>
                <w:iCs/>
                <w:color w:val="313E37"/>
                <w:sz w:val="18"/>
                <w:szCs w:val="18"/>
              </w:rPr>
              <w:t>very high confidence</w:t>
            </w:r>
            <w:r w:rsidRPr="00ED20E7">
              <w:rPr>
                <w:rFonts w:asciiTheme="minorHAnsi" w:hAnsiTheme="minorHAnsi" w:cstheme="minorHAnsi"/>
                <w:color w:val="313E37"/>
                <w:sz w:val="18"/>
                <w:szCs w:val="18"/>
              </w:rPr>
              <w:t>).</w:t>
            </w:r>
          </w:p>
          <w:p w14:paraId="5909B336" w14:textId="77777777" w:rsidR="00C63F21" w:rsidRPr="00ED20E7" w:rsidRDefault="00C63F21"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FF0000"/>
                <w:sz w:val="18"/>
                <w:szCs w:val="18"/>
              </w:rPr>
              <w:t xml:space="preserve">Tropical cyclones </w:t>
            </w:r>
            <w:r w:rsidRPr="00ED20E7">
              <w:rPr>
                <w:rFonts w:asciiTheme="minorHAnsi" w:hAnsiTheme="minorHAnsi" w:cstheme="minorHAnsi"/>
                <w:color w:val="313E37"/>
                <w:sz w:val="18"/>
                <w:szCs w:val="18"/>
              </w:rPr>
              <w:t>are projected to become less frequent, but the proportion of the most intense storms is projected to increase (</w:t>
            </w:r>
            <w:r w:rsidRPr="00ED20E7">
              <w:rPr>
                <w:rFonts w:asciiTheme="minorHAnsi" w:hAnsiTheme="minorHAnsi" w:cstheme="minorHAnsi"/>
                <w:i/>
                <w:iCs/>
                <w:color w:val="313E37"/>
                <w:sz w:val="18"/>
                <w:szCs w:val="18"/>
              </w:rPr>
              <w:t>medium confidence</w:t>
            </w:r>
            <w:r w:rsidRPr="00ED20E7">
              <w:rPr>
                <w:rFonts w:asciiTheme="minorHAnsi" w:hAnsiTheme="minorHAnsi" w:cstheme="minorHAnsi"/>
                <w:color w:val="313E37"/>
                <w:sz w:val="18"/>
                <w:szCs w:val="18"/>
              </w:rPr>
              <w:t>).</w:t>
            </w:r>
          </w:p>
          <w:p w14:paraId="3015C635" w14:textId="57BA7597" w:rsidR="00C63F21" w:rsidRPr="00ED20E7" w:rsidRDefault="00C63F21"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FF0000"/>
                <w:sz w:val="18"/>
                <w:szCs w:val="18"/>
              </w:rPr>
              <w:t xml:space="preserve">Potential evapotranspiration </w:t>
            </w:r>
            <w:r w:rsidRPr="00ED20E7">
              <w:rPr>
                <w:rFonts w:asciiTheme="minorHAnsi" w:hAnsiTheme="minorHAnsi" w:cstheme="minorHAnsi"/>
                <w:color w:val="313E37"/>
                <w:sz w:val="18"/>
                <w:szCs w:val="18"/>
              </w:rPr>
              <w:t>is projected to increase in all seasons as warming progresses (</w:t>
            </w:r>
            <w:r w:rsidRPr="00ED20E7">
              <w:rPr>
                <w:rFonts w:asciiTheme="minorHAnsi" w:hAnsiTheme="minorHAnsi" w:cstheme="minorHAnsi"/>
                <w:i/>
                <w:iCs/>
                <w:color w:val="313E37"/>
                <w:sz w:val="18"/>
                <w:szCs w:val="18"/>
              </w:rPr>
              <w:t>high confidence</w:t>
            </w:r>
            <w:r w:rsidRPr="00ED20E7">
              <w:rPr>
                <w:rFonts w:asciiTheme="minorHAnsi" w:hAnsiTheme="minorHAnsi" w:cstheme="minorHAnsi"/>
                <w:color w:val="313E37"/>
                <w:sz w:val="18"/>
                <w:szCs w:val="18"/>
              </w:rPr>
              <w:t>)</w:t>
            </w:r>
            <w:r w:rsidR="00ED20E7">
              <w:rPr>
                <w:rFonts w:asciiTheme="minorHAnsi" w:hAnsiTheme="minorHAnsi" w:cstheme="minorHAnsi"/>
                <w:color w:val="313E37"/>
                <w:sz w:val="18"/>
                <w:szCs w:val="18"/>
              </w:rPr>
              <w:t xml:space="preserve">, </w:t>
            </w:r>
            <w:r w:rsidR="00ED20E7" w:rsidRPr="00ED20E7">
              <w:rPr>
                <w:rFonts w:asciiTheme="minorHAnsi" w:hAnsiTheme="minorHAnsi" w:cstheme="minorHAnsi"/>
                <w:color w:val="313E37"/>
                <w:sz w:val="18"/>
                <w:szCs w:val="18"/>
              </w:rPr>
              <w:t>with projected seasonal changes generally less than 5 % in 2030 and generally less than 10 % for RCP4.5 and up to 20 % for RCP8.5 in 2090</w:t>
            </w:r>
            <w:r w:rsidR="00ED20E7">
              <w:rPr>
                <w:rFonts w:asciiTheme="minorHAnsi" w:hAnsiTheme="minorHAnsi" w:cstheme="minorHAnsi"/>
                <w:color w:val="313E37"/>
                <w:sz w:val="18"/>
                <w:szCs w:val="18"/>
              </w:rPr>
              <w:t>.</w:t>
            </w:r>
            <w:r w:rsidR="00ED20E7" w:rsidRPr="00ED20E7">
              <w:rPr>
                <w:rFonts w:asciiTheme="minorHAnsi" w:hAnsiTheme="minorHAnsi" w:cstheme="minorHAnsi"/>
                <w:color w:val="313E37"/>
                <w:sz w:val="18"/>
                <w:szCs w:val="18"/>
              </w:rPr>
              <w:t xml:space="preserve"> In absolute terms, changes are largest in summer and autumn, particularly for RCP8.5</w:t>
            </w:r>
          </w:p>
          <w:p w14:paraId="4E61A490" w14:textId="3D0A0C12" w:rsidR="00C63F21" w:rsidRDefault="00ED20E7" w:rsidP="009250B8">
            <w:pPr>
              <w:numPr>
                <w:ilvl w:val="0"/>
                <w:numId w:val="17"/>
              </w:numPr>
              <w:ind w:left="334" w:right="136"/>
              <w:rPr>
                <w:rFonts w:asciiTheme="minorHAnsi" w:hAnsiTheme="minorHAnsi" w:cstheme="minorHAnsi"/>
                <w:color w:val="313E37"/>
                <w:sz w:val="18"/>
                <w:szCs w:val="18"/>
              </w:rPr>
            </w:pPr>
            <w:r>
              <w:rPr>
                <w:rFonts w:asciiTheme="minorHAnsi" w:hAnsiTheme="minorHAnsi" w:cstheme="minorHAnsi"/>
                <w:color w:val="313E37"/>
                <w:sz w:val="18"/>
                <w:szCs w:val="18"/>
              </w:rPr>
              <w:t>T</w:t>
            </w:r>
            <w:r w:rsidRPr="00ED20E7">
              <w:rPr>
                <w:rFonts w:asciiTheme="minorHAnsi" w:hAnsiTheme="minorHAnsi" w:cstheme="minorHAnsi"/>
                <w:color w:val="313E37"/>
                <w:sz w:val="18"/>
                <w:szCs w:val="18"/>
              </w:rPr>
              <w:t xml:space="preserve">here is </w:t>
            </w:r>
            <w:r w:rsidRPr="00ED20E7">
              <w:rPr>
                <w:rFonts w:asciiTheme="minorHAnsi" w:hAnsiTheme="minorHAnsi" w:cstheme="minorHAnsi"/>
                <w:i/>
                <w:iCs/>
                <w:color w:val="313E37"/>
                <w:sz w:val="18"/>
                <w:szCs w:val="18"/>
              </w:rPr>
              <w:t>high confidence</w:t>
            </w:r>
            <w:r w:rsidRPr="00ED20E7">
              <w:rPr>
                <w:rFonts w:asciiTheme="minorHAnsi" w:hAnsiTheme="minorHAnsi" w:cstheme="minorHAnsi"/>
                <w:color w:val="313E37"/>
                <w:sz w:val="18"/>
                <w:szCs w:val="18"/>
              </w:rPr>
              <w:t xml:space="preserve"> on little change in </w:t>
            </w:r>
            <w:r w:rsidRPr="00ED20E7">
              <w:rPr>
                <w:rFonts w:asciiTheme="minorHAnsi" w:hAnsiTheme="minorHAnsi" w:cstheme="minorHAnsi"/>
                <w:color w:val="FF0000"/>
                <w:sz w:val="18"/>
                <w:szCs w:val="18"/>
              </w:rPr>
              <w:t>relative humidity</w:t>
            </w:r>
            <w:r w:rsidRPr="00ED20E7">
              <w:rPr>
                <w:rFonts w:asciiTheme="minorHAnsi" w:hAnsiTheme="minorHAnsi" w:cstheme="minorHAnsi"/>
                <w:color w:val="313E37"/>
                <w:sz w:val="18"/>
                <w:szCs w:val="18"/>
              </w:rPr>
              <w:t xml:space="preserve"> for the near future (2030). By 2090 under RCP8.5, there is </w:t>
            </w:r>
            <w:r w:rsidRPr="00ED20E7">
              <w:rPr>
                <w:rFonts w:asciiTheme="minorHAnsi" w:hAnsiTheme="minorHAnsi" w:cstheme="minorHAnsi"/>
                <w:i/>
                <w:iCs/>
                <w:color w:val="313E37"/>
                <w:sz w:val="18"/>
                <w:szCs w:val="18"/>
              </w:rPr>
              <w:t>low confidence</w:t>
            </w:r>
            <w:r w:rsidRPr="00ED20E7">
              <w:rPr>
                <w:rFonts w:asciiTheme="minorHAnsi" w:hAnsiTheme="minorHAnsi" w:cstheme="minorHAnsi"/>
                <w:color w:val="313E37"/>
                <w:sz w:val="18"/>
                <w:szCs w:val="18"/>
              </w:rPr>
              <w:t xml:space="preserve"> on increased relative humidity in spring and decreases in summer and autumn</w:t>
            </w:r>
            <w:r>
              <w:rPr>
                <w:rFonts w:asciiTheme="minorHAnsi" w:hAnsiTheme="minorHAnsi" w:cstheme="minorHAnsi"/>
                <w:color w:val="313E37"/>
                <w:sz w:val="18"/>
                <w:szCs w:val="18"/>
              </w:rPr>
              <w:t>.</w:t>
            </w:r>
          </w:p>
          <w:p w14:paraId="457DE65B" w14:textId="3C1F63A9" w:rsidR="00ED20E7" w:rsidRDefault="00ED20E7"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313E37"/>
                <w:sz w:val="18"/>
                <w:szCs w:val="18"/>
              </w:rPr>
              <w:t xml:space="preserve">Decreases in </w:t>
            </w:r>
            <w:r w:rsidRPr="00ED20E7">
              <w:rPr>
                <w:rFonts w:asciiTheme="minorHAnsi" w:hAnsiTheme="minorHAnsi" w:cstheme="minorHAnsi"/>
                <w:color w:val="FF0000"/>
                <w:sz w:val="18"/>
                <w:szCs w:val="18"/>
              </w:rPr>
              <w:t xml:space="preserve">soil moisture </w:t>
            </w:r>
            <w:r w:rsidRPr="00ED20E7">
              <w:rPr>
                <w:rFonts w:asciiTheme="minorHAnsi" w:hAnsiTheme="minorHAnsi" w:cstheme="minorHAnsi"/>
                <w:color w:val="313E37"/>
                <w:sz w:val="18"/>
                <w:szCs w:val="18"/>
              </w:rPr>
              <w:t xml:space="preserve">are projected, particularly in winter and spring. The projected annual changes for RCP8.5 late in the century (2090) range from around −20 to +5 % with </w:t>
            </w:r>
            <w:r w:rsidRPr="00ED20E7">
              <w:rPr>
                <w:rFonts w:asciiTheme="minorHAnsi" w:hAnsiTheme="minorHAnsi" w:cstheme="minorHAnsi"/>
                <w:i/>
                <w:iCs/>
                <w:color w:val="313E37"/>
                <w:sz w:val="18"/>
                <w:szCs w:val="18"/>
              </w:rPr>
              <w:t>medium model agreement</w:t>
            </w:r>
            <w:r w:rsidRPr="00ED20E7">
              <w:rPr>
                <w:rFonts w:asciiTheme="minorHAnsi" w:hAnsiTheme="minorHAnsi" w:cstheme="minorHAnsi"/>
                <w:color w:val="313E37"/>
                <w:sz w:val="18"/>
                <w:szCs w:val="18"/>
              </w:rPr>
              <w:t xml:space="preserve"> on decreases, except spring where there is </w:t>
            </w:r>
            <w:r w:rsidRPr="00ED20E7">
              <w:rPr>
                <w:rFonts w:asciiTheme="minorHAnsi" w:hAnsiTheme="minorHAnsi" w:cstheme="minorHAnsi"/>
                <w:i/>
                <w:iCs/>
                <w:color w:val="313E37"/>
                <w:sz w:val="18"/>
                <w:szCs w:val="18"/>
              </w:rPr>
              <w:t>medium agreement</w:t>
            </w:r>
            <w:r w:rsidRPr="00ED20E7">
              <w:rPr>
                <w:rFonts w:asciiTheme="minorHAnsi" w:hAnsiTheme="minorHAnsi" w:cstheme="minorHAnsi"/>
                <w:color w:val="313E37"/>
                <w:sz w:val="18"/>
                <w:szCs w:val="18"/>
              </w:rPr>
              <w:t xml:space="preserve"> on little change. The percentage changes in soil moisture are strongly influenced by those in rainfall, but tend to be more negative due to the strong increase in potential evapotranspiration. Given the potential limitations of this method, there is only </w:t>
            </w:r>
            <w:r w:rsidRPr="00ED20E7">
              <w:rPr>
                <w:rFonts w:asciiTheme="minorHAnsi" w:hAnsiTheme="minorHAnsi" w:cstheme="minorHAnsi"/>
                <w:i/>
                <w:iCs/>
                <w:color w:val="313E37"/>
                <w:sz w:val="18"/>
                <w:szCs w:val="18"/>
              </w:rPr>
              <w:t>medium confidence</w:t>
            </w:r>
            <w:r w:rsidRPr="00ED20E7">
              <w:rPr>
                <w:rFonts w:asciiTheme="minorHAnsi" w:hAnsiTheme="minorHAnsi" w:cstheme="minorHAnsi"/>
                <w:color w:val="313E37"/>
                <w:sz w:val="18"/>
                <w:szCs w:val="18"/>
              </w:rPr>
              <w:t xml:space="preserve"> that soil moisture will decline</w:t>
            </w:r>
            <w:r>
              <w:rPr>
                <w:rFonts w:asciiTheme="minorHAnsi" w:hAnsiTheme="minorHAnsi" w:cstheme="minorHAnsi"/>
                <w:color w:val="313E37"/>
                <w:sz w:val="18"/>
                <w:szCs w:val="18"/>
              </w:rPr>
              <w:t>.</w:t>
            </w:r>
          </w:p>
          <w:p w14:paraId="1B3F1DB8" w14:textId="690A48BF" w:rsidR="00ED20E7" w:rsidRPr="00ED20E7" w:rsidRDefault="00ED20E7"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FF0000"/>
                <w:sz w:val="18"/>
                <w:szCs w:val="18"/>
              </w:rPr>
              <w:t xml:space="preserve">Runoff </w:t>
            </w:r>
            <w:r w:rsidRPr="00ED20E7">
              <w:rPr>
                <w:rFonts w:asciiTheme="minorHAnsi" w:hAnsiTheme="minorHAnsi" w:cstheme="minorHAnsi"/>
                <w:color w:val="313E37"/>
                <w:sz w:val="18"/>
                <w:szCs w:val="18"/>
              </w:rPr>
              <w:t xml:space="preserve">could increase or decrease following RCP4.5 and RCP8.5 for 2090 relative to 1986–2005, though the majority of models suggest decreases, as indicated by the negative median change. There is </w:t>
            </w:r>
            <w:r w:rsidRPr="00ED20E7">
              <w:rPr>
                <w:rFonts w:asciiTheme="minorHAnsi" w:hAnsiTheme="minorHAnsi" w:cstheme="minorHAnsi"/>
                <w:i/>
                <w:iCs/>
                <w:color w:val="313E37"/>
                <w:sz w:val="18"/>
                <w:szCs w:val="18"/>
              </w:rPr>
              <w:t>low confidence</w:t>
            </w:r>
            <w:r w:rsidRPr="00ED20E7">
              <w:rPr>
                <w:rFonts w:asciiTheme="minorHAnsi" w:hAnsiTheme="minorHAnsi" w:cstheme="minorHAnsi"/>
                <w:color w:val="313E37"/>
                <w:sz w:val="18"/>
                <w:szCs w:val="18"/>
              </w:rPr>
              <w:t xml:space="preserve"> in these projections</w:t>
            </w:r>
          </w:p>
          <w:p w14:paraId="12F302D4" w14:textId="388A893F" w:rsidR="00C63F21" w:rsidRPr="00ED20E7" w:rsidRDefault="00C63F21" w:rsidP="009250B8">
            <w:pPr>
              <w:numPr>
                <w:ilvl w:val="0"/>
                <w:numId w:val="17"/>
              </w:numPr>
              <w:ind w:left="334" w:right="136"/>
              <w:rPr>
                <w:rFonts w:asciiTheme="minorHAnsi" w:hAnsiTheme="minorHAnsi" w:cstheme="minorHAnsi"/>
                <w:color w:val="313E37"/>
                <w:sz w:val="18"/>
                <w:szCs w:val="18"/>
              </w:rPr>
            </w:pPr>
            <w:r w:rsidRPr="00ED20E7">
              <w:rPr>
                <w:rFonts w:asciiTheme="minorHAnsi" w:hAnsiTheme="minorHAnsi" w:cstheme="minorHAnsi"/>
                <w:color w:val="313E37"/>
                <w:sz w:val="18"/>
                <w:szCs w:val="18"/>
              </w:rPr>
              <w:t xml:space="preserve">In the Wet Tropics where abundant rainfall (wet season) and bushfires (dry season) are common, the projected changes in rainfall are not expected to significantly change the current seasonal cycle. There is high confidence in projections of little change to </w:t>
            </w:r>
            <w:r w:rsidRPr="00ED20E7">
              <w:rPr>
                <w:rFonts w:asciiTheme="minorHAnsi" w:hAnsiTheme="minorHAnsi" w:cstheme="minorHAnsi"/>
                <w:color w:val="FF0000"/>
                <w:sz w:val="18"/>
                <w:szCs w:val="18"/>
              </w:rPr>
              <w:t xml:space="preserve">fire </w:t>
            </w:r>
            <w:r w:rsidRPr="00ED20E7">
              <w:rPr>
                <w:rFonts w:asciiTheme="minorHAnsi" w:hAnsiTheme="minorHAnsi" w:cstheme="minorHAnsi"/>
                <w:color w:val="313E37"/>
                <w:sz w:val="18"/>
                <w:szCs w:val="18"/>
              </w:rPr>
              <w:t>frequency. When and where fire does occur, there is high confidence that fire behaviour will be more extreme.</w:t>
            </w:r>
          </w:p>
          <w:p w14:paraId="5DCAC182" w14:textId="77777777" w:rsidR="00C63F21" w:rsidRDefault="00C63F21" w:rsidP="00447D91">
            <w:pPr>
              <w:ind w:right="136"/>
              <w:rPr>
                <w:rFonts w:asciiTheme="minorHAnsi" w:hAnsiTheme="minorHAnsi" w:cstheme="minorHAnsi"/>
                <w:color w:val="313E37"/>
                <w:sz w:val="20"/>
                <w:szCs w:val="20"/>
              </w:rPr>
            </w:pPr>
          </w:p>
          <w:p w14:paraId="466E9030" w14:textId="77777777" w:rsidR="00C63F21" w:rsidRDefault="00C63F21" w:rsidP="00447D91">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1A9E53DC" w14:textId="1442DA90" w:rsidR="00C63F21" w:rsidRDefault="00C63F21" w:rsidP="00447D91">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Pr>
                <w:noProof/>
              </w:rPr>
              <w:drawing>
                <wp:inline distT="0" distB="0" distL="0" distR="0" wp14:anchorId="6D0A9C78" wp14:editId="579F8400">
                  <wp:extent cx="2598736" cy="1705707"/>
                  <wp:effectExtent l="0" t="0" r="0" b="8890"/>
                  <wp:docPr id="209736687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79">
                            <a:extLst>
                              <a:ext uri="{28A0092B-C50C-407E-A947-70E740481C1C}">
                                <a14:useLocalDpi xmlns:a14="http://schemas.microsoft.com/office/drawing/2010/main" val="0"/>
                              </a:ext>
                            </a:extLst>
                          </a:blip>
                          <a:stretch>
                            <a:fillRect/>
                          </a:stretch>
                        </pic:blipFill>
                        <pic:spPr>
                          <a:xfrm>
                            <a:off x="0" y="0"/>
                            <a:ext cx="2598736" cy="1705707"/>
                          </a:xfrm>
                          <a:prstGeom prst="rect">
                            <a:avLst/>
                          </a:prstGeom>
                        </pic:spPr>
                      </pic:pic>
                    </a:graphicData>
                  </a:graphic>
                </wp:inline>
              </w:drawing>
            </w:r>
            <w:r w:rsidRPr="1F802AF8">
              <w:rPr>
                <w:rFonts w:asciiTheme="minorHAnsi" w:hAnsiTheme="minorHAnsi" w:cstheme="minorBidi"/>
                <w:color w:val="313E37"/>
                <w:sz w:val="20"/>
                <w:szCs w:val="20"/>
              </w:rPr>
              <w:t xml:space="preserve">    </w:t>
            </w:r>
            <w:r>
              <w:rPr>
                <w:noProof/>
              </w:rPr>
              <w:drawing>
                <wp:inline distT="0" distB="0" distL="0" distR="0" wp14:anchorId="63C779A3" wp14:editId="1D97E585">
                  <wp:extent cx="2558561" cy="1679338"/>
                  <wp:effectExtent l="0" t="0" r="0" b="0"/>
                  <wp:docPr id="112406935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280">
                            <a:extLst>
                              <a:ext uri="{28A0092B-C50C-407E-A947-70E740481C1C}">
                                <a14:useLocalDpi xmlns:a14="http://schemas.microsoft.com/office/drawing/2010/main" val="0"/>
                              </a:ext>
                            </a:extLst>
                          </a:blip>
                          <a:stretch>
                            <a:fillRect/>
                          </a:stretch>
                        </pic:blipFill>
                        <pic:spPr>
                          <a:xfrm>
                            <a:off x="0" y="0"/>
                            <a:ext cx="2558561" cy="1679338"/>
                          </a:xfrm>
                          <a:prstGeom prst="rect">
                            <a:avLst/>
                          </a:prstGeom>
                        </pic:spPr>
                      </pic:pic>
                    </a:graphicData>
                  </a:graphic>
                </wp:inline>
              </w:drawing>
            </w:r>
          </w:p>
          <w:p w14:paraId="4703F145" w14:textId="77777777" w:rsidR="00C63F21" w:rsidRPr="00EF238F" w:rsidRDefault="00C63F21" w:rsidP="00447D91">
            <w:pPr>
              <w:ind w:right="136"/>
              <w:rPr>
                <w:rFonts w:asciiTheme="minorHAnsi" w:hAnsiTheme="minorHAnsi" w:cstheme="minorHAnsi"/>
                <w:color w:val="313E37"/>
                <w:sz w:val="20"/>
                <w:szCs w:val="20"/>
              </w:rPr>
            </w:pPr>
          </w:p>
        </w:tc>
      </w:tr>
    </w:tbl>
    <w:p w14:paraId="4B94C293" w14:textId="77777777" w:rsidR="00D977F3" w:rsidRPr="0054376E" w:rsidRDefault="00D977F3" w:rsidP="00852CC1">
      <w:pPr>
        <w:pStyle w:val="BodyText"/>
        <w:rPr>
          <w:sz w:val="8"/>
          <w:szCs w:val="8"/>
        </w:rPr>
      </w:pPr>
    </w:p>
    <w:p w14:paraId="1E262FB1" w14:textId="40CDED03" w:rsidR="00210CF6" w:rsidRDefault="00210CF6" w:rsidP="00852CC1">
      <w:pPr>
        <w:pStyle w:val="BodyText"/>
      </w:pPr>
    </w:p>
    <w:p w14:paraId="370A58BE" w14:textId="3466FE56" w:rsidR="00C63F21" w:rsidRDefault="00C63F21" w:rsidP="00852CC1">
      <w:pPr>
        <w:pStyle w:val="BodyText"/>
      </w:pPr>
    </w:p>
    <w:tbl>
      <w:tblPr>
        <w:tblStyle w:val="TableGrid"/>
        <w:tblW w:w="0" w:type="auto"/>
        <w:tblLook w:val="04A0" w:firstRow="1" w:lastRow="0" w:firstColumn="1" w:lastColumn="0" w:noHBand="0" w:noVBand="1"/>
      </w:tblPr>
      <w:tblGrid>
        <w:gridCol w:w="2263"/>
        <w:gridCol w:w="7365"/>
      </w:tblGrid>
      <w:tr w:rsidR="00447D91" w14:paraId="7A70D6DA" w14:textId="77777777" w:rsidTr="1F802AF8">
        <w:trPr>
          <w:trHeight w:val="329"/>
        </w:trPr>
        <w:tc>
          <w:tcPr>
            <w:tcW w:w="9628" w:type="dxa"/>
            <w:gridSpan w:val="2"/>
          </w:tcPr>
          <w:p w14:paraId="3D54D4B4" w14:textId="67EAF7A3" w:rsidR="00447D91" w:rsidRPr="00EF238F" w:rsidRDefault="00447D91" w:rsidP="00447D91">
            <w:pPr>
              <w:pStyle w:val="BodyText"/>
              <w:rPr>
                <w:b/>
                <w:bCs/>
                <w:sz w:val="20"/>
              </w:rPr>
            </w:pPr>
            <w:r>
              <w:rPr>
                <w:b/>
                <w:bCs/>
                <w:sz w:val="20"/>
              </w:rPr>
              <w:lastRenderedPageBreak/>
              <w:t>East Coast North</w:t>
            </w:r>
          </w:p>
        </w:tc>
      </w:tr>
      <w:tr w:rsidR="00447D91" w14:paraId="449AF37A" w14:textId="77777777" w:rsidTr="1F802AF8">
        <w:trPr>
          <w:trHeight w:val="1815"/>
        </w:trPr>
        <w:tc>
          <w:tcPr>
            <w:tcW w:w="2263" w:type="dxa"/>
          </w:tcPr>
          <w:p w14:paraId="55EF64C0" w14:textId="37C1186E" w:rsidR="00447D91" w:rsidRDefault="00447D91" w:rsidP="00447D91">
            <w:pPr>
              <w:pStyle w:val="BodyText"/>
            </w:pPr>
            <w:r>
              <w:rPr>
                <w:noProof/>
              </w:rPr>
              <w:drawing>
                <wp:inline distT="0" distB="0" distL="0" distR="0" wp14:anchorId="05D30869" wp14:editId="674CD9E9">
                  <wp:extent cx="1178169" cy="977692"/>
                  <wp:effectExtent l="0" t="0" r="3175" b="0"/>
                  <wp:docPr id="29818014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281">
                            <a:extLst>
                              <a:ext uri="{28A0092B-C50C-407E-A947-70E740481C1C}">
                                <a14:useLocalDpi xmlns:a14="http://schemas.microsoft.com/office/drawing/2010/main" val="0"/>
                              </a:ext>
                            </a:extLst>
                          </a:blip>
                          <a:stretch>
                            <a:fillRect/>
                          </a:stretch>
                        </pic:blipFill>
                        <pic:spPr>
                          <a:xfrm>
                            <a:off x="0" y="0"/>
                            <a:ext cx="1178169" cy="977692"/>
                          </a:xfrm>
                          <a:prstGeom prst="rect">
                            <a:avLst/>
                          </a:prstGeom>
                        </pic:spPr>
                      </pic:pic>
                    </a:graphicData>
                  </a:graphic>
                </wp:inline>
              </w:drawing>
            </w:r>
          </w:p>
        </w:tc>
        <w:tc>
          <w:tcPr>
            <w:tcW w:w="7365" w:type="dxa"/>
          </w:tcPr>
          <w:p w14:paraId="5BF907D1" w14:textId="77777777" w:rsidR="00447D91" w:rsidRDefault="00447D91" w:rsidP="00447D91">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34EB4409" w14:textId="2B5890DF" w:rsidR="00447D91" w:rsidRPr="00447D91" w:rsidRDefault="00447D91" w:rsidP="00447D91">
            <w:pPr>
              <w:pStyle w:val="BodyText"/>
              <w:spacing w:before="0" w:after="0" w:line="240" w:lineRule="auto"/>
              <w:rPr>
                <w:sz w:val="20"/>
              </w:rPr>
            </w:pPr>
            <w:r w:rsidRPr="00447D91">
              <w:rPr>
                <w:sz w:val="20"/>
              </w:rPr>
              <w:t>Management of agricultural soils</w:t>
            </w:r>
            <w:r w:rsidRPr="00447D91">
              <w:rPr>
                <w:sz w:val="20"/>
              </w:rPr>
              <w:tab/>
            </w:r>
            <w:r>
              <w:rPr>
                <w:sz w:val="20"/>
              </w:rPr>
              <w:tab/>
            </w:r>
            <w:r w:rsidRPr="00447D91">
              <w:rPr>
                <w:sz w:val="20"/>
              </w:rPr>
              <w:t>7</w:t>
            </w:r>
            <w:r>
              <w:rPr>
                <w:sz w:val="20"/>
              </w:rPr>
              <w:tab/>
            </w:r>
            <w:r w:rsidRPr="00447D91">
              <w:rPr>
                <w:sz w:val="20"/>
              </w:rPr>
              <w:tab/>
              <w:t xml:space="preserve"> 39,238 </w:t>
            </w:r>
          </w:p>
          <w:p w14:paraId="409DD9EC" w14:textId="5A84F9B8" w:rsidR="00447D91" w:rsidRPr="00447D91" w:rsidRDefault="00447D91" w:rsidP="00447D91">
            <w:pPr>
              <w:pStyle w:val="BodyText"/>
              <w:spacing w:before="0" w:after="0" w:line="240" w:lineRule="auto"/>
              <w:rPr>
                <w:sz w:val="20"/>
              </w:rPr>
            </w:pPr>
            <w:r w:rsidRPr="00447D91">
              <w:rPr>
                <w:sz w:val="20"/>
              </w:rPr>
              <w:t>Planting of new forests</w:t>
            </w:r>
            <w:r w:rsidRPr="00447D91">
              <w:rPr>
                <w:sz w:val="20"/>
              </w:rPr>
              <w:tab/>
            </w:r>
            <w:r>
              <w:rPr>
                <w:sz w:val="20"/>
              </w:rPr>
              <w:tab/>
            </w:r>
            <w:r>
              <w:rPr>
                <w:sz w:val="20"/>
              </w:rPr>
              <w:tab/>
            </w:r>
            <w:r w:rsidRPr="00447D91">
              <w:rPr>
                <w:sz w:val="20"/>
              </w:rPr>
              <w:t>3</w:t>
            </w:r>
            <w:r w:rsidRPr="00447D91">
              <w:rPr>
                <w:sz w:val="20"/>
              </w:rPr>
              <w:tab/>
            </w:r>
            <w:r>
              <w:rPr>
                <w:sz w:val="20"/>
              </w:rPr>
              <w:tab/>
            </w:r>
            <w:r w:rsidRPr="00447D91">
              <w:rPr>
                <w:sz w:val="20"/>
              </w:rPr>
              <w:t xml:space="preserve"> 8,750 </w:t>
            </w:r>
          </w:p>
          <w:p w14:paraId="02BE059C" w14:textId="097E51AF" w:rsidR="00447D91" w:rsidRPr="00447D91" w:rsidRDefault="00447D91" w:rsidP="00447D91">
            <w:pPr>
              <w:pStyle w:val="BodyText"/>
              <w:spacing w:before="0" w:after="0" w:line="240" w:lineRule="auto"/>
              <w:rPr>
                <w:sz w:val="20"/>
              </w:rPr>
            </w:pPr>
            <w:r w:rsidRPr="00447D91">
              <w:rPr>
                <w:sz w:val="20"/>
              </w:rPr>
              <w:t>Protection of existing forests</w:t>
            </w:r>
            <w:r w:rsidRPr="00447D91">
              <w:rPr>
                <w:sz w:val="20"/>
              </w:rPr>
              <w:tab/>
            </w:r>
            <w:r>
              <w:rPr>
                <w:sz w:val="20"/>
              </w:rPr>
              <w:tab/>
            </w:r>
            <w:r w:rsidRPr="00447D91">
              <w:rPr>
                <w:sz w:val="20"/>
              </w:rPr>
              <w:t>2</w:t>
            </w:r>
            <w:r w:rsidRPr="00447D91">
              <w:rPr>
                <w:sz w:val="20"/>
              </w:rPr>
              <w:tab/>
              <w:t xml:space="preserve"> </w:t>
            </w:r>
            <w:r>
              <w:rPr>
                <w:sz w:val="20"/>
              </w:rPr>
              <w:tab/>
            </w:r>
            <w:r w:rsidRPr="00447D91">
              <w:rPr>
                <w:sz w:val="20"/>
              </w:rPr>
              <w:t xml:space="preserve">11,444 </w:t>
            </w:r>
          </w:p>
          <w:p w14:paraId="74498C5E" w14:textId="4D273530" w:rsidR="00447D91" w:rsidRPr="0054376E" w:rsidRDefault="00FB2D3A" w:rsidP="00447D91">
            <w:pPr>
              <w:pStyle w:val="BodyText"/>
              <w:spacing w:before="0" w:after="0" w:line="240" w:lineRule="auto"/>
              <w:rPr>
                <w:sz w:val="20"/>
              </w:rPr>
            </w:pPr>
            <w:r>
              <w:rPr>
                <w:sz w:val="20"/>
              </w:rPr>
              <w:t>Re-</w:t>
            </w:r>
            <w:r w:rsidR="00187AAD">
              <w:rPr>
                <w:sz w:val="20"/>
              </w:rPr>
              <w:t>establishment</w:t>
            </w:r>
            <w:r w:rsidR="00187AAD" w:rsidRPr="00447D91">
              <w:rPr>
                <w:sz w:val="20"/>
              </w:rPr>
              <w:t xml:space="preserve"> of</w:t>
            </w:r>
            <w:r w:rsidR="00447D91" w:rsidRPr="00447D91">
              <w:rPr>
                <w:sz w:val="20"/>
              </w:rPr>
              <w:t xml:space="preserve"> native forest cover</w:t>
            </w:r>
            <w:r w:rsidR="00447D91" w:rsidRPr="00447D91">
              <w:rPr>
                <w:sz w:val="20"/>
              </w:rPr>
              <w:tab/>
              <w:t>7</w:t>
            </w:r>
            <w:r w:rsidR="00447D91" w:rsidRPr="00447D91">
              <w:rPr>
                <w:sz w:val="20"/>
              </w:rPr>
              <w:tab/>
              <w:t xml:space="preserve"> </w:t>
            </w:r>
            <w:r w:rsidR="00447D91">
              <w:rPr>
                <w:sz w:val="20"/>
              </w:rPr>
              <w:tab/>
            </w:r>
            <w:r w:rsidR="00447D91" w:rsidRPr="00447D91">
              <w:rPr>
                <w:sz w:val="20"/>
              </w:rPr>
              <w:t>22,085</w:t>
            </w:r>
          </w:p>
        </w:tc>
      </w:tr>
      <w:tr w:rsidR="00447D91" w14:paraId="25B18740" w14:textId="77777777" w:rsidTr="1F802AF8">
        <w:tc>
          <w:tcPr>
            <w:tcW w:w="9628" w:type="dxa"/>
            <w:gridSpan w:val="2"/>
          </w:tcPr>
          <w:p w14:paraId="077B5695" w14:textId="77777777" w:rsidR="00447D91" w:rsidRPr="00EF238F" w:rsidRDefault="00447D91" w:rsidP="00447D91">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0A0EDBDD" w14:textId="0D31BAF3" w:rsidR="00447D91" w:rsidRPr="002B320D" w:rsidRDefault="00447D91"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FF0000"/>
                <w:sz w:val="18"/>
                <w:szCs w:val="18"/>
              </w:rPr>
              <w:t xml:space="preserve">Average temperatures </w:t>
            </w:r>
            <w:r w:rsidRPr="002B320D">
              <w:rPr>
                <w:rFonts w:asciiTheme="minorHAnsi" w:hAnsiTheme="minorHAnsi" w:cstheme="minorHAnsi"/>
                <w:color w:val="313E37"/>
                <w:sz w:val="18"/>
                <w:szCs w:val="18"/>
              </w:rPr>
              <w:t>will continue to increase in all seasons (</w:t>
            </w:r>
            <w:r w:rsidRPr="002B320D">
              <w:rPr>
                <w:rFonts w:asciiTheme="minorHAnsi" w:hAnsiTheme="minorHAnsi" w:cstheme="minorHAnsi"/>
                <w:i/>
                <w:iCs/>
                <w:color w:val="313E37"/>
                <w:sz w:val="18"/>
                <w:szCs w:val="18"/>
              </w:rPr>
              <w:t>very high confidence</w:t>
            </w:r>
            <w:r w:rsidRPr="002B320D">
              <w:rPr>
                <w:rFonts w:asciiTheme="minorHAnsi" w:hAnsiTheme="minorHAnsi" w:cstheme="minorHAnsi"/>
                <w:color w:val="313E37"/>
                <w:sz w:val="18"/>
                <w:szCs w:val="18"/>
              </w:rPr>
              <w:t>).</w:t>
            </w:r>
            <w:r w:rsidR="002B320D" w:rsidRPr="002B320D">
              <w:rPr>
                <w:rFonts w:asciiTheme="minorHAnsi" w:hAnsiTheme="minorHAnsi" w:cstheme="minorHAnsi"/>
                <w:color w:val="313E37"/>
                <w:sz w:val="18"/>
                <w:szCs w:val="18"/>
              </w:rPr>
              <w:t xml:space="preserve"> For the near future (2030), the annually averaged warming across all emission scenarios is projected to be around 0.4 to 1.3 °C above the climate of 1986–2005. By late in the century (2090), for a high emission scenario (RCP8.5) the projected range of warming is 2.5 to 4.7 °C. Under an intermediate scenario (RCP4.5) the projected warming is 1.2 to 2.6 °C.</w:t>
            </w:r>
          </w:p>
          <w:p w14:paraId="2D29DFE9" w14:textId="64BDE16E" w:rsidR="002B320D" w:rsidRPr="002B320D" w:rsidRDefault="00447D91"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313E37"/>
                <w:sz w:val="18"/>
                <w:szCs w:val="18"/>
              </w:rPr>
              <w:t>More hot days</w:t>
            </w:r>
            <w:r w:rsidR="002B320D" w:rsidRPr="002B320D">
              <w:rPr>
                <w:rFonts w:asciiTheme="minorHAnsi" w:hAnsiTheme="minorHAnsi" w:cstheme="minorHAnsi"/>
                <w:color w:val="313E37"/>
                <w:sz w:val="18"/>
                <w:szCs w:val="18"/>
              </w:rPr>
              <w:t>,</w:t>
            </w:r>
            <w:r w:rsidRPr="002B320D">
              <w:rPr>
                <w:rFonts w:asciiTheme="minorHAnsi" w:hAnsiTheme="minorHAnsi" w:cstheme="minorHAnsi"/>
                <w:color w:val="313E37"/>
                <w:sz w:val="18"/>
                <w:szCs w:val="18"/>
              </w:rPr>
              <w:t xml:space="preserve"> warm spells </w:t>
            </w:r>
            <w:r w:rsidR="002B320D" w:rsidRPr="002B320D">
              <w:rPr>
                <w:rFonts w:asciiTheme="minorHAnsi" w:hAnsiTheme="minorHAnsi" w:cstheme="minorHAnsi"/>
                <w:color w:val="313E37"/>
                <w:sz w:val="18"/>
                <w:szCs w:val="18"/>
              </w:rPr>
              <w:t xml:space="preserve">and </w:t>
            </w:r>
            <w:r w:rsidR="002B320D" w:rsidRPr="002B320D">
              <w:rPr>
                <w:rFonts w:asciiTheme="minorHAnsi" w:hAnsiTheme="minorHAnsi" w:cstheme="minorHAnsi"/>
                <w:color w:val="FF0000"/>
                <w:sz w:val="18"/>
                <w:szCs w:val="18"/>
              </w:rPr>
              <w:t>extreme temperatures</w:t>
            </w:r>
            <w:r w:rsidR="002B320D" w:rsidRPr="002B320D">
              <w:rPr>
                <w:rFonts w:asciiTheme="minorHAnsi" w:hAnsiTheme="minorHAnsi" w:cstheme="minorHAnsi"/>
                <w:color w:val="313E37"/>
                <w:sz w:val="18"/>
                <w:szCs w:val="18"/>
              </w:rPr>
              <w:t xml:space="preserve"> </w:t>
            </w:r>
            <w:r w:rsidRPr="002B320D">
              <w:rPr>
                <w:rFonts w:asciiTheme="minorHAnsi" w:hAnsiTheme="minorHAnsi" w:cstheme="minorHAnsi"/>
                <w:color w:val="313E37"/>
                <w:sz w:val="18"/>
                <w:szCs w:val="18"/>
              </w:rPr>
              <w:t xml:space="preserve">are projected with </w:t>
            </w:r>
            <w:r w:rsidRPr="002B320D">
              <w:rPr>
                <w:rFonts w:asciiTheme="minorHAnsi" w:hAnsiTheme="minorHAnsi" w:cstheme="minorHAnsi"/>
                <w:i/>
                <w:iCs/>
                <w:color w:val="313E37"/>
                <w:sz w:val="18"/>
                <w:szCs w:val="18"/>
              </w:rPr>
              <w:t>very high confidence</w:t>
            </w:r>
            <w:r w:rsidRPr="002B320D">
              <w:rPr>
                <w:rFonts w:asciiTheme="minorHAnsi" w:hAnsiTheme="minorHAnsi" w:cstheme="minorHAnsi"/>
                <w:color w:val="313E37"/>
                <w:sz w:val="18"/>
                <w:szCs w:val="18"/>
              </w:rPr>
              <w:t xml:space="preserve">. </w:t>
            </w:r>
            <w:r w:rsidR="002B320D" w:rsidRPr="002B320D">
              <w:rPr>
                <w:rFonts w:asciiTheme="minorHAnsi" w:hAnsiTheme="minorHAnsi" w:cstheme="minorHAnsi"/>
                <w:color w:val="313E37"/>
                <w:sz w:val="18"/>
                <w:szCs w:val="18"/>
              </w:rPr>
              <w:t>Some parts of the sub-cluster could experience around two to three times the average number of days above 35 °C under intermediate emission scenarios by late in the century.</w:t>
            </w:r>
          </w:p>
          <w:p w14:paraId="77156973" w14:textId="1BF5160F" w:rsidR="00447D91" w:rsidRPr="002B320D" w:rsidRDefault="002B320D"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FF0000"/>
                <w:sz w:val="18"/>
                <w:szCs w:val="18"/>
              </w:rPr>
              <w:t xml:space="preserve">Frost </w:t>
            </w:r>
            <w:r w:rsidRPr="002B320D">
              <w:rPr>
                <w:rFonts w:asciiTheme="minorHAnsi" w:hAnsiTheme="minorHAnsi" w:cstheme="minorHAnsi"/>
                <w:color w:val="313E37"/>
                <w:sz w:val="18"/>
                <w:szCs w:val="18"/>
              </w:rPr>
              <w:t>risk days (minimum temperatures under 2 °C) are expected to decrease across the cluster (high confidence)</w:t>
            </w:r>
            <w:r w:rsidR="00447D91" w:rsidRPr="002B320D">
              <w:rPr>
                <w:rFonts w:asciiTheme="minorHAnsi" w:hAnsiTheme="minorHAnsi" w:cstheme="minorHAnsi"/>
                <w:color w:val="313E37"/>
                <w:sz w:val="18"/>
                <w:szCs w:val="18"/>
              </w:rPr>
              <w:t>.</w:t>
            </w:r>
          </w:p>
          <w:p w14:paraId="0B7B5B83" w14:textId="6699BB1F" w:rsidR="00447D91" w:rsidRPr="002B320D" w:rsidRDefault="00447D91"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FF0000"/>
                <w:sz w:val="18"/>
                <w:szCs w:val="18"/>
              </w:rPr>
              <w:t xml:space="preserve">Rainfall </w:t>
            </w:r>
            <w:r w:rsidRPr="002B320D">
              <w:rPr>
                <w:rFonts w:asciiTheme="minorHAnsi" w:hAnsiTheme="minorHAnsi" w:cstheme="minorHAnsi"/>
                <w:color w:val="313E37"/>
                <w:sz w:val="18"/>
                <w:szCs w:val="18"/>
              </w:rPr>
              <w:t>changes are possible but unclear.</w:t>
            </w:r>
            <w:r w:rsidR="00031584" w:rsidRPr="002B320D">
              <w:rPr>
                <w:rFonts w:asciiTheme="minorHAnsi" w:hAnsiTheme="minorHAnsi" w:cstheme="minorHAnsi"/>
                <w:color w:val="313E37"/>
                <w:sz w:val="18"/>
                <w:szCs w:val="18"/>
              </w:rPr>
              <w:t xml:space="preserve"> Natural climate variability is projected to remain the major driver of rainfall changes in the next few decades. Models show a range of results, with little change or decrease being more common particularly in winter and spring</w:t>
            </w:r>
            <w:r w:rsidR="002B320D" w:rsidRPr="002B320D">
              <w:rPr>
                <w:rFonts w:asciiTheme="minorHAnsi" w:hAnsiTheme="minorHAnsi" w:cstheme="minorHAnsi"/>
                <w:color w:val="313E37"/>
                <w:sz w:val="18"/>
                <w:szCs w:val="18"/>
              </w:rPr>
              <w:t>.</w:t>
            </w:r>
          </w:p>
          <w:p w14:paraId="16727873" w14:textId="1D1CB610" w:rsidR="00447D91" w:rsidRPr="002B320D" w:rsidRDefault="00447D91"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313E37"/>
                <w:sz w:val="18"/>
                <w:szCs w:val="18"/>
              </w:rPr>
              <w:t xml:space="preserve">Increased intensity of </w:t>
            </w:r>
            <w:r w:rsidRPr="002B320D">
              <w:rPr>
                <w:rFonts w:asciiTheme="minorHAnsi" w:hAnsiTheme="minorHAnsi" w:cstheme="minorHAnsi"/>
                <w:color w:val="FF0000"/>
                <w:sz w:val="18"/>
                <w:szCs w:val="18"/>
              </w:rPr>
              <w:t xml:space="preserve">extreme rainfall </w:t>
            </w:r>
            <w:r w:rsidRPr="002B320D">
              <w:rPr>
                <w:rFonts w:asciiTheme="minorHAnsi" w:hAnsiTheme="minorHAnsi" w:cstheme="minorHAnsi"/>
                <w:color w:val="313E37"/>
                <w:sz w:val="18"/>
                <w:szCs w:val="18"/>
              </w:rPr>
              <w:t>events is projected, with high confidence.</w:t>
            </w:r>
          </w:p>
          <w:p w14:paraId="7181423A" w14:textId="76917996" w:rsidR="002B320D" w:rsidRPr="002B320D" w:rsidRDefault="002B320D"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313E37"/>
                <w:sz w:val="18"/>
                <w:szCs w:val="18"/>
              </w:rPr>
              <w:t xml:space="preserve">Time spent in </w:t>
            </w:r>
            <w:r w:rsidRPr="002B320D">
              <w:rPr>
                <w:rFonts w:asciiTheme="minorHAnsi" w:hAnsiTheme="minorHAnsi" w:cstheme="minorHAnsi"/>
                <w:color w:val="FF0000"/>
                <w:sz w:val="18"/>
                <w:szCs w:val="18"/>
              </w:rPr>
              <w:t xml:space="preserve">drought </w:t>
            </w:r>
            <w:r w:rsidRPr="002B320D">
              <w:rPr>
                <w:rFonts w:asciiTheme="minorHAnsi" w:hAnsiTheme="minorHAnsi" w:cstheme="minorHAnsi"/>
                <w:color w:val="313E37"/>
                <w:sz w:val="18"/>
                <w:szCs w:val="18"/>
              </w:rPr>
              <w:t xml:space="preserve">is projected, with </w:t>
            </w:r>
            <w:r w:rsidRPr="002B320D">
              <w:rPr>
                <w:rFonts w:asciiTheme="minorHAnsi" w:hAnsiTheme="minorHAnsi" w:cstheme="minorHAnsi"/>
                <w:i/>
                <w:iCs/>
                <w:color w:val="313E37"/>
                <w:sz w:val="18"/>
                <w:szCs w:val="18"/>
              </w:rPr>
              <w:t>medium confidence</w:t>
            </w:r>
            <w:r w:rsidRPr="002B320D">
              <w:rPr>
                <w:rFonts w:asciiTheme="minorHAnsi" w:hAnsiTheme="minorHAnsi" w:cstheme="minorHAnsi"/>
                <w:color w:val="313E37"/>
                <w:sz w:val="18"/>
                <w:szCs w:val="18"/>
              </w:rPr>
              <w:t>, to increase over the course of the century.</w:t>
            </w:r>
          </w:p>
          <w:p w14:paraId="40838EAC" w14:textId="324472E6" w:rsidR="00447D91" w:rsidRPr="002B320D" w:rsidRDefault="00447D91"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313E37"/>
                <w:sz w:val="18"/>
                <w:szCs w:val="18"/>
              </w:rPr>
              <w:t xml:space="preserve">Mean </w:t>
            </w:r>
            <w:r w:rsidRPr="002B320D">
              <w:rPr>
                <w:rFonts w:asciiTheme="minorHAnsi" w:hAnsiTheme="minorHAnsi" w:cstheme="minorHAnsi"/>
                <w:color w:val="FF0000"/>
                <w:sz w:val="18"/>
                <w:szCs w:val="18"/>
              </w:rPr>
              <w:t xml:space="preserve">sea level </w:t>
            </w:r>
            <w:r w:rsidRPr="002B320D">
              <w:rPr>
                <w:rFonts w:asciiTheme="minorHAnsi" w:hAnsiTheme="minorHAnsi" w:cstheme="minorHAnsi"/>
                <w:color w:val="313E37"/>
                <w:sz w:val="18"/>
                <w:szCs w:val="18"/>
              </w:rPr>
              <w:t>will continue to rise and height of extreme sea-level events will also increase (</w:t>
            </w:r>
            <w:r w:rsidRPr="002B320D">
              <w:rPr>
                <w:rFonts w:asciiTheme="minorHAnsi" w:hAnsiTheme="minorHAnsi" w:cstheme="minorHAnsi"/>
                <w:i/>
                <w:iCs/>
                <w:color w:val="313E37"/>
                <w:sz w:val="18"/>
                <w:szCs w:val="18"/>
              </w:rPr>
              <w:t>very high confidence</w:t>
            </w:r>
            <w:r w:rsidRPr="002B320D">
              <w:rPr>
                <w:rFonts w:asciiTheme="minorHAnsi" w:hAnsiTheme="minorHAnsi" w:cstheme="minorHAnsi"/>
                <w:color w:val="313E37"/>
                <w:sz w:val="18"/>
                <w:szCs w:val="18"/>
              </w:rPr>
              <w:t>).</w:t>
            </w:r>
          </w:p>
          <w:p w14:paraId="06F89F00" w14:textId="548F8803" w:rsidR="0049132C" w:rsidRDefault="0049132C"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FF0000"/>
                <w:sz w:val="18"/>
                <w:szCs w:val="18"/>
              </w:rPr>
              <w:t xml:space="preserve">Potential evapotranspiration </w:t>
            </w:r>
            <w:r w:rsidRPr="002B320D">
              <w:rPr>
                <w:rFonts w:asciiTheme="minorHAnsi" w:hAnsiTheme="minorHAnsi" w:cstheme="minorHAnsi"/>
                <w:color w:val="313E37"/>
                <w:sz w:val="18"/>
                <w:szCs w:val="18"/>
              </w:rPr>
              <w:t>is projected to increase in all seasons as warming progresses (</w:t>
            </w:r>
            <w:r w:rsidRPr="002B320D">
              <w:rPr>
                <w:rFonts w:asciiTheme="minorHAnsi" w:hAnsiTheme="minorHAnsi" w:cstheme="minorHAnsi"/>
                <w:i/>
                <w:iCs/>
                <w:color w:val="313E37"/>
                <w:sz w:val="18"/>
                <w:szCs w:val="18"/>
              </w:rPr>
              <w:t>high confidence</w:t>
            </w:r>
            <w:r w:rsidRPr="002B320D">
              <w:rPr>
                <w:rFonts w:asciiTheme="minorHAnsi" w:hAnsiTheme="minorHAnsi" w:cstheme="minorHAnsi"/>
                <w:color w:val="313E37"/>
                <w:sz w:val="18"/>
                <w:szCs w:val="18"/>
              </w:rPr>
              <w:t>).</w:t>
            </w:r>
          </w:p>
          <w:p w14:paraId="2161B4A2" w14:textId="2DF4257B" w:rsidR="002A1F4C" w:rsidRPr="002A1F4C" w:rsidRDefault="002A1F4C"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Pr>
                <w:rFonts w:asciiTheme="minorHAnsi" w:hAnsiTheme="minorHAnsi" w:cstheme="minorHAnsi"/>
                <w:color w:val="FF0000"/>
                <w:sz w:val="18"/>
                <w:szCs w:val="18"/>
              </w:rPr>
              <w:t>Soil moisture</w:t>
            </w:r>
            <w:r>
              <w:rPr>
                <w:rFonts w:asciiTheme="minorHAnsi" w:hAnsiTheme="minorHAnsi" w:cstheme="minorHAnsi"/>
                <w:sz w:val="18"/>
                <w:szCs w:val="18"/>
              </w:rPr>
              <w:t xml:space="preserve">. </w:t>
            </w:r>
            <w:r w:rsidRPr="002A1F4C">
              <w:rPr>
                <w:rFonts w:asciiTheme="minorHAnsi" w:hAnsiTheme="minorHAnsi" w:cstheme="minorHAnsi"/>
                <w:i/>
                <w:iCs/>
                <w:sz w:val="18"/>
                <w:szCs w:val="18"/>
              </w:rPr>
              <w:t>Currently under revision</w:t>
            </w:r>
            <w:r>
              <w:rPr>
                <w:rFonts w:asciiTheme="minorHAnsi" w:hAnsiTheme="minorHAnsi" w:cstheme="minorHAnsi"/>
                <w:sz w:val="18"/>
                <w:szCs w:val="18"/>
              </w:rPr>
              <w:t>.</w:t>
            </w:r>
          </w:p>
          <w:p w14:paraId="0A4EA12D" w14:textId="0B1F869B" w:rsidR="002A1F4C" w:rsidRPr="002B320D" w:rsidRDefault="002A1F4C"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Pr>
                <w:rFonts w:asciiTheme="minorHAnsi" w:hAnsiTheme="minorHAnsi" w:cstheme="minorHAnsi"/>
                <w:color w:val="FF0000"/>
                <w:sz w:val="18"/>
                <w:szCs w:val="18"/>
              </w:rPr>
              <w:t>Runoff</w:t>
            </w:r>
            <w:r w:rsidRPr="002A1F4C">
              <w:rPr>
                <w:rFonts w:asciiTheme="minorHAnsi" w:hAnsiTheme="minorHAnsi" w:cstheme="minorHAnsi"/>
                <w:color w:val="313E37"/>
                <w:sz w:val="18"/>
                <w:szCs w:val="18"/>
              </w:rPr>
              <w:t>.</w:t>
            </w:r>
            <w:r>
              <w:rPr>
                <w:rFonts w:asciiTheme="minorHAnsi" w:hAnsiTheme="minorHAnsi" w:cstheme="minorHAnsi"/>
                <w:color w:val="313E37"/>
                <w:sz w:val="18"/>
                <w:szCs w:val="18"/>
              </w:rPr>
              <w:t xml:space="preserve"> </w:t>
            </w:r>
            <w:r w:rsidRPr="002A1F4C">
              <w:rPr>
                <w:rFonts w:asciiTheme="minorHAnsi" w:hAnsiTheme="minorHAnsi" w:cstheme="minorHAnsi"/>
                <w:i/>
                <w:iCs/>
                <w:color w:val="313E37"/>
                <w:sz w:val="18"/>
                <w:szCs w:val="18"/>
              </w:rPr>
              <w:t>Currently under revision</w:t>
            </w:r>
            <w:r>
              <w:rPr>
                <w:rFonts w:asciiTheme="minorHAnsi" w:hAnsiTheme="minorHAnsi" w:cstheme="minorHAnsi"/>
                <w:color w:val="313E37"/>
                <w:sz w:val="18"/>
                <w:szCs w:val="18"/>
              </w:rPr>
              <w:t>.</w:t>
            </w:r>
          </w:p>
          <w:p w14:paraId="1C3CD80C" w14:textId="642B2396" w:rsidR="0049132C" w:rsidRPr="002B320D" w:rsidRDefault="0049132C"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313E37"/>
                <w:sz w:val="18"/>
                <w:szCs w:val="18"/>
              </w:rPr>
              <w:t xml:space="preserve">There is little change in </w:t>
            </w:r>
            <w:r w:rsidRPr="002B320D">
              <w:rPr>
                <w:rFonts w:asciiTheme="minorHAnsi" w:hAnsiTheme="minorHAnsi" w:cstheme="minorHAnsi"/>
                <w:color w:val="FF0000"/>
                <w:sz w:val="18"/>
                <w:szCs w:val="18"/>
              </w:rPr>
              <w:t xml:space="preserve">relative humidity </w:t>
            </w:r>
            <w:r w:rsidRPr="002B320D">
              <w:rPr>
                <w:rFonts w:asciiTheme="minorHAnsi" w:hAnsiTheme="minorHAnsi" w:cstheme="minorHAnsi"/>
                <w:color w:val="313E37"/>
                <w:sz w:val="18"/>
                <w:szCs w:val="18"/>
              </w:rPr>
              <w:t xml:space="preserve">for the near future, but </w:t>
            </w:r>
            <w:r w:rsidRPr="002B320D">
              <w:rPr>
                <w:rFonts w:asciiTheme="minorHAnsi" w:hAnsiTheme="minorHAnsi" w:cstheme="minorHAnsi"/>
                <w:i/>
                <w:iCs/>
                <w:color w:val="313E37"/>
                <w:sz w:val="18"/>
                <w:szCs w:val="18"/>
              </w:rPr>
              <w:t>medium confidence</w:t>
            </w:r>
            <w:r w:rsidRPr="002B320D">
              <w:rPr>
                <w:rFonts w:asciiTheme="minorHAnsi" w:hAnsiTheme="minorHAnsi" w:cstheme="minorHAnsi"/>
                <w:color w:val="313E37"/>
                <w:sz w:val="18"/>
                <w:szCs w:val="18"/>
              </w:rPr>
              <w:t xml:space="preserve"> in a decrease later in the century.</w:t>
            </w:r>
          </w:p>
          <w:p w14:paraId="12052D7C" w14:textId="025DE84E" w:rsidR="00447D91" w:rsidRPr="002B320D" w:rsidRDefault="0049132C" w:rsidP="009250B8">
            <w:pPr>
              <w:numPr>
                <w:ilvl w:val="0"/>
                <w:numId w:val="17"/>
              </w:numPr>
              <w:tabs>
                <w:tab w:val="clear" w:pos="720"/>
                <w:tab w:val="num" w:pos="315"/>
              </w:tabs>
              <w:ind w:left="315" w:right="136" w:hanging="315"/>
              <w:rPr>
                <w:rFonts w:asciiTheme="minorHAnsi" w:hAnsiTheme="minorHAnsi" w:cstheme="minorHAnsi"/>
                <w:color w:val="313E37"/>
                <w:sz w:val="18"/>
                <w:szCs w:val="18"/>
              </w:rPr>
            </w:pPr>
            <w:r w:rsidRPr="002B320D">
              <w:rPr>
                <w:rFonts w:asciiTheme="minorHAnsi" w:hAnsiTheme="minorHAnsi" w:cstheme="minorHAnsi"/>
                <w:color w:val="313E37"/>
                <w:sz w:val="18"/>
                <w:szCs w:val="18"/>
              </w:rPr>
              <w:t xml:space="preserve">There is high confidence that climate change will result in a harsher </w:t>
            </w:r>
            <w:r w:rsidRPr="002B320D">
              <w:rPr>
                <w:rFonts w:asciiTheme="minorHAnsi" w:hAnsiTheme="minorHAnsi" w:cstheme="minorHAnsi"/>
                <w:color w:val="FF0000"/>
                <w:sz w:val="18"/>
                <w:szCs w:val="18"/>
              </w:rPr>
              <w:t>fire</w:t>
            </w:r>
            <w:r w:rsidRPr="002B320D">
              <w:rPr>
                <w:rFonts w:asciiTheme="minorHAnsi" w:hAnsiTheme="minorHAnsi" w:cstheme="minorHAnsi"/>
                <w:color w:val="313E37"/>
                <w:sz w:val="18"/>
                <w:szCs w:val="18"/>
              </w:rPr>
              <w:t>-weather climate in the future. However, there is low confidence in the magnitude of that change because of the significant uncertainties in the rainfall projection</w:t>
            </w:r>
            <w:r w:rsidR="00447D91" w:rsidRPr="002B320D">
              <w:rPr>
                <w:rFonts w:asciiTheme="minorHAnsi" w:hAnsiTheme="minorHAnsi" w:cstheme="minorHAnsi"/>
                <w:color w:val="313E37"/>
                <w:sz w:val="18"/>
                <w:szCs w:val="18"/>
              </w:rPr>
              <w:t>.</w:t>
            </w:r>
          </w:p>
          <w:p w14:paraId="6A7484C2" w14:textId="77777777" w:rsidR="00447D91" w:rsidRDefault="00447D91" w:rsidP="00447D91">
            <w:pPr>
              <w:ind w:right="136"/>
              <w:rPr>
                <w:rFonts w:asciiTheme="minorHAnsi" w:hAnsiTheme="minorHAnsi" w:cstheme="minorHAnsi"/>
                <w:color w:val="313E37"/>
                <w:sz w:val="20"/>
                <w:szCs w:val="20"/>
              </w:rPr>
            </w:pPr>
          </w:p>
          <w:p w14:paraId="1315ECE8" w14:textId="77777777" w:rsidR="00447D91" w:rsidRDefault="00447D91" w:rsidP="00447D91">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4B2E3F5F" w14:textId="17F95A01" w:rsidR="00447D91" w:rsidRDefault="00447D91" w:rsidP="00447D91">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sidR="00D769F2">
              <w:rPr>
                <w:noProof/>
              </w:rPr>
              <w:drawing>
                <wp:inline distT="0" distB="0" distL="0" distR="0" wp14:anchorId="53FE9EF2" wp14:editId="0A509B23">
                  <wp:extent cx="2593730" cy="1703229"/>
                  <wp:effectExtent l="0" t="0" r="0" b="0"/>
                  <wp:docPr id="19874779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282">
                            <a:extLst>
                              <a:ext uri="{28A0092B-C50C-407E-A947-70E740481C1C}">
                                <a14:useLocalDpi xmlns:a14="http://schemas.microsoft.com/office/drawing/2010/main" val="0"/>
                              </a:ext>
                            </a:extLst>
                          </a:blip>
                          <a:stretch>
                            <a:fillRect/>
                          </a:stretch>
                        </pic:blipFill>
                        <pic:spPr>
                          <a:xfrm>
                            <a:off x="0" y="0"/>
                            <a:ext cx="2593730" cy="1703229"/>
                          </a:xfrm>
                          <a:prstGeom prst="rect">
                            <a:avLst/>
                          </a:prstGeom>
                        </pic:spPr>
                      </pic:pic>
                    </a:graphicData>
                  </a:graphic>
                </wp:inline>
              </w:drawing>
            </w:r>
            <w:r w:rsidRPr="1F802AF8">
              <w:rPr>
                <w:rFonts w:asciiTheme="minorHAnsi" w:hAnsiTheme="minorHAnsi" w:cstheme="minorBidi"/>
                <w:color w:val="313E37"/>
                <w:sz w:val="20"/>
                <w:szCs w:val="20"/>
              </w:rPr>
              <w:t xml:space="preserve">    </w:t>
            </w:r>
            <w:r w:rsidR="00D769F2">
              <w:rPr>
                <w:noProof/>
              </w:rPr>
              <w:drawing>
                <wp:inline distT="0" distB="0" distL="0" distR="0" wp14:anchorId="77782F34" wp14:editId="515C38DF">
                  <wp:extent cx="2611315" cy="1724530"/>
                  <wp:effectExtent l="0" t="0" r="0" b="9525"/>
                  <wp:docPr id="100688519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283">
                            <a:extLst>
                              <a:ext uri="{28A0092B-C50C-407E-A947-70E740481C1C}">
                                <a14:useLocalDpi xmlns:a14="http://schemas.microsoft.com/office/drawing/2010/main" val="0"/>
                              </a:ext>
                            </a:extLst>
                          </a:blip>
                          <a:stretch>
                            <a:fillRect/>
                          </a:stretch>
                        </pic:blipFill>
                        <pic:spPr>
                          <a:xfrm>
                            <a:off x="0" y="0"/>
                            <a:ext cx="2611315" cy="1724530"/>
                          </a:xfrm>
                          <a:prstGeom prst="rect">
                            <a:avLst/>
                          </a:prstGeom>
                        </pic:spPr>
                      </pic:pic>
                    </a:graphicData>
                  </a:graphic>
                </wp:inline>
              </w:drawing>
            </w:r>
          </w:p>
          <w:p w14:paraId="4841F71A" w14:textId="77777777" w:rsidR="00447D91" w:rsidRPr="00EF238F" w:rsidRDefault="00447D91" w:rsidP="00447D91">
            <w:pPr>
              <w:ind w:right="136"/>
              <w:rPr>
                <w:rFonts w:asciiTheme="minorHAnsi" w:hAnsiTheme="minorHAnsi" w:cstheme="minorHAnsi"/>
                <w:color w:val="313E37"/>
                <w:sz w:val="20"/>
                <w:szCs w:val="20"/>
              </w:rPr>
            </w:pPr>
          </w:p>
        </w:tc>
      </w:tr>
    </w:tbl>
    <w:p w14:paraId="3069DBEE" w14:textId="3AA699B7" w:rsidR="00483E8C" w:rsidRDefault="00483E8C" w:rsidP="00852CC1">
      <w:pPr>
        <w:pStyle w:val="BodyText"/>
      </w:pPr>
    </w:p>
    <w:p w14:paraId="2463E4D6" w14:textId="77777777" w:rsidR="00483E8C" w:rsidRDefault="00483E8C">
      <w:pPr>
        <w:rPr>
          <w:rFonts w:ascii="Calibri" w:eastAsia="Calibri" w:hAnsi="Calibri"/>
          <w:color w:val="000000"/>
          <w:szCs w:val="22"/>
        </w:rPr>
      </w:pPr>
      <w:r>
        <w:br w:type="page"/>
      </w:r>
    </w:p>
    <w:tbl>
      <w:tblPr>
        <w:tblStyle w:val="TableGrid"/>
        <w:tblW w:w="0" w:type="auto"/>
        <w:tblLook w:val="04A0" w:firstRow="1" w:lastRow="0" w:firstColumn="1" w:lastColumn="0" w:noHBand="0" w:noVBand="1"/>
      </w:tblPr>
      <w:tblGrid>
        <w:gridCol w:w="2263"/>
        <w:gridCol w:w="7365"/>
      </w:tblGrid>
      <w:tr w:rsidR="00483E8C" w14:paraId="712E9B96" w14:textId="77777777" w:rsidTr="1F802AF8">
        <w:trPr>
          <w:trHeight w:val="329"/>
        </w:trPr>
        <w:tc>
          <w:tcPr>
            <w:tcW w:w="9628" w:type="dxa"/>
            <w:gridSpan w:val="2"/>
          </w:tcPr>
          <w:p w14:paraId="5740EF71" w14:textId="7485CD2E" w:rsidR="00483E8C" w:rsidRPr="00EF238F" w:rsidRDefault="00483E8C" w:rsidP="00802F49">
            <w:pPr>
              <w:pStyle w:val="BodyText"/>
              <w:rPr>
                <w:b/>
                <w:bCs/>
                <w:sz w:val="20"/>
              </w:rPr>
            </w:pPr>
            <w:r>
              <w:rPr>
                <w:b/>
                <w:bCs/>
                <w:sz w:val="20"/>
              </w:rPr>
              <w:lastRenderedPageBreak/>
              <w:t>East Coast South</w:t>
            </w:r>
          </w:p>
        </w:tc>
      </w:tr>
      <w:tr w:rsidR="00483E8C" w14:paraId="5F6C253A" w14:textId="77777777" w:rsidTr="1F802AF8">
        <w:trPr>
          <w:trHeight w:val="1815"/>
        </w:trPr>
        <w:tc>
          <w:tcPr>
            <w:tcW w:w="2263" w:type="dxa"/>
          </w:tcPr>
          <w:p w14:paraId="2413CC05" w14:textId="31A502D8" w:rsidR="00483E8C" w:rsidRDefault="00483E8C" w:rsidP="00802F49">
            <w:pPr>
              <w:pStyle w:val="BodyText"/>
            </w:pPr>
            <w:r>
              <w:rPr>
                <w:noProof/>
              </w:rPr>
              <w:drawing>
                <wp:inline distT="0" distB="0" distL="0" distR="0" wp14:anchorId="226AF934" wp14:editId="59FEB4D4">
                  <wp:extent cx="1160584" cy="970806"/>
                  <wp:effectExtent l="0" t="0" r="1905" b="1270"/>
                  <wp:docPr id="1648694981" name="Picture 136324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50"/>
                          <pic:cNvPicPr/>
                        </pic:nvPicPr>
                        <pic:blipFill>
                          <a:blip r:embed="rId284">
                            <a:extLst>
                              <a:ext uri="{28A0092B-C50C-407E-A947-70E740481C1C}">
                                <a14:useLocalDpi xmlns:a14="http://schemas.microsoft.com/office/drawing/2010/main" val="0"/>
                              </a:ext>
                            </a:extLst>
                          </a:blip>
                          <a:stretch>
                            <a:fillRect/>
                          </a:stretch>
                        </pic:blipFill>
                        <pic:spPr>
                          <a:xfrm>
                            <a:off x="0" y="0"/>
                            <a:ext cx="1160584" cy="970806"/>
                          </a:xfrm>
                          <a:prstGeom prst="rect">
                            <a:avLst/>
                          </a:prstGeom>
                        </pic:spPr>
                      </pic:pic>
                    </a:graphicData>
                  </a:graphic>
                </wp:inline>
              </w:drawing>
            </w:r>
          </w:p>
        </w:tc>
        <w:tc>
          <w:tcPr>
            <w:tcW w:w="7365" w:type="dxa"/>
          </w:tcPr>
          <w:p w14:paraId="26869F7B" w14:textId="77777777" w:rsidR="00483E8C" w:rsidRDefault="00483E8C"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24ED2BF2" w14:textId="210D7389" w:rsidR="00483E8C" w:rsidRPr="00483E8C" w:rsidRDefault="00483E8C" w:rsidP="00483E8C">
            <w:pPr>
              <w:pStyle w:val="BodyText"/>
              <w:spacing w:before="0" w:after="0" w:line="240" w:lineRule="auto"/>
              <w:rPr>
                <w:sz w:val="20"/>
              </w:rPr>
            </w:pPr>
            <w:r w:rsidRPr="00483E8C">
              <w:rPr>
                <w:sz w:val="20"/>
              </w:rPr>
              <w:t>Management of agricultural soils</w:t>
            </w:r>
            <w:r w:rsidRPr="00483E8C">
              <w:rPr>
                <w:sz w:val="20"/>
              </w:rPr>
              <w:tab/>
            </w:r>
            <w:r>
              <w:rPr>
                <w:sz w:val="20"/>
              </w:rPr>
              <w:tab/>
            </w:r>
            <w:r w:rsidRPr="00483E8C">
              <w:rPr>
                <w:sz w:val="20"/>
              </w:rPr>
              <w:t>6</w:t>
            </w:r>
            <w:r>
              <w:rPr>
                <w:sz w:val="20"/>
              </w:rPr>
              <w:tab/>
            </w:r>
            <w:r w:rsidRPr="00483E8C">
              <w:rPr>
                <w:sz w:val="20"/>
              </w:rPr>
              <w:tab/>
              <w:t xml:space="preserve">1,665 </w:t>
            </w:r>
          </w:p>
          <w:p w14:paraId="39BBB88F" w14:textId="6B71529B" w:rsidR="00483E8C" w:rsidRPr="00483E8C" w:rsidRDefault="00483E8C" w:rsidP="00483E8C">
            <w:pPr>
              <w:pStyle w:val="BodyText"/>
              <w:spacing w:before="0" w:after="0" w:line="240" w:lineRule="auto"/>
              <w:rPr>
                <w:sz w:val="20"/>
              </w:rPr>
            </w:pPr>
            <w:r w:rsidRPr="00483E8C">
              <w:rPr>
                <w:sz w:val="20"/>
              </w:rPr>
              <w:t>Planting of new forests</w:t>
            </w:r>
            <w:r w:rsidRPr="00483E8C">
              <w:rPr>
                <w:sz w:val="20"/>
              </w:rPr>
              <w:tab/>
            </w:r>
            <w:r>
              <w:rPr>
                <w:sz w:val="20"/>
              </w:rPr>
              <w:tab/>
            </w:r>
            <w:r>
              <w:rPr>
                <w:sz w:val="20"/>
              </w:rPr>
              <w:tab/>
            </w:r>
            <w:r w:rsidRPr="00483E8C">
              <w:rPr>
                <w:sz w:val="20"/>
              </w:rPr>
              <w:t>6</w:t>
            </w:r>
            <w:r w:rsidRPr="00483E8C">
              <w:rPr>
                <w:sz w:val="20"/>
              </w:rPr>
              <w:tab/>
            </w:r>
            <w:r>
              <w:rPr>
                <w:sz w:val="20"/>
              </w:rPr>
              <w:tab/>
            </w:r>
            <w:r w:rsidRPr="00483E8C">
              <w:rPr>
                <w:sz w:val="20"/>
              </w:rPr>
              <w:t xml:space="preserve">1,976 </w:t>
            </w:r>
          </w:p>
          <w:p w14:paraId="666C2FA1" w14:textId="2698DEA2" w:rsidR="00483E8C" w:rsidRPr="0054376E" w:rsidRDefault="00FB2D3A" w:rsidP="00483E8C">
            <w:pPr>
              <w:pStyle w:val="BodyText"/>
              <w:spacing w:before="0" w:after="0" w:line="240" w:lineRule="auto"/>
              <w:rPr>
                <w:sz w:val="20"/>
              </w:rPr>
            </w:pPr>
            <w:r>
              <w:rPr>
                <w:sz w:val="20"/>
              </w:rPr>
              <w:t>Re-</w:t>
            </w:r>
            <w:r w:rsidR="00187AAD">
              <w:rPr>
                <w:sz w:val="20"/>
              </w:rPr>
              <w:t>establishment</w:t>
            </w:r>
            <w:r w:rsidR="00187AAD" w:rsidRPr="00483E8C">
              <w:rPr>
                <w:sz w:val="20"/>
              </w:rPr>
              <w:t xml:space="preserve"> of</w:t>
            </w:r>
            <w:r w:rsidR="00483E8C" w:rsidRPr="00483E8C">
              <w:rPr>
                <w:sz w:val="20"/>
              </w:rPr>
              <w:t xml:space="preserve"> native forest cover</w:t>
            </w:r>
            <w:r w:rsidR="00483E8C" w:rsidRPr="00483E8C">
              <w:rPr>
                <w:sz w:val="20"/>
              </w:rPr>
              <w:tab/>
              <w:t>1</w:t>
            </w:r>
            <w:r w:rsidR="00483E8C" w:rsidRPr="00483E8C">
              <w:rPr>
                <w:sz w:val="20"/>
              </w:rPr>
              <w:tab/>
              <w:t xml:space="preserve"> </w:t>
            </w:r>
            <w:r w:rsidR="00483E8C">
              <w:rPr>
                <w:sz w:val="20"/>
              </w:rPr>
              <w:tab/>
            </w:r>
            <w:r w:rsidR="00483E8C" w:rsidRPr="00483E8C">
              <w:rPr>
                <w:sz w:val="20"/>
              </w:rPr>
              <w:t>509</w:t>
            </w:r>
          </w:p>
        </w:tc>
      </w:tr>
      <w:tr w:rsidR="00483E8C" w14:paraId="63112ADD" w14:textId="77777777" w:rsidTr="1F802AF8">
        <w:tc>
          <w:tcPr>
            <w:tcW w:w="9628" w:type="dxa"/>
            <w:gridSpan w:val="2"/>
          </w:tcPr>
          <w:p w14:paraId="52DD17EF" w14:textId="77777777" w:rsidR="00483E8C" w:rsidRPr="00EF238F" w:rsidRDefault="00483E8C"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16FA6794" w14:textId="1A25BAE6" w:rsidR="00483E8C" w:rsidRPr="002A1F4C" w:rsidRDefault="00483E8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FF0000"/>
                <w:sz w:val="18"/>
                <w:szCs w:val="18"/>
              </w:rPr>
              <w:t xml:space="preserve">Average temperatures </w:t>
            </w:r>
            <w:r w:rsidRPr="002A1F4C">
              <w:rPr>
                <w:rFonts w:asciiTheme="minorHAnsi" w:hAnsiTheme="minorHAnsi" w:cstheme="minorHAnsi"/>
                <w:color w:val="313E37"/>
                <w:sz w:val="18"/>
                <w:szCs w:val="18"/>
              </w:rPr>
              <w:t>will continue to increase in all seasons (</w:t>
            </w:r>
            <w:r w:rsidRPr="002A1F4C">
              <w:rPr>
                <w:rFonts w:asciiTheme="minorHAnsi" w:hAnsiTheme="minorHAnsi" w:cstheme="minorHAnsi"/>
                <w:i/>
                <w:iCs/>
                <w:color w:val="313E37"/>
                <w:sz w:val="18"/>
                <w:szCs w:val="18"/>
              </w:rPr>
              <w:t>very high confidence</w:t>
            </w:r>
            <w:r w:rsidRPr="002A1F4C">
              <w:rPr>
                <w:rFonts w:asciiTheme="minorHAnsi" w:hAnsiTheme="minorHAnsi" w:cstheme="minorHAnsi"/>
                <w:color w:val="313E37"/>
                <w:sz w:val="18"/>
                <w:szCs w:val="18"/>
              </w:rPr>
              <w:t>).</w:t>
            </w:r>
            <w:r w:rsidR="002A1F4C">
              <w:rPr>
                <w:rFonts w:asciiTheme="minorHAnsi" w:hAnsiTheme="minorHAnsi" w:cstheme="minorHAnsi"/>
                <w:color w:val="313E37"/>
                <w:sz w:val="18"/>
                <w:szCs w:val="18"/>
              </w:rPr>
              <w:t xml:space="preserve"> </w:t>
            </w:r>
            <w:r w:rsidR="002A1F4C" w:rsidRPr="002A1F4C">
              <w:rPr>
                <w:rFonts w:asciiTheme="minorHAnsi" w:hAnsiTheme="minorHAnsi" w:cstheme="minorHAnsi"/>
                <w:color w:val="313E37"/>
                <w:sz w:val="18"/>
                <w:szCs w:val="18"/>
              </w:rPr>
              <w:t>For the near future (2030), the annually averaged warming across all emission scenarios is projected to be around 0.5 to 1.3 °C above the climate of 1986–2005</w:t>
            </w:r>
            <w:r w:rsidR="002A1F4C">
              <w:rPr>
                <w:rFonts w:asciiTheme="minorHAnsi" w:hAnsiTheme="minorHAnsi" w:cstheme="minorHAnsi"/>
                <w:color w:val="313E37"/>
                <w:sz w:val="18"/>
                <w:szCs w:val="18"/>
              </w:rPr>
              <w:t xml:space="preserve">. </w:t>
            </w:r>
            <w:r w:rsidR="002A1F4C" w:rsidRPr="002A1F4C">
              <w:rPr>
                <w:rFonts w:asciiTheme="minorHAnsi" w:hAnsiTheme="minorHAnsi" w:cstheme="minorHAnsi"/>
                <w:color w:val="313E37"/>
                <w:sz w:val="18"/>
                <w:szCs w:val="18"/>
              </w:rPr>
              <w:t>By late in the century (2090), for a high emission scenario (RCP8.5) the projected range of warming is 2.9 to 4.6 °C. Under an intermediate scenario (RCP4.5) the projected warming is 1.3 to 2.5 °C</w:t>
            </w:r>
            <w:r w:rsidR="002A1F4C">
              <w:rPr>
                <w:rFonts w:asciiTheme="minorHAnsi" w:hAnsiTheme="minorHAnsi" w:cstheme="minorHAnsi"/>
                <w:color w:val="313E37"/>
                <w:sz w:val="18"/>
                <w:szCs w:val="18"/>
              </w:rPr>
              <w:t>.</w:t>
            </w:r>
          </w:p>
          <w:p w14:paraId="104C0A58" w14:textId="2066CE7F" w:rsidR="002A1F4C" w:rsidRDefault="002A1F4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FF0000"/>
                <w:sz w:val="18"/>
                <w:szCs w:val="18"/>
              </w:rPr>
              <w:t xml:space="preserve">Extreme temperatures </w:t>
            </w:r>
            <w:r w:rsidRPr="002A1F4C">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2A1F4C">
              <w:rPr>
                <w:rFonts w:asciiTheme="minorHAnsi" w:hAnsiTheme="minorHAnsi" w:cstheme="minorHAnsi"/>
                <w:i/>
                <w:iCs/>
                <w:color w:val="313E37"/>
                <w:sz w:val="18"/>
                <w:szCs w:val="18"/>
              </w:rPr>
              <w:t>very high confidence</w:t>
            </w:r>
            <w:r w:rsidRPr="002A1F4C">
              <w:rPr>
                <w:rFonts w:asciiTheme="minorHAnsi" w:hAnsiTheme="minorHAnsi" w:cstheme="minorHAnsi"/>
                <w:color w:val="313E37"/>
                <w:sz w:val="18"/>
                <w:szCs w:val="18"/>
              </w:rPr>
              <w:t>)</w:t>
            </w:r>
            <w:r w:rsidR="00483E8C" w:rsidRPr="002A1F4C">
              <w:rPr>
                <w:rFonts w:asciiTheme="minorHAnsi" w:hAnsiTheme="minorHAnsi" w:cstheme="minorHAnsi"/>
                <w:color w:val="313E37"/>
                <w:sz w:val="18"/>
                <w:szCs w:val="18"/>
              </w:rPr>
              <w:t xml:space="preserve">. </w:t>
            </w:r>
          </w:p>
          <w:p w14:paraId="1F6447BF" w14:textId="3BEF87EC" w:rsidR="00483E8C" w:rsidRPr="002A1F4C" w:rsidRDefault="002A1F4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FF0000"/>
                <w:sz w:val="18"/>
                <w:szCs w:val="18"/>
              </w:rPr>
              <w:t xml:space="preserve">Frost </w:t>
            </w:r>
            <w:r w:rsidRPr="002A1F4C">
              <w:rPr>
                <w:rFonts w:asciiTheme="minorHAnsi" w:hAnsiTheme="minorHAnsi" w:cstheme="minorHAnsi"/>
                <w:color w:val="313E37"/>
                <w:sz w:val="18"/>
                <w:szCs w:val="18"/>
              </w:rPr>
              <w:t>risk days (minimum temperatures under 2 °C) are expected to decrease across the cluster (</w:t>
            </w:r>
            <w:r w:rsidRPr="002A1F4C">
              <w:rPr>
                <w:rFonts w:asciiTheme="minorHAnsi" w:hAnsiTheme="minorHAnsi" w:cstheme="minorHAnsi"/>
                <w:i/>
                <w:iCs/>
                <w:color w:val="313E37"/>
                <w:sz w:val="18"/>
                <w:szCs w:val="18"/>
              </w:rPr>
              <w:t>high confidence</w:t>
            </w:r>
            <w:r w:rsidRPr="002A1F4C">
              <w:rPr>
                <w:rFonts w:asciiTheme="minorHAnsi" w:hAnsiTheme="minorHAnsi" w:cstheme="minorHAnsi"/>
                <w:color w:val="313E37"/>
                <w:sz w:val="18"/>
                <w:szCs w:val="18"/>
              </w:rPr>
              <w:t>)</w:t>
            </w:r>
            <w:r w:rsidR="00483E8C" w:rsidRPr="002A1F4C">
              <w:rPr>
                <w:rFonts w:asciiTheme="minorHAnsi" w:hAnsiTheme="minorHAnsi" w:cstheme="minorHAnsi"/>
                <w:color w:val="313E37"/>
                <w:sz w:val="18"/>
                <w:szCs w:val="18"/>
              </w:rPr>
              <w:t>.</w:t>
            </w:r>
          </w:p>
          <w:p w14:paraId="65213FF4" w14:textId="77777777" w:rsidR="00483E8C" w:rsidRPr="002A1F4C" w:rsidRDefault="00483E8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313E37"/>
                <w:sz w:val="18"/>
                <w:szCs w:val="18"/>
              </w:rPr>
              <w:t xml:space="preserve">Decreases in winter </w:t>
            </w:r>
            <w:r w:rsidRPr="002A1F4C">
              <w:rPr>
                <w:rFonts w:asciiTheme="minorHAnsi" w:hAnsiTheme="minorHAnsi" w:cstheme="minorHAnsi"/>
                <w:color w:val="FF0000"/>
                <w:sz w:val="18"/>
                <w:szCs w:val="18"/>
              </w:rPr>
              <w:t xml:space="preserve">rainfall </w:t>
            </w:r>
            <w:r w:rsidRPr="002A1F4C">
              <w:rPr>
                <w:rFonts w:asciiTheme="minorHAnsi" w:hAnsiTheme="minorHAnsi" w:cstheme="minorHAnsi"/>
                <w:color w:val="313E37"/>
                <w:sz w:val="18"/>
                <w:szCs w:val="18"/>
              </w:rPr>
              <w:t xml:space="preserve">are projected with </w:t>
            </w:r>
            <w:r w:rsidRPr="002A1F4C">
              <w:rPr>
                <w:rFonts w:asciiTheme="minorHAnsi" w:hAnsiTheme="minorHAnsi" w:cstheme="minorHAnsi"/>
                <w:i/>
                <w:iCs/>
                <w:color w:val="313E37"/>
                <w:sz w:val="18"/>
                <w:szCs w:val="18"/>
              </w:rPr>
              <w:t>medium confidence</w:t>
            </w:r>
            <w:r w:rsidRPr="002A1F4C">
              <w:rPr>
                <w:rFonts w:asciiTheme="minorHAnsi" w:hAnsiTheme="minorHAnsi" w:cstheme="minorHAnsi"/>
                <w:color w:val="313E37"/>
                <w:sz w:val="18"/>
                <w:szCs w:val="18"/>
              </w:rPr>
              <w:t>. Other changes are possible but unclear.</w:t>
            </w:r>
          </w:p>
          <w:p w14:paraId="479F5E1D" w14:textId="7C58D3E6" w:rsidR="00483E8C" w:rsidRDefault="00483E8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313E37"/>
                <w:sz w:val="18"/>
                <w:szCs w:val="18"/>
              </w:rPr>
              <w:t xml:space="preserve">Increased intensity of </w:t>
            </w:r>
            <w:r w:rsidRPr="00193FD0">
              <w:rPr>
                <w:rFonts w:asciiTheme="minorHAnsi" w:hAnsiTheme="minorHAnsi" w:cstheme="minorHAnsi"/>
                <w:color w:val="FF0000"/>
                <w:sz w:val="18"/>
                <w:szCs w:val="18"/>
              </w:rPr>
              <w:t xml:space="preserve">extreme rainfall </w:t>
            </w:r>
            <w:r w:rsidRPr="002A1F4C">
              <w:rPr>
                <w:rFonts w:asciiTheme="minorHAnsi" w:hAnsiTheme="minorHAnsi" w:cstheme="minorHAnsi"/>
                <w:color w:val="313E37"/>
                <w:sz w:val="18"/>
                <w:szCs w:val="18"/>
              </w:rPr>
              <w:t>events is projected, with high confidence.</w:t>
            </w:r>
          </w:p>
          <w:p w14:paraId="76C623C6" w14:textId="6D3520AE" w:rsidR="002A1F4C" w:rsidRPr="002A1F4C" w:rsidRDefault="002A1F4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313E37"/>
                <w:sz w:val="18"/>
                <w:szCs w:val="18"/>
              </w:rPr>
              <w:t xml:space="preserve">Time spent in </w:t>
            </w:r>
            <w:r w:rsidRPr="002A1F4C">
              <w:rPr>
                <w:rFonts w:asciiTheme="minorHAnsi" w:hAnsiTheme="minorHAnsi" w:cstheme="minorHAnsi"/>
                <w:color w:val="FF0000"/>
                <w:sz w:val="18"/>
                <w:szCs w:val="18"/>
              </w:rPr>
              <w:t xml:space="preserve">drought </w:t>
            </w:r>
            <w:r w:rsidRPr="002A1F4C">
              <w:rPr>
                <w:rFonts w:asciiTheme="minorHAnsi" w:hAnsiTheme="minorHAnsi" w:cstheme="minorHAnsi"/>
                <w:color w:val="313E37"/>
                <w:sz w:val="18"/>
                <w:szCs w:val="18"/>
              </w:rPr>
              <w:t xml:space="preserve">is projected, with </w:t>
            </w:r>
            <w:r w:rsidRPr="002A1F4C">
              <w:rPr>
                <w:rFonts w:asciiTheme="minorHAnsi" w:hAnsiTheme="minorHAnsi" w:cstheme="minorHAnsi"/>
                <w:i/>
                <w:iCs/>
                <w:color w:val="313E37"/>
                <w:sz w:val="18"/>
                <w:szCs w:val="18"/>
              </w:rPr>
              <w:t>medium confidence</w:t>
            </w:r>
            <w:r w:rsidRPr="002A1F4C">
              <w:rPr>
                <w:rFonts w:asciiTheme="minorHAnsi" w:hAnsiTheme="minorHAnsi" w:cstheme="minorHAnsi"/>
                <w:color w:val="313E37"/>
                <w:sz w:val="18"/>
                <w:szCs w:val="18"/>
              </w:rPr>
              <w:t>, to increase over the course of the century</w:t>
            </w:r>
            <w:r>
              <w:rPr>
                <w:rFonts w:asciiTheme="minorHAnsi" w:hAnsiTheme="minorHAnsi" w:cstheme="minorHAnsi"/>
                <w:color w:val="313E37"/>
                <w:sz w:val="18"/>
                <w:szCs w:val="18"/>
              </w:rPr>
              <w:t>.</w:t>
            </w:r>
          </w:p>
          <w:p w14:paraId="47EA5CA5" w14:textId="49AE38FC" w:rsidR="00483E8C" w:rsidRPr="002A1F4C" w:rsidRDefault="00483E8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313E37"/>
                <w:sz w:val="18"/>
                <w:szCs w:val="18"/>
              </w:rPr>
              <w:t>Mean sea level will continue to rise and height of extreme sea-level events will also increase (very high confidence).</w:t>
            </w:r>
          </w:p>
          <w:p w14:paraId="64D0274B" w14:textId="77777777" w:rsidR="002A1F4C" w:rsidRDefault="002A1F4C" w:rsidP="009250B8">
            <w:pPr>
              <w:numPr>
                <w:ilvl w:val="0"/>
                <w:numId w:val="17"/>
              </w:numPr>
              <w:tabs>
                <w:tab w:val="clear" w:pos="720"/>
                <w:tab w:val="num" w:pos="315"/>
              </w:tabs>
              <w:ind w:left="315" w:right="136" w:hanging="284"/>
              <w:rPr>
                <w:rFonts w:asciiTheme="minorHAnsi" w:hAnsiTheme="minorHAnsi" w:cstheme="minorHAnsi"/>
                <w:color w:val="313E37"/>
                <w:sz w:val="18"/>
                <w:szCs w:val="18"/>
              </w:rPr>
            </w:pPr>
            <w:r w:rsidRPr="002B320D">
              <w:rPr>
                <w:rFonts w:asciiTheme="minorHAnsi" w:hAnsiTheme="minorHAnsi" w:cstheme="minorHAnsi"/>
                <w:color w:val="FF0000"/>
                <w:sz w:val="18"/>
                <w:szCs w:val="18"/>
              </w:rPr>
              <w:t xml:space="preserve">Potential evapotranspiration </w:t>
            </w:r>
            <w:r w:rsidRPr="002B320D">
              <w:rPr>
                <w:rFonts w:asciiTheme="minorHAnsi" w:hAnsiTheme="minorHAnsi" w:cstheme="minorHAnsi"/>
                <w:color w:val="313E37"/>
                <w:sz w:val="18"/>
                <w:szCs w:val="18"/>
              </w:rPr>
              <w:t>is projected to increase in all seasons as warming progresses (</w:t>
            </w:r>
            <w:r w:rsidRPr="002B320D">
              <w:rPr>
                <w:rFonts w:asciiTheme="minorHAnsi" w:hAnsiTheme="minorHAnsi" w:cstheme="minorHAnsi"/>
                <w:i/>
                <w:iCs/>
                <w:color w:val="313E37"/>
                <w:sz w:val="18"/>
                <w:szCs w:val="18"/>
              </w:rPr>
              <w:t>high confidence</w:t>
            </w:r>
            <w:r w:rsidRPr="002B320D">
              <w:rPr>
                <w:rFonts w:asciiTheme="minorHAnsi" w:hAnsiTheme="minorHAnsi" w:cstheme="minorHAnsi"/>
                <w:color w:val="313E37"/>
                <w:sz w:val="18"/>
                <w:szCs w:val="18"/>
              </w:rPr>
              <w:t>).</w:t>
            </w:r>
          </w:p>
          <w:p w14:paraId="208046F5" w14:textId="77777777" w:rsidR="002A1F4C" w:rsidRPr="002A1F4C" w:rsidRDefault="002A1F4C" w:rsidP="009250B8">
            <w:pPr>
              <w:numPr>
                <w:ilvl w:val="0"/>
                <w:numId w:val="17"/>
              </w:numPr>
              <w:tabs>
                <w:tab w:val="clear" w:pos="720"/>
                <w:tab w:val="num" w:pos="315"/>
              </w:tabs>
              <w:ind w:left="315" w:right="136" w:hanging="284"/>
              <w:rPr>
                <w:rFonts w:asciiTheme="minorHAnsi" w:hAnsiTheme="minorHAnsi" w:cstheme="minorHAnsi"/>
                <w:color w:val="313E37"/>
                <w:sz w:val="18"/>
                <w:szCs w:val="18"/>
              </w:rPr>
            </w:pPr>
            <w:r>
              <w:rPr>
                <w:rFonts w:asciiTheme="minorHAnsi" w:hAnsiTheme="minorHAnsi" w:cstheme="minorHAnsi"/>
                <w:color w:val="FF0000"/>
                <w:sz w:val="18"/>
                <w:szCs w:val="18"/>
              </w:rPr>
              <w:t>Soil moisture</w:t>
            </w:r>
            <w:r>
              <w:rPr>
                <w:rFonts w:asciiTheme="minorHAnsi" w:hAnsiTheme="minorHAnsi" w:cstheme="minorHAnsi"/>
                <w:sz w:val="18"/>
                <w:szCs w:val="18"/>
              </w:rPr>
              <w:t xml:space="preserve">. </w:t>
            </w:r>
            <w:r w:rsidRPr="002A1F4C">
              <w:rPr>
                <w:rFonts w:asciiTheme="minorHAnsi" w:hAnsiTheme="minorHAnsi" w:cstheme="minorHAnsi"/>
                <w:i/>
                <w:iCs/>
                <w:sz w:val="18"/>
                <w:szCs w:val="18"/>
              </w:rPr>
              <w:t>Currently under revision</w:t>
            </w:r>
            <w:r>
              <w:rPr>
                <w:rFonts w:asciiTheme="minorHAnsi" w:hAnsiTheme="minorHAnsi" w:cstheme="minorHAnsi"/>
                <w:sz w:val="18"/>
                <w:szCs w:val="18"/>
              </w:rPr>
              <w:t>.</w:t>
            </w:r>
          </w:p>
          <w:p w14:paraId="742EEF41" w14:textId="77777777" w:rsidR="002A1F4C" w:rsidRPr="002B320D" w:rsidRDefault="002A1F4C" w:rsidP="009250B8">
            <w:pPr>
              <w:numPr>
                <w:ilvl w:val="0"/>
                <w:numId w:val="17"/>
              </w:numPr>
              <w:tabs>
                <w:tab w:val="clear" w:pos="720"/>
                <w:tab w:val="num" w:pos="315"/>
              </w:tabs>
              <w:ind w:left="315" w:right="136" w:hanging="284"/>
              <w:rPr>
                <w:rFonts w:asciiTheme="minorHAnsi" w:hAnsiTheme="minorHAnsi" w:cstheme="minorHAnsi"/>
                <w:color w:val="313E37"/>
                <w:sz w:val="18"/>
                <w:szCs w:val="18"/>
              </w:rPr>
            </w:pPr>
            <w:r>
              <w:rPr>
                <w:rFonts w:asciiTheme="minorHAnsi" w:hAnsiTheme="minorHAnsi" w:cstheme="minorHAnsi"/>
                <w:color w:val="FF0000"/>
                <w:sz w:val="18"/>
                <w:szCs w:val="18"/>
              </w:rPr>
              <w:t>Runoff</w:t>
            </w:r>
            <w:r w:rsidRPr="002A1F4C">
              <w:rPr>
                <w:rFonts w:asciiTheme="minorHAnsi" w:hAnsiTheme="minorHAnsi" w:cstheme="minorHAnsi"/>
                <w:color w:val="313E37"/>
                <w:sz w:val="18"/>
                <w:szCs w:val="18"/>
              </w:rPr>
              <w:t>.</w:t>
            </w:r>
            <w:r>
              <w:rPr>
                <w:rFonts w:asciiTheme="minorHAnsi" w:hAnsiTheme="minorHAnsi" w:cstheme="minorHAnsi"/>
                <w:color w:val="313E37"/>
                <w:sz w:val="18"/>
                <w:szCs w:val="18"/>
              </w:rPr>
              <w:t xml:space="preserve"> </w:t>
            </w:r>
            <w:r w:rsidRPr="002A1F4C">
              <w:rPr>
                <w:rFonts w:asciiTheme="minorHAnsi" w:hAnsiTheme="minorHAnsi" w:cstheme="minorHAnsi"/>
                <w:i/>
                <w:iCs/>
                <w:color w:val="313E37"/>
                <w:sz w:val="18"/>
                <w:szCs w:val="18"/>
              </w:rPr>
              <w:t>Currently under revision</w:t>
            </w:r>
            <w:r>
              <w:rPr>
                <w:rFonts w:asciiTheme="minorHAnsi" w:hAnsiTheme="minorHAnsi" w:cstheme="minorHAnsi"/>
                <w:color w:val="313E37"/>
                <w:sz w:val="18"/>
                <w:szCs w:val="18"/>
              </w:rPr>
              <w:t>.</w:t>
            </w:r>
          </w:p>
          <w:p w14:paraId="5B7B0E02" w14:textId="25E1639C" w:rsidR="00483E8C" w:rsidRPr="002A1F4C" w:rsidRDefault="00483E8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313E37"/>
                <w:sz w:val="18"/>
                <w:szCs w:val="18"/>
              </w:rPr>
              <w:t xml:space="preserve">There is little change in </w:t>
            </w:r>
            <w:r w:rsidRPr="002A1F4C">
              <w:rPr>
                <w:rFonts w:asciiTheme="minorHAnsi" w:hAnsiTheme="minorHAnsi" w:cstheme="minorHAnsi"/>
                <w:color w:val="FF0000"/>
                <w:sz w:val="18"/>
                <w:szCs w:val="18"/>
              </w:rPr>
              <w:t xml:space="preserve">relative humidity </w:t>
            </w:r>
            <w:r w:rsidRPr="002A1F4C">
              <w:rPr>
                <w:rFonts w:asciiTheme="minorHAnsi" w:hAnsiTheme="minorHAnsi" w:cstheme="minorHAnsi"/>
                <w:color w:val="313E37"/>
                <w:sz w:val="18"/>
                <w:szCs w:val="18"/>
              </w:rPr>
              <w:t xml:space="preserve">for the near future, but </w:t>
            </w:r>
            <w:r w:rsidRPr="002A1F4C">
              <w:rPr>
                <w:rFonts w:asciiTheme="minorHAnsi" w:hAnsiTheme="minorHAnsi" w:cstheme="minorHAnsi"/>
                <w:i/>
                <w:iCs/>
                <w:color w:val="313E37"/>
                <w:sz w:val="18"/>
                <w:szCs w:val="18"/>
              </w:rPr>
              <w:t>medium confidence</w:t>
            </w:r>
            <w:r w:rsidRPr="002A1F4C">
              <w:rPr>
                <w:rFonts w:asciiTheme="minorHAnsi" w:hAnsiTheme="minorHAnsi" w:cstheme="minorHAnsi"/>
                <w:color w:val="313E37"/>
                <w:sz w:val="18"/>
                <w:szCs w:val="18"/>
              </w:rPr>
              <w:t xml:space="preserve"> in a decrease later in the century.</w:t>
            </w:r>
          </w:p>
          <w:p w14:paraId="04F1052E" w14:textId="7AE54613" w:rsidR="00483E8C" w:rsidRPr="002A1F4C" w:rsidRDefault="00483E8C" w:rsidP="009250B8">
            <w:pPr>
              <w:numPr>
                <w:ilvl w:val="0"/>
                <w:numId w:val="17"/>
              </w:numPr>
              <w:tabs>
                <w:tab w:val="clear" w:pos="720"/>
              </w:tabs>
              <w:ind w:left="315" w:right="136" w:hanging="284"/>
              <w:rPr>
                <w:rFonts w:asciiTheme="minorHAnsi" w:hAnsiTheme="minorHAnsi" w:cstheme="minorHAnsi"/>
                <w:color w:val="313E37"/>
                <w:sz w:val="18"/>
                <w:szCs w:val="18"/>
              </w:rPr>
            </w:pPr>
            <w:r w:rsidRPr="002A1F4C">
              <w:rPr>
                <w:rFonts w:asciiTheme="minorHAnsi" w:hAnsiTheme="minorHAnsi" w:cstheme="minorHAnsi"/>
                <w:color w:val="313E37"/>
                <w:sz w:val="18"/>
                <w:szCs w:val="18"/>
              </w:rPr>
              <w:t xml:space="preserve">There is </w:t>
            </w:r>
            <w:r w:rsidRPr="002A1F4C">
              <w:rPr>
                <w:rFonts w:asciiTheme="minorHAnsi" w:hAnsiTheme="minorHAnsi" w:cstheme="minorHAnsi"/>
                <w:i/>
                <w:iCs/>
                <w:color w:val="313E37"/>
                <w:sz w:val="18"/>
                <w:szCs w:val="18"/>
              </w:rPr>
              <w:t>high confidence</w:t>
            </w:r>
            <w:r w:rsidRPr="002A1F4C">
              <w:rPr>
                <w:rFonts w:asciiTheme="minorHAnsi" w:hAnsiTheme="minorHAnsi" w:cstheme="minorHAnsi"/>
                <w:color w:val="313E37"/>
                <w:sz w:val="18"/>
                <w:szCs w:val="18"/>
              </w:rPr>
              <w:t xml:space="preserve"> that climate change will result in a harsher </w:t>
            </w:r>
            <w:r w:rsidRPr="002A1F4C">
              <w:rPr>
                <w:rFonts w:asciiTheme="minorHAnsi" w:hAnsiTheme="minorHAnsi" w:cstheme="minorHAnsi"/>
                <w:color w:val="FF0000"/>
                <w:sz w:val="18"/>
                <w:szCs w:val="18"/>
              </w:rPr>
              <w:t>fire</w:t>
            </w:r>
            <w:r w:rsidRPr="002A1F4C">
              <w:rPr>
                <w:rFonts w:asciiTheme="minorHAnsi" w:hAnsiTheme="minorHAnsi" w:cstheme="minorHAnsi"/>
                <w:color w:val="313E37"/>
                <w:sz w:val="18"/>
                <w:szCs w:val="18"/>
              </w:rPr>
              <w:t xml:space="preserve">-weather climate in the future. However, there is </w:t>
            </w:r>
            <w:r w:rsidRPr="002A1F4C">
              <w:rPr>
                <w:rFonts w:asciiTheme="minorHAnsi" w:hAnsiTheme="minorHAnsi" w:cstheme="minorHAnsi"/>
                <w:color w:val="FF0000"/>
                <w:sz w:val="18"/>
                <w:szCs w:val="18"/>
              </w:rPr>
              <w:t xml:space="preserve">low confidence </w:t>
            </w:r>
            <w:r w:rsidRPr="002A1F4C">
              <w:rPr>
                <w:rFonts w:asciiTheme="minorHAnsi" w:hAnsiTheme="minorHAnsi" w:cstheme="minorHAnsi"/>
                <w:color w:val="313E37"/>
                <w:sz w:val="18"/>
                <w:szCs w:val="18"/>
              </w:rPr>
              <w:t>in the magnitude of that change because of the significant uncertainties in the rainfall projection.</w:t>
            </w:r>
          </w:p>
          <w:p w14:paraId="4B27139B" w14:textId="77777777" w:rsidR="00483E8C" w:rsidRDefault="00483E8C" w:rsidP="00802F49">
            <w:pPr>
              <w:ind w:right="136"/>
              <w:rPr>
                <w:rFonts w:asciiTheme="minorHAnsi" w:hAnsiTheme="minorHAnsi" w:cstheme="minorHAnsi"/>
                <w:color w:val="313E37"/>
                <w:sz w:val="20"/>
                <w:szCs w:val="20"/>
              </w:rPr>
            </w:pPr>
          </w:p>
          <w:p w14:paraId="352803D7" w14:textId="77777777" w:rsidR="00483E8C" w:rsidRDefault="00483E8C" w:rsidP="00802F49">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5B282379" w14:textId="2F39EA2B" w:rsidR="00483E8C" w:rsidRDefault="00483E8C" w:rsidP="00802F49">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Pr>
                <w:noProof/>
              </w:rPr>
              <w:drawing>
                <wp:inline distT="0" distB="0" distL="0" distR="0" wp14:anchorId="03E71866" wp14:editId="1B6BFF7C">
                  <wp:extent cx="2479430" cy="1631001"/>
                  <wp:effectExtent l="0" t="0" r="0" b="7620"/>
                  <wp:docPr id="536941872" name="Picture 136324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51"/>
                          <pic:cNvPicPr/>
                        </pic:nvPicPr>
                        <pic:blipFill>
                          <a:blip r:embed="rId285">
                            <a:extLst>
                              <a:ext uri="{28A0092B-C50C-407E-A947-70E740481C1C}">
                                <a14:useLocalDpi xmlns:a14="http://schemas.microsoft.com/office/drawing/2010/main" val="0"/>
                              </a:ext>
                            </a:extLst>
                          </a:blip>
                          <a:stretch>
                            <a:fillRect/>
                          </a:stretch>
                        </pic:blipFill>
                        <pic:spPr>
                          <a:xfrm>
                            <a:off x="0" y="0"/>
                            <a:ext cx="2479430" cy="1631001"/>
                          </a:xfrm>
                          <a:prstGeom prst="rect">
                            <a:avLst/>
                          </a:prstGeom>
                        </pic:spPr>
                      </pic:pic>
                    </a:graphicData>
                  </a:graphic>
                </wp:inline>
              </w:drawing>
            </w:r>
            <w:r w:rsidRPr="1F802AF8">
              <w:rPr>
                <w:rFonts w:asciiTheme="minorHAnsi" w:hAnsiTheme="minorHAnsi" w:cstheme="minorBidi"/>
                <w:color w:val="313E37"/>
                <w:sz w:val="20"/>
                <w:szCs w:val="20"/>
              </w:rPr>
              <w:t xml:space="preserve">    </w:t>
            </w:r>
            <w:r>
              <w:rPr>
                <w:noProof/>
              </w:rPr>
              <w:drawing>
                <wp:inline distT="0" distB="0" distL="0" distR="0" wp14:anchorId="5BD9466A" wp14:editId="1935030E">
                  <wp:extent cx="2593730" cy="1704305"/>
                  <wp:effectExtent l="0" t="0" r="0" b="0"/>
                  <wp:docPr id="1093135567" name="Picture 136324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52"/>
                          <pic:cNvPicPr/>
                        </pic:nvPicPr>
                        <pic:blipFill>
                          <a:blip r:embed="rId286">
                            <a:extLst>
                              <a:ext uri="{28A0092B-C50C-407E-A947-70E740481C1C}">
                                <a14:useLocalDpi xmlns:a14="http://schemas.microsoft.com/office/drawing/2010/main" val="0"/>
                              </a:ext>
                            </a:extLst>
                          </a:blip>
                          <a:stretch>
                            <a:fillRect/>
                          </a:stretch>
                        </pic:blipFill>
                        <pic:spPr>
                          <a:xfrm>
                            <a:off x="0" y="0"/>
                            <a:ext cx="2593730" cy="1704305"/>
                          </a:xfrm>
                          <a:prstGeom prst="rect">
                            <a:avLst/>
                          </a:prstGeom>
                        </pic:spPr>
                      </pic:pic>
                    </a:graphicData>
                  </a:graphic>
                </wp:inline>
              </w:drawing>
            </w:r>
          </w:p>
          <w:p w14:paraId="2DE5C707" w14:textId="77777777" w:rsidR="00483E8C" w:rsidRPr="00EF238F" w:rsidRDefault="00483E8C" w:rsidP="00802F49">
            <w:pPr>
              <w:ind w:right="136"/>
              <w:rPr>
                <w:rFonts w:asciiTheme="minorHAnsi" w:hAnsiTheme="minorHAnsi" w:cstheme="minorHAnsi"/>
                <w:color w:val="313E37"/>
                <w:sz w:val="20"/>
                <w:szCs w:val="20"/>
              </w:rPr>
            </w:pPr>
          </w:p>
        </w:tc>
      </w:tr>
    </w:tbl>
    <w:p w14:paraId="27531DAF" w14:textId="5E6CC5B6" w:rsidR="00CF29F1" w:rsidRDefault="00CF29F1" w:rsidP="00852CC1">
      <w:pPr>
        <w:pStyle w:val="BodyText"/>
      </w:pPr>
    </w:p>
    <w:p w14:paraId="0DE9B156" w14:textId="77777777" w:rsidR="00CF29F1" w:rsidRDefault="00CF29F1">
      <w:pPr>
        <w:rPr>
          <w:rFonts w:ascii="Calibri" w:eastAsia="Calibri" w:hAnsi="Calibri"/>
          <w:color w:val="000000"/>
          <w:szCs w:val="22"/>
        </w:rPr>
      </w:pPr>
      <w:r>
        <w:br w:type="page"/>
      </w:r>
    </w:p>
    <w:tbl>
      <w:tblPr>
        <w:tblStyle w:val="TableGrid"/>
        <w:tblW w:w="0" w:type="auto"/>
        <w:tblLook w:val="04A0" w:firstRow="1" w:lastRow="0" w:firstColumn="1" w:lastColumn="0" w:noHBand="0" w:noVBand="1"/>
      </w:tblPr>
      <w:tblGrid>
        <w:gridCol w:w="2263"/>
        <w:gridCol w:w="7365"/>
      </w:tblGrid>
      <w:tr w:rsidR="00CF29F1" w14:paraId="1D8DED27" w14:textId="77777777" w:rsidTr="1F802AF8">
        <w:trPr>
          <w:trHeight w:val="329"/>
        </w:trPr>
        <w:tc>
          <w:tcPr>
            <w:tcW w:w="9628" w:type="dxa"/>
            <w:gridSpan w:val="2"/>
          </w:tcPr>
          <w:p w14:paraId="723605EB" w14:textId="20D6A1F0" w:rsidR="00CF29F1" w:rsidRPr="00EF238F" w:rsidRDefault="00CF29F1" w:rsidP="00802F49">
            <w:pPr>
              <w:pStyle w:val="BodyText"/>
              <w:rPr>
                <w:b/>
                <w:bCs/>
                <w:sz w:val="20"/>
              </w:rPr>
            </w:pPr>
            <w:r>
              <w:rPr>
                <w:b/>
                <w:bCs/>
                <w:sz w:val="20"/>
              </w:rPr>
              <w:lastRenderedPageBreak/>
              <w:t>Central Slopes</w:t>
            </w:r>
          </w:p>
        </w:tc>
      </w:tr>
      <w:tr w:rsidR="00CF29F1" w14:paraId="6235F54C" w14:textId="77777777" w:rsidTr="1F802AF8">
        <w:trPr>
          <w:trHeight w:val="1815"/>
        </w:trPr>
        <w:tc>
          <w:tcPr>
            <w:tcW w:w="2263" w:type="dxa"/>
          </w:tcPr>
          <w:p w14:paraId="68CFB07B" w14:textId="63015DD9" w:rsidR="00CF29F1" w:rsidRDefault="00CF29F1" w:rsidP="00802F49">
            <w:pPr>
              <w:pStyle w:val="BodyText"/>
            </w:pPr>
            <w:r>
              <w:rPr>
                <w:noProof/>
              </w:rPr>
              <w:drawing>
                <wp:inline distT="0" distB="0" distL="0" distR="0" wp14:anchorId="467A33CF" wp14:editId="21C2DCBF">
                  <wp:extent cx="1151792" cy="969307"/>
                  <wp:effectExtent l="0" t="0" r="0" b="2540"/>
                  <wp:docPr id="1089631443" name="Picture 136324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56"/>
                          <pic:cNvPicPr/>
                        </pic:nvPicPr>
                        <pic:blipFill>
                          <a:blip r:embed="rId287">
                            <a:extLst>
                              <a:ext uri="{28A0092B-C50C-407E-A947-70E740481C1C}">
                                <a14:useLocalDpi xmlns:a14="http://schemas.microsoft.com/office/drawing/2010/main" val="0"/>
                              </a:ext>
                            </a:extLst>
                          </a:blip>
                          <a:stretch>
                            <a:fillRect/>
                          </a:stretch>
                        </pic:blipFill>
                        <pic:spPr>
                          <a:xfrm>
                            <a:off x="0" y="0"/>
                            <a:ext cx="1151792" cy="969307"/>
                          </a:xfrm>
                          <a:prstGeom prst="rect">
                            <a:avLst/>
                          </a:prstGeom>
                        </pic:spPr>
                      </pic:pic>
                    </a:graphicData>
                  </a:graphic>
                </wp:inline>
              </w:drawing>
            </w:r>
          </w:p>
        </w:tc>
        <w:tc>
          <w:tcPr>
            <w:tcW w:w="7365" w:type="dxa"/>
          </w:tcPr>
          <w:p w14:paraId="02B24B2F" w14:textId="77777777" w:rsidR="00CF29F1" w:rsidRDefault="00CF29F1"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10AC7B32" w14:textId="1D7BC555" w:rsidR="00CF29F1" w:rsidRPr="00CF29F1" w:rsidRDefault="00CF29F1" w:rsidP="00CF29F1">
            <w:pPr>
              <w:pStyle w:val="BodyText"/>
              <w:spacing w:before="0" w:after="0" w:line="240" w:lineRule="auto"/>
              <w:rPr>
                <w:sz w:val="20"/>
              </w:rPr>
            </w:pPr>
            <w:r w:rsidRPr="00CF29F1">
              <w:rPr>
                <w:sz w:val="20"/>
              </w:rPr>
              <w:t>Management of agricultural soils</w:t>
            </w:r>
            <w:r w:rsidRPr="00CF29F1">
              <w:rPr>
                <w:sz w:val="20"/>
              </w:rPr>
              <w:tab/>
            </w:r>
            <w:r>
              <w:rPr>
                <w:sz w:val="20"/>
              </w:rPr>
              <w:tab/>
            </w:r>
            <w:r w:rsidRPr="00CF29F1">
              <w:rPr>
                <w:sz w:val="20"/>
              </w:rPr>
              <w:t>6</w:t>
            </w:r>
            <w:r>
              <w:rPr>
                <w:sz w:val="20"/>
              </w:rPr>
              <w:tab/>
            </w:r>
            <w:r w:rsidRPr="00CF29F1">
              <w:rPr>
                <w:sz w:val="20"/>
              </w:rPr>
              <w:tab/>
              <w:t xml:space="preserve"> 11,450 </w:t>
            </w:r>
          </w:p>
          <w:p w14:paraId="43FEF2C6" w14:textId="29CEC39C" w:rsidR="00CF29F1" w:rsidRPr="00CF29F1" w:rsidRDefault="00CF29F1" w:rsidP="00CF29F1">
            <w:pPr>
              <w:pStyle w:val="BodyText"/>
              <w:spacing w:before="0" w:after="0" w:line="240" w:lineRule="auto"/>
              <w:rPr>
                <w:sz w:val="20"/>
              </w:rPr>
            </w:pPr>
            <w:r w:rsidRPr="00CF29F1">
              <w:rPr>
                <w:sz w:val="20"/>
              </w:rPr>
              <w:t>Planting of new forests</w:t>
            </w:r>
            <w:r w:rsidRPr="00CF29F1">
              <w:rPr>
                <w:sz w:val="20"/>
              </w:rPr>
              <w:tab/>
            </w:r>
            <w:r>
              <w:rPr>
                <w:sz w:val="20"/>
              </w:rPr>
              <w:tab/>
            </w:r>
            <w:r>
              <w:rPr>
                <w:sz w:val="20"/>
              </w:rPr>
              <w:tab/>
            </w:r>
            <w:r w:rsidRPr="00CF29F1">
              <w:rPr>
                <w:sz w:val="20"/>
              </w:rPr>
              <w:t>7</w:t>
            </w:r>
            <w:r>
              <w:rPr>
                <w:sz w:val="20"/>
              </w:rPr>
              <w:tab/>
            </w:r>
            <w:r w:rsidRPr="00CF29F1">
              <w:rPr>
                <w:sz w:val="20"/>
              </w:rPr>
              <w:tab/>
              <w:t xml:space="preserve"> 1,710 </w:t>
            </w:r>
          </w:p>
          <w:p w14:paraId="26B465F4" w14:textId="42B41589" w:rsidR="00CF29F1" w:rsidRPr="00CF29F1" w:rsidRDefault="00CF29F1" w:rsidP="00CF29F1">
            <w:pPr>
              <w:pStyle w:val="BodyText"/>
              <w:spacing w:before="0" w:after="0" w:line="240" w:lineRule="auto"/>
              <w:rPr>
                <w:sz w:val="20"/>
              </w:rPr>
            </w:pPr>
            <w:r w:rsidRPr="00CF29F1">
              <w:rPr>
                <w:sz w:val="20"/>
              </w:rPr>
              <w:t>Protection of existing forests</w:t>
            </w:r>
            <w:r w:rsidRPr="00CF29F1">
              <w:rPr>
                <w:sz w:val="20"/>
              </w:rPr>
              <w:tab/>
            </w:r>
            <w:r>
              <w:rPr>
                <w:sz w:val="20"/>
              </w:rPr>
              <w:tab/>
            </w:r>
            <w:r w:rsidRPr="00CF29F1">
              <w:rPr>
                <w:sz w:val="20"/>
              </w:rPr>
              <w:t>5</w:t>
            </w:r>
            <w:r>
              <w:rPr>
                <w:sz w:val="20"/>
              </w:rPr>
              <w:tab/>
            </w:r>
            <w:r w:rsidRPr="00CF29F1">
              <w:rPr>
                <w:sz w:val="20"/>
              </w:rPr>
              <w:tab/>
              <w:t xml:space="preserve"> 29,559 </w:t>
            </w:r>
          </w:p>
          <w:p w14:paraId="337D1FB3" w14:textId="24E7FE26" w:rsidR="00CF29F1" w:rsidRPr="0054376E" w:rsidRDefault="00FB2D3A" w:rsidP="00CF29F1">
            <w:pPr>
              <w:pStyle w:val="BodyText"/>
              <w:spacing w:before="0" w:after="0" w:line="240" w:lineRule="auto"/>
              <w:rPr>
                <w:sz w:val="20"/>
              </w:rPr>
            </w:pPr>
            <w:r>
              <w:rPr>
                <w:sz w:val="20"/>
              </w:rPr>
              <w:t>Re-</w:t>
            </w:r>
            <w:r w:rsidR="00187AAD">
              <w:rPr>
                <w:sz w:val="20"/>
              </w:rPr>
              <w:t>establishment</w:t>
            </w:r>
            <w:r w:rsidR="00187AAD" w:rsidRPr="00CF29F1">
              <w:rPr>
                <w:sz w:val="20"/>
              </w:rPr>
              <w:t xml:space="preserve"> of</w:t>
            </w:r>
            <w:r w:rsidR="00CF29F1" w:rsidRPr="00CF29F1">
              <w:rPr>
                <w:sz w:val="20"/>
              </w:rPr>
              <w:t xml:space="preserve"> native forest cover</w:t>
            </w:r>
            <w:r w:rsidR="00CF29F1" w:rsidRPr="00CF29F1">
              <w:rPr>
                <w:sz w:val="20"/>
              </w:rPr>
              <w:tab/>
              <w:t>10</w:t>
            </w:r>
            <w:r w:rsidR="00CF29F1" w:rsidRPr="00CF29F1">
              <w:rPr>
                <w:sz w:val="20"/>
              </w:rPr>
              <w:tab/>
              <w:t xml:space="preserve"> </w:t>
            </w:r>
            <w:r w:rsidR="00CF29F1">
              <w:rPr>
                <w:sz w:val="20"/>
              </w:rPr>
              <w:tab/>
            </w:r>
            <w:r w:rsidR="00CF29F1" w:rsidRPr="00CF29F1">
              <w:rPr>
                <w:sz w:val="20"/>
              </w:rPr>
              <w:t>13,926</w:t>
            </w:r>
          </w:p>
        </w:tc>
      </w:tr>
      <w:tr w:rsidR="00CF29F1" w14:paraId="4F5BAE88" w14:textId="77777777" w:rsidTr="1F802AF8">
        <w:tc>
          <w:tcPr>
            <w:tcW w:w="9628" w:type="dxa"/>
            <w:gridSpan w:val="2"/>
          </w:tcPr>
          <w:p w14:paraId="4B104FF2" w14:textId="77777777" w:rsidR="00CF29F1" w:rsidRPr="00EF238F" w:rsidRDefault="00CF29F1"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15963FB2" w14:textId="2562C0A6" w:rsidR="00CF29F1" w:rsidRPr="00160A76" w:rsidRDefault="00CF29F1" w:rsidP="009250B8">
            <w:pPr>
              <w:numPr>
                <w:ilvl w:val="0"/>
                <w:numId w:val="17"/>
              </w:numPr>
              <w:tabs>
                <w:tab w:val="clear" w:pos="720"/>
              </w:tabs>
              <w:ind w:left="315" w:right="136" w:hanging="284"/>
              <w:rPr>
                <w:rFonts w:asciiTheme="minorHAnsi" w:hAnsiTheme="minorHAnsi" w:cstheme="minorHAnsi"/>
                <w:color w:val="313E37"/>
                <w:sz w:val="18"/>
                <w:szCs w:val="18"/>
              </w:rPr>
            </w:pPr>
            <w:r w:rsidRPr="00160A76">
              <w:rPr>
                <w:rFonts w:asciiTheme="minorHAnsi" w:hAnsiTheme="minorHAnsi" w:cstheme="minorHAnsi"/>
                <w:color w:val="FF0000"/>
                <w:sz w:val="18"/>
                <w:szCs w:val="18"/>
              </w:rPr>
              <w:t xml:space="preserve">Average temperatures </w:t>
            </w:r>
            <w:r w:rsidRPr="00160A76">
              <w:rPr>
                <w:rFonts w:asciiTheme="minorHAnsi" w:hAnsiTheme="minorHAnsi" w:cstheme="minorHAnsi"/>
                <w:color w:val="313E37"/>
                <w:sz w:val="18"/>
                <w:szCs w:val="18"/>
              </w:rPr>
              <w:t>will continue to increase in all seasons (</w:t>
            </w:r>
            <w:r w:rsidRPr="00160A76">
              <w:rPr>
                <w:rFonts w:asciiTheme="minorHAnsi" w:hAnsiTheme="minorHAnsi" w:cstheme="minorHAnsi"/>
                <w:i/>
                <w:iCs/>
                <w:color w:val="313E37"/>
                <w:sz w:val="18"/>
                <w:szCs w:val="18"/>
              </w:rPr>
              <w:t>very high confidence</w:t>
            </w:r>
            <w:r w:rsidRPr="00160A76">
              <w:rPr>
                <w:rFonts w:asciiTheme="minorHAnsi" w:hAnsiTheme="minorHAnsi" w:cstheme="minorHAnsi"/>
                <w:color w:val="313E37"/>
                <w:sz w:val="18"/>
                <w:szCs w:val="18"/>
              </w:rPr>
              <w:t>).</w:t>
            </w:r>
            <w:r w:rsidR="00160A76" w:rsidRPr="00160A76">
              <w:rPr>
                <w:rFonts w:asciiTheme="minorHAnsi" w:hAnsiTheme="minorHAnsi" w:cstheme="minorHAnsi"/>
                <w:color w:val="313E37"/>
                <w:sz w:val="18"/>
                <w:szCs w:val="18"/>
              </w:rPr>
              <w:t xml:space="preserve"> For the near future (2030), the annually averaged warming across all emission scenarios is projected to be around 0.6 to 1.5 °C above the climate of 1986–2005. By late in the century (2090), for a high emission scenario (RCP8.5) the projected range of warming is 3.0 to 5.4 °C. Under an intermediate scenario (RCP4.5) the projected warming is 1.4 to 2.7 °C.</w:t>
            </w:r>
          </w:p>
          <w:p w14:paraId="7DC5823A" w14:textId="77777777" w:rsidR="00160A76" w:rsidRPr="00160A76" w:rsidRDefault="00160A76" w:rsidP="009250B8">
            <w:pPr>
              <w:numPr>
                <w:ilvl w:val="0"/>
                <w:numId w:val="17"/>
              </w:numPr>
              <w:tabs>
                <w:tab w:val="clear" w:pos="720"/>
              </w:tabs>
              <w:ind w:left="315" w:right="136" w:hanging="284"/>
              <w:rPr>
                <w:rFonts w:asciiTheme="minorHAnsi" w:hAnsiTheme="minorHAnsi" w:cstheme="minorHAnsi"/>
                <w:color w:val="313E37"/>
                <w:sz w:val="18"/>
                <w:szCs w:val="18"/>
              </w:rPr>
            </w:pPr>
            <w:r w:rsidRPr="00160A76">
              <w:rPr>
                <w:rFonts w:asciiTheme="minorHAnsi" w:hAnsiTheme="minorHAnsi" w:cstheme="minorHAnsi"/>
                <w:color w:val="FF0000"/>
                <w:sz w:val="18"/>
                <w:szCs w:val="18"/>
              </w:rPr>
              <w:t xml:space="preserve">Extreme temperatures </w:t>
            </w:r>
            <w:r w:rsidRPr="00160A76">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160A76">
              <w:rPr>
                <w:rFonts w:asciiTheme="minorHAnsi" w:hAnsiTheme="minorHAnsi" w:cstheme="minorHAnsi"/>
                <w:i/>
                <w:iCs/>
                <w:color w:val="313E37"/>
                <w:sz w:val="18"/>
                <w:szCs w:val="18"/>
              </w:rPr>
              <w:t>very high confidence</w:t>
            </w:r>
            <w:r w:rsidRPr="00160A76">
              <w:rPr>
                <w:rFonts w:asciiTheme="minorHAnsi" w:hAnsiTheme="minorHAnsi" w:cstheme="minorHAnsi"/>
                <w:color w:val="313E37"/>
                <w:sz w:val="18"/>
                <w:szCs w:val="18"/>
              </w:rPr>
              <w:t>)</w:t>
            </w:r>
          </w:p>
          <w:p w14:paraId="40164EE7" w14:textId="64433382" w:rsidR="00CF29F1" w:rsidRPr="00160A76" w:rsidRDefault="00160A76" w:rsidP="009250B8">
            <w:pPr>
              <w:numPr>
                <w:ilvl w:val="0"/>
                <w:numId w:val="17"/>
              </w:numPr>
              <w:tabs>
                <w:tab w:val="clear" w:pos="720"/>
              </w:tabs>
              <w:ind w:left="315" w:right="136" w:hanging="284"/>
              <w:rPr>
                <w:rFonts w:asciiTheme="minorHAnsi" w:hAnsiTheme="minorHAnsi" w:cstheme="minorHAnsi"/>
                <w:color w:val="313E37"/>
                <w:sz w:val="18"/>
                <w:szCs w:val="18"/>
              </w:rPr>
            </w:pPr>
            <w:r w:rsidRPr="00160A76">
              <w:rPr>
                <w:rFonts w:asciiTheme="minorHAnsi" w:hAnsiTheme="minorHAnsi" w:cstheme="minorHAnsi"/>
                <w:color w:val="FF0000"/>
                <w:sz w:val="18"/>
                <w:szCs w:val="18"/>
              </w:rPr>
              <w:t xml:space="preserve">Frost </w:t>
            </w:r>
            <w:r w:rsidRPr="00160A76">
              <w:rPr>
                <w:rFonts w:asciiTheme="minorHAnsi" w:hAnsiTheme="minorHAnsi" w:cstheme="minorHAnsi"/>
                <w:color w:val="313E37"/>
                <w:sz w:val="18"/>
                <w:szCs w:val="18"/>
              </w:rPr>
              <w:t>risk days (minimum temperatures under 2 °C) are expected to decrease across the cluster (high confidence)</w:t>
            </w:r>
            <w:r w:rsidR="00CF29F1" w:rsidRPr="00160A76">
              <w:rPr>
                <w:rFonts w:asciiTheme="minorHAnsi" w:hAnsiTheme="minorHAnsi" w:cstheme="minorHAnsi"/>
                <w:color w:val="313E37"/>
                <w:sz w:val="18"/>
                <w:szCs w:val="18"/>
              </w:rPr>
              <w:t>.</w:t>
            </w:r>
          </w:p>
          <w:p w14:paraId="32DDD972" w14:textId="172584BD" w:rsidR="00CF29F1" w:rsidRPr="00160A76" w:rsidRDefault="00160A76" w:rsidP="009250B8">
            <w:pPr>
              <w:numPr>
                <w:ilvl w:val="0"/>
                <w:numId w:val="17"/>
              </w:numPr>
              <w:tabs>
                <w:tab w:val="clear" w:pos="720"/>
              </w:tabs>
              <w:ind w:left="315" w:right="136" w:hanging="284"/>
              <w:rPr>
                <w:rFonts w:asciiTheme="minorHAnsi" w:hAnsiTheme="minorHAnsi" w:cstheme="minorHAnsi"/>
                <w:color w:val="313E37"/>
                <w:sz w:val="18"/>
                <w:szCs w:val="18"/>
              </w:rPr>
            </w:pPr>
            <w:r w:rsidRPr="00160A76">
              <w:rPr>
                <w:rFonts w:asciiTheme="minorHAnsi" w:hAnsiTheme="minorHAnsi" w:cstheme="minorHAnsi"/>
                <w:color w:val="313E37"/>
                <w:sz w:val="18"/>
                <w:szCs w:val="18"/>
              </w:rPr>
              <w:t xml:space="preserve">In the near future (2030) natural variability in </w:t>
            </w:r>
            <w:r w:rsidRPr="00160A76">
              <w:rPr>
                <w:rFonts w:asciiTheme="minorHAnsi" w:hAnsiTheme="minorHAnsi" w:cstheme="minorHAnsi"/>
                <w:color w:val="FF0000"/>
                <w:sz w:val="18"/>
                <w:szCs w:val="18"/>
              </w:rPr>
              <w:t>rainfall</w:t>
            </w:r>
            <w:r w:rsidRPr="00160A76">
              <w:rPr>
                <w:rFonts w:asciiTheme="minorHAnsi" w:hAnsiTheme="minorHAnsi" w:cstheme="minorHAnsi"/>
                <w:color w:val="313E37"/>
                <w:sz w:val="18"/>
                <w:szCs w:val="18"/>
              </w:rPr>
              <w:t xml:space="preserve"> is projected to predominate over trends due to greenhouse gas emissions. Late in the century, climate model results indicate decreasing winter rainfall with </w:t>
            </w:r>
            <w:r w:rsidRPr="00160A76">
              <w:rPr>
                <w:rFonts w:asciiTheme="minorHAnsi" w:hAnsiTheme="minorHAnsi" w:cstheme="minorHAnsi"/>
                <w:i/>
                <w:iCs/>
                <w:color w:val="313E37"/>
                <w:sz w:val="18"/>
                <w:szCs w:val="18"/>
              </w:rPr>
              <w:t>high confidence</w:t>
            </w:r>
            <w:r w:rsidRPr="00160A76">
              <w:rPr>
                <w:rFonts w:asciiTheme="minorHAnsi" w:hAnsiTheme="minorHAnsi" w:cstheme="minorHAnsi"/>
                <w:color w:val="313E37"/>
                <w:sz w:val="18"/>
                <w:szCs w:val="18"/>
              </w:rPr>
              <w:t xml:space="preserve">. There is a good understanding of the physical mechanisms driving this change (southward shift of winter storm systems together with rising mean pressure over the region). Decreases are also projected in spring, with </w:t>
            </w:r>
            <w:r w:rsidRPr="00160A76">
              <w:rPr>
                <w:rFonts w:asciiTheme="minorHAnsi" w:hAnsiTheme="minorHAnsi" w:cstheme="minorHAnsi"/>
                <w:i/>
                <w:iCs/>
                <w:color w:val="313E37"/>
                <w:sz w:val="18"/>
                <w:szCs w:val="18"/>
              </w:rPr>
              <w:t>medium confidence</w:t>
            </w:r>
            <w:r w:rsidRPr="00160A76">
              <w:rPr>
                <w:rFonts w:asciiTheme="minorHAnsi" w:hAnsiTheme="minorHAnsi" w:cstheme="minorHAnsi"/>
                <w:color w:val="313E37"/>
                <w:sz w:val="18"/>
                <w:szCs w:val="18"/>
              </w:rPr>
              <w:t>.</w:t>
            </w:r>
          </w:p>
          <w:p w14:paraId="1E0052E6" w14:textId="7D8A1A8A" w:rsidR="00CF29F1" w:rsidRPr="00160A76" w:rsidRDefault="00CF29F1" w:rsidP="009250B8">
            <w:pPr>
              <w:numPr>
                <w:ilvl w:val="0"/>
                <w:numId w:val="17"/>
              </w:numPr>
              <w:tabs>
                <w:tab w:val="clear" w:pos="720"/>
              </w:tabs>
              <w:ind w:left="315" w:right="136" w:hanging="284"/>
              <w:rPr>
                <w:rFonts w:asciiTheme="minorHAnsi" w:hAnsiTheme="minorHAnsi" w:cstheme="minorHAnsi"/>
                <w:color w:val="313E37"/>
                <w:sz w:val="18"/>
                <w:szCs w:val="18"/>
              </w:rPr>
            </w:pPr>
            <w:r w:rsidRPr="001925E8">
              <w:rPr>
                <w:rFonts w:asciiTheme="minorHAnsi" w:hAnsiTheme="minorHAnsi" w:cstheme="minorHAnsi"/>
                <w:color w:val="FF0000"/>
                <w:sz w:val="18"/>
                <w:szCs w:val="18"/>
              </w:rPr>
              <w:t xml:space="preserve">Potential evapotranspiration </w:t>
            </w:r>
            <w:r w:rsidR="00160A76" w:rsidRPr="00160A76">
              <w:rPr>
                <w:rFonts w:asciiTheme="minorHAnsi" w:hAnsiTheme="minorHAnsi" w:cstheme="minorHAnsi"/>
                <w:color w:val="313E37"/>
                <w:sz w:val="18"/>
                <w:szCs w:val="18"/>
              </w:rPr>
              <w:t>is projected to increase in all seasons</w:t>
            </w:r>
            <w:r w:rsidR="001925E8">
              <w:rPr>
                <w:rFonts w:asciiTheme="minorHAnsi" w:hAnsiTheme="minorHAnsi" w:cstheme="minorHAnsi"/>
                <w:color w:val="313E37"/>
                <w:sz w:val="18"/>
                <w:szCs w:val="18"/>
              </w:rPr>
              <w:t xml:space="preserve"> (</w:t>
            </w:r>
            <w:r w:rsidR="001925E8" w:rsidRPr="001925E8">
              <w:rPr>
                <w:rFonts w:asciiTheme="minorHAnsi" w:hAnsiTheme="minorHAnsi" w:cstheme="minorHAnsi"/>
                <w:i/>
                <w:iCs/>
                <w:color w:val="313E37"/>
                <w:sz w:val="18"/>
                <w:szCs w:val="18"/>
              </w:rPr>
              <w:t>high confidence</w:t>
            </w:r>
            <w:r w:rsidR="001925E8">
              <w:rPr>
                <w:rFonts w:asciiTheme="minorHAnsi" w:hAnsiTheme="minorHAnsi" w:cstheme="minorHAnsi"/>
                <w:color w:val="313E37"/>
                <w:sz w:val="18"/>
                <w:szCs w:val="18"/>
              </w:rPr>
              <w:t xml:space="preserve">). </w:t>
            </w:r>
            <w:r w:rsidR="001925E8" w:rsidRPr="001925E8">
              <w:rPr>
                <w:rFonts w:asciiTheme="minorHAnsi" w:hAnsiTheme="minorHAnsi" w:cstheme="minorHAnsi"/>
                <w:color w:val="313E37"/>
                <w:sz w:val="18"/>
                <w:szCs w:val="18"/>
              </w:rPr>
              <w:t>In relative terms, increases are similar amongst the four seasons, with somewhat smaller increases in spring. Projected changes for summer, autumn and winter are around -1 to 8 % (about 1 to 5 % for spring) in 2030 and about 5 to 15 % (about 0 to 10% for spring) and 10 to 25 % (about 5 to 15 % for spring) respectively for RCP4.5 and RCP8.5 in 2090. In absolute terms, changes are largest in summer, particularly for RCP8.5</w:t>
            </w:r>
            <w:r w:rsidR="001925E8">
              <w:rPr>
                <w:rFonts w:asciiTheme="minorHAnsi" w:hAnsiTheme="minorHAnsi" w:cstheme="minorHAnsi"/>
                <w:color w:val="313E37"/>
                <w:sz w:val="18"/>
                <w:szCs w:val="18"/>
              </w:rPr>
              <w:t xml:space="preserve">. </w:t>
            </w:r>
            <w:r w:rsidR="001925E8" w:rsidRPr="001925E8">
              <w:rPr>
                <w:rFonts w:asciiTheme="minorHAnsi" w:hAnsiTheme="minorHAnsi" w:cstheme="minorHAnsi"/>
                <w:color w:val="313E37"/>
                <w:sz w:val="18"/>
                <w:szCs w:val="18"/>
              </w:rPr>
              <w:t xml:space="preserve">Despite having high confidence in an increase, there is only </w:t>
            </w:r>
            <w:r w:rsidR="001925E8" w:rsidRPr="001925E8">
              <w:rPr>
                <w:rFonts w:asciiTheme="minorHAnsi" w:hAnsiTheme="minorHAnsi" w:cstheme="minorHAnsi"/>
                <w:i/>
                <w:iCs/>
                <w:color w:val="313E37"/>
                <w:sz w:val="18"/>
                <w:szCs w:val="18"/>
              </w:rPr>
              <w:t>medium confidence</w:t>
            </w:r>
            <w:r w:rsidR="001925E8" w:rsidRPr="001925E8">
              <w:rPr>
                <w:rFonts w:asciiTheme="minorHAnsi" w:hAnsiTheme="minorHAnsi" w:cstheme="minorHAnsi"/>
                <w:color w:val="313E37"/>
                <w:sz w:val="18"/>
                <w:szCs w:val="18"/>
              </w:rPr>
              <w:t xml:space="preserve"> in the magnitude of the increase</w:t>
            </w:r>
            <w:r w:rsidR="001925E8">
              <w:rPr>
                <w:rFonts w:asciiTheme="minorHAnsi" w:hAnsiTheme="minorHAnsi" w:cstheme="minorHAnsi"/>
                <w:color w:val="313E37"/>
                <w:sz w:val="18"/>
                <w:szCs w:val="18"/>
              </w:rPr>
              <w:t>.</w:t>
            </w:r>
          </w:p>
          <w:p w14:paraId="29308C80" w14:textId="30918190" w:rsidR="00CF29F1" w:rsidRDefault="001925E8" w:rsidP="009250B8">
            <w:pPr>
              <w:numPr>
                <w:ilvl w:val="0"/>
                <w:numId w:val="17"/>
              </w:numPr>
              <w:tabs>
                <w:tab w:val="clear" w:pos="720"/>
              </w:tabs>
              <w:ind w:left="315" w:right="136" w:hanging="284"/>
              <w:rPr>
                <w:rFonts w:asciiTheme="minorHAnsi" w:hAnsiTheme="minorHAnsi" w:cstheme="minorHAnsi"/>
                <w:color w:val="313E37"/>
                <w:sz w:val="18"/>
                <w:szCs w:val="18"/>
              </w:rPr>
            </w:pPr>
            <w:r w:rsidRPr="001925E8">
              <w:rPr>
                <w:rFonts w:asciiTheme="minorHAnsi" w:hAnsiTheme="minorHAnsi" w:cstheme="minorHAnsi"/>
                <w:color w:val="313E37"/>
                <w:sz w:val="18"/>
                <w:szCs w:val="18"/>
              </w:rPr>
              <w:t xml:space="preserve">For 2030, seasonal reductions </w:t>
            </w:r>
            <w:r>
              <w:rPr>
                <w:rFonts w:asciiTheme="minorHAnsi" w:hAnsiTheme="minorHAnsi" w:cstheme="minorHAnsi"/>
                <w:color w:val="313E37"/>
                <w:sz w:val="18"/>
                <w:szCs w:val="18"/>
              </w:rPr>
              <w:t xml:space="preserve">in </w:t>
            </w:r>
            <w:r w:rsidRPr="001925E8">
              <w:rPr>
                <w:rFonts w:asciiTheme="minorHAnsi" w:hAnsiTheme="minorHAnsi" w:cstheme="minorHAnsi"/>
                <w:color w:val="FF0000"/>
                <w:sz w:val="18"/>
                <w:szCs w:val="18"/>
              </w:rPr>
              <w:t>relative humidity</w:t>
            </w:r>
            <w:r>
              <w:rPr>
                <w:rFonts w:asciiTheme="minorHAnsi" w:hAnsiTheme="minorHAnsi" w:cstheme="minorHAnsi"/>
                <w:color w:val="313E37"/>
                <w:sz w:val="18"/>
                <w:szCs w:val="18"/>
              </w:rPr>
              <w:t xml:space="preserve"> </w:t>
            </w:r>
            <w:r w:rsidRPr="001925E8">
              <w:rPr>
                <w:rFonts w:asciiTheme="minorHAnsi" w:hAnsiTheme="minorHAnsi" w:cstheme="minorHAnsi"/>
                <w:color w:val="313E37"/>
                <w:sz w:val="18"/>
                <w:szCs w:val="18"/>
              </w:rPr>
              <w:t xml:space="preserve">for both RCP4.5 and RCP8.5 are generally smaller than -5% and projected increases less than 2 %, for both scenarios and there is medium or high model agreement on little change. For 2090, reductions are more marked, particularly in winter and spring with projected ranges of about -6 to 0 % under RCP4.5 and about -10 to 0 % under RCP8.5. A decrease in relative humidity away from coasts is expected because of an increase in the moisture holding capacity of a warming atmosphere and the greater warming of land compared to sea, leading to increases in relative humidity over ocean and decreases over land. This general tendency for decrease over land can be counteracted by a strong rainfall increase. Taking this and the CMIP5 projections into account, we have </w:t>
            </w:r>
            <w:r w:rsidRPr="006D3512">
              <w:rPr>
                <w:rFonts w:asciiTheme="minorHAnsi" w:hAnsiTheme="minorHAnsi" w:cstheme="minorHAnsi"/>
                <w:i/>
                <w:iCs/>
                <w:color w:val="313E37"/>
                <w:sz w:val="18"/>
                <w:szCs w:val="18"/>
              </w:rPr>
              <w:t>high confidence</w:t>
            </w:r>
            <w:r w:rsidRPr="001925E8">
              <w:rPr>
                <w:rFonts w:asciiTheme="minorHAnsi" w:hAnsiTheme="minorHAnsi" w:cstheme="minorHAnsi"/>
                <w:color w:val="313E37"/>
                <w:sz w:val="18"/>
                <w:szCs w:val="18"/>
              </w:rPr>
              <w:t xml:space="preserve"> in little change for 2030; and </w:t>
            </w:r>
            <w:r w:rsidRPr="006D3512">
              <w:rPr>
                <w:rFonts w:asciiTheme="minorHAnsi" w:hAnsiTheme="minorHAnsi" w:cstheme="minorHAnsi"/>
                <w:i/>
                <w:iCs/>
                <w:color w:val="313E37"/>
                <w:sz w:val="18"/>
                <w:szCs w:val="18"/>
              </w:rPr>
              <w:t>medium confidence</w:t>
            </w:r>
            <w:r w:rsidRPr="001925E8">
              <w:rPr>
                <w:rFonts w:asciiTheme="minorHAnsi" w:hAnsiTheme="minorHAnsi" w:cstheme="minorHAnsi"/>
                <w:color w:val="313E37"/>
                <w:sz w:val="18"/>
                <w:szCs w:val="18"/>
              </w:rPr>
              <w:t xml:space="preserve"> in decrease for summer and autumn by 2090, while for winter and spring there is </w:t>
            </w:r>
            <w:r w:rsidRPr="006D3512">
              <w:rPr>
                <w:rFonts w:asciiTheme="minorHAnsi" w:hAnsiTheme="minorHAnsi" w:cstheme="minorHAnsi"/>
                <w:i/>
                <w:iCs/>
                <w:color w:val="313E37"/>
                <w:sz w:val="18"/>
                <w:szCs w:val="18"/>
              </w:rPr>
              <w:t>high confidence</w:t>
            </w:r>
            <w:r w:rsidRPr="001925E8">
              <w:rPr>
                <w:rFonts w:asciiTheme="minorHAnsi" w:hAnsiTheme="minorHAnsi" w:cstheme="minorHAnsi"/>
                <w:color w:val="313E37"/>
                <w:sz w:val="18"/>
                <w:szCs w:val="18"/>
              </w:rPr>
              <w:t xml:space="preserve"> in decrease</w:t>
            </w:r>
            <w:r>
              <w:rPr>
                <w:rFonts w:asciiTheme="minorHAnsi" w:hAnsiTheme="minorHAnsi" w:cstheme="minorHAnsi"/>
                <w:color w:val="313E37"/>
                <w:sz w:val="18"/>
                <w:szCs w:val="18"/>
              </w:rPr>
              <w:t>.</w:t>
            </w:r>
            <w:r w:rsidRPr="001925E8">
              <w:rPr>
                <w:rFonts w:asciiTheme="minorHAnsi" w:hAnsiTheme="minorHAnsi" w:cstheme="minorHAnsi"/>
                <w:color w:val="313E37"/>
                <w:sz w:val="18"/>
                <w:szCs w:val="18"/>
              </w:rPr>
              <w:t xml:space="preserve"> </w:t>
            </w:r>
          </w:p>
          <w:p w14:paraId="3AAC44DF" w14:textId="54E9076C" w:rsidR="001925E8" w:rsidRDefault="006D3512" w:rsidP="009250B8">
            <w:pPr>
              <w:numPr>
                <w:ilvl w:val="0"/>
                <w:numId w:val="17"/>
              </w:numPr>
              <w:tabs>
                <w:tab w:val="clear" w:pos="720"/>
              </w:tabs>
              <w:ind w:left="315" w:right="136" w:hanging="284"/>
              <w:rPr>
                <w:rFonts w:asciiTheme="minorHAnsi" w:hAnsiTheme="minorHAnsi" w:cstheme="minorHAnsi"/>
                <w:color w:val="313E37"/>
                <w:sz w:val="18"/>
                <w:szCs w:val="18"/>
              </w:rPr>
            </w:pPr>
            <w:r w:rsidRPr="006D3512">
              <w:rPr>
                <w:rFonts w:asciiTheme="minorHAnsi" w:hAnsiTheme="minorHAnsi" w:cstheme="minorHAnsi"/>
                <w:color w:val="313E37"/>
                <w:sz w:val="18"/>
                <w:szCs w:val="18"/>
              </w:rPr>
              <w:t xml:space="preserve">Decreases in </w:t>
            </w:r>
            <w:r w:rsidRPr="006D3512">
              <w:rPr>
                <w:rFonts w:asciiTheme="minorHAnsi" w:hAnsiTheme="minorHAnsi" w:cstheme="minorHAnsi"/>
                <w:color w:val="FF0000"/>
                <w:sz w:val="18"/>
                <w:szCs w:val="18"/>
              </w:rPr>
              <w:t xml:space="preserve">soil moisture </w:t>
            </w:r>
            <w:r w:rsidRPr="006D3512">
              <w:rPr>
                <w:rFonts w:asciiTheme="minorHAnsi" w:hAnsiTheme="minorHAnsi" w:cstheme="minorHAnsi"/>
                <w:color w:val="313E37"/>
                <w:sz w:val="18"/>
                <w:szCs w:val="18"/>
              </w:rPr>
              <w:t xml:space="preserve">are projected, particularly in winter and spring. The annual changes for RCP8.5 by 2090 range from around -15 % to +2 % with </w:t>
            </w:r>
            <w:r w:rsidRPr="006D3512">
              <w:rPr>
                <w:rFonts w:asciiTheme="minorHAnsi" w:hAnsiTheme="minorHAnsi" w:cstheme="minorHAnsi"/>
                <w:i/>
                <w:iCs/>
                <w:color w:val="313E37"/>
                <w:sz w:val="18"/>
                <w:szCs w:val="18"/>
              </w:rPr>
              <w:t>medium model agreement</w:t>
            </w:r>
            <w:r w:rsidRPr="006D3512">
              <w:rPr>
                <w:rFonts w:asciiTheme="minorHAnsi" w:hAnsiTheme="minorHAnsi" w:cstheme="minorHAnsi"/>
                <w:color w:val="313E37"/>
                <w:sz w:val="18"/>
                <w:szCs w:val="18"/>
              </w:rPr>
              <w:t xml:space="preserve"> on substantial decrease. The percentage changes in soil moisture are strongly influenced by those in rainfall, but tend to be more negative due to the strong increase in potential evapotranspiration. Given the potential limitations of this method, there is only </w:t>
            </w:r>
            <w:r w:rsidRPr="006D3512">
              <w:rPr>
                <w:rFonts w:asciiTheme="minorHAnsi" w:hAnsiTheme="minorHAnsi" w:cstheme="minorHAnsi"/>
                <w:i/>
                <w:iCs/>
                <w:color w:val="313E37"/>
                <w:sz w:val="18"/>
                <w:szCs w:val="18"/>
              </w:rPr>
              <w:t>medium confidence</w:t>
            </w:r>
            <w:r w:rsidRPr="006D3512">
              <w:rPr>
                <w:rFonts w:asciiTheme="minorHAnsi" w:hAnsiTheme="minorHAnsi" w:cstheme="minorHAnsi"/>
                <w:color w:val="313E37"/>
                <w:sz w:val="18"/>
                <w:szCs w:val="18"/>
              </w:rPr>
              <w:t xml:space="preserve"> that soil moisture will decline.  </w:t>
            </w:r>
          </w:p>
          <w:p w14:paraId="0ACE8B9C" w14:textId="04E6CDBB" w:rsidR="006D3512" w:rsidRPr="00160A76" w:rsidRDefault="006D3512" w:rsidP="009250B8">
            <w:pPr>
              <w:numPr>
                <w:ilvl w:val="0"/>
                <w:numId w:val="17"/>
              </w:numPr>
              <w:tabs>
                <w:tab w:val="clear" w:pos="720"/>
              </w:tabs>
              <w:ind w:left="315" w:right="136" w:hanging="284"/>
              <w:rPr>
                <w:rFonts w:asciiTheme="minorHAnsi" w:hAnsiTheme="minorHAnsi" w:cstheme="minorHAnsi"/>
                <w:color w:val="313E37"/>
                <w:sz w:val="18"/>
                <w:szCs w:val="18"/>
              </w:rPr>
            </w:pPr>
            <w:r w:rsidRPr="006D3512">
              <w:rPr>
                <w:rFonts w:asciiTheme="minorHAnsi" w:hAnsiTheme="minorHAnsi" w:cstheme="minorHAnsi"/>
                <w:color w:val="FF0000"/>
                <w:sz w:val="18"/>
                <w:szCs w:val="18"/>
              </w:rPr>
              <w:t xml:space="preserve">Runoff </w:t>
            </w:r>
            <w:r w:rsidRPr="006D3512">
              <w:rPr>
                <w:rFonts w:asciiTheme="minorHAnsi" w:hAnsiTheme="minorHAnsi" w:cstheme="minorHAnsi"/>
                <w:color w:val="313E37"/>
                <w:sz w:val="18"/>
                <w:szCs w:val="18"/>
              </w:rPr>
              <w:t xml:space="preserve">could increase or decrease following RCP4.5 and RCP8.5 for 2080–2099 relative to 1986–2005, though the majority of models suggest decrease, as indicated by the negative multi-model ensemble median. There is </w:t>
            </w:r>
            <w:r w:rsidRPr="006D3512">
              <w:rPr>
                <w:rFonts w:asciiTheme="minorHAnsi" w:hAnsiTheme="minorHAnsi" w:cstheme="minorHAnsi"/>
                <w:i/>
                <w:iCs/>
                <w:color w:val="313E37"/>
                <w:sz w:val="18"/>
                <w:szCs w:val="18"/>
              </w:rPr>
              <w:t xml:space="preserve">low confidence </w:t>
            </w:r>
            <w:r w:rsidRPr="006D3512">
              <w:rPr>
                <w:rFonts w:asciiTheme="minorHAnsi" w:hAnsiTheme="minorHAnsi" w:cstheme="minorHAnsi"/>
                <w:color w:val="313E37"/>
                <w:sz w:val="18"/>
                <w:szCs w:val="18"/>
              </w:rPr>
              <w:t xml:space="preserve">in these projections  </w:t>
            </w:r>
          </w:p>
          <w:p w14:paraId="2109A95F" w14:textId="42313BE6" w:rsidR="00CF29F1" w:rsidRPr="00160A76" w:rsidRDefault="00CF29F1" w:rsidP="009250B8">
            <w:pPr>
              <w:numPr>
                <w:ilvl w:val="0"/>
                <w:numId w:val="17"/>
              </w:numPr>
              <w:tabs>
                <w:tab w:val="clear" w:pos="720"/>
              </w:tabs>
              <w:ind w:left="315" w:right="136" w:hanging="284"/>
              <w:rPr>
                <w:rFonts w:asciiTheme="minorHAnsi" w:hAnsiTheme="minorHAnsi" w:cstheme="minorHAnsi"/>
                <w:color w:val="313E37"/>
                <w:sz w:val="18"/>
                <w:szCs w:val="18"/>
              </w:rPr>
            </w:pPr>
            <w:r w:rsidRPr="00160A76">
              <w:rPr>
                <w:rFonts w:asciiTheme="minorHAnsi" w:hAnsiTheme="minorHAnsi" w:cstheme="minorHAnsi"/>
                <w:color w:val="313E37"/>
                <w:sz w:val="18"/>
                <w:szCs w:val="18"/>
              </w:rPr>
              <w:t xml:space="preserve">There is high confidence that climate change will result in a harsher </w:t>
            </w:r>
            <w:r w:rsidRPr="001925E8">
              <w:rPr>
                <w:rFonts w:asciiTheme="minorHAnsi" w:hAnsiTheme="minorHAnsi" w:cstheme="minorHAnsi"/>
                <w:color w:val="FF0000"/>
                <w:sz w:val="18"/>
                <w:szCs w:val="18"/>
              </w:rPr>
              <w:t>fire</w:t>
            </w:r>
            <w:r w:rsidRPr="00160A76">
              <w:rPr>
                <w:rFonts w:asciiTheme="minorHAnsi" w:hAnsiTheme="minorHAnsi" w:cstheme="minorHAnsi"/>
                <w:color w:val="313E37"/>
                <w:sz w:val="18"/>
                <w:szCs w:val="18"/>
              </w:rPr>
              <w:t>-weather climate in the future. However, there is low confidence in the magnitude of the change as this is strongly dependent on the rainfall projection.</w:t>
            </w:r>
          </w:p>
          <w:p w14:paraId="75D3BE98" w14:textId="5517D145" w:rsidR="00CF29F1" w:rsidRPr="00160A76" w:rsidRDefault="00CF29F1" w:rsidP="009250B8">
            <w:pPr>
              <w:numPr>
                <w:ilvl w:val="0"/>
                <w:numId w:val="17"/>
              </w:numPr>
              <w:tabs>
                <w:tab w:val="clear" w:pos="720"/>
              </w:tabs>
              <w:ind w:left="315" w:right="136" w:hanging="284"/>
              <w:rPr>
                <w:rFonts w:asciiTheme="minorHAnsi" w:hAnsiTheme="minorHAnsi" w:cstheme="minorHAnsi"/>
                <w:color w:val="313E37"/>
                <w:sz w:val="18"/>
                <w:szCs w:val="18"/>
              </w:rPr>
            </w:pPr>
            <w:r w:rsidRPr="00160A76">
              <w:rPr>
                <w:rFonts w:asciiTheme="minorHAnsi" w:hAnsiTheme="minorHAnsi" w:cstheme="minorHAnsi"/>
                <w:color w:val="313E37"/>
                <w:sz w:val="18"/>
                <w:szCs w:val="18"/>
              </w:rPr>
              <w:t xml:space="preserve">Related to the projected decline in winter rainfall, winter </w:t>
            </w:r>
            <w:r w:rsidRPr="006D3512">
              <w:rPr>
                <w:rFonts w:asciiTheme="minorHAnsi" w:hAnsiTheme="minorHAnsi" w:cstheme="minorHAnsi"/>
                <w:color w:val="FF0000"/>
                <w:sz w:val="18"/>
                <w:szCs w:val="18"/>
              </w:rPr>
              <w:t xml:space="preserve">solar radiation </w:t>
            </w:r>
            <w:r w:rsidRPr="00160A76">
              <w:rPr>
                <w:rFonts w:asciiTheme="minorHAnsi" w:hAnsiTheme="minorHAnsi" w:cstheme="minorHAnsi"/>
                <w:color w:val="313E37"/>
                <w:sz w:val="18"/>
                <w:szCs w:val="18"/>
              </w:rPr>
              <w:t xml:space="preserve">is projected to increase with </w:t>
            </w:r>
            <w:r w:rsidRPr="006D3512">
              <w:rPr>
                <w:rFonts w:asciiTheme="minorHAnsi" w:hAnsiTheme="minorHAnsi" w:cstheme="minorHAnsi"/>
                <w:i/>
                <w:iCs/>
                <w:color w:val="313E37"/>
                <w:sz w:val="18"/>
                <w:szCs w:val="18"/>
              </w:rPr>
              <w:t>medium confidence</w:t>
            </w:r>
            <w:r w:rsidRPr="00160A76">
              <w:rPr>
                <w:rFonts w:asciiTheme="minorHAnsi" w:hAnsiTheme="minorHAnsi" w:cstheme="minorHAnsi"/>
                <w:color w:val="313E37"/>
                <w:sz w:val="18"/>
                <w:szCs w:val="18"/>
              </w:rPr>
              <w:t>.</w:t>
            </w:r>
          </w:p>
          <w:p w14:paraId="716BF660" w14:textId="77777777" w:rsidR="00CF29F1" w:rsidRDefault="00CF29F1" w:rsidP="00802F49">
            <w:pPr>
              <w:ind w:right="136"/>
              <w:rPr>
                <w:rFonts w:asciiTheme="minorHAnsi" w:hAnsiTheme="minorHAnsi" w:cstheme="minorHAnsi"/>
                <w:color w:val="313E37"/>
                <w:sz w:val="20"/>
                <w:szCs w:val="20"/>
              </w:rPr>
            </w:pPr>
          </w:p>
          <w:p w14:paraId="55D7C26D" w14:textId="77777777" w:rsidR="00CF29F1" w:rsidRDefault="00CF29F1" w:rsidP="00802F49">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514AABAF" w14:textId="4C59A13E" w:rsidR="00CF29F1" w:rsidRDefault="00CF29F1" w:rsidP="00802F49">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Pr>
                <w:noProof/>
              </w:rPr>
              <w:drawing>
                <wp:inline distT="0" distB="0" distL="0" distR="0" wp14:anchorId="258BAC01" wp14:editId="4B9B48C1">
                  <wp:extent cx="2497015" cy="1634278"/>
                  <wp:effectExtent l="0" t="0" r="0" b="4445"/>
                  <wp:docPr id="2073173636" name="Picture 136324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58"/>
                          <pic:cNvPicPr/>
                        </pic:nvPicPr>
                        <pic:blipFill>
                          <a:blip r:embed="rId288">
                            <a:extLst>
                              <a:ext uri="{28A0092B-C50C-407E-A947-70E740481C1C}">
                                <a14:useLocalDpi xmlns:a14="http://schemas.microsoft.com/office/drawing/2010/main" val="0"/>
                              </a:ext>
                            </a:extLst>
                          </a:blip>
                          <a:stretch>
                            <a:fillRect/>
                          </a:stretch>
                        </pic:blipFill>
                        <pic:spPr>
                          <a:xfrm>
                            <a:off x="0" y="0"/>
                            <a:ext cx="2497015" cy="1634278"/>
                          </a:xfrm>
                          <a:prstGeom prst="rect">
                            <a:avLst/>
                          </a:prstGeom>
                        </pic:spPr>
                      </pic:pic>
                    </a:graphicData>
                  </a:graphic>
                </wp:inline>
              </w:drawing>
            </w:r>
            <w:r w:rsidRPr="1F802AF8">
              <w:rPr>
                <w:rFonts w:asciiTheme="minorHAnsi" w:hAnsiTheme="minorHAnsi" w:cstheme="minorBidi"/>
                <w:color w:val="313E37"/>
                <w:sz w:val="20"/>
                <w:szCs w:val="20"/>
              </w:rPr>
              <w:t xml:space="preserve">    </w:t>
            </w:r>
            <w:r>
              <w:rPr>
                <w:noProof/>
              </w:rPr>
              <w:drawing>
                <wp:inline distT="0" distB="0" distL="0" distR="0" wp14:anchorId="2E9A6455" wp14:editId="1F42E4E3">
                  <wp:extent cx="2593730" cy="1694886"/>
                  <wp:effectExtent l="0" t="0" r="0" b="635"/>
                  <wp:docPr id="846368767" name="Picture 136324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57"/>
                          <pic:cNvPicPr/>
                        </pic:nvPicPr>
                        <pic:blipFill>
                          <a:blip r:embed="rId289">
                            <a:extLst>
                              <a:ext uri="{28A0092B-C50C-407E-A947-70E740481C1C}">
                                <a14:useLocalDpi xmlns:a14="http://schemas.microsoft.com/office/drawing/2010/main" val="0"/>
                              </a:ext>
                            </a:extLst>
                          </a:blip>
                          <a:stretch>
                            <a:fillRect/>
                          </a:stretch>
                        </pic:blipFill>
                        <pic:spPr>
                          <a:xfrm>
                            <a:off x="0" y="0"/>
                            <a:ext cx="2593730" cy="1694886"/>
                          </a:xfrm>
                          <a:prstGeom prst="rect">
                            <a:avLst/>
                          </a:prstGeom>
                        </pic:spPr>
                      </pic:pic>
                    </a:graphicData>
                  </a:graphic>
                </wp:inline>
              </w:drawing>
            </w:r>
          </w:p>
          <w:p w14:paraId="38A93B7B" w14:textId="77777777" w:rsidR="00CF29F1" w:rsidRPr="00EF238F" w:rsidRDefault="00CF29F1" w:rsidP="00802F49">
            <w:pPr>
              <w:ind w:right="136"/>
              <w:rPr>
                <w:rFonts w:asciiTheme="minorHAnsi" w:hAnsiTheme="minorHAnsi" w:cstheme="minorHAnsi"/>
                <w:color w:val="313E37"/>
                <w:sz w:val="20"/>
                <w:szCs w:val="20"/>
              </w:rPr>
            </w:pPr>
          </w:p>
        </w:tc>
      </w:tr>
      <w:tr w:rsidR="00B84DE5" w14:paraId="66E4D307" w14:textId="77777777" w:rsidTr="1F802AF8">
        <w:trPr>
          <w:trHeight w:val="329"/>
        </w:trPr>
        <w:tc>
          <w:tcPr>
            <w:tcW w:w="9628" w:type="dxa"/>
            <w:gridSpan w:val="2"/>
          </w:tcPr>
          <w:p w14:paraId="4099C9F0" w14:textId="3F77238F" w:rsidR="00B84DE5" w:rsidRPr="00EF238F" w:rsidRDefault="00B84DE5" w:rsidP="00802F49">
            <w:pPr>
              <w:pStyle w:val="BodyText"/>
              <w:rPr>
                <w:b/>
                <w:bCs/>
                <w:sz w:val="20"/>
              </w:rPr>
            </w:pPr>
            <w:r>
              <w:rPr>
                <w:b/>
                <w:bCs/>
                <w:sz w:val="20"/>
              </w:rPr>
              <w:lastRenderedPageBreak/>
              <w:t>Rangelands North</w:t>
            </w:r>
          </w:p>
        </w:tc>
      </w:tr>
      <w:tr w:rsidR="005E4127" w14:paraId="576FB76C" w14:textId="77777777" w:rsidTr="1F802AF8">
        <w:trPr>
          <w:trHeight w:val="1815"/>
        </w:trPr>
        <w:tc>
          <w:tcPr>
            <w:tcW w:w="2263" w:type="dxa"/>
          </w:tcPr>
          <w:p w14:paraId="7380A163" w14:textId="2235EF1C" w:rsidR="00B84DE5" w:rsidRDefault="00B84DE5" w:rsidP="00802F49">
            <w:pPr>
              <w:pStyle w:val="BodyText"/>
            </w:pPr>
            <w:r>
              <w:rPr>
                <w:noProof/>
              </w:rPr>
              <w:drawing>
                <wp:inline distT="0" distB="0" distL="0" distR="0" wp14:anchorId="0A22DA4B" wp14:editId="6453AAF6">
                  <wp:extent cx="1195754" cy="1008910"/>
                  <wp:effectExtent l="0" t="0" r="4445" b="1270"/>
                  <wp:docPr id="1602253217" name="Picture 136324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62"/>
                          <pic:cNvPicPr/>
                        </pic:nvPicPr>
                        <pic:blipFill>
                          <a:blip r:embed="rId290">
                            <a:extLst>
                              <a:ext uri="{28A0092B-C50C-407E-A947-70E740481C1C}">
                                <a14:useLocalDpi xmlns:a14="http://schemas.microsoft.com/office/drawing/2010/main" val="0"/>
                              </a:ext>
                            </a:extLst>
                          </a:blip>
                          <a:stretch>
                            <a:fillRect/>
                          </a:stretch>
                        </pic:blipFill>
                        <pic:spPr>
                          <a:xfrm>
                            <a:off x="0" y="0"/>
                            <a:ext cx="1195754" cy="1008910"/>
                          </a:xfrm>
                          <a:prstGeom prst="rect">
                            <a:avLst/>
                          </a:prstGeom>
                        </pic:spPr>
                      </pic:pic>
                    </a:graphicData>
                  </a:graphic>
                </wp:inline>
              </w:drawing>
            </w:r>
          </w:p>
        </w:tc>
        <w:tc>
          <w:tcPr>
            <w:tcW w:w="7365" w:type="dxa"/>
          </w:tcPr>
          <w:p w14:paraId="28BC37BF" w14:textId="77777777" w:rsidR="00B84DE5" w:rsidRDefault="00B84DE5"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1B10DBBD" w14:textId="7377C34B" w:rsidR="00B73FCA" w:rsidRPr="00B73FCA" w:rsidRDefault="00B73FCA" w:rsidP="00B73FCA">
            <w:pPr>
              <w:pStyle w:val="BodyText"/>
              <w:spacing w:before="0" w:after="0" w:line="240" w:lineRule="auto"/>
              <w:rPr>
                <w:sz w:val="20"/>
              </w:rPr>
            </w:pPr>
            <w:r w:rsidRPr="00B73FCA">
              <w:rPr>
                <w:sz w:val="20"/>
              </w:rPr>
              <w:t>Protection of existing forests</w:t>
            </w:r>
            <w:r w:rsidRPr="00B73FCA">
              <w:rPr>
                <w:sz w:val="20"/>
              </w:rPr>
              <w:tab/>
            </w:r>
            <w:r>
              <w:rPr>
                <w:sz w:val="20"/>
              </w:rPr>
              <w:tab/>
            </w:r>
            <w:r w:rsidRPr="00B73FCA">
              <w:rPr>
                <w:sz w:val="20"/>
              </w:rPr>
              <w:t>42</w:t>
            </w:r>
            <w:r>
              <w:rPr>
                <w:sz w:val="20"/>
              </w:rPr>
              <w:tab/>
            </w:r>
            <w:r w:rsidRPr="00B73FCA">
              <w:rPr>
                <w:sz w:val="20"/>
              </w:rPr>
              <w:tab/>
              <w:t xml:space="preserve">600,374 </w:t>
            </w:r>
          </w:p>
          <w:p w14:paraId="33C2E8F4" w14:textId="7D4F9440" w:rsidR="00B84DE5" w:rsidRPr="0054376E" w:rsidRDefault="00FB2D3A" w:rsidP="00B73FCA">
            <w:pPr>
              <w:pStyle w:val="BodyText"/>
              <w:spacing w:before="0" w:after="0" w:line="240" w:lineRule="auto"/>
              <w:rPr>
                <w:sz w:val="20"/>
              </w:rPr>
            </w:pPr>
            <w:r>
              <w:rPr>
                <w:sz w:val="20"/>
              </w:rPr>
              <w:t>Re-</w:t>
            </w:r>
            <w:r w:rsidR="00187AAD">
              <w:rPr>
                <w:sz w:val="20"/>
              </w:rPr>
              <w:t>establishment</w:t>
            </w:r>
            <w:r w:rsidR="00187AAD" w:rsidRPr="00B73FCA">
              <w:rPr>
                <w:sz w:val="20"/>
              </w:rPr>
              <w:t xml:space="preserve"> of</w:t>
            </w:r>
            <w:r w:rsidR="00B73FCA" w:rsidRPr="00B73FCA">
              <w:rPr>
                <w:sz w:val="20"/>
              </w:rPr>
              <w:t xml:space="preserve"> native forest cover</w:t>
            </w:r>
            <w:r w:rsidR="00B73FCA" w:rsidRPr="00B73FCA">
              <w:rPr>
                <w:sz w:val="20"/>
              </w:rPr>
              <w:tab/>
              <w:t>331</w:t>
            </w:r>
            <w:r w:rsidR="00B73FCA" w:rsidRPr="00B73FCA">
              <w:rPr>
                <w:sz w:val="20"/>
              </w:rPr>
              <w:tab/>
            </w:r>
            <w:r w:rsidR="00B73FCA">
              <w:rPr>
                <w:sz w:val="20"/>
              </w:rPr>
              <w:tab/>
            </w:r>
            <w:r w:rsidR="00B73FCA" w:rsidRPr="00B73FCA">
              <w:rPr>
                <w:sz w:val="20"/>
              </w:rPr>
              <w:t>7,803,896</w:t>
            </w:r>
          </w:p>
        </w:tc>
      </w:tr>
      <w:tr w:rsidR="00B84DE5" w14:paraId="417D63F8" w14:textId="77777777" w:rsidTr="1F802AF8">
        <w:tc>
          <w:tcPr>
            <w:tcW w:w="9628" w:type="dxa"/>
            <w:gridSpan w:val="2"/>
          </w:tcPr>
          <w:p w14:paraId="73DCA1D1" w14:textId="77777777" w:rsidR="00B84DE5" w:rsidRPr="00EF238F" w:rsidRDefault="00B84DE5"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6E7E064B" w14:textId="3269EC08" w:rsidR="00B84DE5" w:rsidRPr="00013ABF" w:rsidRDefault="00B84DE5" w:rsidP="009250B8">
            <w:pPr>
              <w:numPr>
                <w:ilvl w:val="0"/>
                <w:numId w:val="17"/>
              </w:numPr>
              <w:tabs>
                <w:tab w:val="clear" w:pos="720"/>
              </w:tabs>
              <w:ind w:left="315" w:right="136" w:hanging="315"/>
              <w:rPr>
                <w:rFonts w:asciiTheme="minorHAnsi" w:hAnsiTheme="minorHAnsi" w:cstheme="minorHAnsi"/>
                <w:color w:val="313E37"/>
                <w:sz w:val="18"/>
                <w:szCs w:val="18"/>
              </w:rPr>
            </w:pPr>
            <w:r w:rsidRPr="00013ABF">
              <w:rPr>
                <w:rFonts w:asciiTheme="minorHAnsi" w:hAnsiTheme="minorHAnsi" w:cstheme="minorHAnsi"/>
                <w:color w:val="FF0000"/>
                <w:sz w:val="18"/>
                <w:szCs w:val="18"/>
              </w:rPr>
              <w:t xml:space="preserve">Average temperatures </w:t>
            </w:r>
            <w:r w:rsidRPr="00013ABF">
              <w:rPr>
                <w:rFonts w:asciiTheme="minorHAnsi" w:hAnsiTheme="minorHAnsi" w:cstheme="minorHAnsi"/>
                <w:color w:val="313E37"/>
                <w:sz w:val="18"/>
                <w:szCs w:val="18"/>
              </w:rPr>
              <w:t>will continue to increase in all seasons (</w:t>
            </w:r>
            <w:r w:rsidRPr="00013ABF">
              <w:rPr>
                <w:rFonts w:asciiTheme="minorHAnsi" w:hAnsiTheme="minorHAnsi" w:cstheme="minorHAnsi"/>
                <w:i/>
                <w:iCs/>
                <w:color w:val="313E37"/>
                <w:sz w:val="18"/>
                <w:szCs w:val="18"/>
              </w:rPr>
              <w:t>very high confidence</w:t>
            </w:r>
            <w:r w:rsidRPr="00013ABF">
              <w:rPr>
                <w:rFonts w:asciiTheme="minorHAnsi" w:hAnsiTheme="minorHAnsi" w:cstheme="minorHAnsi"/>
                <w:color w:val="313E37"/>
                <w:sz w:val="18"/>
                <w:szCs w:val="18"/>
              </w:rPr>
              <w:t>).</w:t>
            </w:r>
            <w:r w:rsidR="00013ABF">
              <w:rPr>
                <w:rFonts w:asciiTheme="minorHAnsi" w:hAnsiTheme="minorHAnsi" w:cstheme="minorHAnsi"/>
                <w:color w:val="313E37"/>
                <w:sz w:val="18"/>
                <w:szCs w:val="18"/>
              </w:rPr>
              <w:t xml:space="preserve"> </w:t>
            </w:r>
            <w:r w:rsidR="00013ABF" w:rsidRPr="00013ABF">
              <w:rPr>
                <w:rFonts w:asciiTheme="minorHAnsi" w:hAnsiTheme="minorHAnsi" w:cstheme="minorHAnsi"/>
                <w:color w:val="313E37"/>
                <w:sz w:val="18"/>
                <w:szCs w:val="18"/>
              </w:rPr>
              <w:t>For the near future (2030), the annually averaged warming across all emission scenarios is projected to be around 0.6 to 1.5 °C above the climate of 1986–2005</w:t>
            </w:r>
            <w:r w:rsidR="00013ABF">
              <w:rPr>
                <w:rFonts w:asciiTheme="minorHAnsi" w:hAnsiTheme="minorHAnsi" w:cstheme="minorHAnsi"/>
                <w:color w:val="313E37"/>
                <w:sz w:val="18"/>
                <w:szCs w:val="18"/>
              </w:rPr>
              <w:t xml:space="preserve">. </w:t>
            </w:r>
            <w:r w:rsidR="00013ABF" w:rsidRPr="00013ABF">
              <w:rPr>
                <w:rFonts w:asciiTheme="minorHAnsi" w:hAnsiTheme="minorHAnsi" w:cstheme="minorHAnsi"/>
                <w:color w:val="313E37"/>
                <w:sz w:val="18"/>
                <w:szCs w:val="18"/>
              </w:rPr>
              <w:t>By late in the century (2090), for a high emission scenario (RCP8.5) the projected range of warming is 3.1 to 5.6 °C. Under an intermediate scenario (RCP4.5) the projected warming is 1.5 to 3.1 °C</w:t>
            </w:r>
            <w:r w:rsidR="00013ABF">
              <w:rPr>
                <w:rFonts w:asciiTheme="minorHAnsi" w:hAnsiTheme="minorHAnsi" w:cstheme="minorHAnsi"/>
                <w:color w:val="313E37"/>
                <w:sz w:val="18"/>
                <w:szCs w:val="18"/>
              </w:rPr>
              <w:t>.</w:t>
            </w:r>
          </w:p>
          <w:p w14:paraId="268CC88D" w14:textId="40F59B83" w:rsidR="00013ABF" w:rsidRDefault="00013ABF" w:rsidP="009250B8">
            <w:pPr>
              <w:numPr>
                <w:ilvl w:val="0"/>
                <w:numId w:val="17"/>
              </w:numPr>
              <w:tabs>
                <w:tab w:val="clear" w:pos="720"/>
              </w:tabs>
              <w:ind w:left="315" w:right="136" w:hanging="315"/>
              <w:rPr>
                <w:rFonts w:asciiTheme="minorHAnsi" w:hAnsiTheme="minorHAnsi" w:cstheme="minorHAnsi"/>
                <w:color w:val="313E37"/>
                <w:sz w:val="18"/>
                <w:szCs w:val="18"/>
              </w:rPr>
            </w:pPr>
            <w:r w:rsidRPr="00013ABF">
              <w:rPr>
                <w:rFonts w:asciiTheme="minorHAnsi" w:hAnsiTheme="minorHAnsi" w:cstheme="minorHAnsi"/>
                <w:color w:val="FF0000"/>
                <w:sz w:val="18"/>
                <w:szCs w:val="18"/>
              </w:rPr>
              <w:t xml:space="preserve">Extreme temperatures </w:t>
            </w:r>
            <w:r w:rsidRPr="00013ABF">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013ABF">
              <w:rPr>
                <w:rFonts w:asciiTheme="minorHAnsi" w:hAnsiTheme="minorHAnsi" w:cstheme="minorHAnsi"/>
                <w:i/>
                <w:iCs/>
                <w:color w:val="313E37"/>
                <w:sz w:val="18"/>
                <w:szCs w:val="18"/>
              </w:rPr>
              <w:t>very high confidence</w:t>
            </w:r>
            <w:r>
              <w:rPr>
                <w:rFonts w:asciiTheme="minorHAnsi" w:hAnsiTheme="minorHAnsi" w:cstheme="minorHAnsi"/>
                <w:color w:val="313E37"/>
                <w:sz w:val="18"/>
                <w:szCs w:val="18"/>
              </w:rPr>
              <w:t>).</w:t>
            </w:r>
            <w:r w:rsidR="00B84DE5" w:rsidRPr="00013ABF">
              <w:rPr>
                <w:rFonts w:asciiTheme="minorHAnsi" w:hAnsiTheme="minorHAnsi" w:cstheme="minorHAnsi"/>
                <w:color w:val="313E37"/>
                <w:sz w:val="18"/>
                <w:szCs w:val="18"/>
              </w:rPr>
              <w:t xml:space="preserve"> </w:t>
            </w:r>
          </w:p>
          <w:p w14:paraId="73C467C6" w14:textId="5E05BAC2" w:rsidR="00B84DE5" w:rsidRPr="00013ABF" w:rsidRDefault="00013ABF" w:rsidP="009250B8">
            <w:pPr>
              <w:numPr>
                <w:ilvl w:val="0"/>
                <w:numId w:val="17"/>
              </w:numPr>
              <w:tabs>
                <w:tab w:val="clear" w:pos="720"/>
              </w:tabs>
              <w:ind w:left="315" w:right="136" w:hanging="315"/>
              <w:rPr>
                <w:rFonts w:asciiTheme="minorHAnsi" w:hAnsiTheme="minorHAnsi" w:cstheme="minorHAnsi"/>
                <w:color w:val="313E37"/>
                <w:sz w:val="18"/>
                <w:szCs w:val="18"/>
              </w:rPr>
            </w:pPr>
            <w:r w:rsidRPr="00013ABF">
              <w:rPr>
                <w:rFonts w:asciiTheme="minorHAnsi" w:hAnsiTheme="minorHAnsi" w:cstheme="minorHAnsi"/>
                <w:color w:val="313E37"/>
                <w:sz w:val="18"/>
                <w:szCs w:val="18"/>
              </w:rPr>
              <w:t xml:space="preserve">Where </w:t>
            </w:r>
            <w:r w:rsidRPr="00013ABF">
              <w:rPr>
                <w:rFonts w:asciiTheme="minorHAnsi" w:hAnsiTheme="minorHAnsi" w:cstheme="minorHAnsi"/>
                <w:color w:val="FF0000"/>
                <w:sz w:val="18"/>
                <w:szCs w:val="18"/>
              </w:rPr>
              <w:t xml:space="preserve">frosts </w:t>
            </w:r>
            <w:r w:rsidRPr="00013ABF">
              <w:rPr>
                <w:rFonts w:asciiTheme="minorHAnsi" w:hAnsiTheme="minorHAnsi" w:cstheme="minorHAnsi"/>
                <w:color w:val="313E37"/>
                <w:sz w:val="18"/>
                <w:szCs w:val="18"/>
              </w:rPr>
              <w:t>(minimum temperatures under 2 °C) occur in the sub-cluster, these are projected to decrease</w:t>
            </w:r>
            <w:r w:rsidR="00B84DE5" w:rsidRPr="00013ABF">
              <w:rPr>
                <w:rFonts w:asciiTheme="minorHAnsi" w:hAnsiTheme="minorHAnsi" w:cstheme="minorHAnsi"/>
                <w:color w:val="313E37"/>
                <w:sz w:val="18"/>
                <w:szCs w:val="18"/>
              </w:rPr>
              <w:t>.</w:t>
            </w:r>
          </w:p>
          <w:p w14:paraId="50CE12EF" w14:textId="61ECCA39" w:rsidR="00B84DE5" w:rsidRPr="00013ABF" w:rsidRDefault="00013ABF" w:rsidP="009250B8">
            <w:pPr>
              <w:numPr>
                <w:ilvl w:val="0"/>
                <w:numId w:val="17"/>
              </w:numPr>
              <w:tabs>
                <w:tab w:val="clear" w:pos="720"/>
              </w:tabs>
              <w:ind w:left="315" w:right="136" w:hanging="315"/>
              <w:rPr>
                <w:rFonts w:asciiTheme="minorHAnsi" w:hAnsiTheme="minorHAnsi" w:cstheme="minorHAnsi"/>
                <w:color w:val="313E37"/>
                <w:sz w:val="18"/>
                <w:szCs w:val="18"/>
              </w:rPr>
            </w:pPr>
            <w:r w:rsidRPr="00013ABF">
              <w:rPr>
                <w:rFonts w:asciiTheme="minorHAnsi" w:hAnsiTheme="minorHAnsi" w:cstheme="minorHAnsi"/>
                <w:color w:val="313E37"/>
                <w:sz w:val="18"/>
                <w:szCs w:val="18"/>
              </w:rPr>
              <w:t xml:space="preserve">Changes to </w:t>
            </w:r>
            <w:r w:rsidRPr="00013ABF">
              <w:rPr>
                <w:rFonts w:asciiTheme="minorHAnsi" w:hAnsiTheme="minorHAnsi" w:cstheme="minorHAnsi"/>
                <w:color w:val="FF0000"/>
                <w:sz w:val="18"/>
                <w:szCs w:val="18"/>
              </w:rPr>
              <w:t xml:space="preserve">rainfall </w:t>
            </w:r>
            <w:r w:rsidRPr="00013ABF">
              <w:rPr>
                <w:rFonts w:asciiTheme="minorHAnsi" w:hAnsiTheme="minorHAnsi" w:cstheme="minorHAnsi"/>
                <w:color w:val="313E37"/>
                <w:sz w:val="18"/>
                <w:szCs w:val="18"/>
              </w:rPr>
              <w:t>are possible, but the direction of change cannot be confidently projected given the spread of model results</w:t>
            </w:r>
            <w:r w:rsidR="00B84DE5" w:rsidRPr="00013ABF">
              <w:rPr>
                <w:rFonts w:asciiTheme="minorHAnsi" w:hAnsiTheme="minorHAnsi" w:cstheme="minorHAnsi"/>
                <w:color w:val="313E37"/>
                <w:sz w:val="18"/>
                <w:szCs w:val="18"/>
              </w:rPr>
              <w:t>.</w:t>
            </w:r>
            <w:r w:rsidRPr="00013ABF">
              <w:rPr>
                <w:rFonts w:asciiTheme="minorHAnsi" w:hAnsiTheme="minorHAnsi" w:cstheme="minorHAnsi"/>
                <w:color w:val="313E37"/>
                <w:sz w:val="18"/>
                <w:szCs w:val="18"/>
              </w:rPr>
              <w:t xml:space="preserve"> In the near future (2030) natural variability is projected to predominate over trends due to greenhouse gas emissions.</w:t>
            </w:r>
          </w:p>
          <w:p w14:paraId="0CB94C58" w14:textId="5988358F" w:rsidR="00B84DE5" w:rsidRDefault="00013ABF" w:rsidP="009250B8">
            <w:pPr>
              <w:numPr>
                <w:ilvl w:val="0"/>
                <w:numId w:val="17"/>
              </w:numPr>
              <w:tabs>
                <w:tab w:val="clear" w:pos="720"/>
              </w:tabs>
              <w:ind w:left="315" w:right="136" w:hanging="315"/>
              <w:rPr>
                <w:rFonts w:asciiTheme="minorHAnsi" w:hAnsiTheme="minorHAnsi" w:cstheme="minorHAnsi"/>
                <w:color w:val="313E37"/>
                <w:sz w:val="18"/>
                <w:szCs w:val="18"/>
              </w:rPr>
            </w:pPr>
            <w:r w:rsidRPr="00013ABF">
              <w:rPr>
                <w:rFonts w:asciiTheme="minorHAnsi" w:hAnsiTheme="minorHAnsi" w:cstheme="minorHAnsi"/>
                <w:color w:val="313E37"/>
                <w:sz w:val="18"/>
                <w:szCs w:val="18"/>
              </w:rPr>
              <w:t xml:space="preserve">Understanding of the physical processes that cause extreme rainfall, coupled with modelled projections, indicate with </w:t>
            </w:r>
            <w:r w:rsidRPr="00013ABF">
              <w:rPr>
                <w:rFonts w:asciiTheme="minorHAnsi" w:hAnsiTheme="minorHAnsi" w:cstheme="minorHAnsi"/>
                <w:i/>
                <w:iCs/>
                <w:color w:val="313E37"/>
                <w:sz w:val="18"/>
                <w:szCs w:val="18"/>
              </w:rPr>
              <w:t>high confidence</w:t>
            </w:r>
            <w:r w:rsidRPr="00013ABF">
              <w:rPr>
                <w:rFonts w:asciiTheme="minorHAnsi" w:hAnsiTheme="minorHAnsi" w:cstheme="minorHAnsi"/>
                <w:color w:val="313E37"/>
                <w:sz w:val="18"/>
                <w:szCs w:val="18"/>
              </w:rPr>
              <w:t xml:space="preserve"> a future increase in the intensity of </w:t>
            </w:r>
            <w:r w:rsidRPr="00013ABF">
              <w:rPr>
                <w:rFonts w:asciiTheme="minorHAnsi" w:hAnsiTheme="minorHAnsi" w:cstheme="minorHAnsi"/>
                <w:color w:val="FF0000"/>
                <w:sz w:val="18"/>
                <w:szCs w:val="18"/>
              </w:rPr>
              <w:t xml:space="preserve">extreme rainfall </w:t>
            </w:r>
            <w:r w:rsidRPr="00013ABF">
              <w:rPr>
                <w:rFonts w:asciiTheme="minorHAnsi" w:hAnsiTheme="minorHAnsi" w:cstheme="minorHAnsi"/>
                <w:color w:val="313E37"/>
                <w:sz w:val="18"/>
                <w:szCs w:val="18"/>
              </w:rPr>
              <w:t>events, although the magnitude of the increases cannot be confidently projected</w:t>
            </w:r>
            <w:r w:rsidR="00B84DE5" w:rsidRPr="00013ABF">
              <w:rPr>
                <w:rFonts w:asciiTheme="minorHAnsi" w:hAnsiTheme="minorHAnsi" w:cstheme="minorHAnsi"/>
                <w:color w:val="313E37"/>
                <w:sz w:val="18"/>
                <w:szCs w:val="18"/>
              </w:rPr>
              <w:t>.</w:t>
            </w:r>
          </w:p>
          <w:p w14:paraId="597B97B3" w14:textId="1CC476BC" w:rsidR="001F77C1" w:rsidRPr="001F77C1"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313E37"/>
                <w:sz w:val="18"/>
                <w:szCs w:val="18"/>
              </w:rPr>
              <w:t xml:space="preserve">Time spent in </w:t>
            </w:r>
            <w:r w:rsidRPr="001F77C1">
              <w:rPr>
                <w:rFonts w:asciiTheme="minorHAnsi" w:hAnsiTheme="minorHAnsi" w:cstheme="minorHAnsi"/>
                <w:color w:val="FF0000"/>
                <w:sz w:val="18"/>
                <w:szCs w:val="18"/>
              </w:rPr>
              <w:t xml:space="preserve">drought </w:t>
            </w:r>
            <w:r w:rsidRPr="001F77C1">
              <w:rPr>
                <w:rFonts w:asciiTheme="minorHAnsi" w:hAnsiTheme="minorHAnsi" w:cstheme="minorHAnsi"/>
                <w:color w:val="313E37"/>
                <w:sz w:val="18"/>
                <w:szCs w:val="18"/>
              </w:rPr>
              <w:t xml:space="preserve">is projected, with </w:t>
            </w:r>
            <w:r w:rsidRPr="001F77C1">
              <w:rPr>
                <w:rFonts w:asciiTheme="minorHAnsi" w:hAnsiTheme="minorHAnsi" w:cstheme="minorHAnsi"/>
                <w:i/>
                <w:iCs/>
                <w:color w:val="313E37"/>
                <w:sz w:val="18"/>
                <w:szCs w:val="18"/>
              </w:rPr>
              <w:t>medium confidence</w:t>
            </w:r>
            <w:r w:rsidRPr="001F77C1">
              <w:rPr>
                <w:rFonts w:asciiTheme="minorHAnsi" w:hAnsiTheme="minorHAnsi" w:cstheme="minorHAnsi"/>
                <w:color w:val="313E37"/>
                <w:sz w:val="18"/>
                <w:szCs w:val="18"/>
              </w:rPr>
              <w:t>, to increase over the course of the century.</w:t>
            </w:r>
          </w:p>
          <w:p w14:paraId="3BB28690" w14:textId="401FC186" w:rsidR="00B84DE5" w:rsidRPr="00013ABF" w:rsidRDefault="00B84DE5" w:rsidP="009250B8">
            <w:pPr>
              <w:numPr>
                <w:ilvl w:val="0"/>
                <w:numId w:val="17"/>
              </w:numPr>
              <w:tabs>
                <w:tab w:val="clear" w:pos="720"/>
              </w:tabs>
              <w:ind w:left="315" w:right="136" w:hanging="315"/>
              <w:rPr>
                <w:rFonts w:asciiTheme="minorHAnsi" w:hAnsiTheme="minorHAnsi" w:cstheme="minorHAnsi"/>
                <w:color w:val="313E37"/>
                <w:sz w:val="18"/>
                <w:szCs w:val="18"/>
              </w:rPr>
            </w:pPr>
            <w:r w:rsidRPr="00013ABF">
              <w:rPr>
                <w:rFonts w:asciiTheme="minorHAnsi" w:hAnsiTheme="minorHAnsi" w:cstheme="minorHAnsi"/>
                <w:color w:val="313E37"/>
                <w:sz w:val="18"/>
                <w:szCs w:val="18"/>
              </w:rPr>
              <w:t xml:space="preserve">Mean </w:t>
            </w:r>
            <w:r w:rsidRPr="00013ABF">
              <w:rPr>
                <w:rFonts w:asciiTheme="minorHAnsi" w:hAnsiTheme="minorHAnsi" w:cstheme="minorHAnsi"/>
                <w:color w:val="FF0000"/>
                <w:sz w:val="18"/>
                <w:szCs w:val="18"/>
              </w:rPr>
              <w:t xml:space="preserve">sea level </w:t>
            </w:r>
            <w:r w:rsidRPr="00013ABF">
              <w:rPr>
                <w:rFonts w:asciiTheme="minorHAnsi" w:hAnsiTheme="minorHAnsi" w:cstheme="minorHAnsi"/>
                <w:color w:val="313E37"/>
                <w:sz w:val="18"/>
                <w:szCs w:val="18"/>
              </w:rPr>
              <w:t>will continue to rise and height of extreme sea-level events will also increase (very high confidence).</w:t>
            </w:r>
          </w:p>
          <w:p w14:paraId="6F3C9EA0" w14:textId="0322E8D1" w:rsidR="00B84DE5" w:rsidRPr="00013ABF" w:rsidRDefault="00350B5A" w:rsidP="009250B8">
            <w:pPr>
              <w:numPr>
                <w:ilvl w:val="0"/>
                <w:numId w:val="17"/>
              </w:numPr>
              <w:tabs>
                <w:tab w:val="clear" w:pos="720"/>
              </w:tabs>
              <w:ind w:left="315" w:right="136" w:hanging="315"/>
              <w:rPr>
                <w:rFonts w:asciiTheme="minorHAnsi" w:hAnsiTheme="minorHAnsi" w:cstheme="minorHAnsi"/>
                <w:color w:val="313E37"/>
                <w:sz w:val="18"/>
                <w:szCs w:val="18"/>
              </w:rPr>
            </w:pPr>
            <w:r>
              <w:rPr>
                <w:rFonts w:asciiTheme="minorHAnsi" w:hAnsiTheme="minorHAnsi" w:cstheme="minorHAnsi"/>
                <w:color w:val="313E37"/>
                <w:sz w:val="18"/>
                <w:szCs w:val="18"/>
              </w:rPr>
              <w:t>I</w:t>
            </w:r>
            <w:r w:rsidRPr="00350B5A">
              <w:rPr>
                <w:rFonts w:asciiTheme="minorHAnsi" w:hAnsiTheme="minorHAnsi" w:cstheme="minorHAnsi"/>
                <w:color w:val="313E37"/>
                <w:sz w:val="18"/>
                <w:szCs w:val="18"/>
              </w:rPr>
              <w:t xml:space="preserve">ncreases </w:t>
            </w:r>
            <w:r>
              <w:rPr>
                <w:rFonts w:asciiTheme="minorHAnsi" w:hAnsiTheme="minorHAnsi" w:cstheme="minorHAnsi"/>
                <w:color w:val="313E37"/>
                <w:sz w:val="18"/>
                <w:szCs w:val="18"/>
              </w:rPr>
              <w:t xml:space="preserve">in </w:t>
            </w:r>
            <w:r w:rsidRPr="00350B5A">
              <w:rPr>
                <w:rFonts w:asciiTheme="minorHAnsi" w:hAnsiTheme="minorHAnsi" w:cstheme="minorHAnsi"/>
                <w:color w:val="FF0000"/>
                <w:sz w:val="18"/>
                <w:szCs w:val="18"/>
              </w:rPr>
              <w:t xml:space="preserve">potential evapotranspiration </w:t>
            </w:r>
            <w:r w:rsidRPr="00350B5A">
              <w:rPr>
                <w:rFonts w:asciiTheme="minorHAnsi" w:hAnsiTheme="minorHAnsi" w:cstheme="minorHAnsi"/>
                <w:color w:val="313E37"/>
                <w:sz w:val="18"/>
                <w:szCs w:val="18"/>
              </w:rPr>
              <w:t xml:space="preserve">for all seasons </w:t>
            </w:r>
            <w:r>
              <w:rPr>
                <w:rFonts w:asciiTheme="minorHAnsi" w:hAnsiTheme="minorHAnsi" w:cstheme="minorHAnsi"/>
                <w:color w:val="313E37"/>
                <w:sz w:val="18"/>
                <w:szCs w:val="18"/>
              </w:rPr>
              <w:t xml:space="preserve">are predicted with </w:t>
            </w:r>
            <w:r w:rsidRPr="00350B5A">
              <w:rPr>
                <w:rFonts w:asciiTheme="minorHAnsi" w:hAnsiTheme="minorHAnsi" w:cstheme="minorHAnsi"/>
                <w:i/>
                <w:iCs/>
                <w:color w:val="313E37"/>
                <w:sz w:val="18"/>
                <w:szCs w:val="18"/>
              </w:rPr>
              <w:t>high confidence</w:t>
            </w:r>
            <w:r w:rsidRPr="00350B5A">
              <w:rPr>
                <w:rFonts w:asciiTheme="minorHAnsi" w:hAnsiTheme="minorHAnsi" w:cstheme="minorHAnsi"/>
                <w:color w:val="313E37"/>
                <w:sz w:val="18"/>
                <w:szCs w:val="18"/>
              </w:rPr>
              <w:t>. There is not much difference in the increase amongst the four seasons. In absolute terms, changes are largest in summer, particularly for RCP8.5</w:t>
            </w:r>
            <w:r w:rsidR="00D82AE3" w:rsidRPr="00013ABF">
              <w:rPr>
                <w:rFonts w:asciiTheme="minorHAnsi" w:hAnsiTheme="minorHAnsi" w:cstheme="minorHAnsi"/>
                <w:color w:val="313E37"/>
                <w:sz w:val="18"/>
                <w:szCs w:val="18"/>
              </w:rPr>
              <w:t>.</w:t>
            </w:r>
            <w:r>
              <w:rPr>
                <w:rFonts w:asciiTheme="minorHAnsi" w:hAnsiTheme="minorHAnsi" w:cstheme="minorHAnsi"/>
                <w:color w:val="313E37"/>
                <w:sz w:val="18"/>
                <w:szCs w:val="18"/>
              </w:rPr>
              <w:t xml:space="preserve"> </w:t>
            </w:r>
            <w:r w:rsidRPr="00350B5A">
              <w:rPr>
                <w:rFonts w:asciiTheme="minorHAnsi" w:hAnsiTheme="minorHAnsi" w:cstheme="minorHAnsi"/>
                <w:color w:val="313E37"/>
                <w:sz w:val="18"/>
                <w:szCs w:val="18"/>
              </w:rPr>
              <w:t xml:space="preserve">Despite having high confidence in an increase, there is only </w:t>
            </w:r>
            <w:r w:rsidRPr="00350B5A">
              <w:rPr>
                <w:rFonts w:asciiTheme="minorHAnsi" w:hAnsiTheme="minorHAnsi" w:cstheme="minorHAnsi"/>
                <w:i/>
                <w:iCs/>
                <w:color w:val="313E37"/>
                <w:sz w:val="18"/>
                <w:szCs w:val="18"/>
              </w:rPr>
              <w:t>medium confidence</w:t>
            </w:r>
            <w:r w:rsidRPr="00350B5A">
              <w:rPr>
                <w:rFonts w:asciiTheme="minorHAnsi" w:hAnsiTheme="minorHAnsi" w:cstheme="minorHAnsi"/>
                <w:color w:val="313E37"/>
                <w:sz w:val="18"/>
                <w:szCs w:val="18"/>
              </w:rPr>
              <w:t xml:space="preserve"> in the magnitude of the increase</w:t>
            </w:r>
            <w:r>
              <w:rPr>
                <w:rFonts w:asciiTheme="minorHAnsi" w:hAnsiTheme="minorHAnsi" w:cstheme="minorHAnsi"/>
                <w:color w:val="313E37"/>
                <w:sz w:val="18"/>
                <w:szCs w:val="18"/>
              </w:rPr>
              <w:t>.</w:t>
            </w:r>
          </w:p>
          <w:p w14:paraId="4C44588B" w14:textId="77777777" w:rsidR="00350B5A" w:rsidRDefault="00350B5A" w:rsidP="009250B8">
            <w:pPr>
              <w:numPr>
                <w:ilvl w:val="0"/>
                <w:numId w:val="17"/>
              </w:numPr>
              <w:tabs>
                <w:tab w:val="clear" w:pos="720"/>
              </w:tabs>
              <w:ind w:left="315" w:right="136" w:hanging="315"/>
              <w:rPr>
                <w:rFonts w:asciiTheme="minorHAnsi" w:hAnsiTheme="minorHAnsi" w:cstheme="minorHAnsi"/>
                <w:color w:val="313E37"/>
                <w:sz w:val="18"/>
                <w:szCs w:val="18"/>
              </w:rPr>
            </w:pPr>
            <w:r>
              <w:rPr>
                <w:rFonts w:asciiTheme="minorHAnsi" w:hAnsiTheme="minorHAnsi" w:cstheme="minorHAnsi"/>
                <w:color w:val="313E37"/>
                <w:sz w:val="18"/>
                <w:szCs w:val="18"/>
              </w:rPr>
              <w:t>A</w:t>
            </w:r>
            <w:r w:rsidRPr="00350B5A">
              <w:rPr>
                <w:rFonts w:asciiTheme="minorHAnsi" w:hAnsiTheme="minorHAnsi" w:cstheme="minorHAnsi"/>
                <w:color w:val="313E37"/>
                <w:sz w:val="18"/>
                <w:szCs w:val="18"/>
              </w:rPr>
              <w:t xml:space="preserve"> decrease in </w:t>
            </w:r>
            <w:r w:rsidRPr="00350B5A">
              <w:rPr>
                <w:rFonts w:asciiTheme="minorHAnsi" w:hAnsiTheme="minorHAnsi" w:cstheme="minorHAnsi"/>
                <w:color w:val="FF0000"/>
                <w:sz w:val="18"/>
                <w:szCs w:val="18"/>
              </w:rPr>
              <w:t>relative humidity</w:t>
            </w:r>
            <w:r>
              <w:rPr>
                <w:rFonts w:asciiTheme="minorHAnsi" w:hAnsiTheme="minorHAnsi" w:cstheme="minorHAnsi"/>
                <w:color w:val="FF0000"/>
                <w:sz w:val="18"/>
                <w:szCs w:val="18"/>
              </w:rPr>
              <w:t xml:space="preserve"> </w:t>
            </w:r>
            <w:r w:rsidRPr="00350B5A">
              <w:rPr>
                <w:rFonts w:asciiTheme="minorHAnsi" w:hAnsiTheme="minorHAnsi" w:cstheme="minorHAnsi"/>
                <w:sz w:val="18"/>
                <w:szCs w:val="18"/>
              </w:rPr>
              <w:t>is predicted</w:t>
            </w:r>
            <w:r>
              <w:rPr>
                <w:rFonts w:asciiTheme="minorHAnsi" w:hAnsiTheme="minorHAnsi" w:cstheme="minorHAnsi"/>
                <w:sz w:val="18"/>
                <w:szCs w:val="18"/>
              </w:rPr>
              <w:t>,</w:t>
            </w:r>
            <w:r w:rsidRPr="00350B5A">
              <w:rPr>
                <w:rFonts w:asciiTheme="minorHAnsi" w:hAnsiTheme="minorHAnsi" w:cstheme="minorHAnsi"/>
                <w:color w:val="313E37"/>
                <w:sz w:val="18"/>
                <w:szCs w:val="18"/>
              </w:rPr>
              <w:t xml:space="preserve"> with similar changes in both Rangelands North and South. Projected reductions are more marked in winter and spring (about −5 to 0 % under RCP4.5 and −10 to 0 % under RCP8.5 for 2090). There are, however, models that simulate increases in relative humidity, as demonstrated by some positive 90th percentile values, particularly in autumn. In summary, there is </w:t>
            </w:r>
            <w:r w:rsidRPr="00350B5A">
              <w:rPr>
                <w:rFonts w:asciiTheme="minorHAnsi" w:hAnsiTheme="minorHAnsi" w:cstheme="minorHAnsi"/>
                <w:i/>
                <w:iCs/>
                <w:color w:val="313E37"/>
                <w:sz w:val="18"/>
                <w:szCs w:val="18"/>
              </w:rPr>
              <w:t>medium confidence</w:t>
            </w:r>
            <w:r w:rsidRPr="00350B5A">
              <w:rPr>
                <w:rFonts w:asciiTheme="minorHAnsi" w:hAnsiTheme="minorHAnsi" w:cstheme="minorHAnsi"/>
                <w:color w:val="313E37"/>
                <w:sz w:val="18"/>
                <w:szCs w:val="18"/>
              </w:rPr>
              <w:t xml:space="preserve"> in little change in relative humidity for 2030. By 2090, for summer and autumn, there is </w:t>
            </w:r>
            <w:r w:rsidRPr="00350B5A">
              <w:rPr>
                <w:rFonts w:asciiTheme="minorHAnsi" w:hAnsiTheme="minorHAnsi" w:cstheme="minorHAnsi"/>
                <w:i/>
                <w:iCs/>
                <w:color w:val="313E37"/>
                <w:sz w:val="18"/>
                <w:szCs w:val="18"/>
              </w:rPr>
              <w:t>medium confidence</w:t>
            </w:r>
            <w:r w:rsidRPr="00350B5A">
              <w:rPr>
                <w:rFonts w:asciiTheme="minorHAnsi" w:hAnsiTheme="minorHAnsi" w:cstheme="minorHAnsi"/>
                <w:color w:val="313E37"/>
                <w:sz w:val="18"/>
                <w:szCs w:val="18"/>
              </w:rPr>
              <w:t xml:space="preserve"> in a decrease, while for winter and spring there is </w:t>
            </w:r>
            <w:r w:rsidRPr="00350B5A">
              <w:rPr>
                <w:rFonts w:asciiTheme="minorHAnsi" w:hAnsiTheme="minorHAnsi" w:cstheme="minorHAnsi"/>
                <w:i/>
                <w:iCs/>
                <w:color w:val="313E37"/>
                <w:sz w:val="18"/>
                <w:szCs w:val="18"/>
              </w:rPr>
              <w:t xml:space="preserve">high confidence </w:t>
            </w:r>
            <w:r w:rsidRPr="00350B5A">
              <w:rPr>
                <w:rFonts w:asciiTheme="minorHAnsi" w:hAnsiTheme="minorHAnsi" w:cstheme="minorHAnsi"/>
                <w:color w:val="313E37"/>
                <w:sz w:val="18"/>
                <w:szCs w:val="18"/>
              </w:rPr>
              <w:t>in a decrease</w:t>
            </w:r>
            <w:r>
              <w:rPr>
                <w:rFonts w:asciiTheme="minorHAnsi" w:hAnsiTheme="minorHAnsi" w:cstheme="minorHAnsi"/>
                <w:color w:val="313E37"/>
                <w:sz w:val="18"/>
                <w:szCs w:val="18"/>
              </w:rPr>
              <w:t>.</w:t>
            </w:r>
          </w:p>
          <w:p w14:paraId="46648B22" w14:textId="15836F51" w:rsidR="00350B5A" w:rsidRDefault="00350B5A" w:rsidP="009250B8">
            <w:pPr>
              <w:numPr>
                <w:ilvl w:val="0"/>
                <w:numId w:val="17"/>
              </w:numPr>
              <w:tabs>
                <w:tab w:val="clear" w:pos="720"/>
              </w:tabs>
              <w:ind w:left="315" w:right="136" w:hanging="315"/>
              <w:rPr>
                <w:rFonts w:asciiTheme="minorHAnsi" w:hAnsiTheme="minorHAnsi" w:cstheme="minorHAnsi"/>
                <w:color w:val="313E37"/>
                <w:sz w:val="18"/>
                <w:szCs w:val="18"/>
              </w:rPr>
            </w:pPr>
            <w:r w:rsidRPr="00350B5A">
              <w:rPr>
                <w:rFonts w:asciiTheme="minorHAnsi" w:hAnsiTheme="minorHAnsi" w:cstheme="minorHAnsi"/>
                <w:color w:val="313E37"/>
                <w:sz w:val="18"/>
                <w:szCs w:val="18"/>
              </w:rPr>
              <w:t xml:space="preserve">Decreases in </w:t>
            </w:r>
            <w:r w:rsidRPr="00350B5A">
              <w:rPr>
                <w:rFonts w:asciiTheme="minorHAnsi" w:hAnsiTheme="minorHAnsi" w:cstheme="minorHAnsi"/>
                <w:color w:val="FF0000"/>
                <w:sz w:val="18"/>
                <w:szCs w:val="18"/>
              </w:rPr>
              <w:t xml:space="preserve">soil moisture </w:t>
            </w:r>
            <w:r w:rsidRPr="00350B5A">
              <w:rPr>
                <w:rFonts w:asciiTheme="minorHAnsi" w:hAnsiTheme="minorHAnsi" w:cstheme="minorHAnsi"/>
                <w:color w:val="313E37"/>
                <w:sz w:val="18"/>
                <w:szCs w:val="18"/>
              </w:rPr>
              <w:t xml:space="preserve">are projected, particularly in winter, when changes for RCP8.5 by 2090 range from −7 to +1 % in North, and −11 to −1 % in the South with medium model agreement on substantial decrease. The percentage changes in soil moisture are strongly influenced by those in rainfall, but tend to be more negative due to the strong increase in potential evapotranspiration. However, these estimates are based only on large-scale considerations. Given the potential limitations of this method, there is only </w:t>
            </w:r>
            <w:r w:rsidRPr="00350B5A">
              <w:rPr>
                <w:rFonts w:asciiTheme="minorHAnsi" w:hAnsiTheme="minorHAnsi" w:cstheme="minorHAnsi"/>
                <w:i/>
                <w:iCs/>
                <w:color w:val="313E37"/>
                <w:sz w:val="18"/>
                <w:szCs w:val="18"/>
              </w:rPr>
              <w:t>medium confidence</w:t>
            </w:r>
            <w:r w:rsidRPr="00350B5A">
              <w:rPr>
                <w:rFonts w:asciiTheme="minorHAnsi" w:hAnsiTheme="minorHAnsi" w:cstheme="minorHAnsi"/>
                <w:color w:val="313E37"/>
                <w:sz w:val="18"/>
                <w:szCs w:val="18"/>
              </w:rPr>
              <w:t xml:space="preserve"> that soil moisture will decline in winte</w:t>
            </w:r>
            <w:r>
              <w:rPr>
                <w:rFonts w:asciiTheme="minorHAnsi" w:hAnsiTheme="minorHAnsi" w:cstheme="minorHAnsi"/>
                <w:color w:val="313E37"/>
                <w:sz w:val="18"/>
                <w:szCs w:val="18"/>
              </w:rPr>
              <w:t>r.</w:t>
            </w:r>
          </w:p>
          <w:p w14:paraId="6E523DFB" w14:textId="72FCA71C" w:rsidR="00350B5A" w:rsidRDefault="00350B5A" w:rsidP="009250B8">
            <w:pPr>
              <w:numPr>
                <w:ilvl w:val="0"/>
                <w:numId w:val="17"/>
              </w:numPr>
              <w:tabs>
                <w:tab w:val="clear" w:pos="720"/>
              </w:tabs>
              <w:ind w:left="315" w:right="136" w:hanging="315"/>
              <w:rPr>
                <w:rFonts w:asciiTheme="minorHAnsi" w:hAnsiTheme="minorHAnsi" w:cstheme="minorHAnsi"/>
                <w:color w:val="313E37"/>
                <w:sz w:val="18"/>
                <w:szCs w:val="18"/>
              </w:rPr>
            </w:pPr>
            <w:r>
              <w:rPr>
                <w:rFonts w:asciiTheme="minorHAnsi" w:hAnsiTheme="minorHAnsi" w:cstheme="minorHAnsi"/>
                <w:color w:val="313E37"/>
                <w:sz w:val="18"/>
                <w:szCs w:val="18"/>
              </w:rPr>
              <w:t>T</w:t>
            </w:r>
            <w:r w:rsidRPr="00350B5A">
              <w:rPr>
                <w:rFonts w:asciiTheme="minorHAnsi" w:hAnsiTheme="minorHAnsi" w:cstheme="minorHAnsi"/>
                <w:color w:val="313E37"/>
                <w:sz w:val="18"/>
                <w:szCs w:val="18"/>
              </w:rPr>
              <w:t xml:space="preserve">he </w:t>
            </w:r>
            <w:r w:rsidRPr="00350B5A">
              <w:rPr>
                <w:rFonts w:asciiTheme="minorHAnsi" w:hAnsiTheme="minorHAnsi" w:cstheme="minorHAnsi"/>
                <w:color w:val="FF0000"/>
                <w:sz w:val="18"/>
                <w:szCs w:val="18"/>
              </w:rPr>
              <w:t xml:space="preserve">runoff </w:t>
            </w:r>
            <w:r w:rsidRPr="00350B5A">
              <w:rPr>
                <w:rFonts w:asciiTheme="minorHAnsi" w:hAnsiTheme="minorHAnsi" w:cstheme="minorHAnsi"/>
                <w:color w:val="313E37"/>
                <w:sz w:val="18"/>
                <w:szCs w:val="18"/>
              </w:rPr>
              <w:t xml:space="preserve">estimates following RCP4.5 and RCP8.5 for 2080–2099 relative to 1986–2005 suggest decrease in both North and South </w:t>
            </w:r>
            <w:r>
              <w:rPr>
                <w:rFonts w:asciiTheme="minorHAnsi" w:hAnsiTheme="minorHAnsi" w:cstheme="minorHAnsi"/>
                <w:color w:val="313E37"/>
                <w:sz w:val="18"/>
                <w:szCs w:val="18"/>
              </w:rPr>
              <w:t>rangelands</w:t>
            </w:r>
            <w:r w:rsidRPr="00350B5A">
              <w:rPr>
                <w:rFonts w:asciiTheme="minorHAnsi" w:hAnsiTheme="minorHAnsi" w:cstheme="minorHAnsi"/>
                <w:color w:val="313E37"/>
                <w:sz w:val="18"/>
                <w:szCs w:val="18"/>
              </w:rPr>
              <w:t xml:space="preserve">. The confidence in these projections is </w:t>
            </w:r>
            <w:r w:rsidRPr="00350B5A">
              <w:rPr>
                <w:rFonts w:asciiTheme="minorHAnsi" w:hAnsiTheme="minorHAnsi" w:cstheme="minorHAnsi"/>
                <w:i/>
                <w:iCs/>
                <w:color w:val="313E37"/>
                <w:sz w:val="18"/>
                <w:szCs w:val="18"/>
              </w:rPr>
              <w:t>low</w:t>
            </w:r>
            <w:r w:rsidRPr="00350B5A">
              <w:rPr>
                <w:rFonts w:asciiTheme="minorHAnsi" w:hAnsiTheme="minorHAnsi" w:cstheme="minorHAnsi"/>
                <w:color w:val="313E37"/>
                <w:sz w:val="18"/>
                <w:szCs w:val="18"/>
              </w:rPr>
              <w:t>, however, as the method used is not able to consider changes to rainfall intensity, seasonality and changes in vegetation characteristics, factors that each could impact future runoff, particularly at smaller scale</w:t>
            </w:r>
            <w:r w:rsidR="001F77C1">
              <w:rPr>
                <w:rFonts w:asciiTheme="minorHAnsi" w:hAnsiTheme="minorHAnsi" w:cstheme="minorHAnsi"/>
                <w:color w:val="313E37"/>
                <w:sz w:val="18"/>
                <w:szCs w:val="18"/>
              </w:rPr>
              <w:t>.</w:t>
            </w:r>
            <w:r w:rsidRPr="00350B5A">
              <w:rPr>
                <w:rFonts w:asciiTheme="minorHAnsi" w:hAnsiTheme="minorHAnsi" w:cstheme="minorHAnsi"/>
                <w:color w:val="313E37"/>
                <w:sz w:val="18"/>
                <w:szCs w:val="18"/>
              </w:rPr>
              <w:t xml:space="preserve">  </w:t>
            </w:r>
          </w:p>
          <w:p w14:paraId="7C549368" w14:textId="708C0339" w:rsidR="00D82AE3" w:rsidRDefault="00D82AE3" w:rsidP="009250B8">
            <w:pPr>
              <w:numPr>
                <w:ilvl w:val="0"/>
                <w:numId w:val="17"/>
              </w:numPr>
              <w:tabs>
                <w:tab w:val="clear" w:pos="720"/>
              </w:tabs>
              <w:ind w:left="315" w:right="136" w:hanging="315"/>
              <w:rPr>
                <w:rFonts w:asciiTheme="minorHAnsi" w:hAnsiTheme="minorHAnsi" w:cstheme="minorHAnsi"/>
                <w:color w:val="313E37"/>
                <w:sz w:val="18"/>
                <w:szCs w:val="18"/>
              </w:rPr>
            </w:pPr>
            <w:r w:rsidRPr="00013ABF">
              <w:rPr>
                <w:rFonts w:asciiTheme="minorHAnsi" w:hAnsiTheme="minorHAnsi" w:cstheme="minorHAnsi"/>
                <w:color w:val="313E37"/>
                <w:sz w:val="18"/>
                <w:szCs w:val="18"/>
              </w:rPr>
              <w:t xml:space="preserve">There is little change projected for </w:t>
            </w:r>
            <w:r w:rsidRPr="00350B5A">
              <w:rPr>
                <w:rFonts w:asciiTheme="minorHAnsi" w:hAnsiTheme="minorHAnsi" w:cstheme="minorHAnsi"/>
                <w:color w:val="FF0000"/>
                <w:sz w:val="18"/>
                <w:szCs w:val="18"/>
              </w:rPr>
              <w:t xml:space="preserve">solar radiation </w:t>
            </w:r>
            <w:r w:rsidRPr="00013ABF">
              <w:rPr>
                <w:rFonts w:asciiTheme="minorHAnsi" w:hAnsiTheme="minorHAnsi" w:cstheme="minorHAnsi"/>
                <w:color w:val="313E37"/>
                <w:sz w:val="18"/>
                <w:szCs w:val="18"/>
              </w:rPr>
              <w:t>in the near future (2030), and for later in the century, decreased radiation is projected in March-May (medium confidence).</w:t>
            </w:r>
          </w:p>
          <w:p w14:paraId="6869F128" w14:textId="2D45D8A9" w:rsidR="00B84DE5" w:rsidRPr="00350B5A" w:rsidRDefault="00350B5A" w:rsidP="009250B8">
            <w:pPr>
              <w:numPr>
                <w:ilvl w:val="0"/>
                <w:numId w:val="17"/>
              </w:numPr>
              <w:tabs>
                <w:tab w:val="clear" w:pos="720"/>
              </w:tabs>
              <w:ind w:left="315" w:right="136" w:hanging="315"/>
              <w:rPr>
                <w:rFonts w:asciiTheme="minorHAnsi" w:hAnsiTheme="minorHAnsi" w:cstheme="minorHAnsi"/>
                <w:color w:val="313E37"/>
                <w:sz w:val="18"/>
                <w:szCs w:val="18"/>
              </w:rPr>
            </w:pPr>
            <w:r w:rsidRPr="00350B5A">
              <w:rPr>
                <w:rFonts w:asciiTheme="minorHAnsi" w:hAnsiTheme="minorHAnsi" w:cstheme="minorHAnsi"/>
                <w:color w:val="FF0000"/>
                <w:sz w:val="18"/>
                <w:szCs w:val="18"/>
              </w:rPr>
              <w:t xml:space="preserve">Fire </w:t>
            </w:r>
            <w:r w:rsidRPr="00013ABF">
              <w:rPr>
                <w:rFonts w:asciiTheme="minorHAnsi" w:hAnsiTheme="minorHAnsi" w:cstheme="minorHAnsi"/>
                <w:color w:val="313E37"/>
                <w:sz w:val="18"/>
                <w:szCs w:val="18"/>
              </w:rPr>
              <w:t>in the Rangelands depends highly on fuel availability, which mainly depends on rainfall. With an unclear direction in rainfall projections it is difficult to determine the direction of fire weather risk expected in future, furthermore, there is low confidence in the magnitude of fire weather projections</w:t>
            </w:r>
            <w:r w:rsidR="007E5A23">
              <w:rPr>
                <w:rFonts w:asciiTheme="minorHAnsi" w:hAnsiTheme="minorHAnsi" w:cstheme="minorHAnsi"/>
                <w:color w:val="313E37"/>
                <w:sz w:val="18"/>
                <w:szCs w:val="18"/>
              </w:rPr>
              <w:t>.</w:t>
            </w:r>
          </w:p>
          <w:p w14:paraId="2F33BF24" w14:textId="77777777" w:rsidR="00D82AE3" w:rsidRDefault="00D82AE3" w:rsidP="00D82AE3">
            <w:pPr>
              <w:ind w:left="315" w:right="136"/>
              <w:rPr>
                <w:rFonts w:asciiTheme="minorHAnsi" w:hAnsiTheme="minorHAnsi" w:cstheme="minorHAnsi"/>
                <w:color w:val="313E37"/>
                <w:sz w:val="20"/>
                <w:szCs w:val="20"/>
              </w:rPr>
            </w:pPr>
          </w:p>
          <w:p w14:paraId="4355733B" w14:textId="77777777" w:rsidR="00B84DE5" w:rsidRDefault="00B84DE5" w:rsidP="00802F49">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6D7BCD3C" w14:textId="38688EB5" w:rsidR="00B84DE5" w:rsidRPr="00EF238F" w:rsidRDefault="00B84DE5" w:rsidP="00802F49">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sidR="005E4127">
              <w:rPr>
                <w:noProof/>
              </w:rPr>
              <w:drawing>
                <wp:inline distT="0" distB="0" distL="0" distR="0" wp14:anchorId="3AF1F021" wp14:editId="78D278AE">
                  <wp:extent cx="2549769" cy="1673567"/>
                  <wp:effectExtent l="0" t="0" r="3175" b="3175"/>
                  <wp:docPr id="808156050" name="Picture 136324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63"/>
                          <pic:cNvPicPr/>
                        </pic:nvPicPr>
                        <pic:blipFill>
                          <a:blip r:embed="rId291">
                            <a:extLst>
                              <a:ext uri="{28A0092B-C50C-407E-A947-70E740481C1C}">
                                <a14:useLocalDpi xmlns:a14="http://schemas.microsoft.com/office/drawing/2010/main" val="0"/>
                              </a:ext>
                            </a:extLst>
                          </a:blip>
                          <a:stretch>
                            <a:fillRect/>
                          </a:stretch>
                        </pic:blipFill>
                        <pic:spPr>
                          <a:xfrm>
                            <a:off x="0" y="0"/>
                            <a:ext cx="2549769" cy="1673567"/>
                          </a:xfrm>
                          <a:prstGeom prst="rect">
                            <a:avLst/>
                          </a:prstGeom>
                        </pic:spPr>
                      </pic:pic>
                    </a:graphicData>
                  </a:graphic>
                </wp:inline>
              </w:drawing>
            </w:r>
            <w:r w:rsidRPr="1F802AF8">
              <w:rPr>
                <w:rFonts w:asciiTheme="minorHAnsi" w:hAnsiTheme="minorHAnsi" w:cstheme="minorBidi"/>
                <w:color w:val="313E37"/>
                <w:sz w:val="20"/>
                <w:szCs w:val="20"/>
              </w:rPr>
              <w:t xml:space="preserve">    </w:t>
            </w:r>
            <w:r w:rsidR="005E4127">
              <w:rPr>
                <w:noProof/>
              </w:rPr>
              <w:drawing>
                <wp:inline distT="0" distB="0" distL="0" distR="0" wp14:anchorId="1796ACA5" wp14:editId="3D6C98D5">
                  <wp:extent cx="2523392" cy="1662538"/>
                  <wp:effectExtent l="0" t="0" r="0" b="0"/>
                  <wp:docPr id="457527751" name="Picture 136324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64"/>
                          <pic:cNvPicPr/>
                        </pic:nvPicPr>
                        <pic:blipFill>
                          <a:blip r:embed="rId292">
                            <a:extLst>
                              <a:ext uri="{28A0092B-C50C-407E-A947-70E740481C1C}">
                                <a14:useLocalDpi xmlns:a14="http://schemas.microsoft.com/office/drawing/2010/main" val="0"/>
                              </a:ext>
                            </a:extLst>
                          </a:blip>
                          <a:stretch>
                            <a:fillRect/>
                          </a:stretch>
                        </pic:blipFill>
                        <pic:spPr>
                          <a:xfrm>
                            <a:off x="0" y="0"/>
                            <a:ext cx="2523392" cy="1662538"/>
                          </a:xfrm>
                          <a:prstGeom prst="rect">
                            <a:avLst/>
                          </a:prstGeom>
                        </pic:spPr>
                      </pic:pic>
                    </a:graphicData>
                  </a:graphic>
                </wp:inline>
              </w:drawing>
            </w:r>
          </w:p>
        </w:tc>
      </w:tr>
      <w:tr w:rsidR="00B73FCA" w14:paraId="6B204C02" w14:textId="77777777" w:rsidTr="1F802AF8">
        <w:trPr>
          <w:trHeight w:val="329"/>
        </w:trPr>
        <w:tc>
          <w:tcPr>
            <w:tcW w:w="9628" w:type="dxa"/>
            <w:gridSpan w:val="2"/>
          </w:tcPr>
          <w:p w14:paraId="6CBB5E5F" w14:textId="1519B1E6" w:rsidR="00B73FCA" w:rsidRPr="00EF238F" w:rsidRDefault="00B73FCA" w:rsidP="00802F49">
            <w:pPr>
              <w:pStyle w:val="BodyText"/>
              <w:rPr>
                <w:b/>
                <w:bCs/>
                <w:sz w:val="20"/>
              </w:rPr>
            </w:pPr>
            <w:r>
              <w:rPr>
                <w:b/>
                <w:bCs/>
                <w:sz w:val="20"/>
              </w:rPr>
              <w:lastRenderedPageBreak/>
              <w:t>Rangelands South</w:t>
            </w:r>
          </w:p>
        </w:tc>
      </w:tr>
      <w:tr w:rsidR="00B73FCA" w14:paraId="347ADBFA" w14:textId="77777777" w:rsidTr="1F802AF8">
        <w:trPr>
          <w:trHeight w:val="1815"/>
        </w:trPr>
        <w:tc>
          <w:tcPr>
            <w:tcW w:w="2263" w:type="dxa"/>
          </w:tcPr>
          <w:p w14:paraId="5110DF56" w14:textId="03BC0875" w:rsidR="00B73FCA" w:rsidRDefault="00B73FCA" w:rsidP="00802F49">
            <w:pPr>
              <w:pStyle w:val="BodyText"/>
            </w:pPr>
            <w:r>
              <w:rPr>
                <w:noProof/>
              </w:rPr>
              <w:drawing>
                <wp:inline distT="0" distB="0" distL="0" distR="0" wp14:anchorId="5F9D15D1" wp14:editId="0A2FF355">
                  <wp:extent cx="1160584" cy="973335"/>
                  <wp:effectExtent l="0" t="0" r="1905" b="0"/>
                  <wp:docPr id="1381734460" name="Picture 136324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68"/>
                          <pic:cNvPicPr/>
                        </pic:nvPicPr>
                        <pic:blipFill>
                          <a:blip r:embed="rId293">
                            <a:extLst>
                              <a:ext uri="{28A0092B-C50C-407E-A947-70E740481C1C}">
                                <a14:useLocalDpi xmlns:a14="http://schemas.microsoft.com/office/drawing/2010/main" val="0"/>
                              </a:ext>
                            </a:extLst>
                          </a:blip>
                          <a:stretch>
                            <a:fillRect/>
                          </a:stretch>
                        </pic:blipFill>
                        <pic:spPr>
                          <a:xfrm>
                            <a:off x="0" y="0"/>
                            <a:ext cx="1160584" cy="973335"/>
                          </a:xfrm>
                          <a:prstGeom prst="rect">
                            <a:avLst/>
                          </a:prstGeom>
                        </pic:spPr>
                      </pic:pic>
                    </a:graphicData>
                  </a:graphic>
                </wp:inline>
              </w:drawing>
            </w:r>
          </w:p>
        </w:tc>
        <w:tc>
          <w:tcPr>
            <w:tcW w:w="7365" w:type="dxa"/>
          </w:tcPr>
          <w:p w14:paraId="0F54D4C4" w14:textId="77777777" w:rsidR="00B73FCA" w:rsidRDefault="00B73FCA"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4473139B" w14:textId="77777777" w:rsidR="00B73FCA" w:rsidRPr="00B84DE5" w:rsidRDefault="00B73FCA" w:rsidP="00802F49">
            <w:pPr>
              <w:pStyle w:val="BodyText"/>
              <w:spacing w:before="0" w:after="0" w:line="240" w:lineRule="auto"/>
              <w:rPr>
                <w:sz w:val="20"/>
              </w:rPr>
            </w:pPr>
            <w:r w:rsidRPr="00B84DE5">
              <w:rPr>
                <w:sz w:val="20"/>
              </w:rPr>
              <w:t>Protection of existing forests</w:t>
            </w:r>
            <w:r w:rsidRPr="00B84DE5">
              <w:rPr>
                <w:sz w:val="20"/>
              </w:rPr>
              <w:tab/>
            </w:r>
            <w:r>
              <w:rPr>
                <w:sz w:val="20"/>
              </w:rPr>
              <w:tab/>
            </w:r>
            <w:r w:rsidRPr="00B84DE5">
              <w:rPr>
                <w:sz w:val="20"/>
              </w:rPr>
              <w:t>45</w:t>
            </w:r>
            <w:r>
              <w:rPr>
                <w:sz w:val="20"/>
              </w:rPr>
              <w:tab/>
            </w:r>
            <w:r w:rsidRPr="00B84DE5">
              <w:rPr>
                <w:sz w:val="20"/>
              </w:rPr>
              <w:tab/>
              <w:t xml:space="preserve"> 343,020 </w:t>
            </w:r>
          </w:p>
          <w:p w14:paraId="0DC40830" w14:textId="2FE03011" w:rsidR="00B73FCA" w:rsidRPr="0054376E" w:rsidRDefault="00FB2D3A" w:rsidP="00802F49">
            <w:pPr>
              <w:pStyle w:val="BodyText"/>
              <w:spacing w:before="0" w:after="0" w:line="240" w:lineRule="auto"/>
              <w:rPr>
                <w:sz w:val="20"/>
              </w:rPr>
            </w:pPr>
            <w:r>
              <w:rPr>
                <w:sz w:val="20"/>
              </w:rPr>
              <w:t>Re-</w:t>
            </w:r>
            <w:r w:rsidR="00187AAD">
              <w:rPr>
                <w:sz w:val="20"/>
              </w:rPr>
              <w:t>establishment</w:t>
            </w:r>
            <w:r w:rsidR="00187AAD" w:rsidRPr="00B84DE5">
              <w:rPr>
                <w:sz w:val="20"/>
              </w:rPr>
              <w:t xml:space="preserve"> of</w:t>
            </w:r>
            <w:r w:rsidR="00B73FCA" w:rsidRPr="00B84DE5">
              <w:rPr>
                <w:sz w:val="20"/>
              </w:rPr>
              <w:t xml:space="preserve"> native forest cover</w:t>
            </w:r>
            <w:r w:rsidR="00B73FCA" w:rsidRPr="00B84DE5">
              <w:rPr>
                <w:sz w:val="20"/>
              </w:rPr>
              <w:tab/>
              <w:t>90</w:t>
            </w:r>
            <w:r w:rsidR="00B73FCA" w:rsidRPr="00B84DE5">
              <w:rPr>
                <w:sz w:val="20"/>
              </w:rPr>
              <w:tab/>
            </w:r>
            <w:r w:rsidR="00B73FCA">
              <w:rPr>
                <w:sz w:val="20"/>
              </w:rPr>
              <w:tab/>
            </w:r>
            <w:r w:rsidR="00B73FCA" w:rsidRPr="00B84DE5">
              <w:rPr>
                <w:sz w:val="20"/>
              </w:rPr>
              <w:t xml:space="preserve"> 8,914,791</w:t>
            </w:r>
          </w:p>
        </w:tc>
      </w:tr>
      <w:tr w:rsidR="00B73FCA" w14:paraId="1A3FD0B1" w14:textId="77777777" w:rsidTr="1F802AF8">
        <w:tc>
          <w:tcPr>
            <w:tcW w:w="9628" w:type="dxa"/>
            <w:gridSpan w:val="2"/>
          </w:tcPr>
          <w:p w14:paraId="6855C4AF" w14:textId="77777777" w:rsidR="00B73FCA" w:rsidRPr="00EF238F" w:rsidRDefault="00B73FCA"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6D587A5D" w14:textId="3C36C8B4" w:rsidR="00B73FCA" w:rsidRPr="001F77C1" w:rsidRDefault="00B73FCA"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FF0000"/>
                <w:sz w:val="18"/>
                <w:szCs w:val="18"/>
              </w:rPr>
              <w:t xml:space="preserve">Average temperatures </w:t>
            </w:r>
            <w:r w:rsidRPr="001F77C1">
              <w:rPr>
                <w:rFonts w:asciiTheme="minorHAnsi" w:hAnsiTheme="minorHAnsi" w:cstheme="minorHAnsi"/>
                <w:color w:val="313E37"/>
                <w:sz w:val="18"/>
                <w:szCs w:val="18"/>
              </w:rPr>
              <w:t>will continue to increase in all seasons (</w:t>
            </w:r>
            <w:r w:rsidRPr="001F77C1">
              <w:rPr>
                <w:rFonts w:asciiTheme="minorHAnsi" w:hAnsiTheme="minorHAnsi" w:cstheme="minorHAnsi"/>
                <w:i/>
                <w:iCs/>
                <w:color w:val="313E37"/>
                <w:sz w:val="18"/>
                <w:szCs w:val="18"/>
              </w:rPr>
              <w:t>very high confidence</w:t>
            </w:r>
            <w:r w:rsidRPr="001F77C1">
              <w:rPr>
                <w:rFonts w:asciiTheme="minorHAnsi" w:hAnsiTheme="minorHAnsi" w:cstheme="minorHAnsi"/>
                <w:color w:val="313E37"/>
                <w:sz w:val="18"/>
                <w:szCs w:val="18"/>
              </w:rPr>
              <w:t>).</w:t>
            </w:r>
            <w:r w:rsidR="001F77C1" w:rsidRPr="001F77C1">
              <w:rPr>
                <w:rFonts w:asciiTheme="minorHAnsi" w:hAnsiTheme="minorHAnsi" w:cstheme="minorHAnsi"/>
                <w:color w:val="313E37"/>
                <w:sz w:val="18"/>
                <w:szCs w:val="18"/>
              </w:rPr>
              <w:t xml:space="preserve"> For the near future (2030), the annually averaged warming across all emission scenarios is projected to be around 0.6 to 1.4 °C above the climate of 1986–2005.</w:t>
            </w:r>
            <w:r w:rsidR="001F77C1">
              <w:rPr>
                <w:rFonts w:asciiTheme="minorHAnsi" w:hAnsiTheme="minorHAnsi" w:cstheme="minorHAnsi"/>
                <w:color w:val="313E37"/>
                <w:sz w:val="18"/>
                <w:szCs w:val="18"/>
              </w:rPr>
              <w:t xml:space="preserve"> </w:t>
            </w:r>
            <w:r w:rsidR="001F77C1" w:rsidRPr="001F77C1">
              <w:rPr>
                <w:rFonts w:asciiTheme="minorHAnsi" w:hAnsiTheme="minorHAnsi" w:cstheme="minorHAnsi"/>
                <w:color w:val="313E37"/>
                <w:sz w:val="18"/>
                <w:szCs w:val="18"/>
              </w:rPr>
              <w:t>By late in the century (2090), for a high emission scenario (RCP8.5) the projected range of warming is 2.8 to 5.1 °C. Under an intermediate scenario (RCP4.5) the projected warming is 1.3 to 2.6 °C</w:t>
            </w:r>
            <w:r w:rsidR="001F77C1">
              <w:rPr>
                <w:rFonts w:asciiTheme="minorHAnsi" w:hAnsiTheme="minorHAnsi" w:cstheme="minorHAnsi"/>
                <w:color w:val="313E37"/>
                <w:sz w:val="18"/>
                <w:szCs w:val="18"/>
              </w:rPr>
              <w:t>.</w:t>
            </w:r>
          </w:p>
          <w:p w14:paraId="0A503058" w14:textId="617B25A8" w:rsidR="001F77C1"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FF0000"/>
                <w:sz w:val="18"/>
                <w:szCs w:val="18"/>
              </w:rPr>
              <w:t xml:space="preserve">Extreme temperatures </w:t>
            </w:r>
            <w:r w:rsidRPr="001F77C1">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1F77C1">
              <w:rPr>
                <w:rFonts w:asciiTheme="minorHAnsi" w:hAnsiTheme="minorHAnsi" w:cstheme="minorHAnsi"/>
                <w:i/>
                <w:iCs/>
                <w:color w:val="313E37"/>
                <w:sz w:val="18"/>
                <w:szCs w:val="18"/>
              </w:rPr>
              <w:t>very high confidence</w:t>
            </w:r>
            <w:r w:rsidRPr="001F77C1">
              <w:rPr>
                <w:rFonts w:asciiTheme="minorHAnsi" w:hAnsiTheme="minorHAnsi" w:cstheme="minorHAnsi"/>
                <w:color w:val="313E37"/>
                <w:sz w:val="18"/>
                <w:szCs w:val="18"/>
              </w:rPr>
              <w:t>).</w:t>
            </w:r>
          </w:p>
          <w:p w14:paraId="765B29A2" w14:textId="1BFF466D" w:rsidR="00B73FCA" w:rsidRPr="001F77C1"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313E37"/>
                <w:sz w:val="18"/>
                <w:szCs w:val="18"/>
              </w:rPr>
              <w:t xml:space="preserve">Where </w:t>
            </w:r>
            <w:r w:rsidRPr="001F77C1">
              <w:rPr>
                <w:rFonts w:asciiTheme="minorHAnsi" w:hAnsiTheme="minorHAnsi" w:cstheme="minorHAnsi"/>
                <w:color w:val="FF0000"/>
                <w:sz w:val="18"/>
                <w:szCs w:val="18"/>
              </w:rPr>
              <w:t xml:space="preserve">frosts </w:t>
            </w:r>
            <w:r w:rsidRPr="001F77C1">
              <w:rPr>
                <w:rFonts w:asciiTheme="minorHAnsi" w:hAnsiTheme="minorHAnsi" w:cstheme="minorHAnsi"/>
                <w:color w:val="313E37"/>
                <w:sz w:val="18"/>
                <w:szCs w:val="18"/>
              </w:rPr>
              <w:t>(minimum temperatures under 2 °C) occur in the cluster, these are projected to decrease</w:t>
            </w:r>
            <w:r w:rsidR="00B73FCA" w:rsidRPr="001F77C1">
              <w:rPr>
                <w:rFonts w:asciiTheme="minorHAnsi" w:hAnsiTheme="minorHAnsi" w:cstheme="minorHAnsi"/>
                <w:color w:val="313E37"/>
                <w:sz w:val="18"/>
                <w:szCs w:val="18"/>
              </w:rPr>
              <w:t>.</w:t>
            </w:r>
          </w:p>
          <w:p w14:paraId="225922C4" w14:textId="2DBBF151" w:rsidR="00B73FCA" w:rsidRPr="001F77C1"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313E37"/>
                <w:sz w:val="18"/>
                <w:szCs w:val="18"/>
              </w:rPr>
              <w:t xml:space="preserve">In the near future (2030) natural variability in </w:t>
            </w:r>
            <w:r w:rsidRPr="001F77C1">
              <w:rPr>
                <w:rFonts w:asciiTheme="minorHAnsi" w:hAnsiTheme="minorHAnsi" w:cstheme="minorHAnsi"/>
                <w:color w:val="FF0000"/>
                <w:sz w:val="18"/>
                <w:szCs w:val="18"/>
              </w:rPr>
              <w:t>rainfall</w:t>
            </w:r>
            <w:r w:rsidRPr="001F77C1">
              <w:rPr>
                <w:rFonts w:asciiTheme="minorHAnsi" w:hAnsiTheme="minorHAnsi" w:cstheme="minorHAnsi"/>
                <w:color w:val="313E37"/>
                <w:sz w:val="18"/>
                <w:szCs w:val="18"/>
              </w:rPr>
              <w:t xml:space="preserve"> is projected to predominate. Winter rainfall is projected to decline over the century under both intermediate (RCP4.5) and high (RCP8.5) emission scenarios (</w:t>
            </w:r>
            <w:r w:rsidRPr="001F77C1">
              <w:rPr>
                <w:rFonts w:asciiTheme="minorHAnsi" w:hAnsiTheme="minorHAnsi" w:cstheme="minorHAnsi"/>
                <w:i/>
                <w:iCs/>
                <w:color w:val="313E37"/>
                <w:sz w:val="18"/>
                <w:szCs w:val="18"/>
              </w:rPr>
              <w:t>high confidence</w:t>
            </w:r>
            <w:r w:rsidRPr="001F77C1">
              <w:rPr>
                <w:rFonts w:asciiTheme="minorHAnsi" w:hAnsiTheme="minorHAnsi" w:cstheme="minorHAnsi"/>
                <w:color w:val="313E37"/>
                <w:sz w:val="18"/>
                <w:szCs w:val="18"/>
              </w:rPr>
              <w:t>). There is a good understanding of the physical mechanisms driving this change (southward shift of winter storm systems together with rising mean pressure over the region). Changes to annual and summer rainfall for late in the century are possible, but the direction of change cannot be confidently projected given the spread of model results</w:t>
            </w:r>
            <w:r w:rsidR="00B73FCA" w:rsidRPr="001F77C1">
              <w:rPr>
                <w:rFonts w:asciiTheme="minorHAnsi" w:hAnsiTheme="minorHAnsi" w:cstheme="minorHAnsi"/>
                <w:color w:val="313E37"/>
                <w:sz w:val="18"/>
                <w:szCs w:val="18"/>
              </w:rPr>
              <w:t>.</w:t>
            </w:r>
          </w:p>
          <w:p w14:paraId="509776DE" w14:textId="2FC157BB" w:rsidR="00B73FCA"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313E37"/>
                <w:sz w:val="18"/>
                <w:szCs w:val="18"/>
              </w:rPr>
              <w:t xml:space="preserve">Understanding of the physical processes that cause </w:t>
            </w:r>
            <w:r w:rsidRPr="001F77C1">
              <w:rPr>
                <w:rFonts w:asciiTheme="minorHAnsi" w:hAnsiTheme="minorHAnsi" w:cstheme="minorHAnsi"/>
                <w:color w:val="FF0000"/>
                <w:sz w:val="18"/>
                <w:szCs w:val="18"/>
              </w:rPr>
              <w:t>extreme rainfall</w:t>
            </w:r>
            <w:r w:rsidRPr="001F77C1">
              <w:rPr>
                <w:rFonts w:asciiTheme="minorHAnsi" w:hAnsiTheme="minorHAnsi" w:cstheme="minorHAnsi"/>
                <w:color w:val="313E37"/>
                <w:sz w:val="18"/>
                <w:szCs w:val="18"/>
              </w:rPr>
              <w:t xml:space="preserve">, coupled with modelled projections, indicate with </w:t>
            </w:r>
            <w:r w:rsidRPr="001F77C1">
              <w:rPr>
                <w:rFonts w:asciiTheme="minorHAnsi" w:hAnsiTheme="minorHAnsi" w:cstheme="minorHAnsi"/>
                <w:i/>
                <w:iCs/>
                <w:color w:val="313E37"/>
                <w:sz w:val="18"/>
                <w:szCs w:val="18"/>
              </w:rPr>
              <w:t>high confidence</w:t>
            </w:r>
            <w:r w:rsidRPr="001F77C1">
              <w:rPr>
                <w:rFonts w:asciiTheme="minorHAnsi" w:hAnsiTheme="minorHAnsi" w:cstheme="minorHAnsi"/>
                <w:color w:val="313E37"/>
                <w:sz w:val="18"/>
                <w:szCs w:val="18"/>
              </w:rPr>
              <w:t xml:space="preserve"> a future increase in the intensity of extreme rainfall events, although the magnitude of the increases cannot be confidently projected.</w:t>
            </w:r>
          </w:p>
          <w:p w14:paraId="274F63EC" w14:textId="19C7BCDA" w:rsidR="001F77C1" w:rsidRPr="001F77C1"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313E37"/>
                <w:sz w:val="18"/>
                <w:szCs w:val="18"/>
              </w:rPr>
              <w:t xml:space="preserve">Time spent in </w:t>
            </w:r>
            <w:r w:rsidRPr="001F77C1">
              <w:rPr>
                <w:rFonts w:asciiTheme="minorHAnsi" w:hAnsiTheme="minorHAnsi" w:cstheme="minorHAnsi"/>
                <w:color w:val="FF0000"/>
                <w:sz w:val="18"/>
                <w:szCs w:val="18"/>
              </w:rPr>
              <w:t xml:space="preserve">drought </w:t>
            </w:r>
            <w:r w:rsidRPr="001F77C1">
              <w:rPr>
                <w:rFonts w:asciiTheme="minorHAnsi" w:hAnsiTheme="minorHAnsi" w:cstheme="minorHAnsi"/>
                <w:color w:val="313E37"/>
                <w:sz w:val="18"/>
                <w:szCs w:val="18"/>
              </w:rPr>
              <w:t xml:space="preserve">is projected, with </w:t>
            </w:r>
            <w:r w:rsidRPr="001F77C1">
              <w:rPr>
                <w:rFonts w:asciiTheme="minorHAnsi" w:hAnsiTheme="minorHAnsi" w:cstheme="minorHAnsi"/>
                <w:i/>
                <w:iCs/>
                <w:color w:val="313E37"/>
                <w:sz w:val="18"/>
                <w:szCs w:val="18"/>
              </w:rPr>
              <w:t>medium confidence</w:t>
            </w:r>
            <w:r w:rsidRPr="001F77C1">
              <w:rPr>
                <w:rFonts w:asciiTheme="minorHAnsi" w:hAnsiTheme="minorHAnsi" w:cstheme="minorHAnsi"/>
                <w:color w:val="313E37"/>
                <w:sz w:val="18"/>
                <w:szCs w:val="18"/>
              </w:rPr>
              <w:t>, to increase over the course of the century.</w:t>
            </w:r>
          </w:p>
          <w:p w14:paraId="5DB80F4B" w14:textId="6AEFDDCB" w:rsidR="00B73FCA" w:rsidRDefault="00B73FCA"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313E37"/>
                <w:sz w:val="18"/>
                <w:szCs w:val="18"/>
              </w:rPr>
              <w:t xml:space="preserve">Mean </w:t>
            </w:r>
            <w:r w:rsidRPr="001F77C1">
              <w:rPr>
                <w:rFonts w:asciiTheme="minorHAnsi" w:hAnsiTheme="minorHAnsi" w:cstheme="minorHAnsi"/>
                <w:color w:val="FF0000"/>
                <w:sz w:val="18"/>
                <w:szCs w:val="18"/>
              </w:rPr>
              <w:t xml:space="preserve">sea level </w:t>
            </w:r>
            <w:r w:rsidRPr="001F77C1">
              <w:rPr>
                <w:rFonts w:asciiTheme="minorHAnsi" w:hAnsiTheme="minorHAnsi" w:cstheme="minorHAnsi"/>
                <w:color w:val="313E37"/>
                <w:sz w:val="18"/>
                <w:szCs w:val="18"/>
              </w:rPr>
              <w:t>will continue to rise and height of extreme sea-level events will also increase (</w:t>
            </w:r>
            <w:r w:rsidRPr="001F77C1">
              <w:rPr>
                <w:rFonts w:asciiTheme="minorHAnsi" w:hAnsiTheme="minorHAnsi" w:cstheme="minorHAnsi"/>
                <w:i/>
                <w:iCs/>
                <w:color w:val="313E37"/>
                <w:sz w:val="18"/>
                <w:szCs w:val="18"/>
              </w:rPr>
              <w:t>very high confidence</w:t>
            </w:r>
            <w:r w:rsidRPr="001F77C1">
              <w:rPr>
                <w:rFonts w:asciiTheme="minorHAnsi" w:hAnsiTheme="minorHAnsi" w:cstheme="minorHAnsi"/>
                <w:color w:val="313E37"/>
                <w:sz w:val="18"/>
                <w:szCs w:val="18"/>
              </w:rPr>
              <w:t>).</w:t>
            </w:r>
          </w:p>
          <w:p w14:paraId="047200AA" w14:textId="77777777" w:rsidR="001F77C1" w:rsidRPr="00013ABF"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Pr>
                <w:rFonts w:asciiTheme="minorHAnsi" w:hAnsiTheme="minorHAnsi" w:cstheme="minorHAnsi"/>
                <w:color w:val="313E37"/>
                <w:sz w:val="18"/>
                <w:szCs w:val="18"/>
              </w:rPr>
              <w:t>I</w:t>
            </w:r>
            <w:r w:rsidRPr="00350B5A">
              <w:rPr>
                <w:rFonts w:asciiTheme="minorHAnsi" w:hAnsiTheme="minorHAnsi" w:cstheme="minorHAnsi"/>
                <w:color w:val="313E37"/>
                <w:sz w:val="18"/>
                <w:szCs w:val="18"/>
              </w:rPr>
              <w:t xml:space="preserve">ncreases </w:t>
            </w:r>
            <w:r>
              <w:rPr>
                <w:rFonts w:asciiTheme="minorHAnsi" w:hAnsiTheme="minorHAnsi" w:cstheme="minorHAnsi"/>
                <w:color w:val="313E37"/>
                <w:sz w:val="18"/>
                <w:szCs w:val="18"/>
              </w:rPr>
              <w:t xml:space="preserve">in </w:t>
            </w:r>
            <w:r w:rsidRPr="00350B5A">
              <w:rPr>
                <w:rFonts w:asciiTheme="minorHAnsi" w:hAnsiTheme="minorHAnsi" w:cstheme="minorHAnsi"/>
                <w:color w:val="FF0000"/>
                <w:sz w:val="18"/>
                <w:szCs w:val="18"/>
              </w:rPr>
              <w:t xml:space="preserve">potential evapotranspiration </w:t>
            </w:r>
            <w:r w:rsidRPr="00350B5A">
              <w:rPr>
                <w:rFonts w:asciiTheme="minorHAnsi" w:hAnsiTheme="minorHAnsi" w:cstheme="minorHAnsi"/>
                <w:color w:val="313E37"/>
                <w:sz w:val="18"/>
                <w:szCs w:val="18"/>
              </w:rPr>
              <w:t xml:space="preserve">for all seasons </w:t>
            </w:r>
            <w:r>
              <w:rPr>
                <w:rFonts w:asciiTheme="minorHAnsi" w:hAnsiTheme="minorHAnsi" w:cstheme="minorHAnsi"/>
                <w:color w:val="313E37"/>
                <w:sz w:val="18"/>
                <w:szCs w:val="18"/>
              </w:rPr>
              <w:t xml:space="preserve">are predicted with </w:t>
            </w:r>
            <w:r w:rsidRPr="00350B5A">
              <w:rPr>
                <w:rFonts w:asciiTheme="minorHAnsi" w:hAnsiTheme="minorHAnsi" w:cstheme="minorHAnsi"/>
                <w:i/>
                <w:iCs/>
                <w:color w:val="313E37"/>
                <w:sz w:val="18"/>
                <w:szCs w:val="18"/>
              </w:rPr>
              <w:t>high confidence</w:t>
            </w:r>
            <w:r w:rsidRPr="00350B5A">
              <w:rPr>
                <w:rFonts w:asciiTheme="minorHAnsi" w:hAnsiTheme="minorHAnsi" w:cstheme="minorHAnsi"/>
                <w:color w:val="313E37"/>
                <w:sz w:val="18"/>
                <w:szCs w:val="18"/>
              </w:rPr>
              <w:t>. There is not much difference in the increase amongst the four seasons. In absolute terms, changes are largest in summer, particularly for RCP8.5</w:t>
            </w:r>
            <w:r w:rsidRPr="00013ABF">
              <w:rPr>
                <w:rFonts w:asciiTheme="minorHAnsi" w:hAnsiTheme="minorHAnsi" w:cstheme="minorHAnsi"/>
                <w:color w:val="313E37"/>
                <w:sz w:val="18"/>
                <w:szCs w:val="18"/>
              </w:rPr>
              <w:t>.</w:t>
            </w:r>
            <w:r>
              <w:rPr>
                <w:rFonts w:asciiTheme="minorHAnsi" w:hAnsiTheme="minorHAnsi" w:cstheme="minorHAnsi"/>
                <w:color w:val="313E37"/>
                <w:sz w:val="18"/>
                <w:szCs w:val="18"/>
              </w:rPr>
              <w:t xml:space="preserve"> </w:t>
            </w:r>
            <w:r w:rsidRPr="00350B5A">
              <w:rPr>
                <w:rFonts w:asciiTheme="minorHAnsi" w:hAnsiTheme="minorHAnsi" w:cstheme="minorHAnsi"/>
                <w:color w:val="313E37"/>
                <w:sz w:val="18"/>
                <w:szCs w:val="18"/>
              </w:rPr>
              <w:t xml:space="preserve">Despite having high confidence in an increase, there is only </w:t>
            </w:r>
            <w:r w:rsidRPr="00350B5A">
              <w:rPr>
                <w:rFonts w:asciiTheme="minorHAnsi" w:hAnsiTheme="minorHAnsi" w:cstheme="minorHAnsi"/>
                <w:i/>
                <w:iCs/>
                <w:color w:val="313E37"/>
                <w:sz w:val="18"/>
                <w:szCs w:val="18"/>
              </w:rPr>
              <w:t>medium confidence</w:t>
            </w:r>
            <w:r w:rsidRPr="00350B5A">
              <w:rPr>
                <w:rFonts w:asciiTheme="minorHAnsi" w:hAnsiTheme="minorHAnsi" w:cstheme="minorHAnsi"/>
                <w:color w:val="313E37"/>
                <w:sz w:val="18"/>
                <w:szCs w:val="18"/>
              </w:rPr>
              <w:t xml:space="preserve"> in the magnitude of the increase</w:t>
            </w:r>
            <w:r>
              <w:rPr>
                <w:rFonts w:asciiTheme="minorHAnsi" w:hAnsiTheme="minorHAnsi" w:cstheme="minorHAnsi"/>
                <w:color w:val="313E37"/>
                <w:sz w:val="18"/>
                <w:szCs w:val="18"/>
              </w:rPr>
              <w:t>.</w:t>
            </w:r>
          </w:p>
          <w:p w14:paraId="24902BBD" w14:textId="7C6EA676" w:rsidR="001F77C1"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Pr>
                <w:rFonts w:asciiTheme="minorHAnsi" w:hAnsiTheme="minorHAnsi" w:cstheme="minorHAnsi"/>
                <w:color w:val="313E37"/>
                <w:sz w:val="18"/>
                <w:szCs w:val="18"/>
              </w:rPr>
              <w:t>A</w:t>
            </w:r>
            <w:r w:rsidRPr="00350B5A">
              <w:rPr>
                <w:rFonts w:asciiTheme="minorHAnsi" w:hAnsiTheme="minorHAnsi" w:cstheme="minorHAnsi"/>
                <w:color w:val="313E37"/>
                <w:sz w:val="18"/>
                <w:szCs w:val="18"/>
              </w:rPr>
              <w:t xml:space="preserve"> decrease in </w:t>
            </w:r>
            <w:r w:rsidRPr="00350B5A">
              <w:rPr>
                <w:rFonts w:asciiTheme="minorHAnsi" w:hAnsiTheme="minorHAnsi" w:cstheme="minorHAnsi"/>
                <w:color w:val="FF0000"/>
                <w:sz w:val="18"/>
                <w:szCs w:val="18"/>
              </w:rPr>
              <w:t>relative humidity</w:t>
            </w:r>
            <w:r>
              <w:rPr>
                <w:rFonts w:asciiTheme="minorHAnsi" w:hAnsiTheme="minorHAnsi" w:cstheme="minorHAnsi"/>
                <w:color w:val="FF0000"/>
                <w:sz w:val="18"/>
                <w:szCs w:val="18"/>
              </w:rPr>
              <w:t xml:space="preserve"> </w:t>
            </w:r>
            <w:r w:rsidRPr="00350B5A">
              <w:rPr>
                <w:rFonts w:asciiTheme="minorHAnsi" w:hAnsiTheme="minorHAnsi" w:cstheme="minorHAnsi"/>
                <w:sz w:val="18"/>
                <w:szCs w:val="18"/>
              </w:rPr>
              <w:t>is predicted</w:t>
            </w:r>
            <w:r>
              <w:rPr>
                <w:rFonts w:asciiTheme="minorHAnsi" w:hAnsiTheme="minorHAnsi" w:cstheme="minorHAnsi"/>
                <w:sz w:val="18"/>
                <w:szCs w:val="18"/>
              </w:rPr>
              <w:t>,</w:t>
            </w:r>
            <w:r w:rsidRPr="00350B5A">
              <w:rPr>
                <w:rFonts w:asciiTheme="minorHAnsi" w:hAnsiTheme="minorHAnsi" w:cstheme="minorHAnsi"/>
                <w:color w:val="313E37"/>
                <w:sz w:val="18"/>
                <w:szCs w:val="18"/>
              </w:rPr>
              <w:t xml:space="preserve"> with similar changes in both Rangelands North and South. Projected reductions are more marked in winter and spring (about −5 to 0 % under RCP4.5 and −10 to 0 % under RCP8.5 for 2090). There are, however, models that simulate increases in </w:t>
            </w:r>
            <w:r>
              <w:rPr>
                <w:rFonts w:asciiTheme="minorHAnsi" w:hAnsiTheme="minorHAnsi" w:cstheme="minorHAnsi"/>
                <w:color w:val="313E37"/>
                <w:sz w:val="18"/>
                <w:szCs w:val="18"/>
              </w:rPr>
              <w:t>RH</w:t>
            </w:r>
            <w:r w:rsidRPr="00350B5A">
              <w:rPr>
                <w:rFonts w:asciiTheme="minorHAnsi" w:hAnsiTheme="minorHAnsi" w:cstheme="minorHAnsi"/>
                <w:color w:val="313E37"/>
                <w:sz w:val="18"/>
                <w:szCs w:val="18"/>
              </w:rPr>
              <w:t xml:space="preserve">, as demonstrated by some positive 90th percentile values, particularly in autumn. In summary, there is </w:t>
            </w:r>
            <w:r w:rsidRPr="00350B5A">
              <w:rPr>
                <w:rFonts w:asciiTheme="minorHAnsi" w:hAnsiTheme="minorHAnsi" w:cstheme="minorHAnsi"/>
                <w:i/>
                <w:iCs/>
                <w:color w:val="313E37"/>
                <w:sz w:val="18"/>
                <w:szCs w:val="18"/>
              </w:rPr>
              <w:t>medium confidence</w:t>
            </w:r>
            <w:r w:rsidRPr="00350B5A">
              <w:rPr>
                <w:rFonts w:asciiTheme="minorHAnsi" w:hAnsiTheme="minorHAnsi" w:cstheme="minorHAnsi"/>
                <w:color w:val="313E37"/>
                <w:sz w:val="18"/>
                <w:szCs w:val="18"/>
              </w:rPr>
              <w:t xml:space="preserve"> in little change in </w:t>
            </w:r>
            <w:r>
              <w:rPr>
                <w:rFonts w:asciiTheme="minorHAnsi" w:hAnsiTheme="minorHAnsi" w:cstheme="minorHAnsi"/>
                <w:color w:val="313E37"/>
                <w:sz w:val="18"/>
                <w:szCs w:val="18"/>
              </w:rPr>
              <w:t>RH</w:t>
            </w:r>
            <w:r w:rsidRPr="00350B5A">
              <w:rPr>
                <w:rFonts w:asciiTheme="minorHAnsi" w:hAnsiTheme="minorHAnsi" w:cstheme="minorHAnsi"/>
                <w:color w:val="313E37"/>
                <w:sz w:val="18"/>
                <w:szCs w:val="18"/>
              </w:rPr>
              <w:t xml:space="preserve"> for 2030. By 2090, for summer and autumn, there is </w:t>
            </w:r>
            <w:r w:rsidRPr="00350B5A">
              <w:rPr>
                <w:rFonts w:asciiTheme="minorHAnsi" w:hAnsiTheme="minorHAnsi" w:cstheme="minorHAnsi"/>
                <w:i/>
                <w:iCs/>
                <w:color w:val="313E37"/>
                <w:sz w:val="18"/>
                <w:szCs w:val="18"/>
              </w:rPr>
              <w:t>medium confidence</w:t>
            </w:r>
            <w:r w:rsidRPr="00350B5A">
              <w:rPr>
                <w:rFonts w:asciiTheme="minorHAnsi" w:hAnsiTheme="minorHAnsi" w:cstheme="minorHAnsi"/>
                <w:color w:val="313E37"/>
                <w:sz w:val="18"/>
                <w:szCs w:val="18"/>
              </w:rPr>
              <w:t xml:space="preserve"> in a decrease, while for winter and spring there is </w:t>
            </w:r>
            <w:r w:rsidRPr="00350B5A">
              <w:rPr>
                <w:rFonts w:asciiTheme="minorHAnsi" w:hAnsiTheme="minorHAnsi" w:cstheme="minorHAnsi"/>
                <w:i/>
                <w:iCs/>
                <w:color w:val="313E37"/>
                <w:sz w:val="18"/>
                <w:szCs w:val="18"/>
              </w:rPr>
              <w:t xml:space="preserve">high confidence </w:t>
            </w:r>
            <w:r w:rsidRPr="00350B5A">
              <w:rPr>
                <w:rFonts w:asciiTheme="minorHAnsi" w:hAnsiTheme="minorHAnsi" w:cstheme="minorHAnsi"/>
                <w:color w:val="313E37"/>
                <w:sz w:val="18"/>
                <w:szCs w:val="18"/>
              </w:rPr>
              <w:t>in a decrease</w:t>
            </w:r>
            <w:r>
              <w:rPr>
                <w:rFonts w:asciiTheme="minorHAnsi" w:hAnsiTheme="minorHAnsi" w:cstheme="minorHAnsi"/>
                <w:color w:val="313E37"/>
                <w:sz w:val="18"/>
                <w:szCs w:val="18"/>
              </w:rPr>
              <w:t>.</w:t>
            </w:r>
          </w:p>
          <w:p w14:paraId="49EAAB0E" w14:textId="77777777" w:rsidR="001F77C1"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sidRPr="00350B5A">
              <w:rPr>
                <w:rFonts w:asciiTheme="minorHAnsi" w:hAnsiTheme="minorHAnsi" w:cstheme="minorHAnsi"/>
                <w:color w:val="313E37"/>
                <w:sz w:val="18"/>
                <w:szCs w:val="18"/>
              </w:rPr>
              <w:t xml:space="preserve">Decreases in </w:t>
            </w:r>
            <w:r w:rsidRPr="00350B5A">
              <w:rPr>
                <w:rFonts w:asciiTheme="minorHAnsi" w:hAnsiTheme="minorHAnsi" w:cstheme="minorHAnsi"/>
                <w:color w:val="FF0000"/>
                <w:sz w:val="18"/>
                <w:szCs w:val="18"/>
              </w:rPr>
              <w:t xml:space="preserve">soil moisture </w:t>
            </w:r>
            <w:r w:rsidRPr="00350B5A">
              <w:rPr>
                <w:rFonts w:asciiTheme="minorHAnsi" w:hAnsiTheme="minorHAnsi" w:cstheme="minorHAnsi"/>
                <w:color w:val="313E37"/>
                <w:sz w:val="18"/>
                <w:szCs w:val="18"/>
              </w:rPr>
              <w:t xml:space="preserve">are projected, particularly in winter, when changes for RCP8.5 by 2090 range from −7 to +1 % in North, and −11 to −1 % in the South with medium model agreement on substantial decrease. The percentage changes in soil moisture are strongly influenced by those in rainfall, but tend to be more negative due to the strong increase in potential evapotranspiration. However, these estimates are based only on large-scale considerations. Given the potential limitations of this method, there is only </w:t>
            </w:r>
            <w:r w:rsidRPr="00350B5A">
              <w:rPr>
                <w:rFonts w:asciiTheme="minorHAnsi" w:hAnsiTheme="minorHAnsi" w:cstheme="minorHAnsi"/>
                <w:i/>
                <w:iCs/>
                <w:color w:val="313E37"/>
                <w:sz w:val="18"/>
                <w:szCs w:val="18"/>
              </w:rPr>
              <w:t>medium confidence</w:t>
            </w:r>
            <w:r w:rsidRPr="00350B5A">
              <w:rPr>
                <w:rFonts w:asciiTheme="minorHAnsi" w:hAnsiTheme="minorHAnsi" w:cstheme="minorHAnsi"/>
                <w:color w:val="313E37"/>
                <w:sz w:val="18"/>
                <w:szCs w:val="18"/>
              </w:rPr>
              <w:t xml:space="preserve"> that soil moisture will decline in winte</w:t>
            </w:r>
            <w:r>
              <w:rPr>
                <w:rFonts w:asciiTheme="minorHAnsi" w:hAnsiTheme="minorHAnsi" w:cstheme="minorHAnsi"/>
                <w:color w:val="313E37"/>
                <w:sz w:val="18"/>
                <w:szCs w:val="18"/>
              </w:rPr>
              <w:t>r.</w:t>
            </w:r>
          </w:p>
          <w:p w14:paraId="4AB1172B" w14:textId="0F7BA2D4" w:rsidR="001F77C1"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Pr>
                <w:rFonts w:asciiTheme="minorHAnsi" w:hAnsiTheme="minorHAnsi" w:cstheme="minorHAnsi"/>
                <w:color w:val="313E37"/>
                <w:sz w:val="18"/>
                <w:szCs w:val="18"/>
              </w:rPr>
              <w:t>T</w:t>
            </w:r>
            <w:r w:rsidRPr="00350B5A">
              <w:rPr>
                <w:rFonts w:asciiTheme="minorHAnsi" w:hAnsiTheme="minorHAnsi" w:cstheme="minorHAnsi"/>
                <w:color w:val="313E37"/>
                <w:sz w:val="18"/>
                <w:szCs w:val="18"/>
              </w:rPr>
              <w:t xml:space="preserve">he </w:t>
            </w:r>
            <w:r w:rsidRPr="00350B5A">
              <w:rPr>
                <w:rFonts w:asciiTheme="minorHAnsi" w:hAnsiTheme="minorHAnsi" w:cstheme="minorHAnsi"/>
                <w:color w:val="FF0000"/>
                <w:sz w:val="18"/>
                <w:szCs w:val="18"/>
              </w:rPr>
              <w:t xml:space="preserve">runoff </w:t>
            </w:r>
            <w:r w:rsidRPr="00350B5A">
              <w:rPr>
                <w:rFonts w:asciiTheme="minorHAnsi" w:hAnsiTheme="minorHAnsi" w:cstheme="minorHAnsi"/>
                <w:color w:val="313E37"/>
                <w:sz w:val="18"/>
                <w:szCs w:val="18"/>
              </w:rPr>
              <w:t xml:space="preserve">estimates following RCP4.5 and RCP8.5 for 2080–2099 relative to 1986–2005 suggest decrease in both North and South </w:t>
            </w:r>
            <w:r>
              <w:rPr>
                <w:rFonts w:asciiTheme="minorHAnsi" w:hAnsiTheme="minorHAnsi" w:cstheme="minorHAnsi"/>
                <w:color w:val="313E37"/>
                <w:sz w:val="18"/>
                <w:szCs w:val="18"/>
              </w:rPr>
              <w:t>rangelands</w:t>
            </w:r>
            <w:r w:rsidRPr="00350B5A">
              <w:rPr>
                <w:rFonts w:asciiTheme="minorHAnsi" w:hAnsiTheme="minorHAnsi" w:cstheme="minorHAnsi"/>
                <w:color w:val="313E37"/>
                <w:sz w:val="18"/>
                <w:szCs w:val="18"/>
              </w:rPr>
              <w:t xml:space="preserve">. The confidence in these projections is </w:t>
            </w:r>
            <w:r w:rsidRPr="00350B5A">
              <w:rPr>
                <w:rFonts w:asciiTheme="minorHAnsi" w:hAnsiTheme="minorHAnsi" w:cstheme="minorHAnsi"/>
                <w:i/>
                <w:iCs/>
                <w:color w:val="313E37"/>
                <w:sz w:val="18"/>
                <w:szCs w:val="18"/>
              </w:rPr>
              <w:t>low</w:t>
            </w:r>
            <w:r w:rsidRPr="00350B5A">
              <w:rPr>
                <w:rFonts w:asciiTheme="minorHAnsi" w:hAnsiTheme="minorHAnsi" w:cstheme="minorHAnsi"/>
                <w:color w:val="313E37"/>
                <w:sz w:val="18"/>
                <w:szCs w:val="18"/>
              </w:rPr>
              <w:t>, however</w:t>
            </w:r>
            <w:r>
              <w:rPr>
                <w:rFonts w:asciiTheme="minorHAnsi" w:hAnsiTheme="minorHAnsi" w:cstheme="minorHAnsi"/>
                <w:color w:val="313E37"/>
                <w:sz w:val="18"/>
                <w:szCs w:val="18"/>
              </w:rPr>
              <w:t>.</w:t>
            </w:r>
            <w:r w:rsidRPr="00350B5A">
              <w:rPr>
                <w:rFonts w:asciiTheme="minorHAnsi" w:hAnsiTheme="minorHAnsi" w:cstheme="minorHAnsi"/>
                <w:color w:val="313E37"/>
                <w:sz w:val="18"/>
                <w:szCs w:val="18"/>
              </w:rPr>
              <w:t xml:space="preserve"> </w:t>
            </w:r>
          </w:p>
          <w:p w14:paraId="6616C817" w14:textId="06973B65" w:rsidR="00B73FCA" w:rsidRPr="001F77C1" w:rsidRDefault="00B73FCA"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313E37"/>
                <w:sz w:val="18"/>
                <w:szCs w:val="18"/>
              </w:rPr>
              <w:t xml:space="preserve">There is little change projected for </w:t>
            </w:r>
            <w:r w:rsidRPr="001F77C1">
              <w:rPr>
                <w:rFonts w:asciiTheme="minorHAnsi" w:hAnsiTheme="minorHAnsi" w:cstheme="minorHAnsi"/>
                <w:color w:val="FF0000"/>
                <w:sz w:val="18"/>
                <w:szCs w:val="18"/>
              </w:rPr>
              <w:t xml:space="preserve">solar radiation </w:t>
            </w:r>
            <w:r w:rsidRPr="001F77C1">
              <w:rPr>
                <w:rFonts w:asciiTheme="minorHAnsi" w:hAnsiTheme="minorHAnsi" w:cstheme="minorHAnsi"/>
                <w:color w:val="313E37"/>
                <w:sz w:val="18"/>
                <w:szCs w:val="18"/>
              </w:rPr>
              <w:t>in the near future (2030), and for later in the century, increased radiation is projected in the south in winter (</w:t>
            </w:r>
            <w:r w:rsidRPr="001F77C1">
              <w:rPr>
                <w:rFonts w:asciiTheme="minorHAnsi" w:hAnsiTheme="minorHAnsi" w:cstheme="minorHAnsi"/>
                <w:i/>
                <w:iCs/>
                <w:color w:val="313E37"/>
                <w:sz w:val="18"/>
                <w:szCs w:val="18"/>
              </w:rPr>
              <w:t>medium confidence</w:t>
            </w:r>
            <w:r w:rsidRPr="001F77C1">
              <w:rPr>
                <w:rFonts w:asciiTheme="minorHAnsi" w:hAnsiTheme="minorHAnsi" w:cstheme="minorHAnsi"/>
                <w:color w:val="313E37"/>
                <w:sz w:val="18"/>
                <w:szCs w:val="18"/>
              </w:rPr>
              <w:t>).</w:t>
            </w:r>
          </w:p>
          <w:p w14:paraId="792F989E" w14:textId="0CD94EE1" w:rsidR="00B73FCA" w:rsidRDefault="001F77C1" w:rsidP="009250B8">
            <w:pPr>
              <w:numPr>
                <w:ilvl w:val="0"/>
                <w:numId w:val="17"/>
              </w:numPr>
              <w:tabs>
                <w:tab w:val="clear" w:pos="720"/>
              </w:tabs>
              <w:ind w:left="315" w:right="136" w:hanging="315"/>
              <w:rPr>
                <w:rFonts w:asciiTheme="minorHAnsi" w:hAnsiTheme="minorHAnsi" w:cstheme="minorHAnsi"/>
                <w:color w:val="313E37"/>
                <w:sz w:val="18"/>
                <w:szCs w:val="18"/>
              </w:rPr>
            </w:pPr>
            <w:r w:rsidRPr="001F77C1">
              <w:rPr>
                <w:rFonts w:asciiTheme="minorHAnsi" w:hAnsiTheme="minorHAnsi" w:cstheme="minorHAnsi"/>
                <w:color w:val="FF0000"/>
                <w:sz w:val="18"/>
                <w:szCs w:val="18"/>
              </w:rPr>
              <w:t>F</w:t>
            </w:r>
            <w:r w:rsidR="00B73FCA" w:rsidRPr="001F77C1">
              <w:rPr>
                <w:rFonts w:asciiTheme="minorHAnsi" w:hAnsiTheme="minorHAnsi" w:cstheme="minorHAnsi"/>
                <w:color w:val="FF0000"/>
                <w:sz w:val="18"/>
                <w:szCs w:val="18"/>
              </w:rPr>
              <w:t xml:space="preserve">ire </w:t>
            </w:r>
            <w:r w:rsidR="00B73FCA" w:rsidRPr="001F77C1">
              <w:rPr>
                <w:rFonts w:asciiTheme="minorHAnsi" w:hAnsiTheme="minorHAnsi" w:cstheme="minorHAnsi"/>
                <w:color w:val="313E37"/>
                <w:sz w:val="18"/>
                <w:szCs w:val="18"/>
              </w:rPr>
              <w:t xml:space="preserve">in the Rangelands depends highly on fuel availability, which mainly depends on rainfall. A tendency toward increased fire weather risk is expected in future, due to higher temperature and lower rainfall, but there is </w:t>
            </w:r>
            <w:r w:rsidR="00B73FCA" w:rsidRPr="001F77C1">
              <w:rPr>
                <w:rFonts w:asciiTheme="minorHAnsi" w:hAnsiTheme="minorHAnsi" w:cstheme="minorHAnsi"/>
                <w:i/>
                <w:iCs/>
                <w:color w:val="313E37"/>
                <w:sz w:val="18"/>
                <w:szCs w:val="18"/>
              </w:rPr>
              <w:t>low confidence</w:t>
            </w:r>
            <w:r w:rsidR="00B73FCA" w:rsidRPr="001F77C1">
              <w:rPr>
                <w:rFonts w:asciiTheme="minorHAnsi" w:hAnsiTheme="minorHAnsi" w:cstheme="minorHAnsi"/>
                <w:color w:val="313E37"/>
                <w:sz w:val="18"/>
                <w:szCs w:val="18"/>
              </w:rPr>
              <w:t xml:space="preserve"> in the magnitude of fire weather projections.</w:t>
            </w:r>
          </w:p>
          <w:p w14:paraId="07B3D586" w14:textId="77777777" w:rsidR="001F77C1" w:rsidRPr="001F77C1" w:rsidRDefault="001F77C1" w:rsidP="001F77C1">
            <w:pPr>
              <w:ind w:left="315" w:right="136"/>
              <w:rPr>
                <w:rFonts w:asciiTheme="minorHAnsi" w:hAnsiTheme="minorHAnsi" w:cstheme="minorHAnsi"/>
                <w:color w:val="313E37"/>
                <w:sz w:val="18"/>
                <w:szCs w:val="18"/>
              </w:rPr>
            </w:pPr>
          </w:p>
          <w:p w14:paraId="793172DB" w14:textId="77777777" w:rsidR="00B73FCA" w:rsidRDefault="00B73FCA" w:rsidP="00802F49">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79102C3F" w14:textId="22A010D1" w:rsidR="00B73FCA" w:rsidRDefault="00B73FCA" w:rsidP="00802F49">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Pr>
                <w:noProof/>
              </w:rPr>
              <w:drawing>
                <wp:inline distT="0" distB="0" distL="0" distR="0" wp14:anchorId="71B1E7AE" wp14:editId="6C96B016">
                  <wp:extent cx="2514600" cy="1647614"/>
                  <wp:effectExtent l="0" t="0" r="0" b="0"/>
                  <wp:docPr id="1811406600" name="Picture 136324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70"/>
                          <pic:cNvPicPr/>
                        </pic:nvPicPr>
                        <pic:blipFill>
                          <a:blip r:embed="rId294">
                            <a:extLst>
                              <a:ext uri="{28A0092B-C50C-407E-A947-70E740481C1C}">
                                <a14:useLocalDpi xmlns:a14="http://schemas.microsoft.com/office/drawing/2010/main" val="0"/>
                              </a:ext>
                            </a:extLst>
                          </a:blip>
                          <a:stretch>
                            <a:fillRect/>
                          </a:stretch>
                        </pic:blipFill>
                        <pic:spPr>
                          <a:xfrm>
                            <a:off x="0" y="0"/>
                            <a:ext cx="2514600" cy="1647614"/>
                          </a:xfrm>
                          <a:prstGeom prst="rect">
                            <a:avLst/>
                          </a:prstGeom>
                        </pic:spPr>
                      </pic:pic>
                    </a:graphicData>
                  </a:graphic>
                </wp:inline>
              </w:drawing>
            </w:r>
            <w:r w:rsidRPr="1F802AF8">
              <w:rPr>
                <w:rFonts w:asciiTheme="minorHAnsi" w:hAnsiTheme="minorHAnsi" w:cstheme="minorBidi"/>
                <w:color w:val="313E37"/>
                <w:sz w:val="20"/>
                <w:szCs w:val="20"/>
              </w:rPr>
              <w:t xml:space="preserve">    </w:t>
            </w:r>
            <w:r>
              <w:rPr>
                <w:noProof/>
              </w:rPr>
              <w:drawing>
                <wp:inline distT="0" distB="0" distL="0" distR="0" wp14:anchorId="37E1D00B" wp14:editId="6BEE1C46">
                  <wp:extent cx="2611071" cy="1727078"/>
                  <wp:effectExtent l="0" t="0" r="0" b="6985"/>
                  <wp:docPr id="283116525" name="Picture 136324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69"/>
                          <pic:cNvPicPr/>
                        </pic:nvPicPr>
                        <pic:blipFill>
                          <a:blip r:embed="rId295">
                            <a:extLst>
                              <a:ext uri="{28A0092B-C50C-407E-A947-70E740481C1C}">
                                <a14:useLocalDpi xmlns:a14="http://schemas.microsoft.com/office/drawing/2010/main" val="0"/>
                              </a:ext>
                            </a:extLst>
                          </a:blip>
                          <a:stretch>
                            <a:fillRect/>
                          </a:stretch>
                        </pic:blipFill>
                        <pic:spPr>
                          <a:xfrm>
                            <a:off x="0" y="0"/>
                            <a:ext cx="2611071" cy="1727078"/>
                          </a:xfrm>
                          <a:prstGeom prst="rect">
                            <a:avLst/>
                          </a:prstGeom>
                        </pic:spPr>
                      </pic:pic>
                    </a:graphicData>
                  </a:graphic>
                </wp:inline>
              </w:drawing>
            </w:r>
          </w:p>
          <w:p w14:paraId="7C7E7447" w14:textId="77777777" w:rsidR="00B73FCA" w:rsidRPr="00EF238F" w:rsidRDefault="00B73FCA" w:rsidP="00802F49">
            <w:pPr>
              <w:ind w:right="136"/>
              <w:rPr>
                <w:rFonts w:asciiTheme="minorHAnsi" w:hAnsiTheme="minorHAnsi" w:cstheme="minorHAnsi"/>
                <w:color w:val="313E37"/>
                <w:sz w:val="20"/>
                <w:szCs w:val="20"/>
              </w:rPr>
            </w:pPr>
          </w:p>
        </w:tc>
      </w:tr>
      <w:tr w:rsidR="00F779D5" w14:paraId="5D2D569C" w14:textId="77777777" w:rsidTr="1F802AF8">
        <w:trPr>
          <w:trHeight w:val="329"/>
        </w:trPr>
        <w:tc>
          <w:tcPr>
            <w:tcW w:w="9628" w:type="dxa"/>
            <w:gridSpan w:val="2"/>
          </w:tcPr>
          <w:p w14:paraId="5E1EC30B" w14:textId="699C1E29" w:rsidR="00F779D5" w:rsidRPr="00EF238F" w:rsidRDefault="00F779D5" w:rsidP="00802F49">
            <w:pPr>
              <w:pStyle w:val="BodyText"/>
              <w:rPr>
                <w:b/>
                <w:bCs/>
                <w:sz w:val="20"/>
              </w:rPr>
            </w:pPr>
            <w:r w:rsidRPr="00F779D5">
              <w:rPr>
                <w:b/>
                <w:bCs/>
                <w:sz w:val="20"/>
              </w:rPr>
              <w:lastRenderedPageBreak/>
              <w:t>The Southern and South-Western Flatlands West</w:t>
            </w:r>
          </w:p>
        </w:tc>
      </w:tr>
      <w:tr w:rsidR="00AB27B1" w14:paraId="6E5BB866" w14:textId="77777777" w:rsidTr="1F802AF8">
        <w:trPr>
          <w:trHeight w:val="1815"/>
        </w:trPr>
        <w:tc>
          <w:tcPr>
            <w:tcW w:w="2263" w:type="dxa"/>
          </w:tcPr>
          <w:p w14:paraId="2F6081CE" w14:textId="18FE8F2D" w:rsidR="00F779D5" w:rsidRDefault="00AB27B1" w:rsidP="00802F49">
            <w:pPr>
              <w:pStyle w:val="BodyText"/>
            </w:pPr>
            <w:r>
              <w:rPr>
                <w:noProof/>
              </w:rPr>
              <w:drawing>
                <wp:inline distT="0" distB="0" distL="0" distR="0" wp14:anchorId="78C7711C" wp14:editId="28BF9301">
                  <wp:extent cx="1160584" cy="961052"/>
                  <wp:effectExtent l="0" t="0" r="1905" b="0"/>
                  <wp:docPr id="876622427" name="Picture 136324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74"/>
                          <pic:cNvPicPr/>
                        </pic:nvPicPr>
                        <pic:blipFill>
                          <a:blip r:embed="rId296">
                            <a:extLst>
                              <a:ext uri="{28A0092B-C50C-407E-A947-70E740481C1C}">
                                <a14:useLocalDpi xmlns:a14="http://schemas.microsoft.com/office/drawing/2010/main" val="0"/>
                              </a:ext>
                            </a:extLst>
                          </a:blip>
                          <a:stretch>
                            <a:fillRect/>
                          </a:stretch>
                        </pic:blipFill>
                        <pic:spPr>
                          <a:xfrm>
                            <a:off x="0" y="0"/>
                            <a:ext cx="1160584" cy="961052"/>
                          </a:xfrm>
                          <a:prstGeom prst="rect">
                            <a:avLst/>
                          </a:prstGeom>
                        </pic:spPr>
                      </pic:pic>
                    </a:graphicData>
                  </a:graphic>
                </wp:inline>
              </w:drawing>
            </w:r>
          </w:p>
        </w:tc>
        <w:tc>
          <w:tcPr>
            <w:tcW w:w="7365" w:type="dxa"/>
          </w:tcPr>
          <w:p w14:paraId="24607B3A" w14:textId="77777777" w:rsidR="00F779D5" w:rsidRDefault="00F779D5"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78FFDA04" w14:textId="3A5D91D9" w:rsidR="00AB27B1" w:rsidRPr="00AB27B1" w:rsidRDefault="00AB27B1" w:rsidP="00AB27B1">
            <w:pPr>
              <w:pStyle w:val="BodyText"/>
              <w:spacing w:before="0" w:after="0" w:line="240" w:lineRule="auto"/>
              <w:rPr>
                <w:sz w:val="20"/>
              </w:rPr>
            </w:pPr>
            <w:r w:rsidRPr="00AB27B1">
              <w:rPr>
                <w:sz w:val="20"/>
              </w:rPr>
              <w:t>Planting of new forests</w:t>
            </w:r>
            <w:r w:rsidRPr="00AB27B1">
              <w:rPr>
                <w:sz w:val="20"/>
              </w:rPr>
              <w:tab/>
            </w:r>
            <w:r>
              <w:rPr>
                <w:sz w:val="20"/>
              </w:rPr>
              <w:tab/>
            </w:r>
            <w:r>
              <w:rPr>
                <w:sz w:val="20"/>
              </w:rPr>
              <w:tab/>
            </w:r>
            <w:r w:rsidRPr="00AB27B1">
              <w:rPr>
                <w:sz w:val="20"/>
              </w:rPr>
              <w:t>31</w:t>
            </w:r>
            <w:r>
              <w:rPr>
                <w:sz w:val="20"/>
              </w:rPr>
              <w:tab/>
            </w:r>
            <w:r w:rsidRPr="00AB27B1">
              <w:rPr>
                <w:sz w:val="20"/>
              </w:rPr>
              <w:tab/>
              <w:t xml:space="preserve">72,926 </w:t>
            </w:r>
          </w:p>
          <w:p w14:paraId="3225C74E" w14:textId="2893B58C" w:rsidR="00F779D5" w:rsidRPr="0054376E" w:rsidRDefault="00FB2D3A" w:rsidP="00AB27B1">
            <w:pPr>
              <w:pStyle w:val="BodyText"/>
              <w:spacing w:before="0" w:after="0" w:line="240" w:lineRule="auto"/>
              <w:rPr>
                <w:sz w:val="20"/>
              </w:rPr>
            </w:pPr>
            <w:r>
              <w:rPr>
                <w:sz w:val="20"/>
              </w:rPr>
              <w:t>Re-</w:t>
            </w:r>
            <w:r w:rsidR="00187AAD">
              <w:rPr>
                <w:sz w:val="20"/>
              </w:rPr>
              <w:t>establishment</w:t>
            </w:r>
            <w:r w:rsidR="00187AAD" w:rsidRPr="00AB27B1">
              <w:rPr>
                <w:sz w:val="20"/>
              </w:rPr>
              <w:t xml:space="preserve"> of</w:t>
            </w:r>
            <w:r w:rsidR="00AB27B1" w:rsidRPr="00AB27B1">
              <w:rPr>
                <w:sz w:val="20"/>
              </w:rPr>
              <w:t xml:space="preserve"> native forest cover</w:t>
            </w:r>
            <w:r w:rsidR="00AB27B1" w:rsidRPr="00AB27B1">
              <w:rPr>
                <w:sz w:val="20"/>
              </w:rPr>
              <w:tab/>
              <w:t>11</w:t>
            </w:r>
            <w:r w:rsidR="00AB27B1">
              <w:rPr>
                <w:sz w:val="20"/>
              </w:rPr>
              <w:tab/>
            </w:r>
            <w:r w:rsidR="00AB27B1" w:rsidRPr="00AB27B1">
              <w:rPr>
                <w:sz w:val="20"/>
              </w:rPr>
              <w:tab/>
              <w:t>568,677</w:t>
            </w:r>
          </w:p>
        </w:tc>
      </w:tr>
      <w:tr w:rsidR="00F779D5" w14:paraId="090C2344" w14:textId="77777777" w:rsidTr="1F802AF8">
        <w:tc>
          <w:tcPr>
            <w:tcW w:w="9628" w:type="dxa"/>
            <w:gridSpan w:val="2"/>
          </w:tcPr>
          <w:p w14:paraId="4FBE22AE" w14:textId="77777777" w:rsidR="00F779D5" w:rsidRPr="00EF238F" w:rsidRDefault="00F779D5"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3946DF6B" w14:textId="076F0EC7" w:rsidR="00AB27B1" w:rsidRPr="007138D8" w:rsidRDefault="00AB27B1"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FF0000"/>
                <w:sz w:val="18"/>
                <w:szCs w:val="18"/>
              </w:rPr>
              <w:t xml:space="preserve">Average temperatures </w:t>
            </w:r>
            <w:r w:rsidRPr="007138D8">
              <w:rPr>
                <w:rFonts w:asciiTheme="minorHAnsi" w:hAnsiTheme="minorHAnsi" w:cstheme="minorHAnsi"/>
                <w:color w:val="313E37"/>
                <w:sz w:val="18"/>
                <w:szCs w:val="18"/>
              </w:rPr>
              <w:t>will continue to increase in all seasons (</w:t>
            </w:r>
            <w:r w:rsidRPr="00007D32">
              <w:rPr>
                <w:rFonts w:asciiTheme="minorHAnsi" w:hAnsiTheme="minorHAnsi" w:cstheme="minorHAnsi"/>
                <w:i/>
                <w:iCs/>
                <w:color w:val="313E37"/>
                <w:sz w:val="18"/>
                <w:szCs w:val="18"/>
              </w:rPr>
              <w:t>very high confidence</w:t>
            </w:r>
            <w:r w:rsidRPr="007138D8">
              <w:rPr>
                <w:rFonts w:asciiTheme="minorHAnsi" w:hAnsiTheme="minorHAnsi" w:cstheme="minorHAnsi"/>
                <w:color w:val="313E37"/>
                <w:sz w:val="18"/>
                <w:szCs w:val="18"/>
              </w:rPr>
              <w:t>).</w:t>
            </w:r>
            <w:r w:rsidR="00007D32">
              <w:rPr>
                <w:rFonts w:asciiTheme="minorHAnsi" w:hAnsiTheme="minorHAnsi" w:cstheme="minorHAnsi"/>
                <w:color w:val="313E37"/>
                <w:sz w:val="18"/>
                <w:szCs w:val="18"/>
              </w:rPr>
              <w:t xml:space="preserve"> </w:t>
            </w:r>
            <w:r w:rsidR="00007D32" w:rsidRPr="00007D32">
              <w:rPr>
                <w:rFonts w:asciiTheme="minorHAnsi" w:hAnsiTheme="minorHAnsi" w:cstheme="minorHAnsi"/>
                <w:color w:val="313E37"/>
                <w:sz w:val="18"/>
                <w:szCs w:val="18"/>
              </w:rPr>
              <w:t>For the near future (2030), the annually averaged warming across all emission scenarios is projected to be around 0.5 to 1.2 °C above the climate of 1986–2005.</w:t>
            </w:r>
            <w:r w:rsidR="00007D32">
              <w:rPr>
                <w:rFonts w:asciiTheme="minorHAnsi" w:hAnsiTheme="minorHAnsi" w:cstheme="minorHAnsi"/>
                <w:color w:val="313E37"/>
                <w:sz w:val="18"/>
                <w:szCs w:val="18"/>
              </w:rPr>
              <w:t xml:space="preserve"> </w:t>
            </w:r>
            <w:r w:rsidR="00007D32" w:rsidRPr="00007D32">
              <w:rPr>
                <w:rFonts w:asciiTheme="minorHAnsi" w:hAnsiTheme="minorHAnsi" w:cstheme="minorHAnsi"/>
                <w:color w:val="313E37"/>
                <w:sz w:val="18"/>
                <w:szCs w:val="18"/>
              </w:rPr>
              <w:t>By late in the century (2090), for a high emission scenario (RCP8.5) the projected range of warming is 2.6 to 4.2 °C. Under an intermediate scenario (RCP4.5) the projected warming is 1.1 to 2.1 °C.</w:t>
            </w:r>
          </w:p>
          <w:p w14:paraId="444B96C0" w14:textId="59F21A38" w:rsidR="00007D32" w:rsidRDefault="00007D32"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FF0000"/>
                <w:sz w:val="18"/>
                <w:szCs w:val="18"/>
              </w:rPr>
              <w:t xml:space="preserve">Extreme temperatures </w:t>
            </w:r>
            <w:r w:rsidRPr="00007D32">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(very high confidence)</w:t>
            </w:r>
            <w:r w:rsidR="005324BE">
              <w:rPr>
                <w:rFonts w:asciiTheme="minorHAnsi" w:hAnsiTheme="minorHAnsi" w:cstheme="minorHAnsi"/>
                <w:color w:val="313E37"/>
                <w:sz w:val="18"/>
                <w:szCs w:val="18"/>
              </w:rPr>
              <w:t>.</w:t>
            </w:r>
          </w:p>
          <w:p w14:paraId="6EF5DCA4" w14:textId="2E8745DC" w:rsidR="00AB27B1" w:rsidRPr="007138D8" w:rsidRDefault="00007D32"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FF0000"/>
                <w:sz w:val="18"/>
                <w:szCs w:val="18"/>
              </w:rPr>
              <w:t xml:space="preserve">Frost </w:t>
            </w:r>
            <w:r w:rsidRPr="00007D32">
              <w:rPr>
                <w:rFonts w:asciiTheme="minorHAnsi" w:hAnsiTheme="minorHAnsi" w:cstheme="minorHAnsi"/>
                <w:color w:val="313E37"/>
                <w:sz w:val="18"/>
                <w:szCs w:val="18"/>
              </w:rPr>
              <w:t>risk days (minimum temperatures under 2 °C) are expected to decrease across the cluster (</w:t>
            </w:r>
            <w:r w:rsidRPr="00007D32">
              <w:rPr>
                <w:rFonts w:asciiTheme="minorHAnsi" w:hAnsiTheme="minorHAnsi" w:cstheme="minorHAnsi"/>
                <w:i/>
                <w:iCs/>
                <w:color w:val="313E37"/>
                <w:sz w:val="18"/>
                <w:szCs w:val="18"/>
              </w:rPr>
              <w:t>high confidence</w:t>
            </w:r>
            <w:r w:rsidRPr="00007D32">
              <w:rPr>
                <w:rFonts w:asciiTheme="minorHAnsi" w:hAnsiTheme="minorHAnsi" w:cstheme="minorHAnsi"/>
                <w:color w:val="313E37"/>
                <w:sz w:val="18"/>
                <w:szCs w:val="18"/>
              </w:rPr>
              <w:t>).</w:t>
            </w:r>
          </w:p>
          <w:p w14:paraId="691E786F" w14:textId="78470835" w:rsidR="00AB27B1" w:rsidRPr="007138D8" w:rsidRDefault="00007D32"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Early in the century (2030) and under all emission scenarios, winter </w:t>
            </w:r>
            <w:r w:rsidRPr="00007D32">
              <w:rPr>
                <w:rFonts w:asciiTheme="minorHAnsi" w:hAnsiTheme="minorHAnsi" w:cstheme="minorHAnsi"/>
                <w:color w:val="FF0000"/>
                <w:sz w:val="18"/>
                <w:szCs w:val="18"/>
              </w:rPr>
              <w:t xml:space="preserve">rainfall </w:t>
            </w:r>
            <w:r w:rsidRPr="00007D32">
              <w:rPr>
                <w:rFonts w:asciiTheme="minorHAnsi" w:hAnsiTheme="minorHAnsi" w:cstheme="minorHAnsi"/>
                <w:color w:val="313E37"/>
                <w:sz w:val="18"/>
                <w:szCs w:val="18"/>
              </w:rPr>
              <w:t>is projected to decrease by up to 15 per cent. Late in the century, intermediate emissions (RCP4.5) lead to a projected decrease in winter rainfall of up to around 30%, and under high emissions (RCP8.5) winter rainfall decline is projected to decrease by up to 45%</w:t>
            </w:r>
            <w:r>
              <w:rPr>
                <w:rFonts w:asciiTheme="minorHAnsi" w:hAnsiTheme="minorHAnsi" w:cstheme="minorHAnsi"/>
                <w:color w:val="313E37"/>
                <w:sz w:val="18"/>
                <w:szCs w:val="18"/>
              </w:rPr>
              <w:t xml:space="preserve"> (</w:t>
            </w:r>
            <w:r w:rsidRPr="00007D32">
              <w:rPr>
                <w:rFonts w:asciiTheme="minorHAnsi" w:hAnsiTheme="minorHAnsi" w:cstheme="minorHAnsi"/>
                <w:i/>
                <w:iCs/>
                <w:color w:val="313E37"/>
                <w:sz w:val="18"/>
                <w:szCs w:val="18"/>
              </w:rPr>
              <w:t>high confidence</w:t>
            </w:r>
            <w:r>
              <w:rPr>
                <w:rFonts w:asciiTheme="minorHAnsi" w:hAnsiTheme="minorHAnsi" w:cstheme="minorHAnsi"/>
                <w:color w:val="313E37"/>
                <w:sz w:val="18"/>
                <w:szCs w:val="18"/>
              </w:rPr>
              <w:t>)</w:t>
            </w:r>
            <w:r w:rsidRPr="00007D32">
              <w:rPr>
                <w:rFonts w:asciiTheme="minorHAnsi" w:hAnsiTheme="minorHAnsi" w:cstheme="minorHAnsi"/>
                <w:color w:val="313E37"/>
                <w:sz w:val="18"/>
                <w:szCs w:val="18"/>
              </w:rPr>
              <w:t>. Changes in autumn and summer are less clear, although downscaling results suggest a continuation of the observed autumn declines</w:t>
            </w:r>
            <w:r w:rsidR="00AB27B1" w:rsidRPr="007138D8">
              <w:rPr>
                <w:rFonts w:asciiTheme="minorHAnsi" w:hAnsiTheme="minorHAnsi" w:cstheme="minorHAnsi"/>
                <w:color w:val="313E37"/>
                <w:sz w:val="18"/>
                <w:szCs w:val="18"/>
              </w:rPr>
              <w:t>.</w:t>
            </w:r>
          </w:p>
          <w:p w14:paraId="50FF3A14" w14:textId="6C07CD1F" w:rsidR="00AB27B1" w:rsidRDefault="00007D32"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Even though annual mean rainfall is projected to decrease in the region, projections indicate increases in </w:t>
            </w:r>
            <w:r w:rsidRPr="00007D32">
              <w:rPr>
                <w:rFonts w:asciiTheme="minorHAnsi" w:hAnsiTheme="minorHAnsi" w:cstheme="minorHAnsi"/>
                <w:color w:val="FF0000"/>
                <w:sz w:val="18"/>
                <w:szCs w:val="18"/>
              </w:rPr>
              <w:t>extreme rainfall</w:t>
            </w:r>
            <w:r w:rsidRPr="00007D32">
              <w:rPr>
                <w:rFonts w:asciiTheme="minorHAnsi" w:hAnsiTheme="minorHAnsi" w:cstheme="minorHAnsi"/>
                <w:color w:val="313E37"/>
                <w:sz w:val="18"/>
                <w:szCs w:val="18"/>
              </w:rPr>
              <w:t xml:space="preserve">. Strongly decreasing mean rainfall in this region gives us </w:t>
            </w:r>
            <w:r w:rsidRPr="00007D32">
              <w:rPr>
                <w:rFonts w:asciiTheme="minorHAnsi" w:hAnsiTheme="minorHAnsi" w:cstheme="minorHAnsi"/>
                <w:i/>
                <w:iCs/>
                <w:color w:val="313E37"/>
                <w:sz w:val="18"/>
                <w:szCs w:val="18"/>
              </w:rPr>
              <w:t>medium confidence</w:t>
            </w:r>
            <w:r w:rsidRPr="00007D32">
              <w:rPr>
                <w:rFonts w:asciiTheme="minorHAnsi" w:hAnsiTheme="minorHAnsi" w:cstheme="minorHAnsi"/>
                <w:color w:val="313E37"/>
                <w:sz w:val="18"/>
                <w:szCs w:val="18"/>
              </w:rPr>
              <w:t xml:space="preserve"> in this projection, where for all other Australian regions higher confidence is given. Furthermore, the magnitude of the increases cannot be confidently projected</w:t>
            </w:r>
            <w:r w:rsidR="00AB27B1" w:rsidRPr="007138D8">
              <w:rPr>
                <w:rFonts w:asciiTheme="minorHAnsi" w:hAnsiTheme="minorHAnsi" w:cstheme="minorHAnsi"/>
                <w:color w:val="313E37"/>
                <w:sz w:val="18"/>
                <w:szCs w:val="18"/>
              </w:rPr>
              <w:t>.</w:t>
            </w:r>
          </w:p>
          <w:p w14:paraId="025520CA" w14:textId="6DF27625" w:rsidR="00007D32" w:rsidRPr="007138D8" w:rsidRDefault="00007D32"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Time spent in </w:t>
            </w:r>
            <w:r w:rsidRPr="00007D32">
              <w:rPr>
                <w:rFonts w:asciiTheme="minorHAnsi" w:hAnsiTheme="minorHAnsi" w:cstheme="minorHAnsi"/>
                <w:color w:val="FF0000"/>
                <w:sz w:val="18"/>
                <w:szCs w:val="18"/>
              </w:rPr>
              <w:t xml:space="preserve">drought </w:t>
            </w:r>
            <w:r w:rsidRPr="00007D32">
              <w:rPr>
                <w:rFonts w:asciiTheme="minorHAnsi" w:hAnsiTheme="minorHAnsi" w:cstheme="minorHAnsi"/>
                <w:color w:val="313E37"/>
                <w:sz w:val="18"/>
                <w:szCs w:val="18"/>
              </w:rPr>
              <w:t>is projected (</w:t>
            </w:r>
            <w:r w:rsidRPr="00007D32">
              <w:rPr>
                <w:rFonts w:asciiTheme="minorHAnsi" w:hAnsiTheme="minorHAnsi" w:cstheme="minorHAnsi"/>
                <w:i/>
                <w:iCs/>
                <w:color w:val="313E37"/>
                <w:sz w:val="18"/>
                <w:szCs w:val="18"/>
              </w:rPr>
              <w:t>with high confidence</w:t>
            </w:r>
            <w:r w:rsidRPr="00007D32">
              <w:rPr>
                <w:rFonts w:asciiTheme="minorHAnsi" w:hAnsiTheme="minorHAnsi" w:cstheme="minorHAnsi"/>
                <w:color w:val="313E37"/>
                <w:sz w:val="18"/>
                <w:szCs w:val="18"/>
              </w:rPr>
              <w:t>) to increase over the course of the century.</w:t>
            </w:r>
          </w:p>
          <w:p w14:paraId="6A63DF7D" w14:textId="3858A513" w:rsidR="00AB27B1" w:rsidRDefault="00AB27B1" w:rsidP="009250B8">
            <w:pPr>
              <w:numPr>
                <w:ilvl w:val="0"/>
                <w:numId w:val="17"/>
              </w:numPr>
              <w:tabs>
                <w:tab w:val="clear" w:pos="720"/>
              </w:tabs>
              <w:ind w:left="315" w:right="136" w:hanging="284"/>
              <w:rPr>
                <w:rFonts w:asciiTheme="minorHAnsi" w:hAnsiTheme="minorHAnsi" w:cstheme="minorHAnsi"/>
                <w:color w:val="313E37"/>
                <w:sz w:val="18"/>
                <w:szCs w:val="18"/>
              </w:rPr>
            </w:pPr>
            <w:r w:rsidRPr="007138D8">
              <w:rPr>
                <w:rFonts w:asciiTheme="minorHAnsi" w:hAnsiTheme="minorHAnsi" w:cstheme="minorHAnsi"/>
                <w:color w:val="313E37"/>
                <w:sz w:val="18"/>
                <w:szCs w:val="18"/>
              </w:rPr>
              <w:t xml:space="preserve">Mean </w:t>
            </w:r>
            <w:r w:rsidRPr="00007D32">
              <w:rPr>
                <w:rFonts w:asciiTheme="minorHAnsi" w:hAnsiTheme="minorHAnsi" w:cstheme="minorHAnsi"/>
                <w:color w:val="FF0000"/>
                <w:sz w:val="18"/>
                <w:szCs w:val="18"/>
              </w:rPr>
              <w:t xml:space="preserve">sea level </w:t>
            </w:r>
            <w:r w:rsidRPr="007138D8">
              <w:rPr>
                <w:rFonts w:asciiTheme="minorHAnsi" w:hAnsiTheme="minorHAnsi" w:cstheme="minorHAnsi"/>
                <w:color w:val="313E37"/>
                <w:sz w:val="18"/>
                <w:szCs w:val="18"/>
              </w:rPr>
              <w:t>will continue to rise and height of extreme sea-level events will also increase (very high confidence).</w:t>
            </w:r>
          </w:p>
          <w:p w14:paraId="3BC194AE" w14:textId="3B845501" w:rsidR="00007D32" w:rsidRPr="007138D8" w:rsidRDefault="00007D32"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For 2030, increases </w:t>
            </w:r>
            <w:r>
              <w:rPr>
                <w:rFonts w:asciiTheme="minorHAnsi" w:hAnsiTheme="minorHAnsi" w:cstheme="minorHAnsi"/>
                <w:color w:val="313E37"/>
                <w:sz w:val="18"/>
                <w:szCs w:val="18"/>
              </w:rPr>
              <w:t xml:space="preserve">in </w:t>
            </w:r>
            <w:r w:rsidRPr="00007D32">
              <w:rPr>
                <w:rFonts w:asciiTheme="minorHAnsi" w:hAnsiTheme="minorHAnsi" w:cstheme="minorHAnsi"/>
                <w:color w:val="FF0000"/>
                <w:sz w:val="18"/>
                <w:szCs w:val="18"/>
              </w:rPr>
              <w:t xml:space="preserve">potential evapotranspiration </w:t>
            </w:r>
            <w:r w:rsidRPr="00007D32">
              <w:rPr>
                <w:rFonts w:asciiTheme="minorHAnsi" w:hAnsiTheme="minorHAnsi" w:cstheme="minorHAnsi"/>
                <w:color w:val="313E37"/>
                <w:sz w:val="18"/>
                <w:szCs w:val="18"/>
              </w:rPr>
              <w:t>are less than 10 % in all scenarios. Increases by 2090 are larger. In relative terms, the largest increases are found in winter (10 to 30 % under RCP8.5 and approximately half that for RCP4.5) and autumn (about 10 to 20 % under RCP8.5 and approximately half that for RCP4.5), with lesser increases (about 5 to 15 % following RCP8.5) in summer and spring. In absolute terms, the largest projected increase is found in summer</w:t>
            </w:r>
            <w:r>
              <w:rPr>
                <w:rFonts w:asciiTheme="minorHAnsi" w:hAnsiTheme="minorHAnsi" w:cstheme="minorHAnsi"/>
                <w:color w:val="313E37"/>
                <w:sz w:val="18"/>
                <w:szCs w:val="18"/>
              </w:rPr>
              <w:t xml:space="preserve">. </w:t>
            </w:r>
            <w:r w:rsidRPr="00007D32">
              <w:rPr>
                <w:rFonts w:asciiTheme="minorHAnsi" w:hAnsiTheme="minorHAnsi" w:cstheme="minorHAnsi"/>
                <w:color w:val="313E37"/>
                <w:sz w:val="18"/>
                <w:szCs w:val="18"/>
              </w:rPr>
              <w:t xml:space="preserve">Despite having high confidence in increased evapotranspiration, there is only </w:t>
            </w:r>
            <w:r w:rsidRPr="00007D32">
              <w:rPr>
                <w:rFonts w:asciiTheme="minorHAnsi" w:hAnsiTheme="minorHAnsi" w:cstheme="minorHAnsi"/>
                <w:i/>
                <w:iCs/>
                <w:color w:val="313E37"/>
                <w:sz w:val="18"/>
                <w:szCs w:val="18"/>
              </w:rPr>
              <w:t>medium confidence</w:t>
            </w:r>
            <w:r w:rsidRPr="00007D32">
              <w:rPr>
                <w:rFonts w:asciiTheme="minorHAnsi" w:hAnsiTheme="minorHAnsi" w:cstheme="minorHAnsi"/>
                <w:color w:val="313E37"/>
                <w:sz w:val="18"/>
                <w:szCs w:val="18"/>
              </w:rPr>
              <w:t xml:space="preserve"> in the projected magnitude of the increase</w:t>
            </w:r>
          </w:p>
          <w:p w14:paraId="592058FA" w14:textId="56C22864" w:rsidR="00AB27B1" w:rsidRDefault="00007D32" w:rsidP="009250B8">
            <w:pPr>
              <w:numPr>
                <w:ilvl w:val="0"/>
                <w:numId w:val="17"/>
              </w:numPr>
              <w:tabs>
                <w:tab w:val="clear" w:pos="720"/>
              </w:tabs>
              <w:ind w:left="315" w:right="136" w:hanging="284"/>
              <w:rPr>
                <w:rFonts w:asciiTheme="minorHAnsi" w:hAnsiTheme="minorHAnsi" w:cstheme="minorHAnsi"/>
                <w:color w:val="313E37"/>
                <w:sz w:val="18"/>
                <w:szCs w:val="18"/>
              </w:rPr>
            </w:pPr>
            <w:r>
              <w:rPr>
                <w:rFonts w:asciiTheme="minorHAnsi" w:hAnsiTheme="minorHAnsi" w:cstheme="minorHAnsi"/>
                <w:color w:val="313E37"/>
                <w:sz w:val="18"/>
                <w:szCs w:val="18"/>
              </w:rPr>
              <w:t>L</w:t>
            </w:r>
            <w:r w:rsidRPr="00007D32">
              <w:rPr>
                <w:rFonts w:asciiTheme="minorHAnsi" w:hAnsiTheme="minorHAnsi" w:cstheme="minorHAnsi"/>
                <w:color w:val="313E37"/>
                <w:sz w:val="18"/>
                <w:szCs w:val="18"/>
              </w:rPr>
              <w:t xml:space="preserve">ittle change in </w:t>
            </w:r>
            <w:r w:rsidRPr="00007D32">
              <w:rPr>
                <w:rFonts w:asciiTheme="minorHAnsi" w:hAnsiTheme="minorHAnsi" w:cstheme="minorHAnsi"/>
                <w:color w:val="FF0000"/>
                <w:sz w:val="18"/>
                <w:szCs w:val="18"/>
              </w:rPr>
              <w:t xml:space="preserve">relative humidity </w:t>
            </w:r>
            <w:r w:rsidRPr="00007D32">
              <w:rPr>
                <w:rFonts w:asciiTheme="minorHAnsi" w:hAnsiTheme="minorHAnsi" w:cstheme="minorHAnsi"/>
                <w:color w:val="313E37"/>
                <w:sz w:val="18"/>
                <w:szCs w:val="18"/>
              </w:rPr>
              <w:t xml:space="preserve">is projected for 2030 with </w:t>
            </w:r>
            <w:r w:rsidRPr="00007D32">
              <w:rPr>
                <w:rFonts w:asciiTheme="minorHAnsi" w:hAnsiTheme="minorHAnsi" w:cstheme="minorHAnsi"/>
                <w:i/>
                <w:iCs/>
                <w:color w:val="313E37"/>
                <w:sz w:val="18"/>
                <w:szCs w:val="18"/>
              </w:rPr>
              <w:t>high confidence</w:t>
            </w:r>
            <w:r w:rsidRPr="00007D32">
              <w:rPr>
                <w:rFonts w:asciiTheme="minorHAnsi" w:hAnsiTheme="minorHAnsi" w:cstheme="minorHAnsi"/>
                <w:color w:val="313E37"/>
                <w:sz w:val="18"/>
                <w:szCs w:val="18"/>
              </w:rPr>
              <w:t xml:space="preserve">. By 2090, for winter and spring across both sub-clusters, there is </w:t>
            </w:r>
            <w:r w:rsidRPr="00007D32">
              <w:rPr>
                <w:rFonts w:asciiTheme="minorHAnsi" w:hAnsiTheme="minorHAnsi" w:cstheme="minorHAnsi"/>
                <w:i/>
                <w:iCs/>
                <w:color w:val="313E37"/>
                <w:sz w:val="18"/>
                <w:szCs w:val="18"/>
              </w:rPr>
              <w:t>high confidence</w:t>
            </w:r>
            <w:r w:rsidRPr="00007D32">
              <w:rPr>
                <w:rFonts w:asciiTheme="minorHAnsi" w:hAnsiTheme="minorHAnsi" w:cstheme="minorHAnsi"/>
                <w:color w:val="313E37"/>
                <w:sz w:val="18"/>
                <w:szCs w:val="18"/>
              </w:rPr>
              <w:t xml:space="preserve"> for substantial decrease of up to 5 % under RCP8.5, with smaller decreases in autumn and summer</w:t>
            </w:r>
            <w:r w:rsidR="00AB27B1" w:rsidRPr="007138D8">
              <w:rPr>
                <w:rFonts w:asciiTheme="minorHAnsi" w:hAnsiTheme="minorHAnsi" w:cstheme="minorHAnsi"/>
                <w:color w:val="313E37"/>
                <w:sz w:val="18"/>
                <w:szCs w:val="18"/>
              </w:rPr>
              <w:t>.</w:t>
            </w:r>
          </w:p>
          <w:p w14:paraId="71946728" w14:textId="60FA8273" w:rsidR="00007D32" w:rsidRPr="007138D8" w:rsidRDefault="00007D32"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Decreases in </w:t>
            </w:r>
            <w:r w:rsidRPr="00007D32">
              <w:rPr>
                <w:rFonts w:asciiTheme="minorHAnsi" w:hAnsiTheme="minorHAnsi" w:cstheme="minorHAnsi"/>
                <w:color w:val="FF0000"/>
                <w:sz w:val="18"/>
                <w:szCs w:val="18"/>
              </w:rPr>
              <w:t xml:space="preserve">soil moisture </w:t>
            </w:r>
            <w:r w:rsidRPr="00007D32">
              <w:rPr>
                <w:rFonts w:asciiTheme="minorHAnsi" w:hAnsiTheme="minorHAnsi" w:cstheme="minorHAnsi"/>
                <w:color w:val="313E37"/>
                <w:sz w:val="18"/>
                <w:szCs w:val="18"/>
              </w:rPr>
              <w:t>are projected, particularly in winter and spring</w:t>
            </w:r>
            <w:r w:rsidR="00137BA9">
              <w:rPr>
                <w:rFonts w:asciiTheme="minorHAnsi" w:hAnsiTheme="minorHAnsi" w:cstheme="minorHAnsi"/>
                <w:color w:val="313E37"/>
                <w:sz w:val="18"/>
                <w:szCs w:val="18"/>
              </w:rPr>
              <w:t xml:space="preserve">, as are decreases in </w:t>
            </w:r>
            <w:r w:rsidR="00137BA9" w:rsidRPr="00137BA9">
              <w:rPr>
                <w:rFonts w:asciiTheme="minorHAnsi" w:hAnsiTheme="minorHAnsi" w:cstheme="minorHAnsi"/>
                <w:color w:val="FF0000"/>
                <w:sz w:val="18"/>
                <w:szCs w:val="18"/>
              </w:rPr>
              <w:t>runoff</w:t>
            </w:r>
            <w:r>
              <w:rPr>
                <w:rFonts w:asciiTheme="minorHAnsi" w:hAnsiTheme="minorHAnsi" w:cstheme="minorHAnsi"/>
                <w:color w:val="313E37"/>
                <w:sz w:val="18"/>
                <w:szCs w:val="18"/>
              </w:rPr>
              <w:t>.</w:t>
            </w:r>
            <w:r w:rsidRPr="00007D32">
              <w:rPr>
                <w:rFonts w:asciiTheme="minorHAnsi" w:hAnsiTheme="minorHAnsi" w:cstheme="minorHAnsi"/>
                <w:color w:val="313E37"/>
                <w:sz w:val="18"/>
                <w:szCs w:val="18"/>
              </w:rPr>
              <w:t xml:space="preserve"> The annual changes in soil moisture for RCP8.5 by 2090 are about -10 to 0 % with high model agreement on a substantial decrease. Given that reduced rainfall and increased evapotranspiration both contribute to a decrease in soil moisture and runoff, </w:t>
            </w:r>
            <w:r w:rsidR="00137BA9">
              <w:rPr>
                <w:rFonts w:asciiTheme="minorHAnsi" w:hAnsiTheme="minorHAnsi" w:cstheme="minorHAnsi"/>
                <w:color w:val="313E37"/>
                <w:sz w:val="18"/>
                <w:szCs w:val="18"/>
              </w:rPr>
              <w:t xml:space="preserve">there is </w:t>
            </w:r>
            <w:r w:rsidRPr="00137BA9">
              <w:rPr>
                <w:rFonts w:asciiTheme="minorHAnsi" w:hAnsiTheme="minorHAnsi" w:cstheme="minorHAnsi"/>
                <w:i/>
                <w:iCs/>
                <w:color w:val="313E37"/>
                <w:sz w:val="18"/>
                <w:szCs w:val="18"/>
              </w:rPr>
              <w:t>high confidence</w:t>
            </w:r>
            <w:r w:rsidRPr="00007D32">
              <w:rPr>
                <w:rFonts w:asciiTheme="minorHAnsi" w:hAnsiTheme="minorHAnsi" w:cstheme="minorHAnsi"/>
                <w:color w:val="313E37"/>
                <w:sz w:val="18"/>
                <w:szCs w:val="18"/>
              </w:rPr>
              <w:t xml:space="preserve"> in the projected decrease in soil moisture. However, due to the potential limitations of this method, there is only </w:t>
            </w:r>
            <w:r w:rsidRPr="00137BA9">
              <w:rPr>
                <w:rFonts w:asciiTheme="minorHAnsi" w:hAnsiTheme="minorHAnsi" w:cstheme="minorHAnsi"/>
                <w:i/>
                <w:iCs/>
                <w:color w:val="313E37"/>
                <w:sz w:val="18"/>
                <w:szCs w:val="18"/>
              </w:rPr>
              <w:t>low confidence</w:t>
            </w:r>
            <w:r w:rsidRPr="00007D32">
              <w:rPr>
                <w:rFonts w:asciiTheme="minorHAnsi" w:hAnsiTheme="minorHAnsi" w:cstheme="minorHAnsi"/>
                <w:color w:val="313E37"/>
                <w:sz w:val="18"/>
                <w:szCs w:val="18"/>
              </w:rPr>
              <w:t xml:space="preserve"> in the magnitude of change</w:t>
            </w:r>
            <w:r w:rsidR="00137BA9">
              <w:rPr>
                <w:rFonts w:asciiTheme="minorHAnsi" w:hAnsiTheme="minorHAnsi" w:cstheme="minorHAnsi"/>
                <w:color w:val="313E37"/>
                <w:sz w:val="18"/>
                <w:szCs w:val="18"/>
              </w:rPr>
              <w:t>.</w:t>
            </w:r>
            <w:r w:rsidRPr="00007D32">
              <w:rPr>
                <w:rFonts w:asciiTheme="minorHAnsi" w:hAnsiTheme="minorHAnsi" w:cstheme="minorHAnsi"/>
                <w:color w:val="313E37"/>
                <w:sz w:val="18"/>
                <w:szCs w:val="18"/>
              </w:rPr>
              <w:t xml:space="preserve">  </w:t>
            </w:r>
          </w:p>
          <w:p w14:paraId="2B6C16E8" w14:textId="77777777" w:rsidR="00BA6F74" w:rsidRPr="007138D8" w:rsidRDefault="00BA6F74" w:rsidP="009250B8">
            <w:pPr>
              <w:numPr>
                <w:ilvl w:val="0"/>
                <w:numId w:val="17"/>
              </w:numPr>
              <w:tabs>
                <w:tab w:val="clear" w:pos="720"/>
              </w:tabs>
              <w:ind w:left="315" w:right="136" w:hanging="284"/>
              <w:rPr>
                <w:rFonts w:asciiTheme="minorHAnsi" w:hAnsiTheme="minorHAnsi" w:cstheme="minorHAnsi"/>
                <w:color w:val="313E37"/>
                <w:sz w:val="18"/>
                <w:szCs w:val="18"/>
              </w:rPr>
            </w:pPr>
            <w:r w:rsidRPr="007138D8">
              <w:rPr>
                <w:rFonts w:asciiTheme="minorHAnsi" w:hAnsiTheme="minorHAnsi" w:cstheme="minorHAnsi"/>
                <w:color w:val="313E37"/>
                <w:sz w:val="18"/>
                <w:szCs w:val="18"/>
              </w:rPr>
              <w:t xml:space="preserve">Related to the projected decline in winter rainfall, winter </w:t>
            </w:r>
            <w:r w:rsidRPr="00137BA9">
              <w:rPr>
                <w:rFonts w:asciiTheme="minorHAnsi" w:hAnsiTheme="minorHAnsi" w:cstheme="minorHAnsi"/>
                <w:color w:val="FF0000"/>
                <w:sz w:val="18"/>
                <w:szCs w:val="18"/>
              </w:rPr>
              <w:t xml:space="preserve">solar radiation </w:t>
            </w:r>
            <w:r w:rsidRPr="007138D8">
              <w:rPr>
                <w:rFonts w:asciiTheme="minorHAnsi" w:hAnsiTheme="minorHAnsi" w:cstheme="minorHAnsi"/>
                <w:color w:val="313E37"/>
                <w:sz w:val="18"/>
                <w:szCs w:val="18"/>
              </w:rPr>
              <w:t>is projected to increase (high confidence). Radiation in spring is also projected to increase (medium confidence).</w:t>
            </w:r>
          </w:p>
          <w:p w14:paraId="1481B087" w14:textId="3EE5B82A" w:rsidR="00AB27B1" w:rsidRDefault="00AB27B1" w:rsidP="009250B8">
            <w:pPr>
              <w:numPr>
                <w:ilvl w:val="0"/>
                <w:numId w:val="17"/>
              </w:numPr>
              <w:tabs>
                <w:tab w:val="clear" w:pos="720"/>
              </w:tabs>
              <w:ind w:left="315" w:right="136" w:hanging="284"/>
              <w:rPr>
                <w:rFonts w:asciiTheme="minorHAnsi" w:hAnsiTheme="minorHAnsi" w:cstheme="minorHAnsi"/>
                <w:color w:val="313E37"/>
                <w:sz w:val="18"/>
                <w:szCs w:val="18"/>
              </w:rPr>
            </w:pPr>
            <w:r w:rsidRPr="007138D8">
              <w:rPr>
                <w:rFonts w:asciiTheme="minorHAnsi" w:hAnsiTheme="minorHAnsi" w:cstheme="minorHAnsi"/>
                <w:color w:val="313E37"/>
                <w:sz w:val="18"/>
                <w:szCs w:val="18"/>
              </w:rPr>
              <w:t xml:space="preserve">There is </w:t>
            </w:r>
            <w:r w:rsidRPr="00137BA9">
              <w:rPr>
                <w:rFonts w:asciiTheme="minorHAnsi" w:hAnsiTheme="minorHAnsi" w:cstheme="minorHAnsi"/>
                <w:i/>
                <w:iCs/>
                <w:sz w:val="18"/>
                <w:szCs w:val="18"/>
              </w:rPr>
              <w:t>high confidence</w:t>
            </w:r>
            <w:r w:rsidRPr="00137BA9">
              <w:rPr>
                <w:rFonts w:asciiTheme="minorHAnsi" w:hAnsiTheme="minorHAnsi" w:cstheme="minorHAnsi"/>
                <w:sz w:val="18"/>
                <w:szCs w:val="18"/>
              </w:rPr>
              <w:t xml:space="preserve"> </w:t>
            </w:r>
            <w:r w:rsidRPr="007138D8">
              <w:rPr>
                <w:rFonts w:asciiTheme="minorHAnsi" w:hAnsiTheme="minorHAnsi" w:cstheme="minorHAnsi"/>
                <w:color w:val="313E37"/>
                <w:sz w:val="18"/>
                <w:szCs w:val="18"/>
              </w:rPr>
              <w:t xml:space="preserve">that climate change will result in a harsher </w:t>
            </w:r>
            <w:r w:rsidRPr="00137BA9">
              <w:rPr>
                <w:rFonts w:asciiTheme="minorHAnsi" w:hAnsiTheme="minorHAnsi" w:cstheme="minorHAnsi"/>
                <w:color w:val="FF0000"/>
                <w:sz w:val="18"/>
                <w:szCs w:val="18"/>
              </w:rPr>
              <w:t>fire</w:t>
            </w:r>
            <w:r w:rsidRPr="007138D8">
              <w:rPr>
                <w:rFonts w:asciiTheme="minorHAnsi" w:hAnsiTheme="minorHAnsi" w:cstheme="minorHAnsi"/>
                <w:color w:val="313E37"/>
                <w:sz w:val="18"/>
                <w:szCs w:val="18"/>
              </w:rPr>
              <w:t>-weather climate in the future. However, there is low confidence in the magnitude of the change as this is strongly dependent on the rainfall projection.</w:t>
            </w:r>
          </w:p>
          <w:p w14:paraId="0DD70BB6" w14:textId="77777777" w:rsidR="009705B6" w:rsidRPr="007138D8" w:rsidRDefault="009705B6" w:rsidP="009705B6">
            <w:pPr>
              <w:ind w:left="315" w:right="136"/>
              <w:rPr>
                <w:rFonts w:asciiTheme="minorHAnsi" w:hAnsiTheme="minorHAnsi" w:cstheme="minorHAnsi"/>
                <w:color w:val="313E37"/>
                <w:sz w:val="18"/>
                <w:szCs w:val="18"/>
              </w:rPr>
            </w:pPr>
          </w:p>
          <w:p w14:paraId="36C38479" w14:textId="77777777" w:rsidR="00F779D5" w:rsidRDefault="00F779D5" w:rsidP="00802F49">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05BDEADB" w14:textId="0974D40E" w:rsidR="00F779D5" w:rsidRDefault="00F779D5" w:rsidP="00802F49">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sidR="00AB27B1">
              <w:rPr>
                <w:noProof/>
              </w:rPr>
              <w:drawing>
                <wp:inline distT="0" distB="0" distL="0" distR="0" wp14:anchorId="5E4E1A96" wp14:editId="587764A7">
                  <wp:extent cx="2555721" cy="1679330"/>
                  <wp:effectExtent l="0" t="0" r="0" b="0"/>
                  <wp:docPr id="1088725390" name="Picture 136324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75"/>
                          <pic:cNvPicPr/>
                        </pic:nvPicPr>
                        <pic:blipFill>
                          <a:blip r:embed="rId297">
                            <a:extLst>
                              <a:ext uri="{28A0092B-C50C-407E-A947-70E740481C1C}">
                                <a14:useLocalDpi xmlns:a14="http://schemas.microsoft.com/office/drawing/2010/main" val="0"/>
                              </a:ext>
                            </a:extLst>
                          </a:blip>
                          <a:stretch>
                            <a:fillRect/>
                          </a:stretch>
                        </pic:blipFill>
                        <pic:spPr>
                          <a:xfrm>
                            <a:off x="0" y="0"/>
                            <a:ext cx="2555721" cy="1679330"/>
                          </a:xfrm>
                          <a:prstGeom prst="rect">
                            <a:avLst/>
                          </a:prstGeom>
                        </pic:spPr>
                      </pic:pic>
                    </a:graphicData>
                  </a:graphic>
                </wp:inline>
              </w:drawing>
            </w:r>
            <w:r w:rsidRPr="1F802AF8">
              <w:rPr>
                <w:rFonts w:asciiTheme="minorHAnsi" w:hAnsiTheme="minorHAnsi" w:cstheme="minorBidi"/>
                <w:color w:val="313E37"/>
                <w:sz w:val="20"/>
                <w:szCs w:val="20"/>
              </w:rPr>
              <w:t xml:space="preserve">    </w:t>
            </w:r>
            <w:r w:rsidR="00AB27B1">
              <w:rPr>
                <w:noProof/>
              </w:rPr>
              <w:drawing>
                <wp:inline distT="0" distB="0" distL="0" distR="0" wp14:anchorId="61F7C9E4" wp14:editId="775D4BF5">
                  <wp:extent cx="2646484" cy="1737047"/>
                  <wp:effectExtent l="0" t="0" r="1905" b="0"/>
                  <wp:docPr id="1770223312" name="Picture 136324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76"/>
                          <pic:cNvPicPr/>
                        </pic:nvPicPr>
                        <pic:blipFill>
                          <a:blip r:embed="rId298">
                            <a:extLst>
                              <a:ext uri="{28A0092B-C50C-407E-A947-70E740481C1C}">
                                <a14:useLocalDpi xmlns:a14="http://schemas.microsoft.com/office/drawing/2010/main" val="0"/>
                              </a:ext>
                            </a:extLst>
                          </a:blip>
                          <a:stretch>
                            <a:fillRect/>
                          </a:stretch>
                        </pic:blipFill>
                        <pic:spPr>
                          <a:xfrm>
                            <a:off x="0" y="0"/>
                            <a:ext cx="2646484" cy="1737047"/>
                          </a:xfrm>
                          <a:prstGeom prst="rect">
                            <a:avLst/>
                          </a:prstGeom>
                        </pic:spPr>
                      </pic:pic>
                    </a:graphicData>
                  </a:graphic>
                </wp:inline>
              </w:drawing>
            </w:r>
          </w:p>
          <w:p w14:paraId="61E77F51" w14:textId="77777777" w:rsidR="00F779D5" w:rsidRPr="00EF238F" w:rsidRDefault="00F779D5" w:rsidP="00802F49">
            <w:pPr>
              <w:ind w:right="136"/>
              <w:rPr>
                <w:rFonts w:asciiTheme="minorHAnsi" w:hAnsiTheme="minorHAnsi" w:cstheme="minorHAnsi"/>
                <w:color w:val="313E37"/>
                <w:sz w:val="20"/>
                <w:szCs w:val="20"/>
              </w:rPr>
            </w:pPr>
          </w:p>
        </w:tc>
      </w:tr>
      <w:tr w:rsidR="00AB27B1" w14:paraId="24750508" w14:textId="77777777" w:rsidTr="1F802AF8">
        <w:trPr>
          <w:trHeight w:val="329"/>
        </w:trPr>
        <w:tc>
          <w:tcPr>
            <w:tcW w:w="9628" w:type="dxa"/>
            <w:gridSpan w:val="2"/>
          </w:tcPr>
          <w:p w14:paraId="59657637" w14:textId="15A975F8" w:rsidR="00AB27B1" w:rsidRPr="00EF238F" w:rsidRDefault="00AB27B1" w:rsidP="00802F49">
            <w:pPr>
              <w:pStyle w:val="BodyText"/>
              <w:rPr>
                <w:b/>
                <w:bCs/>
                <w:sz w:val="20"/>
              </w:rPr>
            </w:pPr>
            <w:r w:rsidRPr="00F779D5">
              <w:rPr>
                <w:b/>
                <w:bCs/>
                <w:sz w:val="20"/>
              </w:rPr>
              <w:lastRenderedPageBreak/>
              <w:t xml:space="preserve">The Southern and South-Western Flatlands </w:t>
            </w:r>
            <w:r>
              <w:rPr>
                <w:b/>
                <w:bCs/>
                <w:sz w:val="20"/>
              </w:rPr>
              <w:t>East</w:t>
            </w:r>
          </w:p>
        </w:tc>
      </w:tr>
      <w:tr w:rsidR="00AB27B1" w14:paraId="51FCCE93" w14:textId="77777777" w:rsidTr="1F802AF8">
        <w:trPr>
          <w:trHeight w:val="1815"/>
        </w:trPr>
        <w:tc>
          <w:tcPr>
            <w:tcW w:w="2263" w:type="dxa"/>
          </w:tcPr>
          <w:p w14:paraId="384ED0B5" w14:textId="77777777" w:rsidR="00AB27B1" w:rsidRDefault="00AB27B1" w:rsidP="00802F49">
            <w:pPr>
              <w:pStyle w:val="BodyText"/>
            </w:pPr>
            <w:r>
              <w:rPr>
                <w:noProof/>
              </w:rPr>
              <w:drawing>
                <wp:inline distT="0" distB="0" distL="0" distR="0" wp14:anchorId="564B77B5" wp14:editId="5137E86B">
                  <wp:extent cx="1160584" cy="961052"/>
                  <wp:effectExtent l="0" t="0" r="1905" b="0"/>
                  <wp:docPr id="878014018" name="Picture 136324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77"/>
                          <pic:cNvPicPr/>
                        </pic:nvPicPr>
                        <pic:blipFill>
                          <a:blip r:embed="rId296">
                            <a:extLst>
                              <a:ext uri="{28A0092B-C50C-407E-A947-70E740481C1C}">
                                <a14:useLocalDpi xmlns:a14="http://schemas.microsoft.com/office/drawing/2010/main" val="0"/>
                              </a:ext>
                            </a:extLst>
                          </a:blip>
                          <a:stretch>
                            <a:fillRect/>
                          </a:stretch>
                        </pic:blipFill>
                        <pic:spPr>
                          <a:xfrm>
                            <a:off x="0" y="0"/>
                            <a:ext cx="1160584" cy="961052"/>
                          </a:xfrm>
                          <a:prstGeom prst="rect">
                            <a:avLst/>
                          </a:prstGeom>
                        </pic:spPr>
                      </pic:pic>
                    </a:graphicData>
                  </a:graphic>
                </wp:inline>
              </w:drawing>
            </w:r>
          </w:p>
        </w:tc>
        <w:tc>
          <w:tcPr>
            <w:tcW w:w="7365" w:type="dxa"/>
          </w:tcPr>
          <w:p w14:paraId="42A99090" w14:textId="77777777" w:rsidR="00AB27B1" w:rsidRDefault="00AB27B1"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6F0B6C04" w14:textId="0EBEF7F4" w:rsidR="00AB27B1" w:rsidRPr="00AB27B1" w:rsidRDefault="00AB27B1" w:rsidP="00AB27B1">
            <w:pPr>
              <w:pStyle w:val="BodyText"/>
              <w:spacing w:before="0" w:after="0" w:line="240" w:lineRule="auto"/>
              <w:rPr>
                <w:sz w:val="20"/>
              </w:rPr>
            </w:pPr>
            <w:r w:rsidRPr="00AB27B1">
              <w:rPr>
                <w:sz w:val="20"/>
              </w:rPr>
              <w:t>Management of agricultural soils</w:t>
            </w:r>
            <w:r w:rsidRPr="00AB27B1">
              <w:rPr>
                <w:sz w:val="20"/>
              </w:rPr>
              <w:tab/>
            </w:r>
            <w:r>
              <w:rPr>
                <w:sz w:val="20"/>
              </w:rPr>
              <w:tab/>
            </w:r>
            <w:r w:rsidRPr="00AB27B1">
              <w:rPr>
                <w:sz w:val="20"/>
              </w:rPr>
              <w:t>2</w:t>
            </w:r>
            <w:r>
              <w:rPr>
                <w:sz w:val="20"/>
              </w:rPr>
              <w:tab/>
            </w:r>
            <w:r w:rsidRPr="00AB27B1">
              <w:rPr>
                <w:sz w:val="20"/>
              </w:rPr>
              <w:tab/>
              <w:t xml:space="preserve">10,155 </w:t>
            </w:r>
          </w:p>
          <w:p w14:paraId="243BD0F0" w14:textId="1EB0DD19" w:rsidR="00AB27B1" w:rsidRPr="00AB27B1" w:rsidRDefault="00AB27B1" w:rsidP="00AB27B1">
            <w:pPr>
              <w:pStyle w:val="BodyText"/>
              <w:spacing w:before="0" w:after="0" w:line="240" w:lineRule="auto"/>
              <w:rPr>
                <w:sz w:val="20"/>
              </w:rPr>
            </w:pPr>
            <w:r w:rsidRPr="00AB27B1">
              <w:rPr>
                <w:sz w:val="20"/>
              </w:rPr>
              <w:t>Planting of new forests</w:t>
            </w:r>
            <w:r w:rsidRPr="00AB27B1">
              <w:rPr>
                <w:sz w:val="20"/>
              </w:rPr>
              <w:tab/>
            </w:r>
            <w:r>
              <w:rPr>
                <w:sz w:val="20"/>
              </w:rPr>
              <w:tab/>
            </w:r>
            <w:r>
              <w:rPr>
                <w:sz w:val="20"/>
              </w:rPr>
              <w:tab/>
            </w:r>
            <w:r w:rsidRPr="00AB27B1">
              <w:rPr>
                <w:sz w:val="20"/>
              </w:rPr>
              <w:t>5</w:t>
            </w:r>
            <w:r w:rsidRPr="00AB27B1">
              <w:rPr>
                <w:sz w:val="20"/>
              </w:rPr>
              <w:tab/>
            </w:r>
            <w:r>
              <w:rPr>
                <w:sz w:val="20"/>
              </w:rPr>
              <w:tab/>
            </w:r>
            <w:r w:rsidRPr="00AB27B1">
              <w:rPr>
                <w:sz w:val="20"/>
              </w:rPr>
              <w:t xml:space="preserve">2,598 </w:t>
            </w:r>
          </w:p>
          <w:p w14:paraId="0783450E" w14:textId="0D060CE4" w:rsidR="00AB27B1" w:rsidRPr="0054376E" w:rsidRDefault="00FB2D3A" w:rsidP="00AB27B1">
            <w:pPr>
              <w:pStyle w:val="BodyText"/>
              <w:spacing w:before="0" w:after="0" w:line="240" w:lineRule="auto"/>
              <w:rPr>
                <w:sz w:val="20"/>
              </w:rPr>
            </w:pPr>
            <w:r>
              <w:rPr>
                <w:sz w:val="20"/>
              </w:rPr>
              <w:t>Re-</w:t>
            </w:r>
            <w:r w:rsidR="00187AAD">
              <w:rPr>
                <w:sz w:val="20"/>
              </w:rPr>
              <w:t>establishment</w:t>
            </w:r>
            <w:r w:rsidR="00187AAD" w:rsidRPr="00AB27B1">
              <w:rPr>
                <w:sz w:val="20"/>
              </w:rPr>
              <w:t xml:space="preserve"> of</w:t>
            </w:r>
            <w:r w:rsidR="00AB27B1" w:rsidRPr="00AB27B1">
              <w:rPr>
                <w:sz w:val="20"/>
              </w:rPr>
              <w:t xml:space="preserve"> native forest cover</w:t>
            </w:r>
            <w:r w:rsidR="00AB27B1" w:rsidRPr="00AB27B1">
              <w:rPr>
                <w:sz w:val="20"/>
              </w:rPr>
              <w:tab/>
              <w:t>1</w:t>
            </w:r>
            <w:r w:rsidR="00AB27B1" w:rsidRPr="00AB27B1">
              <w:rPr>
                <w:sz w:val="20"/>
              </w:rPr>
              <w:tab/>
              <w:t xml:space="preserve"> </w:t>
            </w:r>
            <w:r w:rsidR="00AB27B1">
              <w:rPr>
                <w:sz w:val="20"/>
              </w:rPr>
              <w:tab/>
            </w:r>
            <w:r w:rsidR="00AB27B1" w:rsidRPr="00AB27B1">
              <w:rPr>
                <w:sz w:val="20"/>
              </w:rPr>
              <w:t>7,864</w:t>
            </w:r>
          </w:p>
        </w:tc>
      </w:tr>
      <w:tr w:rsidR="00AB27B1" w14:paraId="00EE7001" w14:textId="77777777" w:rsidTr="1F802AF8">
        <w:tc>
          <w:tcPr>
            <w:tcW w:w="9628" w:type="dxa"/>
            <w:gridSpan w:val="2"/>
          </w:tcPr>
          <w:p w14:paraId="6A8DC8D9" w14:textId="77777777" w:rsidR="00AB27B1" w:rsidRPr="00EF238F" w:rsidRDefault="00AB27B1"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3571E6A8" w14:textId="1007D2FA" w:rsidR="00AB27B1" w:rsidRPr="005324BE" w:rsidRDefault="00AB27B1" w:rsidP="009250B8">
            <w:pPr>
              <w:numPr>
                <w:ilvl w:val="0"/>
                <w:numId w:val="17"/>
              </w:numPr>
              <w:tabs>
                <w:tab w:val="clear" w:pos="720"/>
              </w:tabs>
              <w:ind w:left="315" w:right="136" w:hanging="315"/>
              <w:rPr>
                <w:rFonts w:asciiTheme="minorHAnsi" w:hAnsiTheme="minorHAnsi" w:cstheme="minorHAnsi"/>
                <w:color w:val="313E37"/>
                <w:sz w:val="18"/>
                <w:szCs w:val="18"/>
              </w:rPr>
            </w:pPr>
            <w:r w:rsidRPr="005324BE">
              <w:rPr>
                <w:rFonts w:asciiTheme="minorHAnsi" w:hAnsiTheme="minorHAnsi" w:cstheme="minorHAnsi"/>
                <w:color w:val="FF0000"/>
                <w:sz w:val="18"/>
                <w:szCs w:val="18"/>
              </w:rPr>
              <w:t xml:space="preserve">Average temperatures </w:t>
            </w:r>
            <w:r w:rsidRPr="005324BE">
              <w:rPr>
                <w:rFonts w:asciiTheme="minorHAnsi" w:hAnsiTheme="minorHAnsi" w:cstheme="minorHAnsi"/>
                <w:color w:val="313E37"/>
                <w:sz w:val="18"/>
                <w:szCs w:val="18"/>
              </w:rPr>
              <w:t>will continue to increase in all seasons (</w:t>
            </w:r>
            <w:r w:rsidRPr="005324BE">
              <w:rPr>
                <w:rFonts w:asciiTheme="minorHAnsi" w:hAnsiTheme="minorHAnsi" w:cstheme="minorHAnsi"/>
                <w:i/>
                <w:iCs/>
                <w:color w:val="313E37"/>
                <w:sz w:val="18"/>
                <w:szCs w:val="18"/>
              </w:rPr>
              <w:t>very high confidence</w:t>
            </w:r>
            <w:r w:rsidRPr="005324BE">
              <w:rPr>
                <w:rFonts w:asciiTheme="minorHAnsi" w:hAnsiTheme="minorHAnsi" w:cstheme="minorHAnsi"/>
                <w:color w:val="313E37"/>
                <w:sz w:val="18"/>
                <w:szCs w:val="18"/>
              </w:rPr>
              <w:t>).</w:t>
            </w:r>
            <w:r w:rsidR="005324BE">
              <w:rPr>
                <w:rFonts w:asciiTheme="minorHAnsi" w:hAnsiTheme="minorHAnsi" w:cstheme="minorHAnsi"/>
                <w:color w:val="313E37"/>
                <w:sz w:val="18"/>
                <w:szCs w:val="18"/>
              </w:rPr>
              <w:t xml:space="preserve"> </w:t>
            </w:r>
            <w:r w:rsidR="005324BE" w:rsidRPr="005324BE">
              <w:rPr>
                <w:rFonts w:asciiTheme="minorHAnsi" w:hAnsiTheme="minorHAnsi" w:cstheme="minorHAnsi"/>
                <w:color w:val="313E37"/>
                <w:sz w:val="18"/>
                <w:szCs w:val="18"/>
              </w:rPr>
              <w:t>For the near future (2030), the annually averaged warming across all emission scenarios is projected to be around 0.4 to 1.1 °C above the climate of 1986–2005.</w:t>
            </w:r>
            <w:r w:rsidR="005324BE">
              <w:rPr>
                <w:rFonts w:asciiTheme="minorHAnsi" w:hAnsiTheme="minorHAnsi" w:cstheme="minorHAnsi"/>
                <w:color w:val="313E37"/>
                <w:sz w:val="18"/>
                <w:szCs w:val="18"/>
              </w:rPr>
              <w:t xml:space="preserve"> </w:t>
            </w:r>
            <w:r w:rsidR="005324BE" w:rsidRPr="005324BE">
              <w:rPr>
                <w:rFonts w:asciiTheme="minorHAnsi" w:hAnsiTheme="minorHAnsi" w:cstheme="minorHAnsi"/>
                <w:color w:val="313E37"/>
                <w:sz w:val="18"/>
                <w:szCs w:val="18"/>
              </w:rPr>
              <w:t>By late in the century (2090), for a high emission scenario (RCP8.5) the projected range of warming is 2.4 to 3.9 °C. Under an intermediate scenario (RCP4.5) the projected warming is 1.0 to 1.9 °C.</w:t>
            </w:r>
          </w:p>
          <w:p w14:paraId="1A2888A4" w14:textId="220BFD35" w:rsidR="005324BE" w:rsidRDefault="005324BE" w:rsidP="009250B8">
            <w:pPr>
              <w:numPr>
                <w:ilvl w:val="0"/>
                <w:numId w:val="17"/>
              </w:numPr>
              <w:tabs>
                <w:tab w:val="clear" w:pos="720"/>
              </w:tabs>
              <w:ind w:left="315" w:right="136" w:hanging="315"/>
              <w:rPr>
                <w:rFonts w:asciiTheme="minorHAnsi" w:hAnsiTheme="minorHAnsi" w:cstheme="minorHAnsi"/>
                <w:color w:val="313E37"/>
                <w:sz w:val="18"/>
                <w:szCs w:val="18"/>
              </w:rPr>
            </w:pPr>
            <w:r w:rsidRPr="00007D32">
              <w:rPr>
                <w:rFonts w:asciiTheme="minorHAnsi" w:hAnsiTheme="minorHAnsi" w:cstheme="minorHAnsi"/>
                <w:color w:val="FF0000"/>
                <w:sz w:val="18"/>
                <w:szCs w:val="18"/>
              </w:rPr>
              <w:t xml:space="preserve">Extreme temperatures </w:t>
            </w:r>
            <w:r w:rsidRPr="00007D32">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3959DD">
              <w:rPr>
                <w:rFonts w:asciiTheme="minorHAnsi" w:hAnsiTheme="minorHAnsi" w:cstheme="minorHAnsi"/>
                <w:i/>
                <w:iCs/>
                <w:color w:val="313E37"/>
                <w:sz w:val="18"/>
                <w:szCs w:val="18"/>
              </w:rPr>
              <w:t>very high confidence</w:t>
            </w:r>
            <w:r w:rsidRPr="00007D32">
              <w:rPr>
                <w:rFonts w:asciiTheme="minorHAnsi" w:hAnsiTheme="minorHAnsi" w:cstheme="minorHAnsi"/>
                <w:color w:val="313E37"/>
                <w:sz w:val="18"/>
                <w:szCs w:val="18"/>
              </w:rPr>
              <w:t>)</w:t>
            </w:r>
            <w:r>
              <w:rPr>
                <w:rFonts w:asciiTheme="minorHAnsi" w:hAnsiTheme="minorHAnsi" w:cstheme="minorHAnsi"/>
                <w:color w:val="313E37"/>
                <w:sz w:val="18"/>
                <w:szCs w:val="18"/>
              </w:rPr>
              <w:t>.</w:t>
            </w:r>
          </w:p>
          <w:p w14:paraId="0CAC927C" w14:textId="77777777" w:rsidR="005324BE" w:rsidRPr="007138D8" w:rsidRDefault="005324BE" w:rsidP="009250B8">
            <w:pPr>
              <w:numPr>
                <w:ilvl w:val="0"/>
                <w:numId w:val="17"/>
              </w:numPr>
              <w:tabs>
                <w:tab w:val="clear" w:pos="720"/>
              </w:tabs>
              <w:ind w:left="315" w:right="136" w:hanging="315"/>
              <w:rPr>
                <w:rFonts w:asciiTheme="minorHAnsi" w:hAnsiTheme="minorHAnsi" w:cstheme="minorHAnsi"/>
                <w:color w:val="313E37"/>
                <w:sz w:val="18"/>
                <w:szCs w:val="18"/>
              </w:rPr>
            </w:pPr>
            <w:r w:rsidRPr="00007D32">
              <w:rPr>
                <w:rFonts w:asciiTheme="minorHAnsi" w:hAnsiTheme="minorHAnsi" w:cstheme="minorHAnsi"/>
                <w:color w:val="FF0000"/>
                <w:sz w:val="18"/>
                <w:szCs w:val="18"/>
              </w:rPr>
              <w:t xml:space="preserve">Frost </w:t>
            </w:r>
            <w:r w:rsidRPr="00007D32">
              <w:rPr>
                <w:rFonts w:asciiTheme="minorHAnsi" w:hAnsiTheme="minorHAnsi" w:cstheme="minorHAnsi"/>
                <w:color w:val="313E37"/>
                <w:sz w:val="18"/>
                <w:szCs w:val="18"/>
              </w:rPr>
              <w:t>risk days (minimum temperatures under 2 °C) are expected to decrease across the cluster (</w:t>
            </w:r>
            <w:r w:rsidRPr="00007D32">
              <w:rPr>
                <w:rFonts w:asciiTheme="minorHAnsi" w:hAnsiTheme="minorHAnsi" w:cstheme="minorHAnsi"/>
                <w:i/>
                <w:iCs/>
                <w:color w:val="313E37"/>
                <w:sz w:val="18"/>
                <w:szCs w:val="18"/>
              </w:rPr>
              <w:t>high confidence</w:t>
            </w:r>
            <w:r w:rsidRPr="00007D32">
              <w:rPr>
                <w:rFonts w:asciiTheme="minorHAnsi" w:hAnsiTheme="minorHAnsi" w:cstheme="minorHAnsi"/>
                <w:color w:val="313E37"/>
                <w:sz w:val="18"/>
                <w:szCs w:val="18"/>
              </w:rPr>
              <w:t>).</w:t>
            </w:r>
          </w:p>
          <w:p w14:paraId="4396E6C3" w14:textId="01F7AB1E" w:rsidR="00AB27B1" w:rsidRPr="005324BE" w:rsidRDefault="005324BE" w:rsidP="009250B8">
            <w:pPr>
              <w:numPr>
                <w:ilvl w:val="0"/>
                <w:numId w:val="17"/>
              </w:numPr>
              <w:tabs>
                <w:tab w:val="clear" w:pos="720"/>
              </w:tabs>
              <w:ind w:left="315" w:right="136" w:hanging="315"/>
              <w:rPr>
                <w:rFonts w:asciiTheme="minorHAnsi" w:hAnsiTheme="minorHAnsi" w:cstheme="minorHAnsi"/>
                <w:color w:val="313E37"/>
                <w:sz w:val="18"/>
                <w:szCs w:val="18"/>
              </w:rPr>
            </w:pPr>
            <w:r w:rsidRPr="005324BE">
              <w:rPr>
                <w:rFonts w:asciiTheme="minorHAnsi" w:hAnsiTheme="minorHAnsi" w:cstheme="minorHAnsi"/>
                <w:color w:val="313E37"/>
                <w:sz w:val="18"/>
                <w:szCs w:val="18"/>
              </w:rPr>
              <w:t xml:space="preserve">Early in the century (2030) and under all emission scenarios, winter </w:t>
            </w:r>
            <w:r w:rsidRPr="005324BE">
              <w:rPr>
                <w:rFonts w:asciiTheme="minorHAnsi" w:hAnsiTheme="minorHAnsi" w:cstheme="minorHAnsi"/>
                <w:color w:val="FF0000"/>
                <w:sz w:val="18"/>
                <w:szCs w:val="18"/>
              </w:rPr>
              <w:t xml:space="preserve">rainfall </w:t>
            </w:r>
            <w:r w:rsidRPr="005324BE">
              <w:rPr>
                <w:rFonts w:asciiTheme="minorHAnsi" w:hAnsiTheme="minorHAnsi" w:cstheme="minorHAnsi"/>
                <w:color w:val="313E37"/>
                <w:sz w:val="18"/>
                <w:szCs w:val="18"/>
              </w:rPr>
              <w:t>is projected to decrease by up to 15 per cent. Late in the century, intermediate emissions (RCP4.5) lead to a projected decrease in winter rainfall of up to 25%, and under high emissions (RCP8.5) winter rainfall decline is projected to decrease by up to 45%. Changes in autumn and summer are less clear, although downscaling results suggest a continuation of the observed autumn declines</w:t>
            </w:r>
            <w:r>
              <w:rPr>
                <w:rFonts w:asciiTheme="minorHAnsi" w:hAnsiTheme="minorHAnsi" w:cstheme="minorHAnsi"/>
                <w:color w:val="313E37"/>
                <w:sz w:val="18"/>
                <w:szCs w:val="18"/>
              </w:rPr>
              <w:t xml:space="preserve"> (</w:t>
            </w:r>
            <w:r w:rsidRPr="005324BE">
              <w:rPr>
                <w:rFonts w:asciiTheme="minorHAnsi" w:hAnsiTheme="minorHAnsi" w:cstheme="minorHAnsi"/>
                <w:i/>
                <w:iCs/>
                <w:color w:val="313E37"/>
                <w:sz w:val="18"/>
                <w:szCs w:val="18"/>
              </w:rPr>
              <w:t>high confidence</w:t>
            </w:r>
            <w:r>
              <w:rPr>
                <w:rFonts w:asciiTheme="minorHAnsi" w:hAnsiTheme="minorHAnsi" w:cstheme="minorHAnsi"/>
                <w:color w:val="313E37"/>
                <w:sz w:val="18"/>
                <w:szCs w:val="18"/>
              </w:rPr>
              <w:t>)</w:t>
            </w:r>
            <w:r w:rsidR="00AB27B1" w:rsidRPr="005324BE">
              <w:rPr>
                <w:rFonts w:asciiTheme="minorHAnsi" w:hAnsiTheme="minorHAnsi" w:cstheme="minorHAnsi"/>
                <w:color w:val="313E37"/>
                <w:sz w:val="18"/>
                <w:szCs w:val="18"/>
              </w:rPr>
              <w:t>.</w:t>
            </w:r>
          </w:p>
          <w:p w14:paraId="14184BC1" w14:textId="57A7CE34" w:rsidR="005324BE" w:rsidRDefault="005324BE" w:rsidP="009250B8">
            <w:pPr>
              <w:numPr>
                <w:ilvl w:val="0"/>
                <w:numId w:val="17"/>
              </w:numPr>
              <w:tabs>
                <w:tab w:val="clear" w:pos="720"/>
              </w:tabs>
              <w:ind w:left="315" w:right="136" w:hanging="284"/>
              <w:rPr>
                <w:rFonts w:asciiTheme="minorHAnsi" w:hAnsiTheme="minorHAnsi" w:cstheme="minorHAnsi"/>
                <w:color w:val="313E37"/>
                <w:sz w:val="18"/>
                <w:szCs w:val="18"/>
              </w:rPr>
            </w:pPr>
            <w:r w:rsidRPr="005324BE">
              <w:rPr>
                <w:rFonts w:asciiTheme="minorHAnsi" w:hAnsiTheme="minorHAnsi" w:cstheme="minorHAnsi"/>
                <w:color w:val="313E37"/>
                <w:sz w:val="18"/>
                <w:szCs w:val="18"/>
              </w:rPr>
              <w:t xml:space="preserve">Even though annual mean rainfall is projected to decrease in the region, understanding of the physical processes that cause extreme rainfall, coupled with modelled projections indicate with </w:t>
            </w:r>
            <w:r w:rsidRPr="005324BE">
              <w:rPr>
                <w:rFonts w:asciiTheme="minorHAnsi" w:hAnsiTheme="minorHAnsi" w:cstheme="minorHAnsi"/>
                <w:i/>
                <w:iCs/>
                <w:color w:val="313E37"/>
                <w:sz w:val="18"/>
                <w:szCs w:val="18"/>
              </w:rPr>
              <w:t>high confidence</w:t>
            </w:r>
            <w:r w:rsidRPr="005324BE">
              <w:rPr>
                <w:rFonts w:asciiTheme="minorHAnsi" w:hAnsiTheme="minorHAnsi" w:cstheme="minorHAnsi"/>
                <w:color w:val="313E37"/>
                <w:sz w:val="18"/>
                <w:szCs w:val="18"/>
              </w:rPr>
              <w:t xml:space="preserve"> a future increase in the intensity of </w:t>
            </w:r>
            <w:r w:rsidRPr="005324BE">
              <w:rPr>
                <w:rFonts w:asciiTheme="minorHAnsi" w:hAnsiTheme="minorHAnsi" w:cstheme="minorHAnsi"/>
                <w:color w:val="FF0000"/>
                <w:sz w:val="18"/>
                <w:szCs w:val="18"/>
              </w:rPr>
              <w:t xml:space="preserve">extreme rainfall </w:t>
            </w:r>
            <w:r w:rsidRPr="005324BE">
              <w:rPr>
                <w:rFonts w:asciiTheme="minorHAnsi" w:hAnsiTheme="minorHAnsi" w:cstheme="minorHAnsi"/>
                <w:color w:val="313E37"/>
                <w:sz w:val="18"/>
                <w:szCs w:val="18"/>
              </w:rPr>
              <w:t>events. However, the magnitude of the increases cannot be confidently projected</w:t>
            </w:r>
            <w:r w:rsidRPr="007138D8">
              <w:rPr>
                <w:rFonts w:asciiTheme="minorHAnsi" w:hAnsiTheme="minorHAnsi" w:cstheme="minorHAnsi"/>
                <w:color w:val="313E37"/>
                <w:sz w:val="18"/>
                <w:szCs w:val="18"/>
              </w:rPr>
              <w:t>.</w:t>
            </w:r>
          </w:p>
          <w:p w14:paraId="031EF7B2" w14:textId="77777777" w:rsidR="005324BE" w:rsidRPr="007138D8" w:rsidRDefault="005324BE"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Time spent in </w:t>
            </w:r>
            <w:r w:rsidRPr="00007D32">
              <w:rPr>
                <w:rFonts w:asciiTheme="minorHAnsi" w:hAnsiTheme="minorHAnsi" w:cstheme="minorHAnsi"/>
                <w:color w:val="FF0000"/>
                <w:sz w:val="18"/>
                <w:szCs w:val="18"/>
              </w:rPr>
              <w:t xml:space="preserve">drought </w:t>
            </w:r>
            <w:r w:rsidRPr="00007D32">
              <w:rPr>
                <w:rFonts w:asciiTheme="minorHAnsi" w:hAnsiTheme="minorHAnsi" w:cstheme="minorHAnsi"/>
                <w:color w:val="313E37"/>
                <w:sz w:val="18"/>
                <w:szCs w:val="18"/>
              </w:rPr>
              <w:t>is projected (</w:t>
            </w:r>
            <w:r w:rsidRPr="00007D32">
              <w:rPr>
                <w:rFonts w:asciiTheme="minorHAnsi" w:hAnsiTheme="minorHAnsi" w:cstheme="minorHAnsi"/>
                <w:i/>
                <w:iCs/>
                <w:color w:val="313E37"/>
                <w:sz w:val="18"/>
                <w:szCs w:val="18"/>
              </w:rPr>
              <w:t>with high confidence</w:t>
            </w:r>
            <w:r w:rsidRPr="00007D32">
              <w:rPr>
                <w:rFonts w:asciiTheme="minorHAnsi" w:hAnsiTheme="minorHAnsi" w:cstheme="minorHAnsi"/>
                <w:color w:val="313E37"/>
                <w:sz w:val="18"/>
                <w:szCs w:val="18"/>
              </w:rPr>
              <w:t>) to increase over the course of the century.</w:t>
            </w:r>
          </w:p>
          <w:p w14:paraId="4B9D824C" w14:textId="7923AEAB" w:rsidR="00AB27B1" w:rsidRPr="005324BE" w:rsidRDefault="00AB27B1" w:rsidP="009250B8">
            <w:pPr>
              <w:numPr>
                <w:ilvl w:val="0"/>
                <w:numId w:val="17"/>
              </w:numPr>
              <w:tabs>
                <w:tab w:val="clear" w:pos="720"/>
              </w:tabs>
              <w:ind w:left="315" w:right="136" w:hanging="315"/>
              <w:rPr>
                <w:rFonts w:asciiTheme="minorHAnsi" w:hAnsiTheme="minorHAnsi" w:cstheme="minorHAnsi"/>
                <w:color w:val="313E37"/>
                <w:sz w:val="18"/>
                <w:szCs w:val="18"/>
              </w:rPr>
            </w:pPr>
            <w:r w:rsidRPr="005324BE">
              <w:rPr>
                <w:rFonts w:asciiTheme="minorHAnsi" w:hAnsiTheme="minorHAnsi" w:cstheme="minorHAnsi"/>
                <w:color w:val="313E37"/>
                <w:sz w:val="18"/>
                <w:szCs w:val="18"/>
              </w:rPr>
              <w:t xml:space="preserve">Mean </w:t>
            </w:r>
            <w:r w:rsidRPr="005324BE">
              <w:rPr>
                <w:rFonts w:asciiTheme="minorHAnsi" w:hAnsiTheme="minorHAnsi" w:cstheme="minorHAnsi"/>
                <w:color w:val="FF0000"/>
                <w:sz w:val="18"/>
                <w:szCs w:val="18"/>
              </w:rPr>
              <w:t xml:space="preserve">sea level </w:t>
            </w:r>
            <w:r w:rsidRPr="005324BE">
              <w:rPr>
                <w:rFonts w:asciiTheme="minorHAnsi" w:hAnsiTheme="minorHAnsi" w:cstheme="minorHAnsi"/>
                <w:color w:val="313E37"/>
                <w:sz w:val="18"/>
                <w:szCs w:val="18"/>
              </w:rPr>
              <w:t>will continue to rise and height of extreme sea-level events will also increase (</w:t>
            </w:r>
            <w:r w:rsidRPr="005324BE">
              <w:rPr>
                <w:rFonts w:asciiTheme="minorHAnsi" w:hAnsiTheme="minorHAnsi" w:cstheme="minorHAnsi"/>
                <w:i/>
                <w:iCs/>
                <w:color w:val="313E37"/>
                <w:sz w:val="18"/>
                <w:szCs w:val="18"/>
              </w:rPr>
              <w:t>very high confidence</w:t>
            </w:r>
            <w:r w:rsidRPr="005324BE">
              <w:rPr>
                <w:rFonts w:asciiTheme="minorHAnsi" w:hAnsiTheme="minorHAnsi" w:cstheme="minorHAnsi"/>
                <w:color w:val="313E37"/>
                <w:sz w:val="18"/>
                <w:szCs w:val="18"/>
              </w:rPr>
              <w:t>).</w:t>
            </w:r>
          </w:p>
          <w:p w14:paraId="18472F96" w14:textId="77777777" w:rsidR="005324BE" w:rsidRPr="007138D8" w:rsidRDefault="005324BE"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For 2030, increases </w:t>
            </w:r>
            <w:r>
              <w:rPr>
                <w:rFonts w:asciiTheme="minorHAnsi" w:hAnsiTheme="minorHAnsi" w:cstheme="minorHAnsi"/>
                <w:color w:val="313E37"/>
                <w:sz w:val="18"/>
                <w:szCs w:val="18"/>
              </w:rPr>
              <w:t xml:space="preserve">in </w:t>
            </w:r>
            <w:r w:rsidRPr="00007D32">
              <w:rPr>
                <w:rFonts w:asciiTheme="minorHAnsi" w:hAnsiTheme="minorHAnsi" w:cstheme="minorHAnsi"/>
                <w:color w:val="FF0000"/>
                <w:sz w:val="18"/>
                <w:szCs w:val="18"/>
              </w:rPr>
              <w:t xml:space="preserve">potential evapotranspiration </w:t>
            </w:r>
            <w:r w:rsidRPr="00007D32">
              <w:rPr>
                <w:rFonts w:asciiTheme="minorHAnsi" w:hAnsiTheme="minorHAnsi" w:cstheme="minorHAnsi"/>
                <w:color w:val="313E37"/>
                <w:sz w:val="18"/>
                <w:szCs w:val="18"/>
              </w:rPr>
              <w:t>are less than 10 % in all scenarios. Increases by 2090 are larger. In relative terms, the largest increases are found in winter (10 to 30 % under RCP8.5 and approximately half that for RCP4.5) and autumn (about 10 to 20 % under RCP8.5 and approximately half that for RCP4.5), with lesser increases (about 5 to 15 % following RCP8.5) in summer and spring. In absolute terms, the largest projected increase is found in summer</w:t>
            </w:r>
            <w:r>
              <w:rPr>
                <w:rFonts w:asciiTheme="minorHAnsi" w:hAnsiTheme="minorHAnsi" w:cstheme="minorHAnsi"/>
                <w:color w:val="313E37"/>
                <w:sz w:val="18"/>
                <w:szCs w:val="18"/>
              </w:rPr>
              <w:t xml:space="preserve">. </w:t>
            </w:r>
            <w:r w:rsidRPr="00007D32">
              <w:rPr>
                <w:rFonts w:asciiTheme="minorHAnsi" w:hAnsiTheme="minorHAnsi" w:cstheme="minorHAnsi"/>
                <w:color w:val="313E37"/>
                <w:sz w:val="18"/>
                <w:szCs w:val="18"/>
              </w:rPr>
              <w:t xml:space="preserve">Despite having high confidence in increased evapotranspiration, there is only </w:t>
            </w:r>
            <w:r w:rsidRPr="00007D32">
              <w:rPr>
                <w:rFonts w:asciiTheme="minorHAnsi" w:hAnsiTheme="minorHAnsi" w:cstheme="minorHAnsi"/>
                <w:i/>
                <w:iCs/>
                <w:color w:val="313E37"/>
                <w:sz w:val="18"/>
                <w:szCs w:val="18"/>
              </w:rPr>
              <w:t>medium confidence</w:t>
            </w:r>
            <w:r w:rsidRPr="00007D32">
              <w:rPr>
                <w:rFonts w:asciiTheme="minorHAnsi" w:hAnsiTheme="minorHAnsi" w:cstheme="minorHAnsi"/>
                <w:color w:val="313E37"/>
                <w:sz w:val="18"/>
                <w:szCs w:val="18"/>
              </w:rPr>
              <w:t xml:space="preserve"> in the projected magnitude of the increase</w:t>
            </w:r>
          </w:p>
          <w:p w14:paraId="7DF945AF" w14:textId="77777777" w:rsidR="005324BE" w:rsidRDefault="005324BE" w:rsidP="009250B8">
            <w:pPr>
              <w:numPr>
                <w:ilvl w:val="0"/>
                <w:numId w:val="17"/>
              </w:numPr>
              <w:tabs>
                <w:tab w:val="clear" w:pos="720"/>
              </w:tabs>
              <w:ind w:left="315" w:right="136" w:hanging="284"/>
              <w:rPr>
                <w:rFonts w:asciiTheme="minorHAnsi" w:hAnsiTheme="minorHAnsi" w:cstheme="minorHAnsi"/>
                <w:color w:val="313E37"/>
                <w:sz w:val="18"/>
                <w:szCs w:val="18"/>
              </w:rPr>
            </w:pPr>
            <w:r>
              <w:rPr>
                <w:rFonts w:asciiTheme="minorHAnsi" w:hAnsiTheme="minorHAnsi" w:cstheme="minorHAnsi"/>
                <w:color w:val="313E37"/>
                <w:sz w:val="18"/>
                <w:szCs w:val="18"/>
              </w:rPr>
              <w:t>L</w:t>
            </w:r>
            <w:r w:rsidRPr="00007D32">
              <w:rPr>
                <w:rFonts w:asciiTheme="minorHAnsi" w:hAnsiTheme="minorHAnsi" w:cstheme="minorHAnsi"/>
                <w:color w:val="313E37"/>
                <w:sz w:val="18"/>
                <w:szCs w:val="18"/>
              </w:rPr>
              <w:t xml:space="preserve">ittle change in </w:t>
            </w:r>
            <w:r w:rsidRPr="00007D32">
              <w:rPr>
                <w:rFonts w:asciiTheme="minorHAnsi" w:hAnsiTheme="minorHAnsi" w:cstheme="minorHAnsi"/>
                <w:color w:val="FF0000"/>
                <w:sz w:val="18"/>
                <w:szCs w:val="18"/>
              </w:rPr>
              <w:t xml:space="preserve">relative humidity </w:t>
            </w:r>
            <w:r w:rsidRPr="00007D32">
              <w:rPr>
                <w:rFonts w:asciiTheme="minorHAnsi" w:hAnsiTheme="minorHAnsi" w:cstheme="minorHAnsi"/>
                <w:color w:val="313E37"/>
                <w:sz w:val="18"/>
                <w:szCs w:val="18"/>
              </w:rPr>
              <w:t xml:space="preserve">is projected for 2030 with </w:t>
            </w:r>
            <w:r w:rsidRPr="00007D32">
              <w:rPr>
                <w:rFonts w:asciiTheme="minorHAnsi" w:hAnsiTheme="minorHAnsi" w:cstheme="minorHAnsi"/>
                <w:i/>
                <w:iCs/>
                <w:color w:val="313E37"/>
                <w:sz w:val="18"/>
                <w:szCs w:val="18"/>
              </w:rPr>
              <w:t>high confidence</w:t>
            </w:r>
            <w:r w:rsidRPr="00007D32">
              <w:rPr>
                <w:rFonts w:asciiTheme="minorHAnsi" w:hAnsiTheme="minorHAnsi" w:cstheme="minorHAnsi"/>
                <w:color w:val="313E37"/>
                <w:sz w:val="18"/>
                <w:szCs w:val="18"/>
              </w:rPr>
              <w:t xml:space="preserve">. By 2090, for winter and spring across both sub-clusters, there is </w:t>
            </w:r>
            <w:r w:rsidRPr="00007D32">
              <w:rPr>
                <w:rFonts w:asciiTheme="minorHAnsi" w:hAnsiTheme="minorHAnsi" w:cstheme="minorHAnsi"/>
                <w:i/>
                <w:iCs/>
                <w:color w:val="313E37"/>
                <w:sz w:val="18"/>
                <w:szCs w:val="18"/>
              </w:rPr>
              <w:t>high confidence</w:t>
            </w:r>
            <w:r w:rsidRPr="00007D32">
              <w:rPr>
                <w:rFonts w:asciiTheme="minorHAnsi" w:hAnsiTheme="minorHAnsi" w:cstheme="minorHAnsi"/>
                <w:color w:val="313E37"/>
                <w:sz w:val="18"/>
                <w:szCs w:val="18"/>
              </w:rPr>
              <w:t xml:space="preserve"> for substantial decrease of up to 5 % under RCP8.5, with smaller decreases in autumn and summer</w:t>
            </w:r>
            <w:r w:rsidRPr="007138D8">
              <w:rPr>
                <w:rFonts w:asciiTheme="minorHAnsi" w:hAnsiTheme="minorHAnsi" w:cstheme="minorHAnsi"/>
                <w:color w:val="313E37"/>
                <w:sz w:val="18"/>
                <w:szCs w:val="18"/>
              </w:rPr>
              <w:t>.</w:t>
            </w:r>
          </w:p>
          <w:p w14:paraId="5EF3539E" w14:textId="77777777" w:rsidR="005324BE" w:rsidRPr="007138D8" w:rsidRDefault="005324BE"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Decreases in </w:t>
            </w:r>
            <w:r w:rsidRPr="00007D32">
              <w:rPr>
                <w:rFonts w:asciiTheme="minorHAnsi" w:hAnsiTheme="minorHAnsi" w:cstheme="minorHAnsi"/>
                <w:color w:val="FF0000"/>
                <w:sz w:val="18"/>
                <w:szCs w:val="18"/>
              </w:rPr>
              <w:t xml:space="preserve">soil moisture </w:t>
            </w:r>
            <w:r w:rsidRPr="00007D32">
              <w:rPr>
                <w:rFonts w:asciiTheme="minorHAnsi" w:hAnsiTheme="minorHAnsi" w:cstheme="minorHAnsi"/>
                <w:color w:val="313E37"/>
                <w:sz w:val="18"/>
                <w:szCs w:val="18"/>
              </w:rPr>
              <w:t>are projected, particularly in winter and spring</w:t>
            </w:r>
            <w:r>
              <w:rPr>
                <w:rFonts w:asciiTheme="minorHAnsi" w:hAnsiTheme="minorHAnsi" w:cstheme="minorHAnsi"/>
                <w:color w:val="313E37"/>
                <w:sz w:val="18"/>
                <w:szCs w:val="18"/>
              </w:rPr>
              <w:t xml:space="preserve">, as are decreases in </w:t>
            </w:r>
            <w:r w:rsidRPr="00137BA9">
              <w:rPr>
                <w:rFonts w:asciiTheme="minorHAnsi" w:hAnsiTheme="minorHAnsi" w:cstheme="minorHAnsi"/>
                <w:color w:val="FF0000"/>
                <w:sz w:val="18"/>
                <w:szCs w:val="18"/>
              </w:rPr>
              <w:t>runoff</w:t>
            </w:r>
            <w:r>
              <w:rPr>
                <w:rFonts w:asciiTheme="minorHAnsi" w:hAnsiTheme="minorHAnsi" w:cstheme="minorHAnsi"/>
                <w:color w:val="313E37"/>
                <w:sz w:val="18"/>
                <w:szCs w:val="18"/>
              </w:rPr>
              <w:t>.</w:t>
            </w:r>
            <w:r w:rsidRPr="00007D32">
              <w:rPr>
                <w:rFonts w:asciiTheme="minorHAnsi" w:hAnsiTheme="minorHAnsi" w:cstheme="minorHAnsi"/>
                <w:color w:val="313E37"/>
                <w:sz w:val="18"/>
                <w:szCs w:val="18"/>
              </w:rPr>
              <w:t xml:space="preserve"> The annual changes in soil moisture for RCP8.5 by 2090 are about -10 to 0 % with high model agreement on a substantial decrease. Given that reduced rainfall and increased evapotranspiration both contribute to a decrease in soil moisture and runoff, </w:t>
            </w:r>
            <w:r>
              <w:rPr>
                <w:rFonts w:asciiTheme="minorHAnsi" w:hAnsiTheme="minorHAnsi" w:cstheme="minorHAnsi"/>
                <w:color w:val="313E37"/>
                <w:sz w:val="18"/>
                <w:szCs w:val="18"/>
              </w:rPr>
              <w:t xml:space="preserve">there is </w:t>
            </w:r>
            <w:r w:rsidRPr="00137BA9">
              <w:rPr>
                <w:rFonts w:asciiTheme="minorHAnsi" w:hAnsiTheme="minorHAnsi" w:cstheme="minorHAnsi"/>
                <w:i/>
                <w:iCs/>
                <w:color w:val="313E37"/>
                <w:sz w:val="18"/>
                <w:szCs w:val="18"/>
              </w:rPr>
              <w:t>high confidence</w:t>
            </w:r>
            <w:r w:rsidRPr="00007D32">
              <w:rPr>
                <w:rFonts w:asciiTheme="minorHAnsi" w:hAnsiTheme="minorHAnsi" w:cstheme="minorHAnsi"/>
                <w:color w:val="313E37"/>
                <w:sz w:val="18"/>
                <w:szCs w:val="18"/>
              </w:rPr>
              <w:t xml:space="preserve"> in the projected decrease in soil moisture. However, due to the potential limitations of this method, there is only </w:t>
            </w:r>
            <w:r w:rsidRPr="00137BA9">
              <w:rPr>
                <w:rFonts w:asciiTheme="minorHAnsi" w:hAnsiTheme="minorHAnsi" w:cstheme="minorHAnsi"/>
                <w:i/>
                <w:iCs/>
                <w:color w:val="313E37"/>
                <w:sz w:val="18"/>
                <w:szCs w:val="18"/>
              </w:rPr>
              <w:t>low confidence</w:t>
            </w:r>
            <w:r w:rsidRPr="00007D32">
              <w:rPr>
                <w:rFonts w:asciiTheme="minorHAnsi" w:hAnsiTheme="minorHAnsi" w:cstheme="minorHAnsi"/>
                <w:color w:val="313E37"/>
                <w:sz w:val="18"/>
                <w:szCs w:val="18"/>
              </w:rPr>
              <w:t xml:space="preserve"> in the magnitude of change</w:t>
            </w:r>
            <w:r>
              <w:rPr>
                <w:rFonts w:asciiTheme="minorHAnsi" w:hAnsiTheme="minorHAnsi" w:cstheme="minorHAnsi"/>
                <w:color w:val="313E37"/>
                <w:sz w:val="18"/>
                <w:szCs w:val="18"/>
              </w:rPr>
              <w:t>.</w:t>
            </w:r>
            <w:r w:rsidRPr="00007D32">
              <w:rPr>
                <w:rFonts w:asciiTheme="minorHAnsi" w:hAnsiTheme="minorHAnsi" w:cstheme="minorHAnsi"/>
                <w:color w:val="313E37"/>
                <w:sz w:val="18"/>
                <w:szCs w:val="18"/>
              </w:rPr>
              <w:t xml:space="preserve">  </w:t>
            </w:r>
          </w:p>
          <w:p w14:paraId="70DB2377" w14:textId="607311B1" w:rsidR="00AB27B1" w:rsidRPr="005324BE" w:rsidRDefault="00AB27B1" w:rsidP="009250B8">
            <w:pPr>
              <w:numPr>
                <w:ilvl w:val="0"/>
                <w:numId w:val="17"/>
              </w:numPr>
              <w:tabs>
                <w:tab w:val="clear" w:pos="720"/>
              </w:tabs>
              <w:ind w:left="315" w:right="136" w:hanging="315"/>
              <w:rPr>
                <w:rFonts w:asciiTheme="minorHAnsi" w:hAnsiTheme="minorHAnsi" w:cstheme="minorHAnsi"/>
                <w:color w:val="313E37"/>
                <w:sz w:val="18"/>
                <w:szCs w:val="18"/>
              </w:rPr>
            </w:pPr>
            <w:r w:rsidRPr="005324BE">
              <w:rPr>
                <w:rFonts w:asciiTheme="minorHAnsi" w:hAnsiTheme="minorHAnsi" w:cstheme="minorHAnsi"/>
                <w:color w:val="313E37"/>
                <w:sz w:val="18"/>
                <w:szCs w:val="18"/>
              </w:rPr>
              <w:t xml:space="preserve">Related to the projected decline in winter rainfall, winter </w:t>
            </w:r>
            <w:r w:rsidRPr="005324BE">
              <w:rPr>
                <w:rFonts w:asciiTheme="minorHAnsi" w:hAnsiTheme="minorHAnsi" w:cstheme="minorHAnsi"/>
                <w:color w:val="FF0000"/>
                <w:sz w:val="18"/>
                <w:szCs w:val="18"/>
              </w:rPr>
              <w:t xml:space="preserve">solar radiation </w:t>
            </w:r>
            <w:r w:rsidRPr="005324BE">
              <w:rPr>
                <w:rFonts w:asciiTheme="minorHAnsi" w:hAnsiTheme="minorHAnsi" w:cstheme="minorHAnsi"/>
                <w:color w:val="313E37"/>
                <w:sz w:val="18"/>
                <w:szCs w:val="18"/>
              </w:rPr>
              <w:t>is projected to increase (</w:t>
            </w:r>
            <w:r w:rsidRPr="005324BE">
              <w:rPr>
                <w:rFonts w:asciiTheme="minorHAnsi" w:hAnsiTheme="minorHAnsi" w:cstheme="minorHAnsi"/>
                <w:i/>
                <w:iCs/>
                <w:color w:val="313E37"/>
                <w:sz w:val="18"/>
                <w:szCs w:val="18"/>
              </w:rPr>
              <w:t>high confidence</w:t>
            </w:r>
            <w:r w:rsidRPr="005324BE">
              <w:rPr>
                <w:rFonts w:asciiTheme="minorHAnsi" w:hAnsiTheme="minorHAnsi" w:cstheme="minorHAnsi"/>
                <w:color w:val="313E37"/>
                <w:sz w:val="18"/>
                <w:szCs w:val="18"/>
              </w:rPr>
              <w:t>). Radiation in spring is also projected to increase (</w:t>
            </w:r>
            <w:r w:rsidRPr="005324BE">
              <w:rPr>
                <w:rFonts w:asciiTheme="minorHAnsi" w:hAnsiTheme="minorHAnsi" w:cstheme="minorHAnsi"/>
                <w:i/>
                <w:iCs/>
                <w:color w:val="313E37"/>
                <w:sz w:val="18"/>
                <w:szCs w:val="18"/>
              </w:rPr>
              <w:t>medium confidence</w:t>
            </w:r>
            <w:r w:rsidRPr="005324BE">
              <w:rPr>
                <w:rFonts w:asciiTheme="minorHAnsi" w:hAnsiTheme="minorHAnsi" w:cstheme="minorHAnsi"/>
                <w:color w:val="313E37"/>
                <w:sz w:val="18"/>
                <w:szCs w:val="18"/>
              </w:rPr>
              <w:t>).</w:t>
            </w:r>
          </w:p>
          <w:p w14:paraId="75CC5F9C" w14:textId="15F22025" w:rsidR="00AB27B1" w:rsidRDefault="00AB27B1" w:rsidP="009250B8">
            <w:pPr>
              <w:numPr>
                <w:ilvl w:val="0"/>
                <w:numId w:val="17"/>
              </w:numPr>
              <w:ind w:left="315" w:right="136" w:hanging="315"/>
              <w:rPr>
                <w:rFonts w:asciiTheme="minorHAnsi" w:hAnsiTheme="minorHAnsi" w:cstheme="minorHAnsi"/>
                <w:color w:val="313E37"/>
                <w:sz w:val="18"/>
                <w:szCs w:val="18"/>
              </w:rPr>
            </w:pPr>
            <w:r w:rsidRPr="005324BE">
              <w:rPr>
                <w:rFonts w:asciiTheme="minorHAnsi" w:hAnsiTheme="minorHAnsi" w:cstheme="minorHAnsi"/>
                <w:color w:val="313E37"/>
                <w:sz w:val="18"/>
                <w:szCs w:val="18"/>
              </w:rPr>
              <w:t xml:space="preserve">There is high confidence that climate change will result in a harsher </w:t>
            </w:r>
            <w:r w:rsidRPr="005324BE">
              <w:rPr>
                <w:rFonts w:asciiTheme="minorHAnsi" w:hAnsiTheme="minorHAnsi" w:cstheme="minorHAnsi"/>
                <w:color w:val="FF0000"/>
                <w:sz w:val="18"/>
                <w:szCs w:val="18"/>
              </w:rPr>
              <w:t>fire</w:t>
            </w:r>
            <w:r w:rsidRPr="005324BE">
              <w:rPr>
                <w:rFonts w:asciiTheme="minorHAnsi" w:hAnsiTheme="minorHAnsi" w:cstheme="minorHAnsi"/>
                <w:color w:val="313E37"/>
                <w:sz w:val="18"/>
                <w:szCs w:val="18"/>
              </w:rPr>
              <w:t>-weather climate in the future. However, there is low confidence in the magnitude of the change as this is strongly dependent on the rainfall projection.</w:t>
            </w:r>
          </w:p>
          <w:p w14:paraId="04C7EA63" w14:textId="77777777" w:rsidR="005324BE" w:rsidRPr="005324BE" w:rsidRDefault="005324BE" w:rsidP="005324BE">
            <w:pPr>
              <w:ind w:left="315" w:right="136"/>
              <w:rPr>
                <w:rFonts w:asciiTheme="minorHAnsi" w:hAnsiTheme="minorHAnsi" w:cstheme="minorHAnsi"/>
                <w:color w:val="313E37"/>
                <w:sz w:val="18"/>
                <w:szCs w:val="18"/>
              </w:rPr>
            </w:pPr>
          </w:p>
          <w:p w14:paraId="6B562CFD" w14:textId="77777777" w:rsidR="00AB27B1" w:rsidRDefault="00AB27B1" w:rsidP="00802F49">
            <w:pPr>
              <w:ind w:right="136"/>
              <w:rPr>
                <w:rFonts w:asciiTheme="minorHAnsi" w:hAnsiTheme="minorHAnsi" w:cstheme="minorHAnsi"/>
                <w:color w:val="313E37"/>
                <w:sz w:val="20"/>
                <w:szCs w:val="20"/>
              </w:rPr>
            </w:pPr>
            <w:r>
              <w:rPr>
                <w:rFonts w:asciiTheme="minorHAnsi" w:hAnsiTheme="minorHAnsi" w:cstheme="minorHAnsi"/>
                <w:color w:val="313E37"/>
                <w:sz w:val="20"/>
                <w:szCs w:val="20"/>
              </w:rPr>
              <w:t xml:space="preserve">         Annual temperature</w:t>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r>
            <w:r>
              <w:rPr>
                <w:rFonts w:asciiTheme="minorHAnsi" w:hAnsiTheme="minorHAnsi" w:cstheme="minorHAnsi"/>
                <w:color w:val="313E37"/>
                <w:sz w:val="20"/>
                <w:szCs w:val="20"/>
              </w:rPr>
              <w:tab/>
              <w:t xml:space="preserve">              Annual rainfall</w:t>
            </w:r>
          </w:p>
          <w:p w14:paraId="6408C6F1" w14:textId="15872766" w:rsidR="00AB27B1" w:rsidRDefault="00AB27B1" w:rsidP="00802F49">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Pr>
                <w:noProof/>
              </w:rPr>
              <w:drawing>
                <wp:inline distT="0" distB="0" distL="0" distR="0" wp14:anchorId="7CFF2BF3" wp14:editId="68DC38CB">
                  <wp:extent cx="2488223" cy="1625684"/>
                  <wp:effectExtent l="0" t="0" r="7620" b="0"/>
                  <wp:docPr id="1617677191" name="Picture 136324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81"/>
                          <pic:cNvPicPr/>
                        </pic:nvPicPr>
                        <pic:blipFill>
                          <a:blip r:embed="rId299">
                            <a:extLst>
                              <a:ext uri="{28A0092B-C50C-407E-A947-70E740481C1C}">
                                <a14:useLocalDpi xmlns:a14="http://schemas.microsoft.com/office/drawing/2010/main" val="0"/>
                              </a:ext>
                            </a:extLst>
                          </a:blip>
                          <a:stretch>
                            <a:fillRect/>
                          </a:stretch>
                        </pic:blipFill>
                        <pic:spPr>
                          <a:xfrm>
                            <a:off x="0" y="0"/>
                            <a:ext cx="2488223" cy="1625684"/>
                          </a:xfrm>
                          <a:prstGeom prst="rect">
                            <a:avLst/>
                          </a:prstGeom>
                        </pic:spPr>
                      </pic:pic>
                    </a:graphicData>
                  </a:graphic>
                </wp:inline>
              </w:drawing>
            </w:r>
            <w:r w:rsidRPr="1F802AF8">
              <w:rPr>
                <w:rFonts w:asciiTheme="minorHAnsi" w:hAnsiTheme="minorHAnsi" w:cstheme="minorBidi"/>
                <w:color w:val="313E37"/>
                <w:sz w:val="20"/>
                <w:szCs w:val="20"/>
              </w:rPr>
              <w:t xml:space="preserve">    </w:t>
            </w:r>
            <w:r>
              <w:rPr>
                <w:noProof/>
              </w:rPr>
              <w:drawing>
                <wp:inline distT="0" distB="0" distL="0" distR="0" wp14:anchorId="3493B1AF" wp14:editId="637BC179">
                  <wp:extent cx="2549769" cy="1679123"/>
                  <wp:effectExtent l="0" t="0" r="3175" b="0"/>
                  <wp:docPr id="1577692399" name="Picture 136324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80"/>
                          <pic:cNvPicPr/>
                        </pic:nvPicPr>
                        <pic:blipFill>
                          <a:blip r:embed="rId300">
                            <a:extLst>
                              <a:ext uri="{28A0092B-C50C-407E-A947-70E740481C1C}">
                                <a14:useLocalDpi xmlns:a14="http://schemas.microsoft.com/office/drawing/2010/main" val="0"/>
                              </a:ext>
                            </a:extLst>
                          </a:blip>
                          <a:stretch>
                            <a:fillRect/>
                          </a:stretch>
                        </pic:blipFill>
                        <pic:spPr>
                          <a:xfrm>
                            <a:off x="0" y="0"/>
                            <a:ext cx="2549769" cy="1679123"/>
                          </a:xfrm>
                          <a:prstGeom prst="rect">
                            <a:avLst/>
                          </a:prstGeom>
                        </pic:spPr>
                      </pic:pic>
                    </a:graphicData>
                  </a:graphic>
                </wp:inline>
              </w:drawing>
            </w:r>
          </w:p>
          <w:p w14:paraId="3FC4EE15" w14:textId="77777777" w:rsidR="00AB27B1" w:rsidRPr="00EF238F" w:rsidRDefault="00AB27B1" w:rsidP="00802F49">
            <w:pPr>
              <w:ind w:right="136"/>
              <w:rPr>
                <w:rFonts w:asciiTheme="minorHAnsi" w:hAnsiTheme="minorHAnsi" w:cstheme="minorHAnsi"/>
                <w:color w:val="313E37"/>
                <w:sz w:val="20"/>
                <w:szCs w:val="20"/>
              </w:rPr>
            </w:pPr>
          </w:p>
        </w:tc>
      </w:tr>
    </w:tbl>
    <w:p w14:paraId="355CDC32" w14:textId="36A0ECE5" w:rsidR="00AB27B1" w:rsidRDefault="00AB27B1" w:rsidP="00852CC1">
      <w:pPr>
        <w:pStyle w:val="BodyText"/>
      </w:pPr>
    </w:p>
    <w:tbl>
      <w:tblPr>
        <w:tblStyle w:val="TableGrid"/>
        <w:tblW w:w="0" w:type="auto"/>
        <w:tblLook w:val="04A0" w:firstRow="1" w:lastRow="0" w:firstColumn="1" w:lastColumn="0" w:noHBand="0" w:noVBand="1"/>
      </w:tblPr>
      <w:tblGrid>
        <w:gridCol w:w="2263"/>
        <w:gridCol w:w="7365"/>
      </w:tblGrid>
      <w:tr w:rsidR="003959DD" w:rsidRPr="00EF238F" w14:paraId="4BCA47D0" w14:textId="77777777" w:rsidTr="1F802AF8">
        <w:trPr>
          <w:trHeight w:val="329"/>
        </w:trPr>
        <w:tc>
          <w:tcPr>
            <w:tcW w:w="9628" w:type="dxa"/>
            <w:gridSpan w:val="2"/>
          </w:tcPr>
          <w:p w14:paraId="5353AABF" w14:textId="00565C87" w:rsidR="003959DD" w:rsidRPr="00EF238F" w:rsidRDefault="003959DD" w:rsidP="00C026E1">
            <w:pPr>
              <w:pStyle w:val="BodyText"/>
              <w:rPr>
                <w:b/>
                <w:bCs/>
                <w:sz w:val="20"/>
              </w:rPr>
            </w:pPr>
            <w:r>
              <w:rPr>
                <w:b/>
                <w:bCs/>
                <w:sz w:val="20"/>
              </w:rPr>
              <w:lastRenderedPageBreak/>
              <w:t>Murray Basin</w:t>
            </w:r>
          </w:p>
        </w:tc>
      </w:tr>
      <w:tr w:rsidR="00C026E1" w:rsidRPr="0054376E" w14:paraId="257221DD" w14:textId="77777777" w:rsidTr="1F802AF8">
        <w:trPr>
          <w:trHeight w:val="1815"/>
        </w:trPr>
        <w:tc>
          <w:tcPr>
            <w:tcW w:w="2263" w:type="dxa"/>
          </w:tcPr>
          <w:p w14:paraId="2A31DC04" w14:textId="51D9B596" w:rsidR="003959DD" w:rsidRDefault="00C026E1" w:rsidP="00C026E1">
            <w:pPr>
              <w:pStyle w:val="BodyText"/>
            </w:pPr>
            <w:r>
              <w:rPr>
                <w:noProof/>
              </w:rPr>
              <w:drawing>
                <wp:inline distT="0" distB="0" distL="0" distR="0" wp14:anchorId="28182F8F" wp14:editId="1DBA3738">
                  <wp:extent cx="1158240" cy="975575"/>
                  <wp:effectExtent l="0" t="0" r="3810" b="0"/>
                  <wp:docPr id="2377058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01">
                            <a:extLst>
                              <a:ext uri="{28A0092B-C50C-407E-A947-70E740481C1C}">
                                <a14:useLocalDpi xmlns:a14="http://schemas.microsoft.com/office/drawing/2010/main" val="0"/>
                              </a:ext>
                            </a:extLst>
                          </a:blip>
                          <a:stretch>
                            <a:fillRect/>
                          </a:stretch>
                        </pic:blipFill>
                        <pic:spPr>
                          <a:xfrm>
                            <a:off x="0" y="0"/>
                            <a:ext cx="1158240" cy="975575"/>
                          </a:xfrm>
                          <a:prstGeom prst="rect">
                            <a:avLst/>
                          </a:prstGeom>
                        </pic:spPr>
                      </pic:pic>
                    </a:graphicData>
                  </a:graphic>
                </wp:inline>
              </w:drawing>
            </w:r>
          </w:p>
        </w:tc>
        <w:tc>
          <w:tcPr>
            <w:tcW w:w="7365" w:type="dxa"/>
          </w:tcPr>
          <w:p w14:paraId="55D25D0B" w14:textId="77777777" w:rsidR="003959DD" w:rsidRDefault="003959DD" w:rsidP="00C026E1">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06C26E4F" w14:textId="4CB79816" w:rsidR="00C026E1" w:rsidRPr="00C026E1" w:rsidRDefault="00C026E1" w:rsidP="00C026E1">
            <w:pPr>
              <w:pStyle w:val="BodyText"/>
              <w:spacing w:before="0" w:after="0" w:line="240" w:lineRule="auto"/>
              <w:rPr>
                <w:sz w:val="20"/>
              </w:rPr>
            </w:pPr>
            <w:r w:rsidRPr="00C026E1">
              <w:rPr>
                <w:sz w:val="20"/>
              </w:rPr>
              <w:t>Management of agricultural soils</w:t>
            </w:r>
            <w:r w:rsidRPr="00C026E1">
              <w:rPr>
                <w:sz w:val="20"/>
              </w:rPr>
              <w:tab/>
            </w:r>
            <w:r>
              <w:rPr>
                <w:sz w:val="20"/>
              </w:rPr>
              <w:tab/>
            </w:r>
            <w:r w:rsidRPr="00C026E1">
              <w:rPr>
                <w:sz w:val="20"/>
              </w:rPr>
              <w:t>14</w:t>
            </w:r>
            <w:r w:rsidRPr="00C026E1">
              <w:rPr>
                <w:sz w:val="20"/>
              </w:rPr>
              <w:tab/>
            </w:r>
            <w:r>
              <w:rPr>
                <w:sz w:val="20"/>
              </w:rPr>
              <w:tab/>
            </w:r>
            <w:r w:rsidRPr="00C026E1">
              <w:rPr>
                <w:sz w:val="20"/>
              </w:rPr>
              <w:t xml:space="preserve"> 12,157 </w:t>
            </w:r>
          </w:p>
          <w:p w14:paraId="6C0E83EB" w14:textId="69700EAE" w:rsidR="00C026E1" w:rsidRPr="00C026E1" w:rsidRDefault="00C026E1" w:rsidP="00C026E1">
            <w:pPr>
              <w:pStyle w:val="BodyText"/>
              <w:spacing w:before="0" w:after="0" w:line="240" w:lineRule="auto"/>
              <w:rPr>
                <w:sz w:val="20"/>
              </w:rPr>
            </w:pPr>
            <w:r w:rsidRPr="00C026E1">
              <w:rPr>
                <w:sz w:val="20"/>
              </w:rPr>
              <w:t>Planting of new forests</w:t>
            </w:r>
            <w:r w:rsidRPr="00C026E1">
              <w:rPr>
                <w:sz w:val="20"/>
              </w:rPr>
              <w:tab/>
            </w:r>
            <w:r>
              <w:rPr>
                <w:sz w:val="20"/>
              </w:rPr>
              <w:tab/>
            </w:r>
            <w:r>
              <w:rPr>
                <w:sz w:val="20"/>
              </w:rPr>
              <w:tab/>
            </w:r>
            <w:r w:rsidRPr="00C026E1">
              <w:rPr>
                <w:sz w:val="20"/>
              </w:rPr>
              <w:t>23</w:t>
            </w:r>
            <w:r w:rsidRPr="00C026E1">
              <w:rPr>
                <w:sz w:val="20"/>
              </w:rPr>
              <w:tab/>
            </w:r>
            <w:r>
              <w:rPr>
                <w:sz w:val="20"/>
              </w:rPr>
              <w:tab/>
            </w:r>
            <w:r w:rsidRPr="00C026E1">
              <w:rPr>
                <w:sz w:val="20"/>
              </w:rPr>
              <w:t xml:space="preserve"> 9,613 </w:t>
            </w:r>
          </w:p>
          <w:p w14:paraId="03E7C98F" w14:textId="269A7CB0" w:rsidR="00C026E1" w:rsidRPr="00C026E1" w:rsidRDefault="00C026E1" w:rsidP="00C026E1">
            <w:pPr>
              <w:pStyle w:val="BodyText"/>
              <w:spacing w:before="0" w:after="0" w:line="240" w:lineRule="auto"/>
              <w:rPr>
                <w:sz w:val="20"/>
              </w:rPr>
            </w:pPr>
            <w:r w:rsidRPr="00C026E1">
              <w:rPr>
                <w:sz w:val="20"/>
              </w:rPr>
              <w:t>Protection of existing forests</w:t>
            </w:r>
            <w:r>
              <w:rPr>
                <w:sz w:val="20"/>
              </w:rPr>
              <w:tab/>
            </w:r>
            <w:r w:rsidRPr="00C026E1">
              <w:rPr>
                <w:sz w:val="20"/>
              </w:rPr>
              <w:tab/>
              <w:t>3</w:t>
            </w:r>
            <w:r w:rsidRPr="00C026E1">
              <w:rPr>
                <w:sz w:val="20"/>
              </w:rPr>
              <w:tab/>
            </w:r>
            <w:r>
              <w:rPr>
                <w:sz w:val="20"/>
              </w:rPr>
              <w:tab/>
            </w:r>
            <w:r w:rsidRPr="00C026E1">
              <w:rPr>
                <w:sz w:val="20"/>
              </w:rPr>
              <w:t xml:space="preserve"> 12,443 </w:t>
            </w:r>
          </w:p>
          <w:p w14:paraId="099B49FD" w14:textId="2F3369BB" w:rsidR="003959DD" w:rsidRPr="0054376E" w:rsidRDefault="00FB2D3A" w:rsidP="00C026E1">
            <w:pPr>
              <w:pStyle w:val="BodyText"/>
              <w:spacing w:before="0" w:after="0" w:line="240" w:lineRule="auto"/>
              <w:rPr>
                <w:sz w:val="20"/>
              </w:rPr>
            </w:pPr>
            <w:r>
              <w:rPr>
                <w:sz w:val="20"/>
              </w:rPr>
              <w:t>Re-</w:t>
            </w:r>
            <w:r w:rsidR="00187AAD">
              <w:rPr>
                <w:sz w:val="20"/>
              </w:rPr>
              <w:t>establishment</w:t>
            </w:r>
            <w:r w:rsidR="00187AAD" w:rsidRPr="00C026E1">
              <w:rPr>
                <w:sz w:val="20"/>
              </w:rPr>
              <w:t xml:space="preserve"> of</w:t>
            </w:r>
            <w:r w:rsidR="00C026E1" w:rsidRPr="00C026E1">
              <w:rPr>
                <w:sz w:val="20"/>
              </w:rPr>
              <w:t xml:space="preserve"> native forest cover</w:t>
            </w:r>
            <w:r w:rsidR="00C026E1" w:rsidRPr="00C026E1">
              <w:rPr>
                <w:sz w:val="20"/>
              </w:rPr>
              <w:tab/>
              <w:t>4</w:t>
            </w:r>
            <w:r w:rsidR="00C026E1" w:rsidRPr="00C026E1">
              <w:rPr>
                <w:sz w:val="20"/>
              </w:rPr>
              <w:tab/>
            </w:r>
            <w:r w:rsidR="00C026E1">
              <w:rPr>
                <w:sz w:val="20"/>
              </w:rPr>
              <w:tab/>
            </w:r>
            <w:r w:rsidR="00C026E1" w:rsidRPr="00C026E1">
              <w:rPr>
                <w:sz w:val="20"/>
              </w:rPr>
              <w:t xml:space="preserve"> 1,625</w:t>
            </w:r>
          </w:p>
        </w:tc>
      </w:tr>
      <w:tr w:rsidR="003959DD" w:rsidRPr="00EF238F" w14:paraId="7B545981" w14:textId="77777777" w:rsidTr="1F802AF8">
        <w:tc>
          <w:tcPr>
            <w:tcW w:w="9628" w:type="dxa"/>
            <w:gridSpan w:val="2"/>
          </w:tcPr>
          <w:p w14:paraId="2689E28B" w14:textId="77777777" w:rsidR="003959DD" w:rsidRPr="00C026E1" w:rsidRDefault="003959DD" w:rsidP="00C026E1">
            <w:pPr>
              <w:ind w:right="136"/>
              <w:rPr>
                <w:rFonts w:asciiTheme="minorHAnsi" w:hAnsiTheme="minorHAnsi" w:cstheme="minorHAnsi"/>
                <w:b/>
                <w:bCs/>
                <w:color w:val="313E37"/>
                <w:sz w:val="20"/>
                <w:szCs w:val="20"/>
              </w:rPr>
            </w:pPr>
            <w:r w:rsidRPr="00C026E1">
              <w:rPr>
                <w:rFonts w:asciiTheme="minorHAnsi" w:hAnsiTheme="minorHAnsi" w:cstheme="minorHAnsi"/>
                <w:b/>
                <w:bCs/>
                <w:color w:val="313E37"/>
                <w:sz w:val="20"/>
                <w:szCs w:val="20"/>
              </w:rPr>
              <w:t>Climate projection summary</w:t>
            </w:r>
          </w:p>
          <w:p w14:paraId="12C4BE5F" w14:textId="21393AF4" w:rsidR="003959DD" w:rsidRPr="00C026E1"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r w:rsidRPr="00C026E1">
              <w:rPr>
                <w:rFonts w:asciiTheme="minorHAnsi" w:hAnsiTheme="minorHAnsi" w:cstheme="minorHAnsi"/>
                <w:color w:val="FF0000"/>
                <w:sz w:val="18"/>
                <w:szCs w:val="18"/>
              </w:rPr>
              <w:t xml:space="preserve">Average temperatures </w:t>
            </w:r>
            <w:r w:rsidRPr="00C026E1">
              <w:rPr>
                <w:rFonts w:asciiTheme="minorHAnsi" w:hAnsiTheme="minorHAnsi" w:cstheme="minorHAnsi"/>
                <w:color w:val="313E37"/>
                <w:sz w:val="18"/>
                <w:szCs w:val="18"/>
              </w:rPr>
              <w:t>will continue to increase in all seasons (</w:t>
            </w:r>
            <w:r w:rsidRPr="00C026E1">
              <w:rPr>
                <w:rFonts w:asciiTheme="minorHAnsi" w:hAnsiTheme="minorHAnsi" w:cstheme="minorHAnsi"/>
                <w:i/>
                <w:iCs/>
                <w:color w:val="313E37"/>
                <w:sz w:val="18"/>
                <w:szCs w:val="18"/>
              </w:rPr>
              <w:t>very high confidence</w:t>
            </w:r>
            <w:r w:rsidRPr="00C026E1">
              <w:rPr>
                <w:rFonts w:asciiTheme="minorHAnsi" w:hAnsiTheme="minorHAnsi" w:cstheme="minorHAnsi"/>
                <w:color w:val="313E37"/>
                <w:sz w:val="18"/>
                <w:szCs w:val="18"/>
              </w:rPr>
              <w:t xml:space="preserve">). </w:t>
            </w:r>
            <w:r w:rsidR="00B45097" w:rsidRPr="00B45097">
              <w:rPr>
                <w:rFonts w:asciiTheme="minorHAnsi" w:hAnsiTheme="minorHAnsi" w:cstheme="minorHAnsi"/>
                <w:color w:val="313E37"/>
                <w:sz w:val="18"/>
                <w:szCs w:val="18"/>
              </w:rPr>
              <w:t>For the near future (2030), the annually averaged warming across all emission scenarios is projected to be around 0.6 to 1.3 °C above the climate of 1986–2005.</w:t>
            </w:r>
            <w:r w:rsidR="00B45097">
              <w:rPr>
                <w:rFonts w:asciiTheme="minorHAnsi" w:hAnsiTheme="minorHAnsi" w:cstheme="minorHAnsi"/>
                <w:color w:val="313E37"/>
                <w:sz w:val="18"/>
                <w:szCs w:val="18"/>
              </w:rPr>
              <w:t xml:space="preserve"> </w:t>
            </w:r>
            <w:r w:rsidR="00B45097" w:rsidRPr="00B45097">
              <w:rPr>
                <w:rFonts w:asciiTheme="minorHAnsi" w:hAnsiTheme="minorHAnsi" w:cstheme="minorHAnsi"/>
                <w:color w:val="313E37"/>
                <w:sz w:val="18"/>
                <w:szCs w:val="18"/>
              </w:rPr>
              <w:t>By late in the century (2090), for a high emission scenario (RCP8.5) the projected range of warming is 2.7 to 4.5 °C. Under an intermediate scenario (RCP4.5) the projected warming is 1.3 to 2.4 °C.</w:t>
            </w:r>
          </w:p>
          <w:p w14:paraId="20C80E1E" w14:textId="77777777" w:rsidR="003959DD" w:rsidRPr="00C026E1"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r w:rsidRPr="00C026E1">
              <w:rPr>
                <w:rFonts w:asciiTheme="minorHAnsi" w:hAnsiTheme="minorHAnsi" w:cstheme="minorHAnsi"/>
                <w:color w:val="FF0000"/>
                <w:sz w:val="18"/>
                <w:szCs w:val="18"/>
              </w:rPr>
              <w:t xml:space="preserve">Extreme temperatures </w:t>
            </w:r>
            <w:r w:rsidRPr="00C026E1">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B45097">
              <w:rPr>
                <w:rFonts w:asciiTheme="minorHAnsi" w:hAnsiTheme="minorHAnsi" w:cstheme="minorHAnsi"/>
                <w:i/>
                <w:iCs/>
                <w:color w:val="313E37"/>
                <w:sz w:val="18"/>
                <w:szCs w:val="18"/>
              </w:rPr>
              <w:t>very high confidence</w:t>
            </w:r>
            <w:r w:rsidRPr="00C026E1">
              <w:rPr>
                <w:rFonts w:asciiTheme="minorHAnsi" w:hAnsiTheme="minorHAnsi" w:cstheme="minorHAnsi"/>
                <w:color w:val="313E37"/>
                <w:sz w:val="18"/>
                <w:szCs w:val="18"/>
              </w:rPr>
              <w:t>).</w:t>
            </w:r>
          </w:p>
          <w:p w14:paraId="35D252F1" w14:textId="77777777" w:rsidR="003959DD" w:rsidRPr="00C026E1"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r w:rsidRPr="00C026E1">
              <w:rPr>
                <w:rFonts w:asciiTheme="minorHAnsi" w:hAnsiTheme="minorHAnsi" w:cstheme="minorHAnsi"/>
                <w:color w:val="FF0000"/>
                <w:sz w:val="18"/>
                <w:szCs w:val="18"/>
              </w:rPr>
              <w:t xml:space="preserve">Frost </w:t>
            </w:r>
            <w:r w:rsidRPr="00C026E1">
              <w:rPr>
                <w:rFonts w:asciiTheme="minorHAnsi" w:hAnsiTheme="minorHAnsi" w:cstheme="minorHAnsi"/>
                <w:color w:val="313E37"/>
                <w:sz w:val="18"/>
                <w:szCs w:val="18"/>
              </w:rPr>
              <w:t>risk days (minimum temperatures under 2 °C) are expected to decrease across the cluster (</w:t>
            </w:r>
            <w:r w:rsidRPr="00C026E1">
              <w:rPr>
                <w:rFonts w:asciiTheme="minorHAnsi" w:hAnsiTheme="minorHAnsi" w:cstheme="minorHAnsi"/>
                <w:i/>
                <w:iCs/>
                <w:color w:val="313E37"/>
                <w:sz w:val="18"/>
                <w:szCs w:val="18"/>
              </w:rPr>
              <w:t>high confidence</w:t>
            </w:r>
            <w:r w:rsidRPr="00C026E1">
              <w:rPr>
                <w:rFonts w:asciiTheme="minorHAnsi" w:hAnsiTheme="minorHAnsi" w:cstheme="minorHAnsi"/>
                <w:color w:val="313E37"/>
                <w:sz w:val="18"/>
                <w:szCs w:val="18"/>
              </w:rPr>
              <w:t>).</w:t>
            </w:r>
          </w:p>
          <w:p w14:paraId="54038FB8" w14:textId="77777777" w:rsidR="00B45097" w:rsidRDefault="00B45097" w:rsidP="009250B8">
            <w:pPr>
              <w:numPr>
                <w:ilvl w:val="0"/>
                <w:numId w:val="17"/>
              </w:numPr>
              <w:tabs>
                <w:tab w:val="clear" w:pos="720"/>
              </w:tabs>
              <w:ind w:left="315" w:right="136" w:hanging="284"/>
              <w:rPr>
                <w:rFonts w:asciiTheme="minorHAnsi" w:hAnsiTheme="minorHAnsi" w:cstheme="minorHAnsi"/>
                <w:color w:val="313E37"/>
                <w:sz w:val="18"/>
                <w:szCs w:val="18"/>
              </w:rPr>
            </w:pPr>
            <w:r w:rsidRPr="00B45097">
              <w:rPr>
                <w:rFonts w:asciiTheme="minorHAnsi" w:hAnsiTheme="minorHAnsi" w:cstheme="minorHAnsi"/>
                <w:color w:val="313E37"/>
                <w:sz w:val="18"/>
                <w:szCs w:val="18"/>
              </w:rPr>
              <w:t xml:space="preserve">In the near future (2030) natural variability </w:t>
            </w:r>
            <w:r>
              <w:rPr>
                <w:rFonts w:asciiTheme="minorHAnsi" w:hAnsiTheme="minorHAnsi" w:cstheme="minorHAnsi"/>
                <w:color w:val="313E37"/>
                <w:sz w:val="18"/>
                <w:szCs w:val="18"/>
              </w:rPr>
              <w:t xml:space="preserve">in </w:t>
            </w:r>
            <w:r w:rsidRPr="00B45097">
              <w:rPr>
                <w:rFonts w:asciiTheme="minorHAnsi" w:hAnsiTheme="minorHAnsi" w:cstheme="minorHAnsi"/>
                <w:color w:val="FF0000"/>
                <w:sz w:val="18"/>
                <w:szCs w:val="18"/>
              </w:rPr>
              <w:t>rainfall</w:t>
            </w:r>
            <w:r>
              <w:rPr>
                <w:rFonts w:asciiTheme="minorHAnsi" w:hAnsiTheme="minorHAnsi" w:cstheme="minorHAnsi"/>
                <w:color w:val="313E37"/>
                <w:sz w:val="18"/>
                <w:szCs w:val="18"/>
              </w:rPr>
              <w:t xml:space="preserve"> </w:t>
            </w:r>
            <w:r w:rsidRPr="00B45097">
              <w:rPr>
                <w:rFonts w:asciiTheme="minorHAnsi" w:hAnsiTheme="minorHAnsi" w:cstheme="minorHAnsi"/>
                <w:color w:val="313E37"/>
                <w:sz w:val="18"/>
                <w:szCs w:val="18"/>
              </w:rPr>
              <w:t>is projected to predominate over trends due to greenhouse gas emissions. Late in the century (2090) cool season (April to October) rainfall is projected to decline under both an intermediate (RCP4.5) and high (RCP8.5) emission scenario. In the warm season (November to March), little change, increases and decreases of rainfall are projected by different models. The magnitude of projected changes for late in the century (2090) span approximately -40 to +5 percent in winter and -15 to +25 percent in summer for a high emissions case (RCP8.5).</w:t>
            </w:r>
          </w:p>
          <w:p w14:paraId="73C692D4" w14:textId="16CE77A5" w:rsidR="003959DD" w:rsidRPr="00C026E1" w:rsidRDefault="00B45097" w:rsidP="009250B8">
            <w:pPr>
              <w:numPr>
                <w:ilvl w:val="0"/>
                <w:numId w:val="17"/>
              </w:numPr>
              <w:tabs>
                <w:tab w:val="clear" w:pos="720"/>
              </w:tabs>
              <w:ind w:left="315" w:right="136" w:hanging="284"/>
              <w:rPr>
                <w:rFonts w:asciiTheme="minorHAnsi" w:hAnsiTheme="minorHAnsi" w:cstheme="minorHAnsi"/>
                <w:color w:val="313E37"/>
                <w:sz w:val="18"/>
                <w:szCs w:val="18"/>
              </w:rPr>
            </w:pPr>
            <w:r w:rsidRPr="00B45097">
              <w:rPr>
                <w:rFonts w:asciiTheme="minorHAnsi" w:hAnsiTheme="minorHAnsi" w:cstheme="minorHAnsi"/>
                <w:color w:val="313E37"/>
                <w:sz w:val="18"/>
                <w:szCs w:val="18"/>
              </w:rPr>
              <w:t xml:space="preserve">Understanding of the physical processes that cause </w:t>
            </w:r>
            <w:r w:rsidRPr="00B45097">
              <w:rPr>
                <w:rFonts w:asciiTheme="minorHAnsi" w:hAnsiTheme="minorHAnsi" w:cstheme="minorHAnsi"/>
                <w:color w:val="FF0000"/>
                <w:sz w:val="18"/>
                <w:szCs w:val="18"/>
              </w:rPr>
              <w:t>extreme rainfall</w:t>
            </w:r>
            <w:r w:rsidRPr="00B45097">
              <w:rPr>
                <w:rFonts w:asciiTheme="minorHAnsi" w:hAnsiTheme="minorHAnsi" w:cstheme="minorHAnsi"/>
                <w:color w:val="313E37"/>
                <w:sz w:val="18"/>
                <w:szCs w:val="18"/>
              </w:rPr>
              <w:t xml:space="preserve">, coupled with modelled projections, indicate with </w:t>
            </w:r>
            <w:r w:rsidRPr="00B45097">
              <w:rPr>
                <w:rFonts w:asciiTheme="minorHAnsi" w:hAnsiTheme="minorHAnsi" w:cstheme="minorHAnsi"/>
                <w:i/>
                <w:iCs/>
                <w:color w:val="313E37"/>
                <w:sz w:val="18"/>
                <w:szCs w:val="18"/>
              </w:rPr>
              <w:t>high confidence</w:t>
            </w:r>
            <w:r w:rsidRPr="00B45097">
              <w:rPr>
                <w:rFonts w:asciiTheme="minorHAnsi" w:hAnsiTheme="minorHAnsi" w:cstheme="minorHAnsi"/>
                <w:color w:val="313E37"/>
                <w:sz w:val="18"/>
                <w:szCs w:val="18"/>
              </w:rPr>
              <w:t xml:space="preserve"> a future increase in the intensity of extreme rainfall events, although the magnitude of the changes cannot be confidently projected.</w:t>
            </w:r>
          </w:p>
          <w:p w14:paraId="23FBD211" w14:textId="3ED873E9" w:rsidR="003959DD" w:rsidRPr="00C026E1" w:rsidRDefault="003959DD" w:rsidP="009250B8">
            <w:pPr>
              <w:numPr>
                <w:ilvl w:val="0"/>
                <w:numId w:val="17"/>
              </w:numPr>
              <w:tabs>
                <w:tab w:val="clear" w:pos="720"/>
              </w:tabs>
              <w:ind w:left="315" w:right="136" w:hanging="284"/>
              <w:rPr>
                <w:rFonts w:asciiTheme="minorHAnsi" w:hAnsiTheme="minorHAnsi" w:cstheme="minorHAnsi"/>
                <w:color w:val="313E37"/>
                <w:sz w:val="18"/>
                <w:szCs w:val="18"/>
              </w:rPr>
            </w:pPr>
            <w:r w:rsidRPr="00C026E1">
              <w:rPr>
                <w:rFonts w:asciiTheme="minorHAnsi" w:hAnsiTheme="minorHAnsi" w:cstheme="minorHAnsi"/>
                <w:color w:val="313E37"/>
                <w:sz w:val="18"/>
                <w:szCs w:val="18"/>
              </w:rPr>
              <w:t xml:space="preserve">Time spent in </w:t>
            </w:r>
            <w:r w:rsidRPr="00C026E1">
              <w:rPr>
                <w:rFonts w:asciiTheme="minorHAnsi" w:hAnsiTheme="minorHAnsi" w:cstheme="minorHAnsi"/>
                <w:color w:val="FF0000"/>
                <w:sz w:val="18"/>
                <w:szCs w:val="18"/>
              </w:rPr>
              <w:t xml:space="preserve">drought </w:t>
            </w:r>
            <w:r w:rsidRPr="00C026E1">
              <w:rPr>
                <w:rFonts w:asciiTheme="minorHAnsi" w:hAnsiTheme="minorHAnsi" w:cstheme="minorHAnsi"/>
                <w:color w:val="313E37"/>
                <w:sz w:val="18"/>
                <w:szCs w:val="18"/>
              </w:rPr>
              <w:t>is projected (</w:t>
            </w:r>
            <w:r w:rsidRPr="00C026E1">
              <w:rPr>
                <w:rFonts w:asciiTheme="minorHAnsi" w:hAnsiTheme="minorHAnsi" w:cstheme="minorHAnsi"/>
                <w:i/>
                <w:iCs/>
                <w:color w:val="313E37"/>
                <w:sz w:val="18"/>
                <w:szCs w:val="18"/>
              </w:rPr>
              <w:t xml:space="preserve">with </w:t>
            </w:r>
            <w:r w:rsidR="00B45097">
              <w:rPr>
                <w:rFonts w:asciiTheme="minorHAnsi" w:hAnsiTheme="minorHAnsi" w:cstheme="minorHAnsi"/>
                <w:i/>
                <w:iCs/>
                <w:color w:val="313E37"/>
                <w:sz w:val="18"/>
                <w:szCs w:val="18"/>
              </w:rPr>
              <w:t>medium</w:t>
            </w:r>
            <w:r w:rsidRPr="00C026E1">
              <w:rPr>
                <w:rFonts w:asciiTheme="minorHAnsi" w:hAnsiTheme="minorHAnsi" w:cstheme="minorHAnsi"/>
                <w:i/>
                <w:iCs/>
                <w:color w:val="313E37"/>
                <w:sz w:val="18"/>
                <w:szCs w:val="18"/>
              </w:rPr>
              <w:t xml:space="preserve"> confidence</w:t>
            </w:r>
            <w:r w:rsidRPr="00C026E1">
              <w:rPr>
                <w:rFonts w:asciiTheme="minorHAnsi" w:hAnsiTheme="minorHAnsi" w:cstheme="minorHAnsi"/>
                <w:color w:val="313E37"/>
                <w:sz w:val="18"/>
                <w:szCs w:val="18"/>
              </w:rPr>
              <w:t>) to increase over the course of the century.</w:t>
            </w:r>
          </w:p>
          <w:p w14:paraId="0EB6A42E" w14:textId="77777777" w:rsidR="003959DD" w:rsidRPr="00C026E1"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r w:rsidRPr="00C026E1">
              <w:rPr>
                <w:rFonts w:asciiTheme="minorHAnsi" w:hAnsiTheme="minorHAnsi" w:cstheme="minorHAnsi"/>
                <w:color w:val="313E37"/>
                <w:sz w:val="18"/>
                <w:szCs w:val="18"/>
              </w:rPr>
              <w:t xml:space="preserve">Mean </w:t>
            </w:r>
            <w:r w:rsidRPr="00C026E1">
              <w:rPr>
                <w:rFonts w:asciiTheme="minorHAnsi" w:hAnsiTheme="minorHAnsi" w:cstheme="minorHAnsi"/>
                <w:color w:val="FF0000"/>
                <w:sz w:val="18"/>
                <w:szCs w:val="18"/>
              </w:rPr>
              <w:t xml:space="preserve">sea level </w:t>
            </w:r>
            <w:r w:rsidRPr="00C026E1">
              <w:rPr>
                <w:rFonts w:asciiTheme="minorHAnsi" w:hAnsiTheme="minorHAnsi" w:cstheme="minorHAnsi"/>
                <w:color w:val="313E37"/>
                <w:sz w:val="18"/>
                <w:szCs w:val="18"/>
              </w:rPr>
              <w:t>will continue to rise and height of extreme sea-level events will also increase (</w:t>
            </w:r>
            <w:r w:rsidRPr="00C026E1">
              <w:rPr>
                <w:rFonts w:asciiTheme="minorHAnsi" w:hAnsiTheme="minorHAnsi" w:cstheme="minorHAnsi"/>
                <w:i/>
                <w:iCs/>
                <w:color w:val="313E37"/>
                <w:sz w:val="18"/>
                <w:szCs w:val="18"/>
              </w:rPr>
              <w:t>very high confidence</w:t>
            </w:r>
            <w:r w:rsidRPr="00C026E1">
              <w:rPr>
                <w:rFonts w:asciiTheme="minorHAnsi" w:hAnsiTheme="minorHAnsi" w:cstheme="minorHAnsi"/>
                <w:color w:val="313E37"/>
                <w:sz w:val="18"/>
                <w:szCs w:val="18"/>
              </w:rPr>
              <w:t>).</w:t>
            </w:r>
          </w:p>
          <w:p w14:paraId="0AF676CD" w14:textId="1B15880D" w:rsidR="00B45097" w:rsidRDefault="00B45097" w:rsidP="009250B8">
            <w:pPr>
              <w:numPr>
                <w:ilvl w:val="0"/>
                <w:numId w:val="17"/>
              </w:numPr>
              <w:tabs>
                <w:tab w:val="clear" w:pos="720"/>
              </w:tabs>
              <w:ind w:left="315" w:right="136" w:hanging="284"/>
              <w:rPr>
                <w:rFonts w:asciiTheme="minorHAnsi" w:hAnsiTheme="minorHAnsi" w:cstheme="minorHAnsi"/>
                <w:color w:val="313E37"/>
                <w:sz w:val="18"/>
                <w:szCs w:val="18"/>
              </w:rPr>
            </w:pPr>
            <w:r>
              <w:rPr>
                <w:rFonts w:asciiTheme="minorHAnsi" w:hAnsiTheme="minorHAnsi" w:cstheme="minorHAnsi"/>
                <w:color w:val="313E37"/>
                <w:sz w:val="18"/>
                <w:szCs w:val="18"/>
              </w:rPr>
              <w:t>P</w:t>
            </w:r>
            <w:r w:rsidRPr="00B45097">
              <w:rPr>
                <w:rFonts w:asciiTheme="minorHAnsi" w:hAnsiTheme="minorHAnsi" w:cstheme="minorHAnsi"/>
                <w:color w:val="313E37"/>
                <w:sz w:val="18"/>
                <w:szCs w:val="18"/>
              </w:rPr>
              <w:t xml:space="preserve">rojected seasonal changes for </w:t>
            </w:r>
            <w:r w:rsidRPr="00B45097">
              <w:rPr>
                <w:rFonts w:asciiTheme="minorHAnsi" w:hAnsiTheme="minorHAnsi" w:cstheme="minorHAnsi"/>
                <w:color w:val="FF0000"/>
                <w:sz w:val="18"/>
                <w:szCs w:val="18"/>
              </w:rPr>
              <w:t xml:space="preserve">potential evapotranspiration </w:t>
            </w:r>
            <w:r w:rsidRPr="00B45097">
              <w:rPr>
                <w:rFonts w:asciiTheme="minorHAnsi" w:hAnsiTheme="minorHAnsi" w:cstheme="minorHAnsi"/>
                <w:color w:val="313E37"/>
                <w:sz w:val="18"/>
                <w:szCs w:val="18"/>
              </w:rPr>
              <w:t xml:space="preserve">relative to the 1986–2005 baseline period strongly indicate an increase of evaporation in all seasons. Projected increases in 2030 under all RCPS are about 1 to 7 % (3 to 13 % for winter). By 2090, the increases are about 1 to 10 % (about 7 to 20 % for winter) for RCP4.5 and 1 to 20 % (about 15 to 40 % for winter) for RCP8.5. In absolute terms, the largest increases in evaporation are found in summer and autumn, with smaller increases in winter and spring. Although there is </w:t>
            </w:r>
            <w:r w:rsidRPr="00B45097">
              <w:rPr>
                <w:rFonts w:asciiTheme="minorHAnsi" w:hAnsiTheme="minorHAnsi" w:cstheme="minorHAnsi"/>
                <w:i/>
                <w:iCs/>
                <w:color w:val="313E37"/>
                <w:sz w:val="18"/>
                <w:szCs w:val="18"/>
              </w:rPr>
              <w:t>high confidence</w:t>
            </w:r>
            <w:r w:rsidRPr="00B45097">
              <w:rPr>
                <w:rFonts w:asciiTheme="minorHAnsi" w:hAnsiTheme="minorHAnsi" w:cstheme="minorHAnsi"/>
                <w:color w:val="313E37"/>
                <w:sz w:val="18"/>
                <w:szCs w:val="18"/>
              </w:rPr>
              <w:t xml:space="preserve"> in an increase, there is only </w:t>
            </w:r>
            <w:r w:rsidRPr="00B45097">
              <w:rPr>
                <w:rFonts w:asciiTheme="minorHAnsi" w:hAnsiTheme="minorHAnsi" w:cstheme="minorHAnsi"/>
                <w:i/>
                <w:iCs/>
                <w:color w:val="313E37"/>
                <w:sz w:val="18"/>
                <w:szCs w:val="18"/>
              </w:rPr>
              <w:t>medium confidence</w:t>
            </w:r>
            <w:r w:rsidRPr="00B45097">
              <w:rPr>
                <w:rFonts w:asciiTheme="minorHAnsi" w:hAnsiTheme="minorHAnsi" w:cstheme="minorHAnsi"/>
                <w:color w:val="313E37"/>
                <w:sz w:val="18"/>
                <w:szCs w:val="18"/>
              </w:rPr>
              <w:t xml:space="preserve"> in the magnitude of this change   </w:t>
            </w:r>
          </w:p>
          <w:p w14:paraId="592CC118" w14:textId="31D78AAC" w:rsidR="00B45097" w:rsidRDefault="00B45097" w:rsidP="009250B8">
            <w:pPr>
              <w:numPr>
                <w:ilvl w:val="0"/>
                <w:numId w:val="17"/>
              </w:numPr>
              <w:tabs>
                <w:tab w:val="clear" w:pos="720"/>
              </w:tabs>
              <w:ind w:left="315" w:right="136" w:hanging="284"/>
              <w:rPr>
                <w:rFonts w:asciiTheme="minorHAnsi" w:hAnsiTheme="minorHAnsi" w:cstheme="minorHAnsi"/>
                <w:color w:val="313E37"/>
                <w:sz w:val="18"/>
                <w:szCs w:val="18"/>
              </w:rPr>
            </w:pPr>
            <w:r>
              <w:rPr>
                <w:rFonts w:asciiTheme="minorHAnsi" w:hAnsiTheme="minorHAnsi" w:cstheme="minorHAnsi"/>
                <w:color w:val="313E37"/>
                <w:sz w:val="18"/>
                <w:szCs w:val="18"/>
              </w:rPr>
              <w:t>T</w:t>
            </w:r>
            <w:r w:rsidRPr="00B45097">
              <w:rPr>
                <w:rFonts w:asciiTheme="minorHAnsi" w:hAnsiTheme="minorHAnsi" w:cstheme="minorHAnsi"/>
                <w:color w:val="313E37"/>
                <w:sz w:val="18"/>
                <w:szCs w:val="18"/>
              </w:rPr>
              <w:t xml:space="preserve">he magnitudes of the projected decreases in </w:t>
            </w:r>
            <w:r w:rsidRPr="00B45097">
              <w:rPr>
                <w:rFonts w:asciiTheme="minorHAnsi" w:hAnsiTheme="minorHAnsi" w:cstheme="minorHAnsi"/>
                <w:color w:val="FF0000"/>
                <w:sz w:val="18"/>
                <w:szCs w:val="18"/>
              </w:rPr>
              <w:t xml:space="preserve">relative humidity </w:t>
            </w:r>
            <w:r w:rsidRPr="00B45097">
              <w:rPr>
                <w:rFonts w:asciiTheme="minorHAnsi" w:hAnsiTheme="minorHAnsi" w:cstheme="minorHAnsi"/>
                <w:color w:val="313E37"/>
                <w:sz w:val="18"/>
                <w:szCs w:val="18"/>
              </w:rPr>
              <w:t>depend on the emission scenario and are modulated by the direction of the rainfall projections</w:t>
            </w:r>
            <w:r>
              <w:rPr>
                <w:rFonts w:asciiTheme="minorHAnsi" w:hAnsiTheme="minorHAnsi" w:cstheme="minorHAnsi"/>
                <w:color w:val="313E37"/>
                <w:sz w:val="18"/>
                <w:szCs w:val="18"/>
              </w:rPr>
              <w:t>.</w:t>
            </w:r>
            <w:r w:rsidRPr="00B45097">
              <w:rPr>
                <w:rFonts w:asciiTheme="minorHAnsi" w:hAnsiTheme="minorHAnsi" w:cstheme="minorHAnsi"/>
                <w:color w:val="313E37"/>
                <w:sz w:val="18"/>
                <w:szCs w:val="18"/>
              </w:rPr>
              <w:t xml:space="preserve"> By 2030, decreases are up to 4 %, but by 2090 under RCP8.5 can reach double that, particularly in winter and spring. There are, however, models that simulate increases in relative humidity, as evident by large positive 90th percentile values. Climate models have a reasonable ability to simulate the climatology of global humidity, and we conclude that for summer and autumn there is </w:t>
            </w:r>
            <w:r w:rsidRPr="00B45097">
              <w:rPr>
                <w:rFonts w:asciiTheme="minorHAnsi" w:hAnsiTheme="minorHAnsi" w:cstheme="minorHAnsi"/>
                <w:i/>
                <w:iCs/>
                <w:color w:val="313E37"/>
                <w:sz w:val="18"/>
                <w:szCs w:val="18"/>
              </w:rPr>
              <w:t>medium confidence</w:t>
            </w:r>
            <w:r w:rsidRPr="00B45097">
              <w:rPr>
                <w:rFonts w:asciiTheme="minorHAnsi" w:hAnsiTheme="minorHAnsi" w:cstheme="minorHAnsi"/>
                <w:color w:val="313E37"/>
                <w:sz w:val="18"/>
                <w:szCs w:val="18"/>
              </w:rPr>
              <w:t xml:space="preserve"> in decrease, while for winter and spring there is </w:t>
            </w:r>
            <w:r w:rsidRPr="00B45097">
              <w:rPr>
                <w:rFonts w:asciiTheme="minorHAnsi" w:hAnsiTheme="minorHAnsi" w:cstheme="minorHAnsi"/>
                <w:i/>
                <w:iCs/>
                <w:color w:val="313E37"/>
                <w:sz w:val="18"/>
                <w:szCs w:val="18"/>
              </w:rPr>
              <w:t>high confidence</w:t>
            </w:r>
            <w:r w:rsidRPr="00B45097">
              <w:rPr>
                <w:rFonts w:asciiTheme="minorHAnsi" w:hAnsiTheme="minorHAnsi" w:cstheme="minorHAnsi"/>
                <w:color w:val="313E37"/>
                <w:sz w:val="18"/>
                <w:szCs w:val="18"/>
              </w:rPr>
              <w:t xml:space="preserve"> for substantial decrease.  </w:t>
            </w:r>
          </w:p>
          <w:p w14:paraId="1ABE594B" w14:textId="72565B31" w:rsidR="003959DD" w:rsidRDefault="00B45097" w:rsidP="009250B8">
            <w:pPr>
              <w:numPr>
                <w:ilvl w:val="0"/>
                <w:numId w:val="17"/>
              </w:numPr>
              <w:tabs>
                <w:tab w:val="clear" w:pos="720"/>
              </w:tabs>
              <w:ind w:left="315" w:right="136" w:hanging="284"/>
              <w:rPr>
                <w:rFonts w:asciiTheme="minorHAnsi" w:hAnsiTheme="minorHAnsi" w:cstheme="minorHAnsi"/>
                <w:color w:val="313E37"/>
                <w:sz w:val="18"/>
                <w:szCs w:val="18"/>
              </w:rPr>
            </w:pPr>
            <w:r w:rsidRPr="00B45097">
              <w:rPr>
                <w:rFonts w:asciiTheme="minorHAnsi" w:hAnsiTheme="minorHAnsi" w:cstheme="minorHAnsi"/>
                <w:color w:val="313E37"/>
                <w:sz w:val="18"/>
                <w:szCs w:val="18"/>
              </w:rPr>
              <w:t xml:space="preserve">Decreases </w:t>
            </w:r>
            <w:r>
              <w:rPr>
                <w:rFonts w:asciiTheme="minorHAnsi" w:hAnsiTheme="minorHAnsi" w:cstheme="minorHAnsi"/>
                <w:color w:val="313E37"/>
                <w:sz w:val="18"/>
                <w:szCs w:val="18"/>
              </w:rPr>
              <w:t xml:space="preserve">in </w:t>
            </w:r>
            <w:r w:rsidRPr="00C026E1">
              <w:rPr>
                <w:rFonts w:asciiTheme="minorHAnsi" w:hAnsiTheme="minorHAnsi" w:cstheme="minorHAnsi"/>
                <w:color w:val="FF0000"/>
                <w:sz w:val="18"/>
                <w:szCs w:val="18"/>
              </w:rPr>
              <w:t>soil moisture</w:t>
            </w:r>
            <w:r>
              <w:rPr>
                <w:rFonts w:asciiTheme="minorHAnsi" w:hAnsiTheme="minorHAnsi" w:cstheme="minorHAnsi"/>
                <w:color w:val="313E37"/>
                <w:sz w:val="18"/>
                <w:szCs w:val="18"/>
              </w:rPr>
              <w:t xml:space="preserve"> </w:t>
            </w:r>
            <w:r w:rsidRPr="00B45097">
              <w:rPr>
                <w:rFonts w:asciiTheme="minorHAnsi" w:hAnsiTheme="minorHAnsi" w:cstheme="minorHAnsi"/>
                <w:color w:val="313E37"/>
                <w:sz w:val="18"/>
                <w:szCs w:val="18"/>
              </w:rPr>
              <w:t xml:space="preserve">predominate, particularly in winter and spring. The annual-mean changes for the high emission scenario range from around −10 to -1 %. Consistent with the directly simulated surface moisture, the percentage changes in soil moisture are strongly influenced by those in </w:t>
            </w:r>
            <w:r>
              <w:rPr>
                <w:rFonts w:asciiTheme="minorHAnsi" w:hAnsiTheme="minorHAnsi" w:cstheme="minorHAnsi"/>
                <w:color w:val="313E37"/>
                <w:sz w:val="18"/>
                <w:szCs w:val="18"/>
              </w:rPr>
              <w:t>r</w:t>
            </w:r>
            <w:r w:rsidRPr="00B45097">
              <w:rPr>
                <w:rFonts w:asciiTheme="minorHAnsi" w:hAnsiTheme="minorHAnsi" w:cstheme="minorHAnsi"/>
                <w:color w:val="313E37"/>
                <w:sz w:val="18"/>
                <w:szCs w:val="18"/>
              </w:rPr>
              <w:t xml:space="preserve">ainfall, but tend to be more negative due to the increase in potential evapotranspiration. Given the potential limitations of each method, there is </w:t>
            </w:r>
            <w:r w:rsidRPr="00B45097">
              <w:rPr>
                <w:rFonts w:asciiTheme="minorHAnsi" w:hAnsiTheme="minorHAnsi" w:cstheme="minorHAnsi"/>
                <w:i/>
                <w:iCs/>
                <w:color w:val="313E37"/>
                <w:sz w:val="18"/>
                <w:szCs w:val="18"/>
              </w:rPr>
              <w:t>medium confidence</w:t>
            </w:r>
            <w:r w:rsidRPr="00B45097">
              <w:rPr>
                <w:rFonts w:asciiTheme="minorHAnsi" w:hAnsiTheme="minorHAnsi" w:cstheme="minorHAnsi"/>
                <w:color w:val="313E37"/>
                <w:sz w:val="18"/>
                <w:szCs w:val="18"/>
              </w:rPr>
              <w:t xml:space="preserve"> that soil moisture will decline</w:t>
            </w:r>
            <w:r>
              <w:rPr>
                <w:rFonts w:asciiTheme="minorHAnsi" w:hAnsiTheme="minorHAnsi" w:cstheme="minorHAnsi"/>
                <w:color w:val="313E37"/>
                <w:sz w:val="18"/>
                <w:szCs w:val="18"/>
              </w:rPr>
              <w:t>.</w:t>
            </w:r>
            <w:r w:rsidRPr="00B45097">
              <w:rPr>
                <w:rFonts w:asciiTheme="minorHAnsi" w:hAnsiTheme="minorHAnsi" w:cstheme="minorHAnsi"/>
                <w:color w:val="313E37"/>
                <w:sz w:val="18"/>
                <w:szCs w:val="18"/>
              </w:rPr>
              <w:t xml:space="preserve">  </w:t>
            </w:r>
          </w:p>
          <w:p w14:paraId="75F568F3" w14:textId="653AACA2" w:rsidR="00B45097" w:rsidRPr="00C026E1" w:rsidRDefault="00B45097" w:rsidP="009250B8">
            <w:pPr>
              <w:numPr>
                <w:ilvl w:val="0"/>
                <w:numId w:val="17"/>
              </w:numPr>
              <w:tabs>
                <w:tab w:val="clear" w:pos="720"/>
              </w:tabs>
              <w:ind w:left="315" w:right="136" w:hanging="284"/>
              <w:rPr>
                <w:rFonts w:asciiTheme="minorHAnsi" w:hAnsiTheme="minorHAnsi" w:cstheme="minorHAnsi"/>
                <w:color w:val="313E37"/>
                <w:sz w:val="18"/>
                <w:szCs w:val="18"/>
              </w:rPr>
            </w:pPr>
            <w:r w:rsidRPr="00B45097">
              <w:rPr>
                <w:rFonts w:asciiTheme="minorHAnsi" w:hAnsiTheme="minorHAnsi" w:cstheme="minorHAnsi"/>
                <w:color w:val="313E37"/>
                <w:sz w:val="18"/>
                <w:szCs w:val="18"/>
              </w:rPr>
              <w:t xml:space="preserve">The median change </w:t>
            </w:r>
            <w:r>
              <w:rPr>
                <w:rFonts w:asciiTheme="minorHAnsi" w:hAnsiTheme="minorHAnsi" w:cstheme="minorHAnsi"/>
                <w:color w:val="313E37"/>
                <w:sz w:val="18"/>
                <w:szCs w:val="18"/>
              </w:rPr>
              <w:t xml:space="preserve">in </w:t>
            </w:r>
            <w:r w:rsidRPr="00B45097">
              <w:rPr>
                <w:rFonts w:asciiTheme="minorHAnsi" w:hAnsiTheme="minorHAnsi" w:cstheme="minorHAnsi"/>
                <w:color w:val="FF0000"/>
                <w:sz w:val="18"/>
                <w:szCs w:val="18"/>
              </w:rPr>
              <w:t>runoff</w:t>
            </w:r>
            <w:r>
              <w:rPr>
                <w:rFonts w:asciiTheme="minorHAnsi" w:hAnsiTheme="minorHAnsi" w:cstheme="minorHAnsi"/>
                <w:color w:val="313E37"/>
                <w:sz w:val="18"/>
                <w:szCs w:val="18"/>
              </w:rPr>
              <w:t xml:space="preserve"> </w:t>
            </w:r>
            <w:r w:rsidRPr="00B45097">
              <w:rPr>
                <w:rFonts w:asciiTheme="minorHAnsi" w:hAnsiTheme="minorHAnsi" w:cstheme="minorHAnsi"/>
                <w:color w:val="313E37"/>
                <w:sz w:val="18"/>
                <w:szCs w:val="18"/>
              </w:rPr>
              <w:t xml:space="preserve">for 2090 under RCP8.5 is a decrease of about 20 %, with the majority of models giving a decrease. There is </w:t>
            </w:r>
            <w:r w:rsidRPr="00D55261">
              <w:rPr>
                <w:rFonts w:asciiTheme="minorHAnsi" w:hAnsiTheme="minorHAnsi" w:cstheme="minorHAnsi"/>
                <w:i/>
                <w:iCs/>
                <w:color w:val="313E37"/>
                <w:sz w:val="18"/>
                <w:szCs w:val="18"/>
              </w:rPr>
              <w:t>low confidence</w:t>
            </w:r>
            <w:r w:rsidRPr="00B45097">
              <w:rPr>
                <w:rFonts w:asciiTheme="minorHAnsi" w:hAnsiTheme="minorHAnsi" w:cstheme="minorHAnsi"/>
                <w:color w:val="313E37"/>
                <w:sz w:val="18"/>
                <w:szCs w:val="18"/>
              </w:rPr>
              <w:t xml:space="preserve"> in these projections because the method used is not able to consider changes to rainfall intensity, seasonality and changes in vegetation characteristics</w:t>
            </w:r>
            <w:r w:rsidR="00D55261">
              <w:rPr>
                <w:rFonts w:asciiTheme="minorHAnsi" w:hAnsiTheme="minorHAnsi" w:cstheme="minorHAnsi"/>
                <w:color w:val="313E37"/>
                <w:sz w:val="18"/>
                <w:szCs w:val="18"/>
              </w:rPr>
              <w:t>.</w:t>
            </w:r>
            <w:r w:rsidRPr="00B45097">
              <w:rPr>
                <w:rFonts w:asciiTheme="minorHAnsi" w:hAnsiTheme="minorHAnsi" w:cstheme="minorHAnsi"/>
                <w:color w:val="313E37"/>
                <w:sz w:val="18"/>
                <w:szCs w:val="18"/>
              </w:rPr>
              <w:t xml:space="preserve"> </w:t>
            </w:r>
          </w:p>
          <w:p w14:paraId="3365F801" w14:textId="171308B2" w:rsidR="00D55261" w:rsidRDefault="00D55261" w:rsidP="009250B8">
            <w:pPr>
              <w:numPr>
                <w:ilvl w:val="0"/>
                <w:numId w:val="17"/>
              </w:numPr>
              <w:ind w:left="315" w:right="136" w:hanging="315"/>
              <w:rPr>
                <w:rFonts w:asciiTheme="minorHAnsi" w:hAnsiTheme="minorHAnsi" w:cstheme="minorHAnsi"/>
                <w:color w:val="313E37"/>
                <w:sz w:val="18"/>
                <w:szCs w:val="18"/>
              </w:rPr>
            </w:pPr>
            <w:r w:rsidRPr="00D55261">
              <w:rPr>
                <w:rFonts w:asciiTheme="minorHAnsi" w:hAnsiTheme="minorHAnsi" w:cstheme="minorHAnsi"/>
                <w:color w:val="313E37"/>
                <w:sz w:val="18"/>
                <w:szCs w:val="18"/>
              </w:rPr>
              <w:t xml:space="preserve">By 2030, the CMIP5 models simulate little change in </w:t>
            </w:r>
            <w:r w:rsidRPr="00D55261">
              <w:rPr>
                <w:rFonts w:asciiTheme="minorHAnsi" w:hAnsiTheme="minorHAnsi" w:cstheme="minorHAnsi"/>
                <w:color w:val="FF0000"/>
                <w:sz w:val="18"/>
                <w:szCs w:val="18"/>
              </w:rPr>
              <w:t>solar radiation</w:t>
            </w:r>
            <w:r w:rsidRPr="00D55261">
              <w:rPr>
                <w:rFonts w:asciiTheme="minorHAnsi" w:hAnsiTheme="minorHAnsi" w:cstheme="minorHAnsi"/>
                <w:color w:val="313E37"/>
                <w:sz w:val="18"/>
                <w:szCs w:val="18"/>
              </w:rPr>
              <w:t xml:space="preserve"> (less </w:t>
            </w:r>
            <w:r w:rsidR="00187AAD" w:rsidRPr="00D55261">
              <w:rPr>
                <w:rFonts w:asciiTheme="minorHAnsi" w:hAnsiTheme="minorHAnsi" w:cstheme="minorHAnsi"/>
                <w:color w:val="313E37"/>
                <w:sz w:val="18"/>
                <w:szCs w:val="18"/>
              </w:rPr>
              <w:t>than</w:t>
            </w:r>
            <w:r w:rsidRPr="00D55261">
              <w:rPr>
                <w:rFonts w:asciiTheme="minorHAnsi" w:hAnsiTheme="minorHAnsi" w:cstheme="minorHAnsi"/>
                <w:color w:val="313E37"/>
                <w:sz w:val="18"/>
                <w:szCs w:val="18"/>
              </w:rPr>
              <w:t xml:space="preserve"> 5 %) for both RCP4.5 and RCP8.5</w:t>
            </w:r>
            <w:r>
              <w:rPr>
                <w:rFonts w:asciiTheme="minorHAnsi" w:hAnsiTheme="minorHAnsi" w:cstheme="minorHAnsi"/>
                <w:color w:val="313E37"/>
                <w:sz w:val="18"/>
                <w:szCs w:val="18"/>
              </w:rPr>
              <w:t>.</w:t>
            </w:r>
            <w:r w:rsidRPr="00D55261">
              <w:rPr>
                <w:rFonts w:asciiTheme="minorHAnsi" w:hAnsiTheme="minorHAnsi" w:cstheme="minorHAnsi"/>
                <w:color w:val="313E37"/>
                <w:sz w:val="18"/>
                <w:szCs w:val="18"/>
              </w:rPr>
              <w:t xml:space="preserve"> By 2090, there is high model agreement for a substantial increase of 7 and 15 % respectively for RCP4.5 and RCP8.5 </w:t>
            </w:r>
            <w:r w:rsidR="00187AAD" w:rsidRPr="00D55261">
              <w:rPr>
                <w:rFonts w:asciiTheme="minorHAnsi" w:hAnsiTheme="minorHAnsi" w:cstheme="minorHAnsi"/>
                <w:color w:val="313E37"/>
                <w:sz w:val="18"/>
                <w:szCs w:val="18"/>
              </w:rPr>
              <w:t>in winter</w:t>
            </w:r>
            <w:r w:rsidRPr="00D55261">
              <w:rPr>
                <w:rFonts w:asciiTheme="minorHAnsi" w:hAnsiTheme="minorHAnsi" w:cstheme="minorHAnsi"/>
                <w:color w:val="313E37"/>
                <w:sz w:val="18"/>
                <w:szCs w:val="18"/>
              </w:rPr>
              <w:t xml:space="preserve"> and about half that in spring. Projected changes in summer and autumn are smaller with models showing both increases and decreases</w:t>
            </w:r>
            <w:r>
              <w:rPr>
                <w:rFonts w:asciiTheme="minorHAnsi" w:hAnsiTheme="minorHAnsi" w:cstheme="minorHAnsi"/>
                <w:color w:val="313E37"/>
                <w:sz w:val="18"/>
                <w:szCs w:val="18"/>
              </w:rPr>
              <w:t>.</w:t>
            </w:r>
          </w:p>
          <w:p w14:paraId="1D5A8D7E" w14:textId="5363B6BB" w:rsidR="003959DD" w:rsidRPr="00C026E1" w:rsidRDefault="003959DD" w:rsidP="009250B8">
            <w:pPr>
              <w:numPr>
                <w:ilvl w:val="0"/>
                <w:numId w:val="17"/>
              </w:numPr>
              <w:ind w:left="315" w:right="136" w:hanging="315"/>
              <w:rPr>
                <w:rFonts w:asciiTheme="minorHAnsi" w:hAnsiTheme="minorHAnsi" w:cstheme="minorHAnsi"/>
                <w:color w:val="313E37"/>
                <w:sz w:val="18"/>
                <w:szCs w:val="18"/>
              </w:rPr>
            </w:pPr>
            <w:r w:rsidRPr="00C026E1">
              <w:rPr>
                <w:rFonts w:asciiTheme="minorHAnsi" w:hAnsiTheme="minorHAnsi" w:cstheme="minorHAnsi"/>
                <w:color w:val="313E37"/>
                <w:sz w:val="18"/>
                <w:szCs w:val="18"/>
              </w:rPr>
              <w:t xml:space="preserve">There is high confidence that climate change will result in a harsher </w:t>
            </w:r>
            <w:r w:rsidRPr="00C026E1">
              <w:rPr>
                <w:rFonts w:asciiTheme="minorHAnsi" w:hAnsiTheme="minorHAnsi" w:cstheme="minorHAnsi"/>
                <w:color w:val="FF0000"/>
                <w:sz w:val="18"/>
                <w:szCs w:val="18"/>
              </w:rPr>
              <w:t>fire</w:t>
            </w:r>
            <w:r w:rsidRPr="00C026E1">
              <w:rPr>
                <w:rFonts w:asciiTheme="minorHAnsi" w:hAnsiTheme="minorHAnsi" w:cstheme="minorHAnsi"/>
                <w:color w:val="313E37"/>
                <w:sz w:val="18"/>
                <w:szCs w:val="18"/>
              </w:rPr>
              <w:t>-weather climate in the future. However, there is low confidence in the magnitude of the change as this is strongly dependent on the rainfall projection.</w:t>
            </w:r>
          </w:p>
          <w:p w14:paraId="05BF892E" w14:textId="77777777" w:rsidR="00D55261" w:rsidRDefault="00D55261" w:rsidP="00C026E1">
            <w:pPr>
              <w:ind w:right="136"/>
              <w:rPr>
                <w:rFonts w:asciiTheme="minorHAnsi" w:hAnsiTheme="minorHAnsi" w:cstheme="minorHAnsi"/>
                <w:color w:val="313E37"/>
                <w:sz w:val="20"/>
                <w:szCs w:val="20"/>
              </w:rPr>
            </w:pPr>
          </w:p>
          <w:p w14:paraId="41911FE2" w14:textId="0F0357FF" w:rsidR="003959DD" w:rsidRDefault="003959DD" w:rsidP="00C026E1">
            <w:pPr>
              <w:ind w:right="136"/>
              <w:rPr>
                <w:rFonts w:asciiTheme="minorHAnsi" w:hAnsiTheme="minorHAnsi" w:cstheme="minorHAnsi"/>
                <w:color w:val="313E37"/>
                <w:sz w:val="20"/>
                <w:szCs w:val="20"/>
              </w:rPr>
            </w:pPr>
            <w:r w:rsidRPr="00C026E1">
              <w:rPr>
                <w:rFonts w:asciiTheme="minorHAnsi" w:hAnsiTheme="minorHAnsi" w:cstheme="minorHAnsi"/>
                <w:color w:val="313E37"/>
                <w:sz w:val="20"/>
                <w:szCs w:val="20"/>
              </w:rPr>
              <w:t xml:space="preserve">   Annual temperature</w:t>
            </w:r>
            <w:r w:rsidRPr="00C026E1">
              <w:rPr>
                <w:rFonts w:asciiTheme="minorHAnsi" w:hAnsiTheme="minorHAnsi" w:cstheme="minorHAnsi"/>
                <w:color w:val="313E37"/>
                <w:sz w:val="20"/>
                <w:szCs w:val="20"/>
              </w:rPr>
              <w:tab/>
              <w:t>Annual rainfall</w:t>
            </w:r>
          </w:p>
          <w:p w14:paraId="778102E1" w14:textId="2016DDA4" w:rsidR="003959DD" w:rsidRPr="00C026E1" w:rsidRDefault="003959DD" w:rsidP="00C026E1">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sidR="00D55261">
              <w:rPr>
                <w:noProof/>
              </w:rPr>
              <w:drawing>
                <wp:inline distT="0" distB="0" distL="0" distR="0" wp14:anchorId="6D44A085" wp14:editId="0BE52747">
                  <wp:extent cx="993989" cy="648393"/>
                  <wp:effectExtent l="0" t="0" r="0" b="0"/>
                  <wp:docPr id="17177306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02">
                            <a:extLst>
                              <a:ext uri="{28A0092B-C50C-407E-A947-70E740481C1C}">
                                <a14:useLocalDpi xmlns:a14="http://schemas.microsoft.com/office/drawing/2010/main" val="0"/>
                              </a:ext>
                            </a:extLst>
                          </a:blip>
                          <a:stretch>
                            <a:fillRect/>
                          </a:stretch>
                        </pic:blipFill>
                        <pic:spPr>
                          <a:xfrm>
                            <a:off x="0" y="0"/>
                            <a:ext cx="993989" cy="648393"/>
                          </a:xfrm>
                          <a:prstGeom prst="rect">
                            <a:avLst/>
                          </a:prstGeom>
                        </pic:spPr>
                      </pic:pic>
                    </a:graphicData>
                  </a:graphic>
                </wp:inline>
              </w:drawing>
            </w:r>
            <w:r w:rsidRPr="1F802AF8">
              <w:rPr>
                <w:rFonts w:asciiTheme="minorHAnsi" w:hAnsiTheme="minorHAnsi" w:cstheme="minorBidi"/>
                <w:color w:val="313E37"/>
                <w:sz w:val="20"/>
                <w:szCs w:val="20"/>
              </w:rPr>
              <w:t xml:space="preserve">    </w:t>
            </w:r>
            <w:r w:rsidR="00D55261">
              <w:rPr>
                <w:noProof/>
              </w:rPr>
              <w:drawing>
                <wp:inline distT="0" distB="0" distL="0" distR="0" wp14:anchorId="28419A52" wp14:editId="712090A7">
                  <wp:extent cx="894562" cy="587433"/>
                  <wp:effectExtent l="0" t="0" r="1270" b="3175"/>
                  <wp:docPr id="21095451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03">
                            <a:extLst>
                              <a:ext uri="{28A0092B-C50C-407E-A947-70E740481C1C}">
                                <a14:useLocalDpi xmlns:a14="http://schemas.microsoft.com/office/drawing/2010/main" val="0"/>
                              </a:ext>
                            </a:extLst>
                          </a:blip>
                          <a:stretch>
                            <a:fillRect/>
                          </a:stretch>
                        </pic:blipFill>
                        <pic:spPr>
                          <a:xfrm>
                            <a:off x="0" y="0"/>
                            <a:ext cx="894562" cy="587433"/>
                          </a:xfrm>
                          <a:prstGeom prst="rect">
                            <a:avLst/>
                          </a:prstGeom>
                        </pic:spPr>
                      </pic:pic>
                    </a:graphicData>
                  </a:graphic>
                </wp:inline>
              </w:drawing>
            </w:r>
          </w:p>
          <w:p w14:paraId="2B587384" w14:textId="77777777" w:rsidR="003959DD" w:rsidRPr="00C026E1" w:rsidRDefault="003959DD" w:rsidP="00C026E1">
            <w:pPr>
              <w:ind w:right="136"/>
              <w:rPr>
                <w:rFonts w:asciiTheme="minorHAnsi" w:hAnsiTheme="minorHAnsi" w:cstheme="minorHAnsi"/>
                <w:color w:val="313E37"/>
                <w:sz w:val="20"/>
                <w:szCs w:val="20"/>
              </w:rPr>
            </w:pPr>
          </w:p>
        </w:tc>
      </w:tr>
      <w:tr w:rsidR="00AB27B1" w14:paraId="1AA3BD46" w14:textId="77777777" w:rsidTr="1F802AF8">
        <w:trPr>
          <w:trHeight w:val="329"/>
        </w:trPr>
        <w:tc>
          <w:tcPr>
            <w:tcW w:w="9628" w:type="dxa"/>
            <w:gridSpan w:val="2"/>
          </w:tcPr>
          <w:p w14:paraId="658AD895" w14:textId="65D46822" w:rsidR="00AB27B1" w:rsidRPr="00EF238F" w:rsidRDefault="00255F20" w:rsidP="00802F49">
            <w:pPr>
              <w:pStyle w:val="BodyText"/>
              <w:rPr>
                <w:b/>
                <w:bCs/>
                <w:sz w:val="20"/>
              </w:rPr>
            </w:pPr>
            <w:r>
              <w:rPr>
                <w:b/>
                <w:bCs/>
                <w:sz w:val="20"/>
              </w:rPr>
              <w:lastRenderedPageBreak/>
              <w:t>Southern Slopes Victoria West</w:t>
            </w:r>
          </w:p>
        </w:tc>
      </w:tr>
      <w:tr w:rsidR="00255F20" w14:paraId="1CB52D81" w14:textId="77777777" w:rsidTr="1F802AF8">
        <w:trPr>
          <w:trHeight w:val="1815"/>
        </w:trPr>
        <w:tc>
          <w:tcPr>
            <w:tcW w:w="2263" w:type="dxa"/>
          </w:tcPr>
          <w:p w14:paraId="16A0E48C" w14:textId="6A2E85F0" w:rsidR="00AB27B1" w:rsidRDefault="00255F20" w:rsidP="00802F49">
            <w:pPr>
              <w:pStyle w:val="BodyText"/>
            </w:pPr>
            <w:r>
              <w:rPr>
                <w:noProof/>
              </w:rPr>
              <w:drawing>
                <wp:inline distT="0" distB="0" distL="0" distR="0" wp14:anchorId="15D53057" wp14:editId="095A49E9">
                  <wp:extent cx="1169377" cy="985198"/>
                  <wp:effectExtent l="0" t="0" r="0" b="5715"/>
                  <wp:docPr id="798115591" name="Picture 136324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88"/>
                          <pic:cNvPicPr/>
                        </pic:nvPicPr>
                        <pic:blipFill>
                          <a:blip r:embed="rId304">
                            <a:extLst>
                              <a:ext uri="{28A0092B-C50C-407E-A947-70E740481C1C}">
                                <a14:useLocalDpi xmlns:a14="http://schemas.microsoft.com/office/drawing/2010/main" val="0"/>
                              </a:ext>
                            </a:extLst>
                          </a:blip>
                          <a:stretch>
                            <a:fillRect/>
                          </a:stretch>
                        </pic:blipFill>
                        <pic:spPr>
                          <a:xfrm>
                            <a:off x="0" y="0"/>
                            <a:ext cx="1169377" cy="985198"/>
                          </a:xfrm>
                          <a:prstGeom prst="rect">
                            <a:avLst/>
                          </a:prstGeom>
                        </pic:spPr>
                      </pic:pic>
                    </a:graphicData>
                  </a:graphic>
                </wp:inline>
              </w:drawing>
            </w:r>
          </w:p>
        </w:tc>
        <w:tc>
          <w:tcPr>
            <w:tcW w:w="7365" w:type="dxa"/>
          </w:tcPr>
          <w:p w14:paraId="356C9897" w14:textId="77777777" w:rsidR="00AB27B1" w:rsidRDefault="00AB27B1"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0C53E0FC" w14:textId="39D20778" w:rsidR="00255F20" w:rsidRPr="00255F20" w:rsidRDefault="00255F20" w:rsidP="00255F20">
            <w:pPr>
              <w:pStyle w:val="BodyText"/>
              <w:spacing w:before="0" w:after="0" w:line="240" w:lineRule="auto"/>
              <w:rPr>
                <w:sz w:val="20"/>
              </w:rPr>
            </w:pPr>
            <w:r w:rsidRPr="00255F20">
              <w:rPr>
                <w:sz w:val="20"/>
              </w:rPr>
              <w:t>Management of agricultural soils</w:t>
            </w:r>
            <w:r w:rsidRPr="00255F20">
              <w:rPr>
                <w:sz w:val="20"/>
              </w:rPr>
              <w:tab/>
            </w:r>
            <w:r>
              <w:rPr>
                <w:sz w:val="20"/>
              </w:rPr>
              <w:tab/>
            </w:r>
            <w:r w:rsidRPr="00255F20">
              <w:rPr>
                <w:sz w:val="20"/>
              </w:rPr>
              <w:t>8</w:t>
            </w:r>
            <w:r>
              <w:rPr>
                <w:sz w:val="20"/>
              </w:rPr>
              <w:tab/>
            </w:r>
            <w:r w:rsidRPr="00255F20">
              <w:rPr>
                <w:sz w:val="20"/>
              </w:rPr>
              <w:tab/>
              <w:t xml:space="preserve"> 6,736 </w:t>
            </w:r>
          </w:p>
          <w:p w14:paraId="6F8A0380" w14:textId="48B56E52" w:rsidR="00AB27B1" w:rsidRPr="0054376E" w:rsidRDefault="00255F20" w:rsidP="00255F20">
            <w:pPr>
              <w:pStyle w:val="BodyText"/>
              <w:spacing w:before="0" w:after="0" w:line="240" w:lineRule="auto"/>
              <w:rPr>
                <w:sz w:val="20"/>
              </w:rPr>
            </w:pPr>
            <w:r w:rsidRPr="00255F20">
              <w:rPr>
                <w:sz w:val="20"/>
              </w:rPr>
              <w:t>Planting of new forests</w:t>
            </w:r>
            <w:r w:rsidRPr="00255F20">
              <w:rPr>
                <w:sz w:val="20"/>
              </w:rPr>
              <w:tab/>
            </w:r>
            <w:r>
              <w:rPr>
                <w:sz w:val="20"/>
              </w:rPr>
              <w:tab/>
            </w:r>
            <w:r>
              <w:rPr>
                <w:sz w:val="20"/>
              </w:rPr>
              <w:tab/>
            </w:r>
            <w:r w:rsidRPr="00255F20">
              <w:rPr>
                <w:sz w:val="20"/>
              </w:rPr>
              <w:t>8</w:t>
            </w:r>
            <w:r w:rsidRPr="00255F20">
              <w:rPr>
                <w:sz w:val="20"/>
              </w:rPr>
              <w:tab/>
              <w:t xml:space="preserve"> </w:t>
            </w:r>
            <w:r>
              <w:rPr>
                <w:sz w:val="20"/>
              </w:rPr>
              <w:tab/>
            </w:r>
            <w:r w:rsidRPr="00255F20">
              <w:rPr>
                <w:sz w:val="20"/>
              </w:rPr>
              <w:t>11,722</w:t>
            </w:r>
          </w:p>
        </w:tc>
      </w:tr>
      <w:tr w:rsidR="00AB27B1" w14:paraId="48AE332E" w14:textId="77777777" w:rsidTr="1F802AF8">
        <w:tc>
          <w:tcPr>
            <w:tcW w:w="9628" w:type="dxa"/>
            <w:gridSpan w:val="2"/>
          </w:tcPr>
          <w:p w14:paraId="6D9F65D5" w14:textId="77777777" w:rsidR="00AB27B1" w:rsidRPr="00EF238F" w:rsidRDefault="00AB27B1"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1380F093" w14:textId="72F4A173" w:rsidR="00255F20" w:rsidRPr="003959DD" w:rsidRDefault="00255F20"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Average temperatures </w:t>
            </w:r>
            <w:r w:rsidRPr="003959DD">
              <w:rPr>
                <w:rFonts w:asciiTheme="minorHAnsi" w:hAnsiTheme="minorHAnsi" w:cstheme="minorHAnsi"/>
                <w:color w:val="313E37"/>
                <w:sz w:val="18"/>
                <w:szCs w:val="18"/>
              </w:rPr>
              <w:t>will continue to increase in all seasons (</w:t>
            </w:r>
            <w:r w:rsidRPr="003959DD">
              <w:rPr>
                <w:rFonts w:asciiTheme="minorHAnsi" w:hAnsiTheme="minorHAnsi" w:cstheme="minorHAnsi"/>
                <w:i/>
                <w:iCs/>
                <w:color w:val="313E37"/>
                <w:sz w:val="18"/>
                <w:szCs w:val="18"/>
              </w:rPr>
              <w:t>very high confidence</w:t>
            </w:r>
            <w:r w:rsidRPr="003959DD">
              <w:rPr>
                <w:rFonts w:asciiTheme="minorHAnsi" w:hAnsiTheme="minorHAnsi" w:cstheme="minorHAnsi"/>
                <w:color w:val="313E37"/>
                <w:sz w:val="18"/>
                <w:szCs w:val="18"/>
              </w:rPr>
              <w:t>).</w:t>
            </w:r>
            <w:r w:rsidR="003959DD" w:rsidRPr="003959DD">
              <w:rPr>
                <w:rFonts w:asciiTheme="minorHAnsi" w:hAnsiTheme="minorHAnsi" w:cstheme="minorHAnsi"/>
                <w:color w:val="313E37"/>
                <w:sz w:val="18"/>
                <w:szCs w:val="18"/>
              </w:rPr>
              <w:t xml:space="preserve"> For the near future (2030), the annually averaged warming across all emission scenarios is projected to be around 0.4 to 1.1 °C above the climate of 1986–2005. By late in the century (2090), for a high emission scenario (RCP8.5) the projected range of warming is 2.4 to 3.8°C. Under an intermediate scenario (RCP4.5) the projected warming is 1.1 to 1.9 °C.</w:t>
            </w:r>
          </w:p>
          <w:p w14:paraId="28E7501B" w14:textId="77777777" w:rsidR="003959DD" w:rsidRPr="003959DD"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Extreme temperatures </w:t>
            </w:r>
            <w:r w:rsidRPr="003959DD">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3959DD">
              <w:rPr>
                <w:rFonts w:asciiTheme="minorHAnsi" w:hAnsiTheme="minorHAnsi" w:cstheme="minorHAnsi"/>
                <w:i/>
                <w:iCs/>
                <w:color w:val="313E37"/>
                <w:sz w:val="18"/>
                <w:szCs w:val="18"/>
              </w:rPr>
              <w:t>very high confidence</w:t>
            </w:r>
            <w:r w:rsidRPr="003959DD">
              <w:rPr>
                <w:rFonts w:asciiTheme="minorHAnsi" w:hAnsiTheme="minorHAnsi" w:cstheme="minorHAnsi"/>
                <w:color w:val="313E37"/>
                <w:sz w:val="18"/>
                <w:szCs w:val="18"/>
              </w:rPr>
              <w:t>).</w:t>
            </w:r>
          </w:p>
          <w:p w14:paraId="4CF8DFB1" w14:textId="77777777" w:rsidR="003959DD" w:rsidRPr="003959DD"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Frost </w:t>
            </w:r>
            <w:r w:rsidRPr="003959DD">
              <w:rPr>
                <w:rFonts w:asciiTheme="minorHAnsi" w:hAnsiTheme="minorHAnsi" w:cstheme="minorHAnsi"/>
                <w:color w:val="313E37"/>
                <w:sz w:val="18"/>
                <w:szCs w:val="18"/>
              </w:rPr>
              <w:t>risk days (minimum temperatures under 2 °C) are expected to decrease across the cluster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w:t>
            </w:r>
          </w:p>
          <w:p w14:paraId="3291EBDB" w14:textId="7FACC43F" w:rsidR="00255F20" w:rsidRPr="003959DD"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bookmarkStart w:id="261" w:name="_Hlk46655009"/>
            <w:r w:rsidRPr="003959DD">
              <w:rPr>
                <w:rFonts w:asciiTheme="minorHAnsi" w:hAnsiTheme="minorHAnsi" w:cstheme="minorHAnsi"/>
                <w:color w:val="313E37"/>
                <w:sz w:val="18"/>
                <w:szCs w:val="18"/>
              </w:rPr>
              <w:t xml:space="preserve">In the near future (2030) natural variability in </w:t>
            </w:r>
            <w:r w:rsidRPr="003959DD">
              <w:rPr>
                <w:rFonts w:asciiTheme="minorHAnsi" w:hAnsiTheme="minorHAnsi" w:cstheme="minorHAnsi"/>
                <w:color w:val="FF0000"/>
                <w:sz w:val="18"/>
                <w:szCs w:val="18"/>
              </w:rPr>
              <w:t>rainfall</w:t>
            </w:r>
            <w:r w:rsidRPr="003959DD">
              <w:rPr>
                <w:rFonts w:asciiTheme="minorHAnsi" w:hAnsiTheme="minorHAnsi" w:cstheme="minorHAnsi"/>
                <w:color w:val="313E37"/>
                <w:sz w:val="18"/>
                <w:szCs w:val="18"/>
              </w:rPr>
              <w:t xml:space="preserve"> is projected to predominate over trends due to greenhouse gas emissions. Understanding of physical rainfall processes (southward shift of winter storm systems), supported by climate model results, indicate rainfall decreases for winter and spring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The projected decreases over Western Victoria are up to 25 per cent in winter and up to 45 per cent in spring by 2090 under high emissions. By the middle of the century, and under high emissions, winter and spring changes are projected to be evident against natural variability. Changes to summer and autumn rainfall are possible but not clear, although there is a tendency for decrease in western Victoria in autumn. Available fine-scale modelling provides further detail on possible spatial variation in rainfall response.</w:t>
            </w:r>
          </w:p>
          <w:p w14:paraId="49BD6693" w14:textId="77777777" w:rsidR="003959DD" w:rsidRDefault="003959DD" w:rsidP="009250B8">
            <w:pPr>
              <w:numPr>
                <w:ilvl w:val="0"/>
                <w:numId w:val="17"/>
              </w:numPr>
              <w:tabs>
                <w:tab w:val="clear" w:pos="720"/>
              </w:tabs>
              <w:ind w:left="315" w:right="136" w:hanging="284"/>
              <w:rPr>
                <w:rFonts w:asciiTheme="minorHAnsi" w:hAnsiTheme="minorHAnsi" w:cstheme="minorHAnsi"/>
                <w:color w:val="313E37"/>
                <w:sz w:val="18"/>
                <w:szCs w:val="18"/>
              </w:rPr>
            </w:pPr>
            <w:r w:rsidRPr="005324BE">
              <w:rPr>
                <w:rFonts w:asciiTheme="minorHAnsi" w:hAnsiTheme="minorHAnsi" w:cstheme="minorHAnsi"/>
                <w:color w:val="313E37"/>
                <w:sz w:val="18"/>
                <w:szCs w:val="18"/>
              </w:rPr>
              <w:t xml:space="preserve">Even though annual mean rainfall is projected to decrease in the region, understanding of the physical processes that cause extreme rainfall, coupled with modelled projections indicate with </w:t>
            </w:r>
            <w:r w:rsidRPr="005324BE">
              <w:rPr>
                <w:rFonts w:asciiTheme="minorHAnsi" w:hAnsiTheme="minorHAnsi" w:cstheme="minorHAnsi"/>
                <w:i/>
                <w:iCs/>
                <w:color w:val="313E37"/>
                <w:sz w:val="18"/>
                <w:szCs w:val="18"/>
              </w:rPr>
              <w:t>high confidence</w:t>
            </w:r>
            <w:r w:rsidRPr="005324BE">
              <w:rPr>
                <w:rFonts w:asciiTheme="minorHAnsi" w:hAnsiTheme="minorHAnsi" w:cstheme="minorHAnsi"/>
                <w:color w:val="313E37"/>
                <w:sz w:val="18"/>
                <w:szCs w:val="18"/>
              </w:rPr>
              <w:t xml:space="preserve"> a future increase in the intensity of </w:t>
            </w:r>
            <w:r w:rsidRPr="005324BE">
              <w:rPr>
                <w:rFonts w:asciiTheme="minorHAnsi" w:hAnsiTheme="minorHAnsi" w:cstheme="minorHAnsi"/>
                <w:color w:val="FF0000"/>
                <w:sz w:val="18"/>
                <w:szCs w:val="18"/>
              </w:rPr>
              <w:t xml:space="preserve">extreme rainfall </w:t>
            </w:r>
            <w:r w:rsidRPr="005324BE">
              <w:rPr>
                <w:rFonts w:asciiTheme="minorHAnsi" w:hAnsiTheme="minorHAnsi" w:cstheme="minorHAnsi"/>
                <w:color w:val="313E37"/>
                <w:sz w:val="18"/>
                <w:szCs w:val="18"/>
              </w:rPr>
              <w:t>events. However, the magnitude of the increases cannot be confidently projected</w:t>
            </w:r>
            <w:r w:rsidRPr="007138D8">
              <w:rPr>
                <w:rFonts w:asciiTheme="minorHAnsi" w:hAnsiTheme="minorHAnsi" w:cstheme="minorHAnsi"/>
                <w:color w:val="313E37"/>
                <w:sz w:val="18"/>
                <w:szCs w:val="18"/>
              </w:rPr>
              <w:t>.</w:t>
            </w:r>
          </w:p>
          <w:bookmarkEnd w:id="261"/>
          <w:p w14:paraId="0214EC79" w14:textId="77777777" w:rsidR="003959DD" w:rsidRPr="007138D8" w:rsidRDefault="003959DD"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Time spent in </w:t>
            </w:r>
            <w:r w:rsidRPr="00007D32">
              <w:rPr>
                <w:rFonts w:asciiTheme="minorHAnsi" w:hAnsiTheme="minorHAnsi" w:cstheme="minorHAnsi"/>
                <w:color w:val="FF0000"/>
                <w:sz w:val="18"/>
                <w:szCs w:val="18"/>
              </w:rPr>
              <w:t xml:space="preserve">drought </w:t>
            </w:r>
            <w:r w:rsidRPr="00007D32">
              <w:rPr>
                <w:rFonts w:asciiTheme="minorHAnsi" w:hAnsiTheme="minorHAnsi" w:cstheme="minorHAnsi"/>
                <w:color w:val="313E37"/>
                <w:sz w:val="18"/>
                <w:szCs w:val="18"/>
              </w:rPr>
              <w:t>is projected (</w:t>
            </w:r>
            <w:r w:rsidRPr="00007D32">
              <w:rPr>
                <w:rFonts w:asciiTheme="minorHAnsi" w:hAnsiTheme="minorHAnsi" w:cstheme="minorHAnsi"/>
                <w:i/>
                <w:iCs/>
                <w:color w:val="313E37"/>
                <w:sz w:val="18"/>
                <w:szCs w:val="18"/>
              </w:rPr>
              <w:t>with high confidence</w:t>
            </w:r>
            <w:r w:rsidRPr="00007D32">
              <w:rPr>
                <w:rFonts w:asciiTheme="minorHAnsi" w:hAnsiTheme="minorHAnsi" w:cstheme="minorHAnsi"/>
                <w:color w:val="313E37"/>
                <w:sz w:val="18"/>
                <w:szCs w:val="18"/>
              </w:rPr>
              <w:t>) to increase over the course of the century.</w:t>
            </w:r>
          </w:p>
          <w:p w14:paraId="04DE0B79" w14:textId="4647FE85" w:rsidR="00255F20" w:rsidRPr="003959DD" w:rsidRDefault="00255F20"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Mean </w:t>
            </w:r>
            <w:r w:rsidRPr="003959DD">
              <w:rPr>
                <w:rFonts w:asciiTheme="minorHAnsi" w:hAnsiTheme="minorHAnsi" w:cstheme="minorHAnsi"/>
                <w:color w:val="FF0000"/>
                <w:sz w:val="18"/>
                <w:szCs w:val="18"/>
              </w:rPr>
              <w:t>sea level</w:t>
            </w:r>
            <w:r w:rsidRPr="003959DD">
              <w:rPr>
                <w:rFonts w:asciiTheme="minorHAnsi" w:hAnsiTheme="minorHAnsi" w:cstheme="minorHAnsi"/>
                <w:color w:val="313E37"/>
                <w:sz w:val="18"/>
                <w:szCs w:val="18"/>
              </w:rPr>
              <w:t xml:space="preserve"> will continue to rise and height of extreme sea-level events will also increase (very high confidence).</w:t>
            </w:r>
          </w:p>
          <w:p w14:paraId="3BF5809C" w14:textId="0E825974" w:rsidR="003959DD" w:rsidRPr="003959DD" w:rsidRDefault="003959DD" w:rsidP="009250B8">
            <w:pPr>
              <w:numPr>
                <w:ilvl w:val="0"/>
                <w:numId w:val="17"/>
              </w:numPr>
              <w:tabs>
                <w:tab w:val="clear" w:pos="720"/>
              </w:tabs>
              <w:ind w:left="315" w:right="136" w:hanging="284"/>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Potential evapotranspiration </w:t>
            </w:r>
            <w:r w:rsidRPr="003959DD">
              <w:rPr>
                <w:rFonts w:asciiTheme="minorHAnsi" w:hAnsiTheme="minorHAnsi" w:cstheme="minorHAnsi"/>
                <w:color w:val="313E37"/>
                <w:sz w:val="18"/>
                <w:szCs w:val="18"/>
              </w:rPr>
              <w:t xml:space="preserve">is projected to increase substantially in all seasons in the Southern Slopes, with the largest relative increases in winter and spring. Projected changes for 2030 are less than 10 % in all scenarios, but by 2090 under RCP8.5 increases of about 10 to 20 % are projected in summer and spring, and about 10 to 30 % in autumn and winter. In absolute terms, changes are largest in summer, particularly for </w:t>
            </w:r>
            <w:r w:rsidR="00187AAD" w:rsidRPr="003959DD">
              <w:rPr>
                <w:rFonts w:asciiTheme="minorHAnsi" w:hAnsiTheme="minorHAnsi" w:cstheme="minorHAnsi"/>
                <w:color w:val="313E37"/>
                <w:sz w:val="18"/>
                <w:szCs w:val="18"/>
              </w:rPr>
              <w:t>RCP8.5 is</w:t>
            </w:r>
            <w:r w:rsidRPr="003959DD">
              <w:rPr>
                <w:rFonts w:asciiTheme="minorHAnsi" w:hAnsiTheme="minorHAnsi" w:cstheme="minorHAnsi"/>
                <w:color w:val="313E37"/>
                <w:sz w:val="18"/>
                <w:szCs w:val="18"/>
              </w:rPr>
              <w:t xml:space="preserve"> projected to increase in all seasons as warming progresses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Despite there being high confidence in an increase, there is only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the magnitude of the increase.</w:t>
            </w:r>
          </w:p>
          <w:p w14:paraId="5453A6BB" w14:textId="77777777" w:rsidR="003959DD" w:rsidRPr="003959DD" w:rsidRDefault="003959DD" w:rsidP="009250B8">
            <w:pPr>
              <w:numPr>
                <w:ilvl w:val="0"/>
                <w:numId w:val="17"/>
              </w:numPr>
              <w:tabs>
                <w:tab w:val="clear" w:pos="720"/>
              </w:tabs>
              <w:ind w:left="315" w:right="136" w:hanging="284"/>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A decrease in </w:t>
            </w:r>
            <w:r w:rsidRPr="003959DD">
              <w:rPr>
                <w:rFonts w:asciiTheme="minorHAnsi" w:hAnsiTheme="minorHAnsi" w:cstheme="minorHAnsi"/>
                <w:color w:val="FF0000"/>
                <w:sz w:val="18"/>
                <w:szCs w:val="18"/>
              </w:rPr>
              <w:t xml:space="preserve">relative humidity </w:t>
            </w:r>
            <w:r w:rsidRPr="003959DD">
              <w:rPr>
                <w:rFonts w:asciiTheme="minorHAnsi" w:hAnsiTheme="minorHAnsi" w:cstheme="minorHAnsi"/>
                <w:color w:val="313E37"/>
                <w:sz w:val="18"/>
                <w:szCs w:val="18"/>
              </w:rPr>
              <w:t xml:space="preserve">away from coasts is expected because of the increased moisture holding capacity in a warming atmosphere. The greater warming of land compared to sea leads to increases in relative humidity over ocean and to decreases over continents. This general tendency to decrease can be counteracted by a strong rainfall increase. Taking this and the CMIP5 projections into account, there is high confidence in little change for 2030. By 2090, there is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decrease for summer and autumn, while for winter and spring there is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in decrease. </w:t>
            </w:r>
          </w:p>
          <w:p w14:paraId="31D2464C" w14:textId="568A5C1C" w:rsidR="003959DD"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Decreases in </w:t>
            </w:r>
            <w:r w:rsidRPr="003959DD">
              <w:rPr>
                <w:rFonts w:asciiTheme="minorHAnsi" w:hAnsiTheme="minorHAnsi" w:cstheme="minorHAnsi"/>
                <w:color w:val="FF0000"/>
                <w:sz w:val="18"/>
                <w:szCs w:val="18"/>
              </w:rPr>
              <w:t xml:space="preserve">soil moisture </w:t>
            </w:r>
            <w:r w:rsidRPr="003959DD">
              <w:rPr>
                <w:rFonts w:asciiTheme="minorHAnsi" w:hAnsiTheme="minorHAnsi" w:cstheme="minorHAnsi"/>
                <w:color w:val="313E37"/>
                <w:sz w:val="18"/>
                <w:szCs w:val="18"/>
              </w:rPr>
              <w:t xml:space="preserve">are projected in all seasons </w:t>
            </w:r>
            <w:r>
              <w:rPr>
                <w:rFonts w:asciiTheme="minorHAnsi" w:hAnsiTheme="minorHAnsi" w:cstheme="minorHAnsi"/>
                <w:color w:val="313E37"/>
                <w:sz w:val="18"/>
                <w:szCs w:val="18"/>
              </w:rPr>
              <w:t>.</w:t>
            </w:r>
            <w:r w:rsidRPr="003959DD">
              <w:rPr>
                <w:rFonts w:asciiTheme="minorHAnsi" w:hAnsiTheme="minorHAnsi" w:cstheme="minorHAnsi"/>
                <w:color w:val="313E37"/>
                <w:sz w:val="18"/>
                <w:szCs w:val="18"/>
              </w:rPr>
              <w:t xml:space="preserve">There are some differences in the projected changes between sub-clusters, with a greater decline in soil moisture during winter and spring than in the other seasons in the northern regions, but a greater decline during summer and autumn than in the other seasons in Tasmania. For the Southern Slopes as a whole, the annual changes for RCP8.5 by 2090 range from around -14 to -3 % with very high model agreement on substantial decrease. </w:t>
            </w:r>
            <w:r>
              <w:rPr>
                <w:rFonts w:asciiTheme="minorHAnsi" w:hAnsiTheme="minorHAnsi" w:cstheme="minorHAnsi"/>
                <w:color w:val="313E37"/>
                <w:sz w:val="18"/>
                <w:szCs w:val="18"/>
              </w:rPr>
              <w:t>T</w:t>
            </w:r>
            <w:r w:rsidRPr="003959DD">
              <w:rPr>
                <w:rFonts w:asciiTheme="minorHAnsi" w:hAnsiTheme="minorHAnsi" w:cstheme="minorHAnsi"/>
                <w:color w:val="313E37"/>
                <w:sz w:val="18"/>
                <w:szCs w:val="18"/>
              </w:rPr>
              <w:t xml:space="preserve">he projected decrease in soil moisture is given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However, due to the potential limitations of this method, there is only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the magnitude of change indicated here</w:t>
            </w:r>
            <w:r>
              <w:rPr>
                <w:rFonts w:asciiTheme="minorHAnsi" w:hAnsiTheme="minorHAnsi" w:cstheme="minorHAnsi"/>
                <w:color w:val="313E37"/>
                <w:sz w:val="18"/>
                <w:szCs w:val="18"/>
              </w:rPr>
              <w:t>.</w:t>
            </w:r>
          </w:p>
          <w:p w14:paraId="14FC85A7" w14:textId="3A875FB3" w:rsidR="003959DD" w:rsidRPr="003959DD" w:rsidRDefault="003959DD"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Runoff</w:t>
            </w:r>
            <w:r w:rsidRPr="003959DD">
              <w:rPr>
                <w:rFonts w:asciiTheme="minorHAnsi" w:hAnsiTheme="minorHAnsi" w:cstheme="minorHAnsi"/>
                <w:color w:val="313E37"/>
                <w:sz w:val="18"/>
                <w:szCs w:val="18"/>
              </w:rPr>
              <w:t xml:space="preserve"> projected to decrease under RCP4.5 and RCP8.5 by 2090. </w:t>
            </w:r>
            <w:r w:rsidR="00A32F25">
              <w:rPr>
                <w:rFonts w:asciiTheme="minorHAnsi" w:hAnsiTheme="minorHAnsi" w:cstheme="minorHAnsi"/>
                <w:color w:val="313E37"/>
                <w:sz w:val="18"/>
                <w:szCs w:val="18"/>
              </w:rPr>
              <w:t>T</w:t>
            </w:r>
            <w:r w:rsidRPr="003959DD">
              <w:rPr>
                <w:rFonts w:asciiTheme="minorHAnsi" w:hAnsiTheme="minorHAnsi" w:cstheme="minorHAnsi"/>
                <w:color w:val="313E37"/>
                <w:sz w:val="18"/>
                <w:szCs w:val="18"/>
              </w:rPr>
              <w:t xml:space="preserve">here is </w:t>
            </w:r>
            <w:r w:rsidRPr="00A32F25">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in the direction of change, but due to the limitations in the methods the magnitudes of change cannot be reliably projected</w:t>
            </w:r>
            <w:r w:rsidR="00DA614E">
              <w:rPr>
                <w:rFonts w:asciiTheme="minorHAnsi" w:hAnsiTheme="minorHAnsi" w:cstheme="minorHAnsi"/>
                <w:color w:val="313E37"/>
                <w:sz w:val="18"/>
                <w:szCs w:val="18"/>
              </w:rPr>
              <w:t>.</w:t>
            </w:r>
            <w:r w:rsidRPr="003959DD">
              <w:rPr>
                <w:rFonts w:asciiTheme="minorHAnsi" w:hAnsiTheme="minorHAnsi" w:cstheme="minorHAnsi"/>
                <w:color w:val="313E37"/>
                <w:sz w:val="18"/>
                <w:szCs w:val="18"/>
              </w:rPr>
              <w:t xml:space="preserve">   </w:t>
            </w:r>
          </w:p>
          <w:p w14:paraId="57E3DE7C" w14:textId="77777777" w:rsidR="00DA614E" w:rsidRDefault="00DA614E"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An increase in </w:t>
            </w:r>
            <w:r w:rsidRPr="003959DD">
              <w:rPr>
                <w:rFonts w:asciiTheme="minorHAnsi" w:hAnsiTheme="minorHAnsi" w:cstheme="minorHAnsi"/>
                <w:color w:val="FF0000"/>
                <w:sz w:val="18"/>
                <w:szCs w:val="18"/>
              </w:rPr>
              <w:t xml:space="preserve">solar radiation </w:t>
            </w:r>
            <w:r w:rsidRPr="003959DD">
              <w:rPr>
                <w:rFonts w:asciiTheme="minorHAnsi" w:hAnsiTheme="minorHAnsi" w:cstheme="minorHAnsi"/>
                <w:color w:val="313E37"/>
                <w:sz w:val="18"/>
                <w:szCs w:val="18"/>
              </w:rPr>
              <w:t>and a decrease in relative humidity is projected in the cool season through the century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This will be influenced by changes in rainfall (and associated changes to cloudiness) and temperature in the sub-cluster. Changes in summer and autumn are less clear.</w:t>
            </w:r>
          </w:p>
          <w:p w14:paraId="556ADD6C" w14:textId="05C0FE2E" w:rsidR="00255F20" w:rsidRPr="003959DD" w:rsidRDefault="00255F20"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There is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that climate change will result in a harsher </w:t>
            </w:r>
            <w:r w:rsidRPr="003959DD">
              <w:rPr>
                <w:rFonts w:asciiTheme="minorHAnsi" w:hAnsiTheme="minorHAnsi" w:cstheme="minorHAnsi"/>
                <w:color w:val="FF0000"/>
                <w:sz w:val="18"/>
                <w:szCs w:val="18"/>
              </w:rPr>
              <w:t>fire</w:t>
            </w:r>
            <w:r w:rsidRPr="003959DD">
              <w:rPr>
                <w:rFonts w:asciiTheme="minorHAnsi" w:hAnsiTheme="minorHAnsi" w:cstheme="minorHAnsi"/>
                <w:color w:val="313E37"/>
                <w:sz w:val="18"/>
                <w:szCs w:val="18"/>
              </w:rPr>
              <w:t>-weather climate in the future. However, there is low confidence in the magnitude of the change to fire weather. This depends on the rainfall projection and its seasonal variation. Relative changes are comparable across the other three sub-clusters of Southern Slopes.</w:t>
            </w:r>
          </w:p>
          <w:p w14:paraId="349BC303" w14:textId="77777777" w:rsidR="00A32F25" w:rsidRDefault="00A32F25" w:rsidP="00255F20">
            <w:pPr>
              <w:ind w:left="315" w:right="136"/>
              <w:rPr>
                <w:rFonts w:asciiTheme="minorHAnsi" w:hAnsiTheme="minorHAnsi" w:cstheme="minorHAnsi"/>
                <w:color w:val="313E37"/>
                <w:sz w:val="20"/>
                <w:szCs w:val="20"/>
              </w:rPr>
            </w:pPr>
          </w:p>
          <w:p w14:paraId="19CB91EA" w14:textId="4028D8A2" w:rsidR="00AB27B1" w:rsidRDefault="00AB27B1" w:rsidP="00AB27B1">
            <w:pPr>
              <w:ind w:left="360" w:right="136"/>
              <w:rPr>
                <w:rFonts w:asciiTheme="minorHAnsi" w:hAnsiTheme="minorHAnsi" w:cstheme="minorHAnsi"/>
                <w:color w:val="313E37"/>
                <w:sz w:val="20"/>
                <w:szCs w:val="20"/>
              </w:rPr>
            </w:pPr>
            <w:r>
              <w:rPr>
                <w:rFonts w:asciiTheme="minorHAnsi" w:hAnsiTheme="minorHAnsi" w:cstheme="minorHAnsi"/>
                <w:color w:val="313E37"/>
                <w:sz w:val="20"/>
                <w:szCs w:val="20"/>
              </w:rPr>
              <w:t>Annual temperature</w:t>
            </w:r>
            <w:r>
              <w:rPr>
                <w:rFonts w:asciiTheme="minorHAnsi" w:hAnsiTheme="minorHAnsi" w:cstheme="minorHAnsi"/>
                <w:color w:val="313E37"/>
                <w:sz w:val="20"/>
                <w:szCs w:val="20"/>
              </w:rPr>
              <w:tab/>
              <w:t xml:space="preserve">    Annual rainfall</w:t>
            </w:r>
          </w:p>
          <w:p w14:paraId="4EEBD744" w14:textId="1CF4AF4F" w:rsidR="00AB27B1" w:rsidRPr="00EF238F" w:rsidRDefault="00AB27B1" w:rsidP="00802F49">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sidR="00255F20">
              <w:rPr>
                <w:noProof/>
              </w:rPr>
              <w:drawing>
                <wp:inline distT="0" distB="0" distL="0" distR="0" wp14:anchorId="7FE43C6F" wp14:editId="67D23134">
                  <wp:extent cx="1241367" cy="811564"/>
                  <wp:effectExtent l="0" t="0" r="0" b="7620"/>
                  <wp:docPr id="2132288247" name="Picture 136324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90"/>
                          <pic:cNvPicPr/>
                        </pic:nvPicPr>
                        <pic:blipFill>
                          <a:blip r:embed="rId305">
                            <a:extLst>
                              <a:ext uri="{28A0092B-C50C-407E-A947-70E740481C1C}">
                                <a14:useLocalDpi xmlns:a14="http://schemas.microsoft.com/office/drawing/2010/main" val="0"/>
                              </a:ext>
                            </a:extLst>
                          </a:blip>
                          <a:stretch>
                            <a:fillRect/>
                          </a:stretch>
                        </pic:blipFill>
                        <pic:spPr>
                          <a:xfrm>
                            <a:off x="0" y="0"/>
                            <a:ext cx="1241367" cy="811564"/>
                          </a:xfrm>
                          <a:prstGeom prst="rect">
                            <a:avLst/>
                          </a:prstGeom>
                        </pic:spPr>
                      </pic:pic>
                    </a:graphicData>
                  </a:graphic>
                </wp:inline>
              </w:drawing>
            </w:r>
            <w:r w:rsidRPr="1F802AF8">
              <w:rPr>
                <w:rFonts w:asciiTheme="minorHAnsi" w:hAnsiTheme="minorHAnsi" w:cstheme="minorBidi"/>
                <w:color w:val="313E37"/>
                <w:sz w:val="20"/>
                <w:szCs w:val="20"/>
              </w:rPr>
              <w:t xml:space="preserve">    </w:t>
            </w:r>
            <w:r w:rsidR="00255F20">
              <w:rPr>
                <w:noProof/>
              </w:rPr>
              <w:drawing>
                <wp:inline distT="0" distB="0" distL="0" distR="0" wp14:anchorId="5AD6389A" wp14:editId="05B695A0">
                  <wp:extent cx="1165907" cy="764771"/>
                  <wp:effectExtent l="0" t="0" r="0" b="0"/>
                  <wp:docPr id="2042053618" name="Picture 136324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89"/>
                          <pic:cNvPicPr/>
                        </pic:nvPicPr>
                        <pic:blipFill>
                          <a:blip r:embed="rId306">
                            <a:extLst>
                              <a:ext uri="{28A0092B-C50C-407E-A947-70E740481C1C}">
                                <a14:useLocalDpi xmlns:a14="http://schemas.microsoft.com/office/drawing/2010/main" val="0"/>
                              </a:ext>
                            </a:extLst>
                          </a:blip>
                          <a:stretch>
                            <a:fillRect/>
                          </a:stretch>
                        </pic:blipFill>
                        <pic:spPr>
                          <a:xfrm>
                            <a:off x="0" y="0"/>
                            <a:ext cx="1165907" cy="764771"/>
                          </a:xfrm>
                          <a:prstGeom prst="rect">
                            <a:avLst/>
                          </a:prstGeom>
                        </pic:spPr>
                      </pic:pic>
                    </a:graphicData>
                  </a:graphic>
                </wp:inline>
              </w:drawing>
            </w:r>
          </w:p>
        </w:tc>
      </w:tr>
      <w:tr w:rsidR="00255F20" w14:paraId="7691427C" w14:textId="77777777" w:rsidTr="1F802AF8">
        <w:trPr>
          <w:trHeight w:val="329"/>
        </w:trPr>
        <w:tc>
          <w:tcPr>
            <w:tcW w:w="9628" w:type="dxa"/>
            <w:gridSpan w:val="2"/>
          </w:tcPr>
          <w:p w14:paraId="74A845F8" w14:textId="35938C14" w:rsidR="00255F20" w:rsidRPr="00EF238F" w:rsidRDefault="00255F20" w:rsidP="00802F49">
            <w:pPr>
              <w:pStyle w:val="BodyText"/>
              <w:rPr>
                <w:b/>
                <w:bCs/>
                <w:sz w:val="20"/>
              </w:rPr>
            </w:pPr>
            <w:r>
              <w:rPr>
                <w:b/>
                <w:bCs/>
                <w:sz w:val="20"/>
              </w:rPr>
              <w:lastRenderedPageBreak/>
              <w:t>Southern Slopes Victoria East</w:t>
            </w:r>
          </w:p>
        </w:tc>
      </w:tr>
      <w:tr w:rsidR="00255F20" w14:paraId="1349E8F5" w14:textId="77777777" w:rsidTr="1F802AF8">
        <w:trPr>
          <w:trHeight w:val="1815"/>
        </w:trPr>
        <w:tc>
          <w:tcPr>
            <w:tcW w:w="2263" w:type="dxa"/>
          </w:tcPr>
          <w:p w14:paraId="3DB097F1" w14:textId="7BDBCF50" w:rsidR="00255F20" w:rsidRDefault="00255F20" w:rsidP="00802F49">
            <w:pPr>
              <w:pStyle w:val="BodyText"/>
            </w:pPr>
            <w:r>
              <w:rPr>
                <w:noProof/>
              </w:rPr>
              <w:drawing>
                <wp:inline distT="0" distB="0" distL="0" distR="0" wp14:anchorId="3AAD24E0" wp14:editId="4896C6A8">
                  <wp:extent cx="1222130" cy="1022668"/>
                  <wp:effectExtent l="0" t="0" r="0" b="6350"/>
                  <wp:docPr id="1531202719" name="Picture 136324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94"/>
                          <pic:cNvPicPr/>
                        </pic:nvPicPr>
                        <pic:blipFill>
                          <a:blip r:embed="rId307">
                            <a:extLst>
                              <a:ext uri="{28A0092B-C50C-407E-A947-70E740481C1C}">
                                <a14:useLocalDpi xmlns:a14="http://schemas.microsoft.com/office/drawing/2010/main" val="0"/>
                              </a:ext>
                            </a:extLst>
                          </a:blip>
                          <a:stretch>
                            <a:fillRect/>
                          </a:stretch>
                        </pic:blipFill>
                        <pic:spPr>
                          <a:xfrm>
                            <a:off x="0" y="0"/>
                            <a:ext cx="1222130" cy="1022668"/>
                          </a:xfrm>
                          <a:prstGeom prst="rect">
                            <a:avLst/>
                          </a:prstGeom>
                        </pic:spPr>
                      </pic:pic>
                    </a:graphicData>
                  </a:graphic>
                </wp:inline>
              </w:drawing>
            </w:r>
          </w:p>
        </w:tc>
        <w:tc>
          <w:tcPr>
            <w:tcW w:w="7365" w:type="dxa"/>
          </w:tcPr>
          <w:p w14:paraId="3AC1CCFF" w14:textId="77777777" w:rsidR="00255F20" w:rsidRDefault="00255F20"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37E22150" w14:textId="77777777" w:rsidR="00255F20" w:rsidRPr="00255F20" w:rsidRDefault="00255F20" w:rsidP="00802F49">
            <w:pPr>
              <w:pStyle w:val="BodyText"/>
              <w:spacing w:before="0" w:after="0" w:line="240" w:lineRule="auto"/>
              <w:rPr>
                <w:sz w:val="20"/>
              </w:rPr>
            </w:pPr>
            <w:r w:rsidRPr="00255F20">
              <w:rPr>
                <w:sz w:val="20"/>
              </w:rPr>
              <w:t>Management of agricultural soils</w:t>
            </w:r>
            <w:r w:rsidRPr="00255F20">
              <w:rPr>
                <w:sz w:val="20"/>
              </w:rPr>
              <w:tab/>
            </w:r>
            <w:r>
              <w:rPr>
                <w:sz w:val="20"/>
              </w:rPr>
              <w:tab/>
            </w:r>
            <w:r w:rsidRPr="00255F20">
              <w:rPr>
                <w:sz w:val="20"/>
              </w:rPr>
              <w:t>8</w:t>
            </w:r>
            <w:r>
              <w:rPr>
                <w:sz w:val="20"/>
              </w:rPr>
              <w:tab/>
            </w:r>
            <w:r w:rsidRPr="00255F20">
              <w:rPr>
                <w:sz w:val="20"/>
              </w:rPr>
              <w:tab/>
              <w:t xml:space="preserve"> 6,736 </w:t>
            </w:r>
          </w:p>
          <w:p w14:paraId="7924C942" w14:textId="77777777" w:rsidR="00255F20" w:rsidRPr="0054376E" w:rsidRDefault="00255F20" w:rsidP="00802F49">
            <w:pPr>
              <w:pStyle w:val="BodyText"/>
              <w:spacing w:before="0" w:after="0" w:line="240" w:lineRule="auto"/>
              <w:rPr>
                <w:sz w:val="20"/>
              </w:rPr>
            </w:pPr>
            <w:r w:rsidRPr="00255F20">
              <w:rPr>
                <w:sz w:val="20"/>
              </w:rPr>
              <w:t>Planting of new forests</w:t>
            </w:r>
            <w:r w:rsidRPr="00255F20">
              <w:rPr>
                <w:sz w:val="20"/>
              </w:rPr>
              <w:tab/>
            </w:r>
            <w:r>
              <w:rPr>
                <w:sz w:val="20"/>
              </w:rPr>
              <w:tab/>
            </w:r>
            <w:r>
              <w:rPr>
                <w:sz w:val="20"/>
              </w:rPr>
              <w:tab/>
            </w:r>
            <w:r w:rsidRPr="00255F20">
              <w:rPr>
                <w:sz w:val="20"/>
              </w:rPr>
              <w:t>8</w:t>
            </w:r>
            <w:r w:rsidRPr="00255F20">
              <w:rPr>
                <w:sz w:val="20"/>
              </w:rPr>
              <w:tab/>
              <w:t xml:space="preserve"> </w:t>
            </w:r>
            <w:r>
              <w:rPr>
                <w:sz w:val="20"/>
              </w:rPr>
              <w:tab/>
            </w:r>
            <w:r w:rsidRPr="00255F20">
              <w:rPr>
                <w:sz w:val="20"/>
              </w:rPr>
              <w:t>11,722</w:t>
            </w:r>
          </w:p>
        </w:tc>
      </w:tr>
      <w:tr w:rsidR="00255F20" w14:paraId="14E3C814" w14:textId="77777777" w:rsidTr="1F802AF8">
        <w:tc>
          <w:tcPr>
            <w:tcW w:w="9628" w:type="dxa"/>
            <w:gridSpan w:val="2"/>
          </w:tcPr>
          <w:p w14:paraId="157ABBC6" w14:textId="77777777" w:rsidR="00255F20" w:rsidRPr="00EF238F" w:rsidRDefault="00255F20"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75C4542A" w14:textId="09EE2B69" w:rsidR="00BD373F" w:rsidRPr="00DA614E" w:rsidRDefault="00BD373F" w:rsidP="009250B8">
            <w:pPr>
              <w:numPr>
                <w:ilvl w:val="0"/>
                <w:numId w:val="17"/>
              </w:numPr>
              <w:tabs>
                <w:tab w:val="clear" w:pos="720"/>
              </w:tabs>
              <w:ind w:left="315" w:right="136" w:hanging="315"/>
              <w:rPr>
                <w:rFonts w:asciiTheme="minorHAnsi" w:hAnsiTheme="minorHAnsi" w:cstheme="minorHAnsi"/>
                <w:color w:val="313E37"/>
                <w:sz w:val="18"/>
                <w:szCs w:val="18"/>
              </w:rPr>
            </w:pPr>
            <w:r w:rsidRPr="00DA614E">
              <w:rPr>
                <w:rFonts w:asciiTheme="minorHAnsi" w:hAnsiTheme="minorHAnsi" w:cstheme="minorHAnsi"/>
                <w:color w:val="FF0000"/>
                <w:sz w:val="18"/>
                <w:szCs w:val="18"/>
              </w:rPr>
              <w:t xml:space="preserve">Average temperatures </w:t>
            </w:r>
            <w:r w:rsidRPr="00DA614E">
              <w:rPr>
                <w:rFonts w:asciiTheme="minorHAnsi" w:hAnsiTheme="minorHAnsi" w:cstheme="minorHAnsi"/>
                <w:color w:val="313E37"/>
                <w:sz w:val="18"/>
                <w:szCs w:val="18"/>
              </w:rPr>
              <w:t>will continue to increase in all seasons (</w:t>
            </w:r>
            <w:r w:rsidRPr="00DA614E">
              <w:rPr>
                <w:rFonts w:asciiTheme="minorHAnsi" w:hAnsiTheme="minorHAnsi" w:cstheme="minorHAnsi"/>
                <w:i/>
                <w:iCs/>
                <w:color w:val="313E37"/>
                <w:sz w:val="18"/>
                <w:szCs w:val="18"/>
              </w:rPr>
              <w:t>very high confidence</w:t>
            </w:r>
            <w:r w:rsidRPr="00DA614E">
              <w:rPr>
                <w:rFonts w:asciiTheme="minorHAnsi" w:hAnsiTheme="minorHAnsi" w:cstheme="minorHAnsi"/>
                <w:color w:val="313E37"/>
                <w:sz w:val="18"/>
                <w:szCs w:val="18"/>
              </w:rPr>
              <w:t>).</w:t>
            </w:r>
            <w:r w:rsidR="00DA614E">
              <w:rPr>
                <w:rFonts w:asciiTheme="minorHAnsi" w:hAnsiTheme="minorHAnsi" w:cstheme="minorHAnsi"/>
                <w:color w:val="313E37"/>
                <w:sz w:val="18"/>
                <w:szCs w:val="18"/>
              </w:rPr>
              <w:t xml:space="preserve"> </w:t>
            </w:r>
            <w:r w:rsidR="00DA614E" w:rsidRPr="00DA614E">
              <w:rPr>
                <w:rFonts w:asciiTheme="minorHAnsi" w:hAnsiTheme="minorHAnsi" w:cstheme="minorHAnsi"/>
                <w:color w:val="313E37"/>
                <w:sz w:val="18"/>
                <w:szCs w:val="18"/>
              </w:rPr>
              <w:t>For the near future (2030), the annually averaged warming across all emission scenarios is projected to be around 0.5 to 1.2 °C above the climate of 1986–2005.</w:t>
            </w:r>
            <w:r w:rsidR="00DA614E">
              <w:rPr>
                <w:rFonts w:asciiTheme="minorHAnsi" w:hAnsiTheme="minorHAnsi" w:cstheme="minorHAnsi"/>
                <w:color w:val="313E37"/>
                <w:sz w:val="18"/>
                <w:szCs w:val="18"/>
              </w:rPr>
              <w:t xml:space="preserve"> </w:t>
            </w:r>
            <w:r w:rsidR="00DA614E" w:rsidRPr="00DA614E">
              <w:rPr>
                <w:rFonts w:asciiTheme="minorHAnsi" w:hAnsiTheme="minorHAnsi" w:cstheme="minorHAnsi"/>
                <w:color w:val="313E37"/>
                <w:sz w:val="18"/>
                <w:szCs w:val="18"/>
              </w:rPr>
              <w:t>By late in the century (2090), for a high emission scenario (RCP8.5) the projected range of warming is 2.7 to 4.3°C. Under an intermediate scenario (RCP4.5) the projected warming is 1.3 to 2.2 °C.</w:t>
            </w:r>
          </w:p>
          <w:p w14:paraId="4B641A22" w14:textId="77777777" w:rsidR="00DA614E" w:rsidRPr="003959DD" w:rsidRDefault="00DA614E"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Extreme temperatures </w:t>
            </w:r>
            <w:r w:rsidRPr="003959DD">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3959DD">
              <w:rPr>
                <w:rFonts w:asciiTheme="minorHAnsi" w:hAnsiTheme="minorHAnsi" w:cstheme="minorHAnsi"/>
                <w:i/>
                <w:iCs/>
                <w:color w:val="313E37"/>
                <w:sz w:val="18"/>
                <w:szCs w:val="18"/>
              </w:rPr>
              <w:t>very high confidence</w:t>
            </w:r>
            <w:r w:rsidRPr="003959DD">
              <w:rPr>
                <w:rFonts w:asciiTheme="minorHAnsi" w:hAnsiTheme="minorHAnsi" w:cstheme="minorHAnsi"/>
                <w:color w:val="313E37"/>
                <w:sz w:val="18"/>
                <w:szCs w:val="18"/>
              </w:rPr>
              <w:t>).</w:t>
            </w:r>
          </w:p>
          <w:p w14:paraId="5A4B79C5" w14:textId="77777777" w:rsidR="00DA614E" w:rsidRPr="003959DD" w:rsidRDefault="00DA614E"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Frost </w:t>
            </w:r>
            <w:r w:rsidRPr="003959DD">
              <w:rPr>
                <w:rFonts w:asciiTheme="minorHAnsi" w:hAnsiTheme="minorHAnsi" w:cstheme="minorHAnsi"/>
                <w:color w:val="313E37"/>
                <w:sz w:val="18"/>
                <w:szCs w:val="18"/>
              </w:rPr>
              <w:t>risk days (minimum temperatures under 2 °C) are expected to decrease across the cluster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w:t>
            </w:r>
          </w:p>
          <w:p w14:paraId="6213C322" w14:textId="2D008303" w:rsidR="00BD373F" w:rsidRPr="00DA614E" w:rsidRDefault="00DA614E" w:rsidP="009250B8">
            <w:pPr>
              <w:numPr>
                <w:ilvl w:val="0"/>
                <w:numId w:val="17"/>
              </w:numPr>
              <w:tabs>
                <w:tab w:val="clear" w:pos="720"/>
              </w:tabs>
              <w:ind w:left="315" w:right="136" w:hanging="315"/>
              <w:rPr>
                <w:rFonts w:asciiTheme="minorHAnsi" w:hAnsiTheme="minorHAnsi" w:cstheme="minorHAnsi"/>
                <w:color w:val="313E37"/>
                <w:sz w:val="18"/>
                <w:szCs w:val="18"/>
              </w:rPr>
            </w:pPr>
            <w:r w:rsidRPr="00DA614E">
              <w:rPr>
                <w:rFonts w:asciiTheme="minorHAnsi" w:hAnsiTheme="minorHAnsi" w:cstheme="minorHAnsi"/>
                <w:color w:val="313E37"/>
                <w:sz w:val="18"/>
                <w:szCs w:val="18"/>
              </w:rPr>
              <w:t xml:space="preserve">In the near future (2030) natural variability in </w:t>
            </w:r>
            <w:r w:rsidRPr="00DA614E">
              <w:rPr>
                <w:rFonts w:asciiTheme="minorHAnsi" w:hAnsiTheme="minorHAnsi" w:cstheme="minorHAnsi"/>
                <w:color w:val="FF0000"/>
                <w:sz w:val="18"/>
                <w:szCs w:val="18"/>
              </w:rPr>
              <w:t>rainfall</w:t>
            </w:r>
            <w:r w:rsidRPr="00DA614E">
              <w:rPr>
                <w:rFonts w:asciiTheme="minorHAnsi" w:hAnsiTheme="minorHAnsi" w:cstheme="minorHAnsi"/>
                <w:color w:val="313E37"/>
                <w:sz w:val="18"/>
                <w:szCs w:val="18"/>
              </w:rPr>
              <w:t xml:space="preserve"> is projected to predominate over trends due to greenhouse gas emissions. The winter decreases over Eastern Victoria are up to 30 per cent in 2090 under high emissions. By the middle of the century, and under high emissions, winter changes are projected to be evident against natural variability. Changes to summer and autumn rainfall are possible but not clear.</w:t>
            </w:r>
          </w:p>
          <w:p w14:paraId="54E2E28E" w14:textId="77777777" w:rsidR="00DA614E" w:rsidRDefault="00DA614E" w:rsidP="009250B8">
            <w:pPr>
              <w:numPr>
                <w:ilvl w:val="0"/>
                <w:numId w:val="17"/>
              </w:numPr>
              <w:tabs>
                <w:tab w:val="clear" w:pos="720"/>
              </w:tabs>
              <w:ind w:left="315" w:right="136" w:hanging="284"/>
              <w:rPr>
                <w:rFonts w:asciiTheme="minorHAnsi" w:hAnsiTheme="minorHAnsi" w:cstheme="minorHAnsi"/>
                <w:color w:val="313E37"/>
                <w:sz w:val="18"/>
                <w:szCs w:val="18"/>
              </w:rPr>
            </w:pPr>
            <w:r w:rsidRPr="005324BE">
              <w:rPr>
                <w:rFonts w:asciiTheme="minorHAnsi" w:hAnsiTheme="minorHAnsi" w:cstheme="minorHAnsi"/>
                <w:color w:val="313E37"/>
                <w:sz w:val="18"/>
                <w:szCs w:val="18"/>
              </w:rPr>
              <w:t xml:space="preserve">Even though annual mean rainfall is projected to decrease in the region, understanding of the physical processes that cause extreme rainfall, coupled with modelled projections indicate with </w:t>
            </w:r>
            <w:r w:rsidRPr="005324BE">
              <w:rPr>
                <w:rFonts w:asciiTheme="minorHAnsi" w:hAnsiTheme="minorHAnsi" w:cstheme="minorHAnsi"/>
                <w:i/>
                <w:iCs/>
                <w:color w:val="313E37"/>
                <w:sz w:val="18"/>
                <w:szCs w:val="18"/>
              </w:rPr>
              <w:t>high confidence</w:t>
            </w:r>
            <w:r w:rsidRPr="005324BE">
              <w:rPr>
                <w:rFonts w:asciiTheme="minorHAnsi" w:hAnsiTheme="minorHAnsi" w:cstheme="minorHAnsi"/>
                <w:color w:val="313E37"/>
                <w:sz w:val="18"/>
                <w:szCs w:val="18"/>
              </w:rPr>
              <w:t xml:space="preserve"> a future increase in the intensity of </w:t>
            </w:r>
            <w:r w:rsidRPr="005324BE">
              <w:rPr>
                <w:rFonts w:asciiTheme="minorHAnsi" w:hAnsiTheme="minorHAnsi" w:cstheme="minorHAnsi"/>
                <w:color w:val="FF0000"/>
                <w:sz w:val="18"/>
                <w:szCs w:val="18"/>
              </w:rPr>
              <w:t xml:space="preserve">extreme rainfall </w:t>
            </w:r>
            <w:r w:rsidRPr="005324BE">
              <w:rPr>
                <w:rFonts w:asciiTheme="minorHAnsi" w:hAnsiTheme="minorHAnsi" w:cstheme="minorHAnsi"/>
                <w:color w:val="313E37"/>
                <w:sz w:val="18"/>
                <w:szCs w:val="18"/>
              </w:rPr>
              <w:t>events. However, the magnitude of the increases cannot be confidently projected</w:t>
            </w:r>
            <w:r w:rsidRPr="007138D8">
              <w:rPr>
                <w:rFonts w:asciiTheme="minorHAnsi" w:hAnsiTheme="minorHAnsi" w:cstheme="minorHAnsi"/>
                <w:color w:val="313E37"/>
                <w:sz w:val="18"/>
                <w:szCs w:val="18"/>
              </w:rPr>
              <w:t>.</w:t>
            </w:r>
          </w:p>
          <w:p w14:paraId="1F1A4851" w14:textId="77777777" w:rsidR="00DA614E" w:rsidRPr="007138D8" w:rsidRDefault="00DA614E"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Time spent in </w:t>
            </w:r>
            <w:r w:rsidRPr="00007D32">
              <w:rPr>
                <w:rFonts w:asciiTheme="minorHAnsi" w:hAnsiTheme="minorHAnsi" w:cstheme="minorHAnsi"/>
                <w:color w:val="FF0000"/>
                <w:sz w:val="18"/>
                <w:szCs w:val="18"/>
              </w:rPr>
              <w:t xml:space="preserve">drought </w:t>
            </w:r>
            <w:r w:rsidRPr="00007D32">
              <w:rPr>
                <w:rFonts w:asciiTheme="minorHAnsi" w:hAnsiTheme="minorHAnsi" w:cstheme="minorHAnsi"/>
                <w:color w:val="313E37"/>
                <w:sz w:val="18"/>
                <w:szCs w:val="18"/>
              </w:rPr>
              <w:t>is projected (</w:t>
            </w:r>
            <w:r w:rsidRPr="00007D32">
              <w:rPr>
                <w:rFonts w:asciiTheme="minorHAnsi" w:hAnsiTheme="minorHAnsi" w:cstheme="minorHAnsi"/>
                <w:i/>
                <w:iCs/>
                <w:color w:val="313E37"/>
                <w:sz w:val="18"/>
                <w:szCs w:val="18"/>
              </w:rPr>
              <w:t>with high confidence</w:t>
            </w:r>
            <w:r w:rsidRPr="00007D32">
              <w:rPr>
                <w:rFonts w:asciiTheme="minorHAnsi" w:hAnsiTheme="minorHAnsi" w:cstheme="minorHAnsi"/>
                <w:color w:val="313E37"/>
                <w:sz w:val="18"/>
                <w:szCs w:val="18"/>
              </w:rPr>
              <w:t>) to increase over the course of the century.</w:t>
            </w:r>
          </w:p>
          <w:p w14:paraId="30594A77" w14:textId="3EED587B" w:rsidR="00BD373F" w:rsidRPr="00DA614E" w:rsidRDefault="00BD373F" w:rsidP="009250B8">
            <w:pPr>
              <w:numPr>
                <w:ilvl w:val="0"/>
                <w:numId w:val="17"/>
              </w:numPr>
              <w:tabs>
                <w:tab w:val="clear" w:pos="720"/>
              </w:tabs>
              <w:ind w:left="315" w:right="136" w:hanging="315"/>
              <w:rPr>
                <w:rFonts w:asciiTheme="minorHAnsi" w:hAnsiTheme="minorHAnsi" w:cstheme="minorHAnsi"/>
                <w:color w:val="313E37"/>
                <w:sz w:val="18"/>
                <w:szCs w:val="18"/>
              </w:rPr>
            </w:pPr>
            <w:r w:rsidRPr="00DA614E">
              <w:rPr>
                <w:rFonts w:asciiTheme="minorHAnsi" w:hAnsiTheme="minorHAnsi" w:cstheme="minorHAnsi"/>
                <w:color w:val="313E37"/>
                <w:sz w:val="18"/>
                <w:szCs w:val="18"/>
              </w:rPr>
              <w:t xml:space="preserve">Mean </w:t>
            </w:r>
            <w:r w:rsidRPr="00DA614E">
              <w:rPr>
                <w:rFonts w:asciiTheme="minorHAnsi" w:hAnsiTheme="minorHAnsi" w:cstheme="minorHAnsi"/>
                <w:color w:val="FF0000"/>
                <w:sz w:val="18"/>
                <w:szCs w:val="18"/>
              </w:rPr>
              <w:t xml:space="preserve">sea level </w:t>
            </w:r>
            <w:r w:rsidRPr="00DA614E">
              <w:rPr>
                <w:rFonts w:asciiTheme="minorHAnsi" w:hAnsiTheme="minorHAnsi" w:cstheme="minorHAnsi"/>
                <w:color w:val="313E37"/>
                <w:sz w:val="18"/>
                <w:szCs w:val="18"/>
              </w:rPr>
              <w:t>will continue to rise and height of extreme sea-level events will also increase (very high confidence).</w:t>
            </w:r>
          </w:p>
          <w:p w14:paraId="455D681C" w14:textId="6092C1D0" w:rsidR="00DA614E" w:rsidRPr="003959DD" w:rsidRDefault="00DA614E" w:rsidP="009250B8">
            <w:pPr>
              <w:numPr>
                <w:ilvl w:val="0"/>
                <w:numId w:val="17"/>
              </w:numPr>
              <w:tabs>
                <w:tab w:val="clear" w:pos="720"/>
              </w:tabs>
              <w:ind w:left="315" w:right="136" w:hanging="284"/>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Potential evapotranspiration </w:t>
            </w:r>
            <w:r w:rsidRPr="003959DD">
              <w:rPr>
                <w:rFonts w:asciiTheme="minorHAnsi" w:hAnsiTheme="minorHAnsi" w:cstheme="minorHAnsi"/>
                <w:color w:val="313E37"/>
                <w:sz w:val="18"/>
                <w:szCs w:val="18"/>
              </w:rPr>
              <w:t xml:space="preserve">is projected to increase substantially in all seasons in the Southern Slopes, with the largest relative increases in winter and spring. Projected changes for 2030 are less than 10 % in all scenarios, but by 2090 under RCP8.5 increases of about 10 to 20 % are projected in summer and spring, and about 10 to 30 % in autumn and winter. In absolute terms, changes are largest in summer, particularly for </w:t>
            </w:r>
            <w:r w:rsidR="00187AAD" w:rsidRPr="003959DD">
              <w:rPr>
                <w:rFonts w:asciiTheme="minorHAnsi" w:hAnsiTheme="minorHAnsi" w:cstheme="minorHAnsi"/>
                <w:color w:val="313E37"/>
                <w:sz w:val="18"/>
                <w:szCs w:val="18"/>
              </w:rPr>
              <w:t>RCP8.5 is</w:t>
            </w:r>
            <w:r w:rsidRPr="003959DD">
              <w:rPr>
                <w:rFonts w:asciiTheme="minorHAnsi" w:hAnsiTheme="minorHAnsi" w:cstheme="minorHAnsi"/>
                <w:color w:val="313E37"/>
                <w:sz w:val="18"/>
                <w:szCs w:val="18"/>
              </w:rPr>
              <w:t xml:space="preserve"> projected to increase in all seasons as warming progresses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Despite there being high confidence in an increase, there is only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the magnitude of the increase.</w:t>
            </w:r>
          </w:p>
          <w:p w14:paraId="2B6FDB35" w14:textId="39A5F0F1" w:rsidR="00DA614E" w:rsidRDefault="00DA614E" w:rsidP="009250B8">
            <w:pPr>
              <w:numPr>
                <w:ilvl w:val="0"/>
                <w:numId w:val="17"/>
              </w:numPr>
              <w:tabs>
                <w:tab w:val="clear" w:pos="720"/>
              </w:tabs>
              <w:ind w:left="315" w:right="136" w:hanging="284"/>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A decrease in </w:t>
            </w:r>
            <w:r w:rsidRPr="003959DD">
              <w:rPr>
                <w:rFonts w:asciiTheme="minorHAnsi" w:hAnsiTheme="minorHAnsi" w:cstheme="minorHAnsi"/>
                <w:color w:val="FF0000"/>
                <w:sz w:val="18"/>
                <w:szCs w:val="18"/>
              </w:rPr>
              <w:t xml:space="preserve">relative humidity </w:t>
            </w:r>
            <w:r w:rsidRPr="003959DD">
              <w:rPr>
                <w:rFonts w:asciiTheme="minorHAnsi" w:hAnsiTheme="minorHAnsi" w:cstheme="minorHAnsi"/>
                <w:color w:val="313E37"/>
                <w:sz w:val="18"/>
                <w:szCs w:val="18"/>
              </w:rPr>
              <w:t xml:space="preserve">away from coasts is expected because of the increased moisture holding capacity in a warming atmosphere. The greater warming of land compared to sea leads to increases in relative humidity over ocean and to decreases over continents. This general tendency to decrease can be counteracted by a strong rainfall increase. Taking this and the CMIP5 projections into account, there is high confidence in little change for 2030. By 2090, there is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decrease for summer and autumn, while for winter and spring there is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in decrease. </w:t>
            </w:r>
          </w:p>
          <w:p w14:paraId="04AF1F2B" w14:textId="77777777" w:rsidR="00DA614E" w:rsidRDefault="00DA614E"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Decreases in </w:t>
            </w:r>
            <w:r w:rsidRPr="003959DD">
              <w:rPr>
                <w:rFonts w:asciiTheme="minorHAnsi" w:hAnsiTheme="minorHAnsi" w:cstheme="minorHAnsi"/>
                <w:color w:val="FF0000"/>
                <w:sz w:val="18"/>
                <w:szCs w:val="18"/>
              </w:rPr>
              <w:t xml:space="preserve">soil moisture </w:t>
            </w:r>
            <w:r w:rsidRPr="003959DD">
              <w:rPr>
                <w:rFonts w:asciiTheme="minorHAnsi" w:hAnsiTheme="minorHAnsi" w:cstheme="minorHAnsi"/>
                <w:color w:val="313E37"/>
                <w:sz w:val="18"/>
                <w:szCs w:val="18"/>
              </w:rPr>
              <w:t xml:space="preserve">are projected in all seasons </w:t>
            </w:r>
            <w:r>
              <w:rPr>
                <w:rFonts w:asciiTheme="minorHAnsi" w:hAnsiTheme="minorHAnsi" w:cstheme="minorHAnsi"/>
                <w:color w:val="313E37"/>
                <w:sz w:val="18"/>
                <w:szCs w:val="18"/>
              </w:rPr>
              <w:t>.</w:t>
            </w:r>
            <w:r w:rsidRPr="003959DD">
              <w:rPr>
                <w:rFonts w:asciiTheme="minorHAnsi" w:hAnsiTheme="minorHAnsi" w:cstheme="minorHAnsi"/>
                <w:color w:val="313E37"/>
                <w:sz w:val="18"/>
                <w:szCs w:val="18"/>
              </w:rPr>
              <w:t xml:space="preserve">There are some differences in the projected changes between sub-clusters, with a greater decline in soil moisture during winter and spring than in the other seasons in the northern regions, but a greater decline during summer and autumn than in the other seasons in Tasmania. For the Southern Slopes as a whole, the annual changes for RCP8.5 by 2090 range from around -14 to -3 % with very high model agreement on substantial decrease. </w:t>
            </w:r>
            <w:r>
              <w:rPr>
                <w:rFonts w:asciiTheme="minorHAnsi" w:hAnsiTheme="minorHAnsi" w:cstheme="minorHAnsi"/>
                <w:color w:val="313E37"/>
                <w:sz w:val="18"/>
                <w:szCs w:val="18"/>
              </w:rPr>
              <w:t>T</w:t>
            </w:r>
            <w:r w:rsidRPr="003959DD">
              <w:rPr>
                <w:rFonts w:asciiTheme="minorHAnsi" w:hAnsiTheme="minorHAnsi" w:cstheme="minorHAnsi"/>
                <w:color w:val="313E37"/>
                <w:sz w:val="18"/>
                <w:szCs w:val="18"/>
              </w:rPr>
              <w:t xml:space="preserve">he projected decrease in soil moisture is given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However, due to the potential limitations of this method, there is only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the magnitude of change indicated here</w:t>
            </w:r>
            <w:r>
              <w:rPr>
                <w:rFonts w:asciiTheme="minorHAnsi" w:hAnsiTheme="minorHAnsi" w:cstheme="minorHAnsi"/>
                <w:color w:val="313E37"/>
                <w:sz w:val="18"/>
                <w:szCs w:val="18"/>
              </w:rPr>
              <w:t>.</w:t>
            </w:r>
          </w:p>
          <w:p w14:paraId="2E191BC7" w14:textId="7C915288" w:rsidR="00DA614E" w:rsidRPr="00DA614E" w:rsidRDefault="00DA614E"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Runoff</w:t>
            </w:r>
            <w:r w:rsidRPr="003959DD">
              <w:rPr>
                <w:rFonts w:asciiTheme="minorHAnsi" w:hAnsiTheme="minorHAnsi" w:cstheme="minorHAnsi"/>
                <w:color w:val="313E37"/>
                <w:sz w:val="18"/>
                <w:szCs w:val="18"/>
              </w:rPr>
              <w:t xml:space="preserve"> projected to decrease under RCP4.5 and RCP8.5 by 2090. </w:t>
            </w:r>
            <w:r>
              <w:rPr>
                <w:rFonts w:asciiTheme="minorHAnsi" w:hAnsiTheme="minorHAnsi" w:cstheme="minorHAnsi"/>
                <w:color w:val="313E37"/>
                <w:sz w:val="18"/>
                <w:szCs w:val="18"/>
              </w:rPr>
              <w:t>T</w:t>
            </w:r>
            <w:r w:rsidRPr="003959DD">
              <w:rPr>
                <w:rFonts w:asciiTheme="minorHAnsi" w:hAnsiTheme="minorHAnsi" w:cstheme="minorHAnsi"/>
                <w:color w:val="313E37"/>
                <w:sz w:val="18"/>
                <w:szCs w:val="18"/>
              </w:rPr>
              <w:t xml:space="preserve">here is </w:t>
            </w:r>
            <w:r w:rsidRPr="00A32F25">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in the direction of change, but due to the limitations in the methods the magnitudes of change cannot be reliably projected</w:t>
            </w:r>
            <w:r>
              <w:rPr>
                <w:rFonts w:asciiTheme="minorHAnsi" w:hAnsiTheme="minorHAnsi" w:cstheme="minorHAnsi"/>
                <w:color w:val="313E37"/>
                <w:sz w:val="18"/>
                <w:szCs w:val="18"/>
              </w:rPr>
              <w:t>.</w:t>
            </w:r>
            <w:r w:rsidRPr="003959DD">
              <w:rPr>
                <w:rFonts w:asciiTheme="minorHAnsi" w:hAnsiTheme="minorHAnsi" w:cstheme="minorHAnsi"/>
                <w:color w:val="313E37"/>
                <w:sz w:val="18"/>
                <w:szCs w:val="18"/>
              </w:rPr>
              <w:t xml:space="preserve">   </w:t>
            </w:r>
          </w:p>
          <w:p w14:paraId="0D12D85F" w14:textId="7DCC1CAB" w:rsidR="00BD373F" w:rsidRPr="00DA614E" w:rsidRDefault="00BD373F" w:rsidP="009250B8">
            <w:pPr>
              <w:numPr>
                <w:ilvl w:val="0"/>
                <w:numId w:val="17"/>
              </w:numPr>
              <w:tabs>
                <w:tab w:val="clear" w:pos="720"/>
              </w:tabs>
              <w:ind w:left="315" w:right="136" w:hanging="315"/>
              <w:rPr>
                <w:rFonts w:asciiTheme="minorHAnsi" w:hAnsiTheme="minorHAnsi" w:cstheme="minorHAnsi"/>
                <w:color w:val="313E37"/>
                <w:sz w:val="18"/>
                <w:szCs w:val="18"/>
              </w:rPr>
            </w:pPr>
            <w:r w:rsidRPr="00DA614E">
              <w:rPr>
                <w:rFonts w:asciiTheme="minorHAnsi" w:hAnsiTheme="minorHAnsi" w:cstheme="minorHAnsi"/>
                <w:color w:val="313E37"/>
                <w:sz w:val="18"/>
                <w:szCs w:val="18"/>
              </w:rPr>
              <w:t xml:space="preserve">An increase in </w:t>
            </w:r>
            <w:r w:rsidRPr="00DA614E">
              <w:rPr>
                <w:rFonts w:asciiTheme="minorHAnsi" w:hAnsiTheme="minorHAnsi" w:cstheme="minorHAnsi"/>
                <w:color w:val="FF0000"/>
                <w:sz w:val="18"/>
                <w:szCs w:val="18"/>
              </w:rPr>
              <w:t xml:space="preserve">solar radiation </w:t>
            </w:r>
            <w:r w:rsidRPr="00DA614E">
              <w:rPr>
                <w:rFonts w:asciiTheme="minorHAnsi" w:hAnsiTheme="minorHAnsi" w:cstheme="minorHAnsi"/>
                <w:color w:val="313E37"/>
                <w:sz w:val="18"/>
                <w:szCs w:val="18"/>
              </w:rPr>
              <w:t>and a decrease in relative humidity is projected in the cool season through the century (</w:t>
            </w:r>
            <w:r w:rsidRPr="00DA614E">
              <w:rPr>
                <w:rFonts w:asciiTheme="minorHAnsi" w:hAnsiTheme="minorHAnsi" w:cstheme="minorHAnsi"/>
                <w:i/>
                <w:iCs/>
                <w:color w:val="313E37"/>
                <w:sz w:val="18"/>
                <w:szCs w:val="18"/>
              </w:rPr>
              <w:t>high confidence</w:t>
            </w:r>
            <w:r w:rsidRPr="00DA614E">
              <w:rPr>
                <w:rFonts w:asciiTheme="minorHAnsi" w:hAnsiTheme="minorHAnsi" w:cstheme="minorHAnsi"/>
                <w:color w:val="313E37"/>
                <w:sz w:val="18"/>
                <w:szCs w:val="18"/>
              </w:rPr>
              <w:t>). This will be influenced by changes in rainfall (and associated changes to cloudiness) and temperature in the cluster. Changes in summer and autumn are less clear.</w:t>
            </w:r>
          </w:p>
          <w:p w14:paraId="6C635397" w14:textId="77777777" w:rsidR="00BD373F" w:rsidRPr="00DA614E" w:rsidRDefault="00BD373F" w:rsidP="009250B8">
            <w:pPr>
              <w:numPr>
                <w:ilvl w:val="0"/>
                <w:numId w:val="17"/>
              </w:numPr>
              <w:ind w:left="315" w:right="136" w:hanging="315"/>
              <w:rPr>
                <w:rFonts w:asciiTheme="minorHAnsi" w:hAnsiTheme="minorHAnsi" w:cstheme="minorHAnsi"/>
                <w:color w:val="313E37"/>
                <w:sz w:val="18"/>
                <w:szCs w:val="18"/>
              </w:rPr>
            </w:pPr>
            <w:r w:rsidRPr="00DA614E">
              <w:rPr>
                <w:rFonts w:asciiTheme="minorHAnsi" w:hAnsiTheme="minorHAnsi" w:cstheme="minorHAnsi"/>
                <w:color w:val="313E37"/>
                <w:sz w:val="18"/>
                <w:szCs w:val="18"/>
              </w:rPr>
              <w:t xml:space="preserve">There is high confidence that climate change will result in a harsher </w:t>
            </w:r>
            <w:r w:rsidRPr="00DA614E">
              <w:rPr>
                <w:rFonts w:asciiTheme="minorHAnsi" w:hAnsiTheme="minorHAnsi" w:cstheme="minorHAnsi"/>
                <w:color w:val="FF0000"/>
                <w:sz w:val="18"/>
                <w:szCs w:val="18"/>
              </w:rPr>
              <w:t>fire</w:t>
            </w:r>
            <w:r w:rsidRPr="00DA614E">
              <w:rPr>
                <w:rFonts w:asciiTheme="minorHAnsi" w:hAnsiTheme="minorHAnsi" w:cstheme="minorHAnsi"/>
                <w:color w:val="313E37"/>
                <w:sz w:val="18"/>
                <w:szCs w:val="18"/>
              </w:rPr>
              <w:t>-weather climate in the future. However, there is low confidence in the magnitude of the change to fire weather. This depends on the rainfall projection and its seasonal variation. Relative changes are comparable across all three sub-clusters.</w:t>
            </w:r>
          </w:p>
          <w:p w14:paraId="1C8C9200" w14:textId="77777777" w:rsidR="00BD373F" w:rsidRDefault="00BD373F" w:rsidP="00BD373F">
            <w:pPr>
              <w:ind w:left="315" w:right="136"/>
              <w:rPr>
                <w:rFonts w:asciiTheme="minorHAnsi" w:hAnsiTheme="minorHAnsi" w:cstheme="minorHAnsi"/>
                <w:color w:val="313E37"/>
                <w:sz w:val="20"/>
                <w:szCs w:val="20"/>
              </w:rPr>
            </w:pPr>
          </w:p>
          <w:p w14:paraId="27C74AD7" w14:textId="5429C008" w:rsidR="00255F20" w:rsidRDefault="00255F20" w:rsidP="00802F49">
            <w:pPr>
              <w:ind w:left="360" w:right="136"/>
              <w:rPr>
                <w:rFonts w:asciiTheme="minorHAnsi" w:hAnsiTheme="minorHAnsi" w:cstheme="minorHAnsi"/>
                <w:color w:val="313E37"/>
                <w:sz w:val="20"/>
                <w:szCs w:val="20"/>
              </w:rPr>
            </w:pPr>
            <w:r>
              <w:rPr>
                <w:rFonts w:asciiTheme="minorHAnsi" w:hAnsiTheme="minorHAnsi" w:cstheme="minorHAnsi"/>
                <w:color w:val="313E37"/>
                <w:sz w:val="20"/>
                <w:szCs w:val="20"/>
              </w:rPr>
              <w:t>Annual temperature</w:t>
            </w:r>
            <w:r>
              <w:rPr>
                <w:rFonts w:asciiTheme="minorHAnsi" w:hAnsiTheme="minorHAnsi" w:cstheme="minorHAnsi"/>
                <w:color w:val="313E37"/>
                <w:sz w:val="20"/>
                <w:szCs w:val="20"/>
              </w:rPr>
              <w:tab/>
              <w:t xml:space="preserve">    Annual rainfall</w:t>
            </w:r>
          </w:p>
          <w:p w14:paraId="238EE4BC" w14:textId="622699F4" w:rsidR="00255F20" w:rsidRDefault="00255F20" w:rsidP="00802F49">
            <w:pPr>
              <w:ind w:right="136"/>
              <w:rPr>
                <w:rFonts w:asciiTheme="minorHAnsi" w:hAnsiTheme="minorHAnsi" w:cstheme="minorHAnsi"/>
                <w:color w:val="313E37"/>
                <w:sz w:val="20"/>
                <w:szCs w:val="20"/>
              </w:rPr>
            </w:pPr>
            <w:r w:rsidRPr="1F802AF8">
              <w:rPr>
                <w:rFonts w:asciiTheme="minorHAnsi" w:hAnsiTheme="minorHAnsi" w:cstheme="minorBidi"/>
                <w:color w:val="313E37"/>
                <w:sz w:val="20"/>
                <w:szCs w:val="20"/>
              </w:rPr>
              <w:t xml:space="preserve">  </w:t>
            </w:r>
            <w:r w:rsidR="00BD373F">
              <w:rPr>
                <w:noProof/>
              </w:rPr>
              <w:drawing>
                <wp:inline distT="0" distB="0" distL="0" distR="0" wp14:anchorId="7355A449" wp14:editId="5B500953">
                  <wp:extent cx="1215252" cy="798022"/>
                  <wp:effectExtent l="0" t="0" r="4445" b="2540"/>
                  <wp:docPr id="1398641528" name="Picture 136324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95"/>
                          <pic:cNvPicPr/>
                        </pic:nvPicPr>
                        <pic:blipFill>
                          <a:blip r:embed="rId308">
                            <a:extLst>
                              <a:ext uri="{28A0092B-C50C-407E-A947-70E740481C1C}">
                                <a14:useLocalDpi xmlns:a14="http://schemas.microsoft.com/office/drawing/2010/main" val="0"/>
                              </a:ext>
                            </a:extLst>
                          </a:blip>
                          <a:stretch>
                            <a:fillRect/>
                          </a:stretch>
                        </pic:blipFill>
                        <pic:spPr>
                          <a:xfrm>
                            <a:off x="0" y="0"/>
                            <a:ext cx="1215252" cy="798022"/>
                          </a:xfrm>
                          <a:prstGeom prst="rect">
                            <a:avLst/>
                          </a:prstGeom>
                        </pic:spPr>
                      </pic:pic>
                    </a:graphicData>
                  </a:graphic>
                </wp:inline>
              </w:drawing>
            </w:r>
            <w:r w:rsidRPr="1F802AF8">
              <w:rPr>
                <w:rFonts w:asciiTheme="minorHAnsi" w:hAnsiTheme="minorHAnsi" w:cstheme="minorBidi"/>
                <w:color w:val="313E37"/>
                <w:sz w:val="20"/>
                <w:szCs w:val="20"/>
              </w:rPr>
              <w:t xml:space="preserve">    </w:t>
            </w:r>
            <w:r w:rsidR="00BD373F">
              <w:rPr>
                <w:noProof/>
              </w:rPr>
              <w:drawing>
                <wp:inline distT="0" distB="0" distL="0" distR="0" wp14:anchorId="7DED0F5C" wp14:editId="28829D61">
                  <wp:extent cx="1048124" cy="687186"/>
                  <wp:effectExtent l="0" t="0" r="0" b="0"/>
                  <wp:docPr id="210602353" name="Picture 136324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496"/>
                          <pic:cNvPicPr/>
                        </pic:nvPicPr>
                        <pic:blipFill>
                          <a:blip r:embed="rId309">
                            <a:extLst>
                              <a:ext uri="{28A0092B-C50C-407E-A947-70E740481C1C}">
                                <a14:useLocalDpi xmlns:a14="http://schemas.microsoft.com/office/drawing/2010/main" val="0"/>
                              </a:ext>
                            </a:extLst>
                          </a:blip>
                          <a:stretch>
                            <a:fillRect/>
                          </a:stretch>
                        </pic:blipFill>
                        <pic:spPr>
                          <a:xfrm>
                            <a:off x="0" y="0"/>
                            <a:ext cx="1048124" cy="687186"/>
                          </a:xfrm>
                          <a:prstGeom prst="rect">
                            <a:avLst/>
                          </a:prstGeom>
                        </pic:spPr>
                      </pic:pic>
                    </a:graphicData>
                  </a:graphic>
                </wp:inline>
              </w:drawing>
            </w:r>
          </w:p>
          <w:p w14:paraId="3BE9D6D7" w14:textId="77777777" w:rsidR="00255F20" w:rsidRPr="00EF238F" w:rsidRDefault="00255F20" w:rsidP="00802F49">
            <w:pPr>
              <w:ind w:right="136"/>
              <w:rPr>
                <w:rFonts w:asciiTheme="minorHAnsi" w:hAnsiTheme="minorHAnsi" w:cstheme="minorHAnsi"/>
                <w:color w:val="313E37"/>
                <w:sz w:val="20"/>
                <w:szCs w:val="20"/>
              </w:rPr>
            </w:pPr>
          </w:p>
        </w:tc>
      </w:tr>
    </w:tbl>
    <w:p w14:paraId="3B14FEBD" w14:textId="79D894A4" w:rsidR="006A2094" w:rsidRDefault="006A2094" w:rsidP="00852CC1">
      <w:pPr>
        <w:pStyle w:val="BodyText"/>
      </w:pPr>
    </w:p>
    <w:tbl>
      <w:tblPr>
        <w:tblStyle w:val="TableGrid"/>
        <w:tblW w:w="0" w:type="auto"/>
        <w:tblLook w:val="04A0" w:firstRow="1" w:lastRow="0" w:firstColumn="1" w:lastColumn="0" w:noHBand="0" w:noVBand="1"/>
      </w:tblPr>
      <w:tblGrid>
        <w:gridCol w:w="2263"/>
        <w:gridCol w:w="7365"/>
      </w:tblGrid>
      <w:tr w:rsidR="006A2094" w14:paraId="377DFD86" w14:textId="77777777" w:rsidTr="1F802AF8">
        <w:trPr>
          <w:trHeight w:val="329"/>
        </w:trPr>
        <w:tc>
          <w:tcPr>
            <w:tcW w:w="9628" w:type="dxa"/>
            <w:gridSpan w:val="2"/>
          </w:tcPr>
          <w:p w14:paraId="609B0E3C" w14:textId="1BFDF8E6" w:rsidR="006A2094" w:rsidRPr="00EF238F" w:rsidRDefault="006A2094" w:rsidP="00802F49">
            <w:pPr>
              <w:pStyle w:val="BodyText"/>
              <w:rPr>
                <w:b/>
                <w:bCs/>
                <w:sz w:val="20"/>
              </w:rPr>
            </w:pPr>
            <w:r>
              <w:rPr>
                <w:b/>
                <w:bCs/>
                <w:sz w:val="20"/>
              </w:rPr>
              <w:lastRenderedPageBreak/>
              <w:t>Southern Slopes Tasmania West</w:t>
            </w:r>
          </w:p>
        </w:tc>
      </w:tr>
      <w:tr w:rsidR="006A2094" w14:paraId="02347AF8" w14:textId="77777777" w:rsidTr="1F802AF8">
        <w:trPr>
          <w:trHeight w:val="1815"/>
        </w:trPr>
        <w:tc>
          <w:tcPr>
            <w:tcW w:w="2263" w:type="dxa"/>
          </w:tcPr>
          <w:p w14:paraId="7773BC77" w14:textId="798ECBBC" w:rsidR="006A2094" w:rsidRDefault="006A2094" w:rsidP="00802F49">
            <w:pPr>
              <w:pStyle w:val="BodyText"/>
            </w:pPr>
            <w:r>
              <w:rPr>
                <w:noProof/>
              </w:rPr>
              <w:drawing>
                <wp:inline distT="0" distB="0" distL="0" distR="0" wp14:anchorId="762AF0AB" wp14:editId="35DC5F1E">
                  <wp:extent cx="1169377" cy="975492"/>
                  <wp:effectExtent l="0" t="0" r="0" b="0"/>
                  <wp:docPr id="385529346" name="Picture 136324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00"/>
                          <pic:cNvPicPr/>
                        </pic:nvPicPr>
                        <pic:blipFill>
                          <a:blip r:embed="rId310">
                            <a:extLst>
                              <a:ext uri="{28A0092B-C50C-407E-A947-70E740481C1C}">
                                <a14:useLocalDpi xmlns:a14="http://schemas.microsoft.com/office/drawing/2010/main" val="0"/>
                              </a:ext>
                            </a:extLst>
                          </a:blip>
                          <a:stretch>
                            <a:fillRect/>
                          </a:stretch>
                        </pic:blipFill>
                        <pic:spPr>
                          <a:xfrm>
                            <a:off x="0" y="0"/>
                            <a:ext cx="1169377" cy="975492"/>
                          </a:xfrm>
                          <a:prstGeom prst="rect">
                            <a:avLst/>
                          </a:prstGeom>
                        </pic:spPr>
                      </pic:pic>
                    </a:graphicData>
                  </a:graphic>
                </wp:inline>
              </w:drawing>
            </w:r>
          </w:p>
        </w:tc>
        <w:tc>
          <w:tcPr>
            <w:tcW w:w="7365" w:type="dxa"/>
          </w:tcPr>
          <w:p w14:paraId="2E1229AD" w14:textId="77777777" w:rsidR="006A2094" w:rsidRDefault="006A2094"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63D51FDE" w14:textId="37BC377E" w:rsidR="006A2094" w:rsidRPr="0054376E" w:rsidRDefault="006A2094" w:rsidP="00802F49">
            <w:pPr>
              <w:pStyle w:val="BodyText"/>
              <w:spacing w:before="0" w:after="0" w:line="240" w:lineRule="auto"/>
              <w:rPr>
                <w:sz w:val="20"/>
              </w:rPr>
            </w:pPr>
            <w:r w:rsidRPr="00255F20">
              <w:rPr>
                <w:sz w:val="20"/>
              </w:rPr>
              <w:t>Planting of new forests</w:t>
            </w:r>
            <w:r w:rsidRPr="00255F20">
              <w:rPr>
                <w:sz w:val="20"/>
              </w:rPr>
              <w:tab/>
            </w:r>
            <w:r>
              <w:rPr>
                <w:sz w:val="20"/>
              </w:rPr>
              <w:tab/>
            </w:r>
            <w:r>
              <w:rPr>
                <w:sz w:val="20"/>
              </w:rPr>
              <w:tab/>
              <w:t>6</w:t>
            </w:r>
            <w:r w:rsidRPr="00255F20">
              <w:rPr>
                <w:sz w:val="20"/>
              </w:rPr>
              <w:tab/>
              <w:t xml:space="preserve"> </w:t>
            </w:r>
            <w:r>
              <w:rPr>
                <w:sz w:val="20"/>
              </w:rPr>
              <w:tab/>
            </w:r>
            <w:r w:rsidRPr="00255F20">
              <w:rPr>
                <w:sz w:val="20"/>
              </w:rPr>
              <w:t>1</w:t>
            </w:r>
            <w:r>
              <w:rPr>
                <w:sz w:val="20"/>
              </w:rPr>
              <w:t>6</w:t>
            </w:r>
            <w:r w:rsidRPr="00255F20">
              <w:rPr>
                <w:sz w:val="20"/>
              </w:rPr>
              <w:t>,</w:t>
            </w:r>
            <w:r>
              <w:rPr>
                <w:sz w:val="20"/>
              </w:rPr>
              <w:t>267</w:t>
            </w:r>
          </w:p>
        </w:tc>
      </w:tr>
      <w:tr w:rsidR="006A2094" w14:paraId="01257B48" w14:textId="77777777" w:rsidTr="1F802AF8">
        <w:tc>
          <w:tcPr>
            <w:tcW w:w="9628" w:type="dxa"/>
            <w:gridSpan w:val="2"/>
          </w:tcPr>
          <w:p w14:paraId="325E1E1D" w14:textId="77777777" w:rsidR="006A2094" w:rsidRPr="00EF238F" w:rsidRDefault="006A2094"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7A073A07" w14:textId="20F3BDA9" w:rsidR="006A2094" w:rsidRPr="00ED79BB" w:rsidRDefault="006A2094" w:rsidP="009250B8">
            <w:pPr>
              <w:numPr>
                <w:ilvl w:val="0"/>
                <w:numId w:val="17"/>
              </w:numPr>
              <w:tabs>
                <w:tab w:val="clear" w:pos="720"/>
              </w:tabs>
              <w:ind w:left="315" w:right="136" w:hanging="284"/>
              <w:rPr>
                <w:rFonts w:asciiTheme="minorHAnsi" w:hAnsiTheme="minorHAnsi" w:cstheme="minorHAnsi"/>
                <w:color w:val="313E37"/>
                <w:sz w:val="18"/>
                <w:szCs w:val="18"/>
              </w:rPr>
            </w:pPr>
            <w:r w:rsidRPr="00ED79BB">
              <w:rPr>
                <w:rFonts w:asciiTheme="minorHAnsi" w:hAnsiTheme="minorHAnsi" w:cstheme="minorHAnsi"/>
                <w:color w:val="FF0000"/>
                <w:sz w:val="18"/>
                <w:szCs w:val="18"/>
              </w:rPr>
              <w:t xml:space="preserve">Average temperatures </w:t>
            </w:r>
            <w:r w:rsidRPr="00ED79BB">
              <w:rPr>
                <w:rFonts w:asciiTheme="minorHAnsi" w:hAnsiTheme="minorHAnsi" w:cstheme="minorHAnsi"/>
                <w:color w:val="313E37"/>
                <w:sz w:val="18"/>
                <w:szCs w:val="18"/>
              </w:rPr>
              <w:t>will continue to increase in all seasons (</w:t>
            </w:r>
            <w:r w:rsidRPr="00ED79BB">
              <w:rPr>
                <w:rFonts w:asciiTheme="minorHAnsi" w:hAnsiTheme="minorHAnsi" w:cstheme="minorHAnsi"/>
                <w:i/>
                <w:iCs/>
                <w:color w:val="313E37"/>
                <w:sz w:val="18"/>
                <w:szCs w:val="18"/>
              </w:rPr>
              <w:t>very high confidence</w:t>
            </w:r>
            <w:r w:rsidRPr="00ED79BB">
              <w:rPr>
                <w:rFonts w:asciiTheme="minorHAnsi" w:hAnsiTheme="minorHAnsi" w:cstheme="minorHAnsi"/>
                <w:color w:val="313E37"/>
                <w:sz w:val="18"/>
                <w:szCs w:val="18"/>
              </w:rPr>
              <w:t>).</w:t>
            </w:r>
            <w:r w:rsidR="00ED79BB" w:rsidRPr="00ED79BB">
              <w:rPr>
                <w:rFonts w:asciiTheme="minorHAnsi" w:hAnsiTheme="minorHAnsi" w:cstheme="minorHAnsi"/>
                <w:color w:val="313E37"/>
                <w:sz w:val="18"/>
                <w:szCs w:val="18"/>
              </w:rPr>
              <w:t xml:space="preserve"> For the near future (2030), the annually averaged warming across all emission scenarios is projected to be around 0.2 to 1.1 °C above the climate of 1986–2005. By late in the century (2090), for a high emission scenario (RCP8.5) the projected range of warming is 2.1 to 3.6°C. Under an intermediate scenario (RCP4.5) the projected warming is 0.9 to 1.8 °C.</w:t>
            </w:r>
          </w:p>
          <w:p w14:paraId="23D5D5F1" w14:textId="77777777" w:rsidR="00ED79BB" w:rsidRPr="00ED79BB" w:rsidRDefault="00ED79BB" w:rsidP="009250B8">
            <w:pPr>
              <w:numPr>
                <w:ilvl w:val="0"/>
                <w:numId w:val="17"/>
              </w:numPr>
              <w:tabs>
                <w:tab w:val="clear" w:pos="720"/>
              </w:tabs>
              <w:ind w:left="315" w:right="136" w:hanging="315"/>
              <w:rPr>
                <w:rFonts w:asciiTheme="minorHAnsi" w:hAnsiTheme="minorHAnsi" w:cstheme="minorHAnsi"/>
                <w:color w:val="313E37"/>
                <w:sz w:val="18"/>
                <w:szCs w:val="18"/>
              </w:rPr>
            </w:pPr>
            <w:r w:rsidRPr="00ED79BB">
              <w:rPr>
                <w:rFonts w:asciiTheme="minorHAnsi" w:hAnsiTheme="minorHAnsi" w:cstheme="minorHAnsi"/>
                <w:color w:val="FF0000"/>
                <w:sz w:val="18"/>
                <w:szCs w:val="18"/>
              </w:rPr>
              <w:t xml:space="preserve">Extreme temperatures </w:t>
            </w:r>
            <w:r w:rsidRPr="00ED79BB">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ED79BB">
              <w:rPr>
                <w:rFonts w:asciiTheme="minorHAnsi" w:hAnsiTheme="minorHAnsi" w:cstheme="minorHAnsi"/>
                <w:i/>
                <w:iCs/>
                <w:color w:val="313E37"/>
                <w:sz w:val="18"/>
                <w:szCs w:val="18"/>
              </w:rPr>
              <w:t>very high confidence</w:t>
            </w:r>
            <w:r w:rsidRPr="00ED79BB">
              <w:rPr>
                <w:rFonts w:asciiTheme="minorHAnsi" w:hAnsiTheme="minorHAnsi" w:cstheme="minorHAnsi"/>
                <w:color w:val="313E37"/>
                <w:sz w:val="18"/>
                <w:szCs w:val="18"/>
              </w:rPr>
              <w:t>).</w:t>
            </w:r>
          </w:p>
          <w:p w14:paraId="5D7D3805" w14:textId="77777777" w:rsidR="00ED79BB" w:rsidRPr="00ED79BB" w:rsidRDefault="00ED79BB" w:rsidP="009250B8">
            <w:pPr>
              <w:numPr>
                <w:ilvl w:val="0"/>
                <w:numId w:val="17"/>
              </w:numPr>
              <w:tabs>
                <w:tab w:val="clear" w:pos="720"/>
              </w:tabs>
              <w:ind w:left="315" w:right="136" w:hanging="315"/>
              <w:rPr>
                <w:rFonts w:asciiTheme="minorHAnsi" w:hAnsiTheme="minorHAnsi" w:cstheme="minorHAnsi"/>
                <w:color w:val="313E37"/>
                <w:sz w:val="18"/>
                <w:szCs w:val="18"/>
              </w:rPr>
            </w:pPr>
            <w:r w:rsidRPr="00ED79BB">
              <w:rPr>
                <w:rFonts w:asciiTheme="minorHAnsi" w:hAnsiTheme="minorHAnsi" w:cstheme="minorHAnsi"/>
                <w:color w:val="FF0000"/>
                <w:sz w:val="18"/>
                <w:szCs w:val="18"/>
              </w:rPr>
              <w:t xml:space="preserve">Frost </w:t>
            </w:r>
            <w:r w:rsidRPr="00ED79BB">
              <w:rPr>
                <w:rFonts w:asciiTheme="minorHAnsi" w:hAnsiTheme="minorHAnsi" w:cstheme="minorHAnsi"/>
                <w:color w:val="313E37"/>
                <w:sz w:val="18"/>
                <w:szCs w:val="18"/>
              </w:rPr>
              <w:t>risk days (minimum temperatures under 2 °C) are expected to decrease across the cluster (</w:t>
            </w:r>
            <w:r w:rsidRPr="00ED79BB">
              <w:rPr>
                <w:rFonts w:asciiTheme="minorHAnsi" w:hAnsiTheme="minorHAnsi" w:cstheme="minorHAnsi"/>
                <w:i/>
                <w:iCs/>
                <w:color w:val="313E37"/>
                <w:sz w:val="18"/>
                <w:szCs w:val="18"/>
              </w:rPr>
              <w:t>high confidence</w:t>
            </w:r>
            <w:r w:rsidRPr="00ED79BB">
              <w:rPr>
                <w:rFonts w:asciiTheme="minorHAnsi" w:hAnsiTheme="minorHAnsi" w:cstheme="minorHAnsi"/>
                <w:color w:val="313E37"/>
                <w:sz w:val="18"/>
                <w:szCs w:val="18"/>
              </w:rPr>
              <w:t>).</w:t>
            </w:r>
          </w:p>
          <w:p w14:paraId="716A8D0B" w14:textId="33C3E223" w:rsidR="006A2094" w:rsidRPr="00ED79BB" w:rsidRDefault="005A3777" w:rsidP="009250B8">
            <w:pPr>
              <w:numPr>
                <w:ilvl w:val="0"/>
                <w:numId w:val="17"/>
              </w:numPr>
              <w:tabs>
                <w:tab w:val="clear" w:pos="720"/>
              </w:tabs>
              <w:ind w:left="315" w:right="136" w:hanging="284"/>
              <w:rPr>
                <w:rFonts w:asciiTheme="minorHAnsi" w:hAnsiTheme="minorHAnsi" w:cstheme="minorHAnsi"/>
                <w:color w:val="313E37"/>
                <w:sz w:val="18"/>
                <w:szCs w:val="18"/>
              </w:rPr>
            </w:pPr>
            <w:r w:rsidRPr="00ED79BB">
              <w:rPr>
                <w:rFonts w:asciiTheme="minorHAnsi" w:hAnsiTheme="minorHAnsi" w:cstheme="minorHAnsi"/>
                <w:color w:val="313E37"/>
                <w:sz w:val="18"/>
                <w:szCs w:val="18"/>
              </w:rPr>
              <w:t xml:space="preserve">In the near future (2030) natural variability in </w:t>
            </w:r>
            <w:r w:rsidRPr="00ED79BB">
              <w:rPr>
                <w:rFonts w:asciiTheme="minorHAnsi" w:hAnsiTheme="minorHAnsi" w:cstheme="minorHAnsi"/>
                <w:color w:val="FF0000"/>
                <w:sz w:val="18"/>
                <w:szCs w:val="18"/>
              </w:rPr>
              <w:t>rainfall</w:t>
            </w:r>
            <w:r w:rsidRPr="00ED79BB">
              <w:rPr>
                <w:rFonts w:asciiTheme="minorHAnsi" w:hAnsiTheme="minorHAnsi" w:cstheme="minorHAnsi"/>
                <w:color w:val="313E37"/>
                <w:sz w:val="18"/>
                <w:szCs w:val="18"/>
              </w:rPr>
              <w:t xml:space="preserve"> is projected to predominate over trends due to greenhouse gas emissions. Understanding of physical rainfall processes (southward shift of winter storm systems), supported by climate model results, indicate a rainfall decrease for spring (</w:t>
            </w:r>
            <w:r w:rsidRPr="00ED79BB">
              <w:rPr>
                <w:rFonts w:asciiTheme="minorHAnsi" w:hAnsiTheme="minorHAnsi" w:cstheme="minorHAnsi"/>
                <w:i/>
                <w:iCs/>
                <w:color w:val="313E37"/>
                <w:sz w:val="18"/>
                <w:szCs w:val="18"/>
              </w:rPr>
              <w:t>high confidence</w:t>
            </w:r>
            <w:r w:rsidRPr="00ED79BB">
              <w:rPr>
                <w:rFonts w:asciiTheme="minorHAnsi" w:hAnsiTheme="minorHAnsi" w:cstheme="minorHAnsi"/>
                <w:color w:val="313E37"/>
                <w:sz w:val="18"/>
                <w:szCs w:val="18"/>
              </w:rPr>
              <w:t>), and little change or increase for winter (</w:t>
            </w:r>
            <w:r w:rsidRPr="00ED79BB">
              <w:rPr>
                <w:rFonts w:asciiTheme="minorHAnsi" w:hAnsiTheme="minorHAnsi" w:cstheme="minorHAnsi"/>
                <w:i/>
                <w:iCs/>
                <w:color w:val="313E37"/>
                <w:sz w:val="18"/>
                <w:szCs w:val="18"/>
              </w:rPr>
              <w:t>medium confidence</w:t>
            </w:r>
            <w:r w:rsidRPr="00ED79BB">
              <w:rPr>
                <w:rFonts w:asciiTheme="minorHAnsi" w:hAnsiTheme="minorHAnsi" w:cstheme="minorHAnsi"/>
                <w:color w:val="313E37"/>
                <w:sz w:val="18"/>
                <w:szCs w:val="18"/>
              </w:rPr>
              <w:t>).</w:t>
            </w:r>
            <w:r w:rsidR="00ED79BB" w:rsidRPr="00ED79BB">
              <w:rPr>
                <w:rFonts w:asciiTheme="minorHAnsi" w:hAnsiTheme="minorHAnsi" w:cstheme="minorHAnsi"/>
                <w:color w:val="313E37"/>
                <w:sz w:val="18"/>
                <w:szCs w:val="18"/>
              </w:rPr>
              <w:t xml:space="preserve"> </w:t>
            </w:r>
            <w:r w:rsidRPr="00ED79BB">
              <w:rPr>
                <w:rFonts w:asciiTheme="minorHAnsi" w:hAnsiTheme="minorHAnsi" w:cstheme="minorHAnsi"/>
                <w:color w:val="313E37"/>
                <w:sz w:val="18"/>
                <w:szCs w:val="18"/>
              </w:rPr>
              <w:t>The projected winter increase over Western Tasmania is up to 20 per cent and decrease in spring is up to -33 per cent by 2090 under high emissions. By the middle of the century, and under high emissions, spring and perhaps winter changes are projected to be evident against natural variability. Changes to autumn rainfall are possible but not clear, and there is a tendency for projected decrease in western Tasmania in summer.</w:t>
            </w:r>
          </w:p>
          <w:p w14:paraId="1FB1D730" w14:textId="017E4939" w:rsidR="006A2094" w:rsidRDefault="00ED79BB" w:rsidP="009250B8">
            <w:pPr>
              <w:numPr>
                <w:ilvl w:val="0"/>
                <w:numId w:val="17"/>
              </w:numPr>
              <w:tabs>
                <w:tab w:val="clear" w:pos="720"/>
              </w:tabs>
              <w:ind w:left="315" w:right="136" w:hanging="284"/>
              <w:rPr>
                <w:rFonts w:asciiTheme="minorHAnsi" w:hAnsiTheme="minorHAnsi" w:cstheme="minorHAnsi"/>
                <w:color w:val="313E37"/>
                <w:sz w:val="18"/>
                <w:szCs w:val="18"/>
              </w:rPr>
            </w:pPr>
            <w:r w:rsidRPr="00ED79BB">
              <w:rPr>
                <w:rFonts w:asciiTheme="minorHAnsi" w:hAnsiTheme="minorHAnsi" w:cstheme="minorHAnsi"/>
                <w:color w:val="313E37"/>
                <w:sz w:val="18"/>
                <w:szCs w:val="18"/>
              </w:rPr>
              <w:t xml:space="preserve">Even though annual mean rainfall is projected to experience little change or decrease in the region, understanding of the physical processes that cause extreme rainfall, coupled with modelled projections indicate with </w:t>
            </w:r>
            <w:r w:rsidRPr="00ED79BB">
              <w:rPr>
                <w:rFonts w:asciiTheme="minorHAnsi" w:hAnsiTheme="minorHAnsi" w:cstheme="minorHAnsi"/>
                <w:i/>
                <w:iCs/>
                <w:color w:val="313E37"/>
                <w:sz w:val="18"/>
                <w:szCs w:val="18"/>
              </w:rPr>
              <w:t xml:space="preserve">high confidence </w:t>
            </w:r>
            <w:r w:rsidRPr="00ED79BB">
              <w:rPr>
                <w:rFonts w:asciiTheme="minorHAnsi" w:hAnsiTheme="minorHAnsi" w:cstheme="minorHAnsi"/>
                <w:color w:val="313E37"/>
                <w:sz w:val="18"/>
                <w:szCs w:val="18"/>
              </w:rPr>
              <w:t>a future increase in the intensity of extreme rainfall events. However, the magnitude of the increases cannot be confidently projected.</w:t>
            </w:r>
          </w:p>
          <w:p w14:paraId="64CBAF40" w14:textId="0F8CFEAB" w:rsidR="00ED79BB" w:rsidRPr="00ED79BB" w:rsidRDefault="00ED79BB"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Time spent in </w:t>
            </w:r>
            <w:r w:rsidRPr="00007D32">
              <w:rPr>
                <w:rFonts w:asciiTheme="minorHAnsi" w:hAnsiTheme="minorHAnsi" w:cstheme="minorHAnsi"/>
                <w:color w:val="FF0000"/>
                <w:sz w:val="18"/>
                <w:szCs w:val="18"/>
              </w:rPr>
              <w:t xml:space="preserve">drought </w:t>
            </w:r>
            <w:r w:rsidRPr="00007D32">
              <w:rPr>
                <w:rFonts w:asciiTheme="minorHAnsi" w:hAnsiTheme="minorHAnsi" w:cstheme="minorHAnsi"/>
                <w:color w:val="313E37"/>
                <w:sz w:val="18"/>
                <w:szCs w:val="18"/>
              </w:rPr>
              <w:t>is projected (</w:t>
            </w:r>
            <w:r w:rsidRPr="00007D32">
              <w:rPr>
                <w:rFonts w:asciiTheme="minorHAnsi" w:hAnsiTheme="minorHAnsi" w:cstheme="minorHAnsi"/>
                <w:i/>
                <w:iCs/>
                <w:color w:val="313E37"/>
                <w:sz w:val="18"/>
                <w:szCs w:val="18"/>
              </w:rPr>
              <w:t xml:space="preserve">with </w:t>
            </w:r>
            <w:r>
              <w:rPr>
                <w:rFonts w:asciiTheme="minorHAnsi" w:hAnsiTheme="minorHAnsi" w:cstheme="minorHAnsi"/>
                <w:i/>
                <w:iCs/>
                <w:color w:val="313E37"/>
                <w:sz w:val="18"/>
                <w:szCs w:val="18"/>
              </w:rPr>
              <w:t>medium</w:t>
            </w:r>
            <w:r w:rsidRPr="00007D32">
              <w:rPr>
                <w:rFonts w:asciiTheme="minorHAnsi" w:hAnsiTheme="minorHAnsi" w:cstheme="minorHAnsi"/>
                <w:i/>
                <w:iCs/>
                <w:color w:val="313E37"/>
                <w:sz w:val="18"/>
                <w:szCs w:val="18"/>
              </w:rPr>
              <w:t xml:space="preserve"> confidence</w:t>
            </w:r>
            <w:r w:rsidRPr="00007D32">
              <w:rPr>
                <w:rFonts w:asciiTheme="minorHAnsi" w:hAnsiTheme="minorHAnsi" w:cstheme="minorHAnsi"/>
                <w:color w:val="313E37"/>
                <w:sz w:val="18"/>
                <w:szCs w:val="18"/>
              </w:rPr>
              <w:t>) to increase over the course of the century.</w:t>
            </w:r>
          </w:p>
          <w:p w14:paraId="0498FE1E" w14:textId="5ED5B2FC" w:rsidR="006A2094" w:rsidRDefault="006A2094" w:rsidP="009250B8">
            <w:pPr>
              <w:numPr>
                <w:ilvl w:val="0"/>
                <w:numId w:val="17"/>
              </w:numPr>
              <w:tabs>
                <w:tab w:val="clear" w:pos="720"/>
              </w:tabs>
              <w:ind w:left="315" w:right="136" w:hanging="284"/>
              <w:rPr>
                <w:rFonts w:asciiTheme="minorHAnsi" w:hAnsiTheme="minorHAnsi" w:cstheme="minorHAnsi"/>
                <w:color w:val="313E37"/>
                <w:sz w:val="18"/>
                <w:szCs w:val="18"/>
              </w:rPr>
            </w:pPr>
            <w:r w:rsidRPr="00ED79BB">
              <w:rPr>
                <w:rFonts w:asciiTheme="minorHAnsi" w:hAnsiTheme="minorHAnsi" w:cstheme="minorHAnsi"/>
                <w:color w:val="313E37"/>
                <w:sz w:val="18"/>
                <w:szCs w:val="18"/>
              </w:rPr>
              <w:t xml:space="preserve">Mean </w:t>
            </w:r>
            <w:r w:rsidRPr="00ED79BB">
              <w:rPr>
                <w:rFonts w:asciiTheme="minorHAnsi" w:hAnsiTheme="minorHAnsi" w:cstheme="minorHAnsi"/>
                <w:color w:val="FF0000"/>
                <w:sz w:val="18"/>
                <w:szCs w:val="18"/>
              </w:rPr>
              <w:t xml:space="preserve">sea level </w:t>
            </w:r>
            <w:r w:rsidRPr="00ED79BB">
              <w:rPr>
                <w:rFonts w:asciiTheme="minorHAnsi" w:hAnsiTheme="minorHAnsi" w:cstheme="minorHAnsi"/>
                <w:color w:val="313E37"/>
                <w:sz w:val="18"/>
                <w:szCs w:val="18"/>
              </w:rPr>
              <w:t>will continue to rise and height of extreme sea-level events will also increase (very high confidence).</w:t>
            </w:r>
          </w:p>
          <w:p w14:paraId="1FFE9F35" w14:textId="01623CE4" w:rsidR="00ED79BB" w:rsidRPr="003959DD" w:rsidRDefault="00ED79BB" w:rsidP="009250B8">
            <w:pPr>
              <w:numPr>
                <w:ilvl w:val="0"/>
                <w:numId w:val="17"/>
              </w:numPr>
              <w:tabs>
                <w:tab w:val="clear" w:pos="720"/>
              </w:tabs>
              <w:ind w:left="315" w:right="136" w:hanging="284"/>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Potential evapotranspiration </w:t>
            </w:r>
            <w:r w:rsidRPr="003959DD">
              <w:rPr>
                <w:rFonts w:asciiTheme="minorHAnsi" w:hAnsiTheme="minorHAnsi" w:cstheme="minorHAnsi"/>
                <w:color w:val="313E37"/>
                <w:sz w:val="18"/>
                <w:szCs w:val="18"/>
              </w:rPr>
              <w:t xml:space="preserve">is projected to increase substantially in all seasons in the Southern Slopes, with the largest relative increases in winter and spring. Projected changes for 2030 are less than 10 % in all scenarios, but by 2090 under RCP8.5 increases of about 10 to 20 % are projected in summer and spring, and about 10 to 30 % in autumn and winter. In absolute terms, changes are largest in summer, particularly for </w:t>
            </w:r>
            <w:r w:rsidR="00187AAD" w:rsidRPr="003959DD">
              <w:rPr>
                <w:rFonts w:asciiTheme="minorHAnsi" w:hAnsiTheme="minorHAnsi" w:cstheme="minorHAnsi"/>
                <w:color w:val="313E37"/>
                <w:sz w:val="18"/>
                <w:szCs w:val="18"/>
              </w:rPr>
              <w:t>RCP8.5 is</w:t>
            </w:r>
            <w:r w:rsidRPr="003959DD">
              <w:rPr>
                <w:rFonts w:asciiTheme="minorHAnsi" w:hAnsiTheme="minorHAnsi" w:cstheme="minorHAnsi"/>
                <w:color w:val="313E37"/>
                <w:sz w:val="18"/>
                <w:szCs w:val="18"/>
              </w:rPr>
              <w:t xml:space="preserve"> projected to increase in all seasons as warming progresses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Despite there being high confidence in an increase, there is only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the magnitude of the increase.</w:t>
            </w:r>
          </w:p>
          <w:p w14:paraId="062E8063" w14:textId="77777777" w:rsidR="00ED79BB" w:rsidRDefault="00ED79BB" w:rsidP="009250B8">
            <w:pPr>
              <w:numPr>
                <w:ilvl w:val="0"/>
                <w:numId w:val="17"/>
              </w:numPr>
              <w:tabs>
                <w:tab w:val="clear" w:pos="720"/>
              </w:tabs>
              <w:ind w:left="315" w:right="136" w:hanging="284"/>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A decrease in </w:t>
            </w:r>
            <w:r w:rsidRPr="003959DD">
              <w:rPr>
                <w:rFonts w:asciiTheme="minorHAnsi" w:hAnsiTheme="minorHAnsi" w:cstheme="minorHAnsi"/>
                <w:color w:val="FF0000"/>
                <w:sz w:val="18"/>
                <w:szCs w:val="18"/>
              </w:rPr>
              <w:t xml:space="preserve">relative humidity </w:t>
            </w:r>
            <w:r w:rsidRPr="003959DD">
              <w:rPr>
                <w:rFonts w:asciiTheme="minorHAnsi" w:hAnsiTheme="minorHAnsi" w:cstheme="minorHAnsi"/>
                <w:color w:val="313E37"/>
                <w:sz w:val="18"/>
                <w:szCs w:val="18"/>
              </w:rPr>
              <w:t xml:space="preserve">away from coasts is expected because of the increased moisture holding capacity in a warming atmosphere. The greater warming of land compared to sea leads to increases in relative humidity over ocean and to decreases over continents. This general tendency to decrease can be counteracted by a strong rainfall increase. Taking this and the CMIP5 projections into account, there is high confidence in little change for 2030. By 2090, there is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decrease for summer and autumn, while for winter and spring there is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in decrease. </w:t>
            </w:r>
          </w:p>
          <w:p w14:paraId="40FFF80F" w14:textId="77777777" w:rsidR="00ED79BB" w:rsidRDefault="00ED79BB"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Decreases in </w:t>
            </w:r>
            <w:r w:rsidRPr="003959DD">
              <w:rPr>
                <w:rFonts w:asciiTheme="minorHAnsi" w:hAnsiTheme="minorHAnsi" w:cstheme="minorHAnsi"/>
                <w:color w:val="FF0000"/>
                <w:sz w:val="18"/>
                <w:szCs w:val="18"/>
              </w:rPr>
              <w:t xml:space="preserve">soil moisture </w:t>
            </w:r>
            <w:r w:rsidRPr="003959DD">
              <w:rPr>
                <w:rFonts w:asciiTheme="minorHAnsi" w:hAnsiTheme="minorHAnsi" w:cstheme="minorHAnsi"/>
                <w:color w:val="313E37"/>
                <w:sz w:val="18"/>
                <w:szCs w:val="18"/>
              </w:rPr>
              <w:t xml:space="preserve">are projected in all seasons </w:t>
            </w:r>
            <w:r>
              <w:rPr>
                <w:rFonts w:asciiTheme="minorHAnsi" w:hAnsiTheme="minorHAnsi" w:cstheme="minorHAnsi"/>
                <w:color w:val="313E37"/>
                <w:sz w:val="18"/>
                <w:szCs w:val="18"/>
              </w:rPr>
              <w:t>.</w:t>
            </w:r>
            <w:r w:rsidRPr="003959DD">
              <w:rPr>
                <w:rFonts w:asciiTheme="minorHAnsi" w:hAnsiTheme="minorHAnsi" w:cstheme="minorHAnsi"/>
                <w:color w:val="313E37"/>
                <w:sz w:val="18"/>
                <w:szCs w:val="18"/>
              </w:rPr>
              <w:t xml:space="preserve">There are some differences in the projected changes between sub-clusters, with a greater decline in soil moisture during winter and spring than in the other seasons in the northern regions, but a greater decline during summer and autumn than in the other seasons in Tasmania. For the Southern Slopes as a whole, the annual changes for RCP8.5 by 2090 range from around -14 to -3 % with very high model agreement on substantial decrease. </w:t>
            </w:r>
            <w:r>
              <w:rPr>
                <w:rFonts w:asciiTheme="minorHAnsi" w:hAnsiTheme="minorHAnsi" w:cstheme="minorHAnsi"/>
                <w:color w:val="313E37"/>
                <w:sz w:val="18"/>
                <w:szCs w:val="18"/>
              </w:rPr>
              <w:t>T</w:t>
            </w:r>
            <w:r w:rsidRPr="003959DD">
              <w:rPr>
                <w:rFonts w:asciiTheme="minorHAnsi" w:hAnsiTheme="minorHAnsi" w:cstheme="minorHAnsi"/>
                <w:color w:val="313E37"/>
                <w:sz w:val="18"/>
                <w:szCs w:val="18"/>
              </w:rPr>
              <w:t xml:space="preserve">he projected decrease in soil moisture is given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However, due to the potential limitations of this method, there is only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the magnitude of change indicated here</w:t>
            </w:r>
            <w:r>
              <w:rPr>
                <w:rFonts w:asciiTheme="minorHAnsi" w:hAnsiTheme="minorHAnsi" w:cstheme="minorHAnsi"/>
                <w:color w:val="313E37"/>
                <w:sz w:val="18"/>
                <w:szCs w:val="18"/>
              </w:rPr>
              <w:t>.</w:t>
            </w:r>
          </w:p>
          <w:p w14:paraId="47404E81" w14:textId="7A153B96" w:rsidR="00ED79BB" w:rsidRPr="00ED79BB" w:rsidRDefault="00ED79BB"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Runoff</w:t>
            </w:r>
            <w:r w:rsidRPr="003959DD">
              <w:rPr>
                <w:rFonts w:asciiTheme="minorHAnsi" w:hAnsiTheme="minorHAnsi" w:cstheme="minorHAnsi"/>
                <w:color w:val="313E37"/>
                <w:sz w:val="18"/>
                <w:szCs w:val="18"/>
              </w:rPr>
              <w:t xml:space="preserve"> projected to decrease under RCP4.5 and RCP8.5 by 2090. </w:t>
            </w:r>
            <w:r>
              <w:rPr>
                <w:rFonts w:asciiTheme="minorHAnsi" w:hAnsiTheme="minorHAnsi" w:cstheme="minorHAnsi"/>
                <w:color w:val="313E37"/>
                <w:sz w:val="18"/>
                <w:szCs w:val="18"/>
              </w:rPr>
              <w:t>T</w:t>
            </w:r>
            <w:r w:rsidRPr="003959DD">
              <w:rPr>
                <w:rFonts w:asciiTheme="minorHAnsi" w:hAnsiTheme="minorHAnsi" w:cstheme="minorHAnsi"/>
                <w:color w:val="313E37"/>
                <w:sz w:val="18"/>
                <w:szCs w:val="18"/>
              </w:rPr>
              <w:t xml:space="preserve">here is </w:t>
            </w:r>
            <w:r w:rsidRPr="00A32F25">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in the direction of change, but due to the limitations in the methods the magnitudes of change cannot be reliably projected</w:t>
            </w:r>
            <w:r>
              <w:rPr>
                <w:rFonts w:asciiTheme="minorHAnsi" w:hAnsiTheme="minorHAnsi" w:cstheme="minorHAnsi"/>
                <w:color w:val="313E37"/>
                <w:sz w:val="18"/>
                <w:szCs w:val="18"/>
              </w:rPr>
              <w:t>.</w:t>
            </w:r>
            <w:r w:rsidRPr="003959DD">
              <w:rPr>
                <w:rFonts w:asciiTheme="minorHAnsi" w:hAnsiTheme="minorHAnsi" w:cstheme="minorHAnsi"/>
                <w:color w:val="313E37"/>
                <w:sz w:val="18"/>
                <w:szCs w:val="18"/>
              </w:rPr>
              <w:t xml:space="preserve">   </w:t>
            </w:r>
          </w:p>
          <w:p w14:paraId="04614A24" w14:textId="6CA1DA07" w:rsidR="006A2094" w:rsidRPr="00ED79BB" w:rsidRDefault="006A2094" w:rsidP="009250B8">
            <w:pPr>
              <w:numPr>
                <w:ilvl w:val="0"/>
                <w:numId w:val="17"/>
              </w:numPr>
              <w:tabs>
                <w:tab w:val="clear" w:pos="720"/>
              </w:tabs>
              <w:ind w:left="315" w:right="136" w:hanging="284"/>
              <w:rPr>
                <w:rFonts w:asciiTheme="minorHAnsi" w:hAnsiTheme="minorHAnsi" w:cstheme="minorHAnsi"/>
                <w:color w:val="313E37"/>
                <w:sz w:val="18"/>
                <w:szCs w:val="18"/>
              </w:rPr>
            </w:pPr>
            <w:r w:rsidRPr="00ED79BB">
              <w:rPr>
                <w:rFonts w:asciiTheme="minorHAnsi" w:hAnsiTheme="minorHAnsi" w:cstheme="minorHAnsi"/>
                <w:color w:val="313E37"/>
                <w:sz w:val="18"/>
                <w:szCs w:val="18"/>
              </w:rPr>
              <w:t xml:space="preserve">An increase in </w:t>
            </w:r>
            <w:r w:rsidRPr="00ED79BB">
              <w:rPr>
                <w:rFonts w:asciiTheme="minorHAnsi" w:hAnsiTheme="minorHAnsi" w:cstheme="minorHAnsi"/>
                <w:color w:val="FF0000"/>
                <w:sz w:val="18"/>
                <w:szCs w:val="18"/>
              </w:rPr>
              <w:t>solar radiation</w:t>
            </w:r>
            <w:r w:rsidRPr="00ED79BB">
              <w:rPr>
                <w:rFonts w:asciiTheme="minorHAnsi" w:hAnsiTheme="minorHAnsi" w:cstheme="minorHAnsi"/>
                <w:color w:val="313E37"/>
                <w:sz w:val="18"/>
                <w:szCs w:val="18"/>
              </w:rPr>
              <w:t xml:space="preserve"> and a decrease in relative humidity is projected in the cool season through the century (</w:t>
            </w:r>
            <w:r w:rsidRPr="00ED79BB">
              <w:rPr>
                <w:rFonts w:asciiTheme="minorHAnsi" w:hAnsiTheme="minorHAnsi" w:cstheme="minorHAnsi"/>
                <w:i/>
                <w:iCs/>
                <w:color w:val="313E37"/>
                <w:sz w:val="18"/>
                <w:szCs w:val="18"/>
              </w:rPr>
              <w:t>high confidence</w:t>
            </w:r>
            <w:r w:rsidRPr="00ED79BB">
              <w:rPr>
                <w:rFonts w:asciiTheme="minorHAnsi" w:hAnsiTheme="minorHAnsi" w:cstheme="minorHAnsi"/>
                <w:color w:val="313E37"/>
                <w:sz w:val="18"/>
                <w:szCs w:val="18"/>
              </w:rPr>
              <w:t>). This will be influenced by changes in rainfall (and associated changes to cloudiness) and temperature in the cluster. Changes in summer and autumn are less clear.</w:t>
            </w:r>
          </w:p>
          <w:p w14:paraId="05D5FA2C" w14:textId="7D43F947" w:rsidR="006A2094" w:rsidRPr="00ED79BB" w:rsidRDefault="006A2094" w:rsidP="009250B8">
            <w:pPr>
              <w:numPr>
                <w:ilvl w:val="0"/>
                <w:numId w:val="17"/>
              </w:numPr>
              <w:ind w:left="315" w:right="136" w:hanging="284"/>
              <w:rPr>
                <w:rFonts w:asciiTheme="minorHAnsi" w:hAnsiTheme="minorHAnsi" w:cstheme="minorHAnsi"/>
                <w:color w:val="313E37"/>
                <w:sz w:val="18"/>
                <w:szCs w:val="18"/>
              </w:rPr>
            </w:pPr>
            <w:r w:rsidRPr="00ED79BB">
              <w:rPr>
                <w:rFonts w:asciiTheme="minorHAnsi" w:hAnsiTheme="minorHAnsi" w:cstheme="minorHAnsi"/>
                <w:color w:val="313E37"/>
                <w:sz w:val="18"/>
                <w:szCs w:val="18"/>
              </w:rPr>
              <w:t xml:space="preserve">There is high confidence that climate change will result in a harsher </w:t>
            </w:r>
            <w:r w:rsidRPr="00ED79BB">
              <w:rPr>
                <w:rFonts w:asciiTheme="minorHAnsi" w:hAnsiTheme="minorHAnsi" w:cstheme="minorHAnsi"/>
                <w:color w:val="FF0000"/>
                <w:sz w:val="18"/>
                <w:szCs w:val="18"/>
              </w:rPr>
              <w:t>fire</w:t>
            </w:r>
            <w:r w:rsidRPr="00ED79BB">
              <w:rPr>
                <w:rFonts w:asciiTheme="minorHAnsi" w:hAnsiTheme="minorHAnsi" w:cstheme="minorHAnsi"/>
                <w:color w:val="313E37"/>
                <w:sz w:val="18"/>
                <w:szCs w:val="18"/>
              </w:rPr>
              <w:t>-weather climate in the future. However, there is low confidence in the magnitude of the change to fire weather. This depends on the rainfall projection and its seasonal variation. Relative changes are comparable across all three sub-clusters.</w:t>
            </w:r>
          </w:p>
          <w:p w14:paraId="76350811" w14:textId="77777777" w:rsidR="006A2094" w:rsidRDefault="006A2094" w:rsidP="006A2094">
            <w:pPr>
              <w:ind w:left="720" w:right="136"/>
              <w:rPr>
                <w:rFonts w:asciiTheme="minorHAnsi" w:hAnsiTheme="minorHAnsi" w:cstheme="minorHAnsi"/>
                <w:color w:val="313E37"/>
                <w:sz w:val="20"/>
                <w:szCs w:val="20"/>
              </w:rPr>
            </w:pPr>
          </w:p>
          <w:p w14:paraId="12535A1B" w14:textId="59167D56" w:rsidR="006A2094" w:rsidRDefault="006A2094" w:rsidP="00802F49">
            <w:pPr>
              <w:ind w:right="136"/>
              <w:rPr>
                <w:noProof/>
              </w:rPr>
            </w:pPr>
            <w:r>
              <w:rPr>
                <w:rFonts w:asciiTheme="minorHAnsi" w:hAnsiTheme="minorHAnsi" w:cstheme="minorHAnsi"/>
                <w:color w:val="313E37"/>
                <w:sz w:val="20"/>
                <w:szCs w:val="20"/>
              </w:rPr>
              <w:t xml:space="preserve">      </w:t>
            </w:r>
          </w:p>
          <w:p w14:paraId="4ED32448" w14:textId="2D9A8BA0" w:rsidR="006A2094" w:rsidRDefault="006A2094" w:rsidP="00802F49">
            <w:pPr>
              <w:ind w:right="136"/>
              <w:rPr>
                <w:rFonts w:asciiTheme="minorHAnsi" w:hAnsiTheme="minorHAnsi" w:cstheme="minorHAnsi"/>
                <w:color w:val="313E37"/>
                <w:sz w:val="20"/>
                <w:szCs w:val="20"/>
              </w:rPr>
            </w:pPr>
          </w:p>
          <w:p w14:paraId="22B47CD3" w14:textId="77777777" w:rsidR="006A2094" w:rsidRPr="00EF238F" w:rsidRDefault="006A2094" w:rsidP="00802F49">
            <w:pPr>
              <w:ind w:right="136"/>
              <w:rPr>
                <w:rFonts w:asciiTheme="minorHAnsi" w:hAnsiTheme="minorHAnsi" w:cstheme="minorHAnsi"/>
                <w:color w:val="313E37"/>
                <w:sz w:val="20"/>
                <w:szCs w:val="20"/>
              </w:rPr>
            </w:pPr>
          </w:p>
        </w:tc>
      </w:tr>
    </w:tbl>
    <w:p w14:paraId="38719E74" w14:textId="2532554F" w:rsidR="006A2094" w:rsidRDefault="006A2094" w:rsidP="00852CC1">
      <w:pPr>
        <w:pStyle w:val="BodyText"/>
      </w:pPr>
    </w:p>
    <w:tbl>
      <w:tblPr>
        <w:tblStyle w:val="TableGrid"/>
        <w:tblW w:w="0" w:type="auto"/>
        <w:tblLook w:val="04A0" w:firstRow="1" w:lastRow="0" w:firstColumn="1" w:lastColumn="0" w:noHBand="0" w:noVBand="1"/>
      </w:tblPr>
      <w:tblGrid>
        <w:gridCol w:w="2263"/>
        <w:gridCol w:w="7365"/>
      </w:tblGrid>
      <w:tr w:rsidR="006A2094" w14:paraId="2A9D2AAF" w14:textId="77777777" w:rsidTr="1F802AF8">
        <w:trPr>
          <w:trHeight w:val="329"/>
        </w:trPr>
        <w:tc>
          <w:tcPr>
            <w:tcW w:w="9628" w:type="dxa"/>
            <w:gridSpan w:val="2"/>
          </w:tcPr>
          <w:p w14:paraId="1DADAB9B" w14:textId="3CFF798F" w:rsidR="006A2094" w:rsidRPr="00EF238F" w:rsidRDefault="006A2094" w:rsidP="00802F49">
            <w:pPr>
              <w:pStyle w:val="BodyText"/>
              <w:rPr>
                <w:b/>
                <w:bCs/>
                <w:sz w:val="20"/>
              </w:rPr>
            </w:pPr>
            <w:r>
              <w:rPr>
                <w:b/>
                <w:bCs/>
                <w:sz w:val="20"/>
              </w:rPr>
              <w:lastRenderedPageBreak/>
              <w:t>Southern Slopes Tasmania East</w:t>
            </w:r>
          </w:p>
        </w:tc>
      </w:tr>
      <w:tr w:rsidR="006A2094" w14:paraId="45004A06" w14:textId="77777777" w:rsidTr="1F802AF8">
        <w:trPr>
          <w:trHeight w:val="1815"/>
        </w:trPr>
        <w:tc>
          <w:tcPr>
            <w:tcW w:w="2263" w:type="dxa"/>
          </w:tcPr>
          <w:p w14:paraId="6A7B3917" w14:textId="3629BAE6" w:rsidR="006A2094" w:rsidRDefault="006A2094" w:rsidP="00802F49">
            <w:pPr>
              <w:pStyle w:val="BodyText"/>
            </w:pPr>
            <w:r>
              <w:rPr>
                <w:noProof/>
              </w:rPr>
              <w:drawing>
                <wp:inline distT="0" distB="0" distL="0" distR="0" wp14:anchorId="79F3E783" wp14:editId="6239C34F">
                  <wp:extent cx="1222130" cy="1030403"/>
                  <wp:effectExtent l="0" t="0" r="0" b="0"/>
                  <wp:docPr id="1698780486" name="Picture 136324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245502"/>
                          <pic:cNvPicPr/>
                        </pic:nvPicPr>
                        <pic:blipFill>
                          <a:blip r:embed="rId311">
                            <a:extLst>
                              <a:ext uri="{28A0092B-C50C-407E-A947-70E740481C1C}">
                                <a14:useLocalDpi xmlns:a14="http://schemas.microsoft.com/office/drawing/2010/main" val="0"/>
                              </a:ext>
                            </a:extLst>
                          </a:blip>
                          <a:stretch>
                            <a:fillRect/>
                          </a:stretch>
                        </pic:blipFill>
                        <pic:spPr>
                          <a:xfrm>
                            <a:off x="0" y="0"/>
                            <a:ext cx="1222130" cy="1030403"/>
                          </a:xfrm>
                          <a:prstGeom prst="rect">
                            <a:avLst/>
                          </a:prstGeom>
                        </pic:spPr>
                      </pic:pic>
                    </a:graphicData>
                  </a:graphic>
                </wp:inline>
              </w:drawing>
            </w:r>
          </w:p>
        </w:tc>
        <w:tc>
          <w:tcPr>
            <w:tcW w:w="7365" w:type="dxa"/>
          </w:tcPr>
          <w:p w14:paraId="144A0611" w14:textId="77777777" w:rsidR="006A2094" w:rsidRDefault="006A2094" w:rsidP="00802F49">
            <w:pPr>
              <w:pStyle w:val="BodyText"/>
              <w:rPr>
                <w:b/>
                <w:bCs/>
                <w:sz w:val="20"/>
              </w:rPr>
            </w:pPr>
            <w:r w:rsidRPr="00EF238F">
              <w:rPr>
                <w:b/>
                <w:bCs/>
                <w:sz w:val="20"/>
              </w:rPr>
              <w:t>ERF Activity</w:t>
            </w:r>
            <w:r>
              <w:rPr>
                <w:b/>
                <w:bCs/>
                <w:sz w:val="20"/>
              </w:rPr>
              <w:tab/>
            </w:r>
            <w:r>
              <w:rPr>
                <w:b/>
                <w:bCs/>
                <w:sz w:val="20"/>
              </w:rPr>
              <w:tab/>
            </w:r>
            <w:r>
              <w:rPr>
                <w:b/>
                <w:bCs/>
                <w:sz w:val="20"/>
              </w:rPr>
              <w:tab/>
            </w:r>
            <w:r>
              <w:rPr>
                <w:b/>
                <w:bCs/>
                <w:sz w:val="20"/>
              </w:rPr>
              <w:tab/>
              <w:t>n projects</w:t>
            </w:r>
            <w:r>
              <w:rPr>
                <w:b/>
                <w:bCs/>
                <w:sz w:val="20"/>
              </w:rPr>
              <w:tab/>
              <w:t>Area (ha)</w:t>
            </w:r>
          </w:p>
          <w:p w14:paraId="20EDA83A" w14:textId="3D17BDED" w:rsidR="006A2094" w:rsidRPr="006A2094" w:rsidRDefault="006A2094" w:rsidP="006A2094">
            <w:pPr>
              <w:pStyle w:val="BodyText"/>
              <w:spacing w:before="0" w:after="0" w:line="240" w:lineRule="auto"/>
              <w:rPr>
                <w:sz w:val="20"/>
              </w:rPr>
            </w:pPr>
            <w:r w:rsidRPr="006A2094">
              <w:rPr>
                <w:sz w:val="20"/>
              </w:rPr>
              <w:t>Management of agricultural soils</w:t>
            </w:r>
            <w:r w:rsidRPr="006A2094">
              <w:rPr>
                <w:sz w:val="20"/>
              </w:rPr>
              <w:tab/>
            </w:r>
            <w:r>
              <w:rPr>
                <w:sz w:val="20"/>
              </w:rPr>
              <w:tab/>
            </w:r>
            <w:r w:rsidRPr="006A2094">
              <w:rPr>
                <w:sz w:val="20"/>
              </w:rPr>
              <w:t>1</w:t>
            </w:r>
            <w:r>
              <w:rPr>
                <w:sz w:val="20"/>
              </w:rPr>
              <w:tab/>
            </w:r>
            <w:r w:rsidRPr="006A2094">
              <w:rPr>
                <w:sz w:val="20"/>
              </w:rPr>
              <w:tab/>
              <w:t xml:space="preserve"> 175 </w:t>
            </w:r>
          </w:p>
          <w:p w14:paraId="76D7846D" w14:textId="44CD9416" w:rsidR="006A2094" w:rsidRPr="0054376E" w:rsidRDefault="006A2094" w:rsidP="006A2094">
            <w:pPr>
              <w:pStyle w:val="BodyText"/>
              <w:spacing w:before="0" w:after="0" w:line="240" w:lineRule="auto"/>
              <w:rPr>
                <w:sz w:val="20"/>
              </w:rPr>
            </w:pPr>
            <w:r w:rsidRPr="006A2094">
              <w:rPr>
                <w:sz w:val="20"/>
              </w:rPr>
              <w:t>Planting of new forests</w:t>
            </w:r>
            <w:r w:rsidRPr="006A2094">
              <w:rPr>
                <w:sz w:val="20"/>
              </w:rPr>
              <w:tab/>
            </w:r>
            <w:r>
              <w:rPr>
                <w:sz w:val="20"/>
              </w:rPr>
              <w:tab/>
            </w:r>
            <w:r>
              <w:rPr>
                <w:sz w:val="20"/>
              </w:rPr>
              <w:tab/>
            </w:r>
            <w:r w:rsidRPr="006A2094">
              <w:rPr>
                <w:sz w:val="20"/>
              </w:rPr>
              <w:t>14</w:t>
            </w:r>
            <w:r>
              <w:rPr>
                <w:sz w:val="20"/>
              </w:rPr>
              <w:tab/>
            </w:r>
            <w:r w:rsidRPr="006A2094">
              <w:rPr>
                <w:sz w:val="20"/>
              </w:rPr>
              <w:tab/>
              <w:t xml:space="preserve"> 39,987</w:t>
            </w:r>
          </w:p>
        </w:tc>
      </w:tr>
      <w:tr w:rsidR="006A2094" w14:paraId="0A1EA217" w14:textId="77777777" w:rsidTr="1F802AF8">
        <w:tc>
          <w:tcPr>
            <w:tcW w:w="9628" w:type="dxa"/>
            <w:gridSpan w:val="2"/>
          </w:tcPr>
          <w:p w14:paraId="3724AEE8" w14:textId="77777777" w:rsidR="006A2094" w:rsidRPr="00EF238F" w:rsidRDefault="006A2094" w:rsidP="00802F49">
            <w:pPr>
              <w:ind w:right="136"/>
              <w:rPr>
                <w:rFonts w:asciiTheme="minorHAnsi" w:hAnsiTheme="minorHAnsi" w:cstheme="minorHAnsi"/>
                <w:b/>
                <w:bCs/>
                <w:color w:val="313E37"/>
                <w:sz w:val="20"/>
                <w:szCs w:val="20"/>
              </w:rPr>
            </w:pPr>
            <w:r w:rsidRPr="00EF238F">
              <w:rPr>
                <w:rFonts w:asciiTheme="minorHAnsi" w:hAnsiTheme="minorHAnsi" w:cstheme="minorHAnsi"/>
                <w:b/>
                <w:bCs/>
                <w:color w:val="313E37"/>
                <w:sz w:val="20"/>
                <w:szCs w:val="20"/>
              </w:rPr>
              <w:t>Climate projection summary</w:t>
            </w:r>
          </w:p>
          <w:p w14:paraId="7D633823" w14:textId="743A3AE5" w:rsidR="0040556A" w:rsidRPr="00863FDE" w:rsidRDefault="0040556A" w:rsidP="009250B8">
            <w:pPr>
              <w:numPr>
                <w:ilvl w:val="0"/>
                <w:numId w:val="17"/>
              </w:numPr>
              <w:tabs>
                <w:tab w:val="clear" w:pos="720"/>
              </w:tabs>
              <w:ind w:left="315" w:right="136" w:hanging="315"/>
              <w:rPr>
                <w:rFonts w:asciiTheme="minorHAnsi" w:hAnsiTheme="minorHAnsi" w:cstheme="minorHAnsi"/>
                <w:color w:val="313E37"/>
                <w:sz w:val="18"/>
                <w:szCs w:val="18"/>
              </w:rPr>
            </w:pPr>
            <w:r w:rsidRPr="00863FDE">
              <w:rPr>
                <w:rFonts w:asciiTheme="minorHAnsi" w:hAnsiTheme="minorHAnsi" w:cstheme="minorHAnsi"/>
                <w:color w:val="313E37"/>
                <w:sz w:val="18"/>
                <w:szCs w:val="18"/>
              </w:rPr>
              <w:t>Average temperatures will continue to increase in all seasons (</w:t>
            </w:r>
            <w:r w:rsidRPr="00863FDE">
              <w:rPr>
                <w:rFonts w:asciiTheme="minorHAnsi" w:hAnsiTheme="minorHAnsi" w:cstheme="minorHAnsi"/>
                <w:i/>
                <w:iCs/>
                <w:color w:val="313E37"/>
                <w:sz w:val="18"/>
                <w:szCs w:val="18"/>
              </w:rPr>
              <w:t>very high confidence</w:t>
            </w:r>
            <w:r w:rsidRPr="00863FDE">
              <w:rPr>
                <w:rFonts w:asciiTheme="minorHAnsi" w:hAnsiTheme="minorHAnsi" w:cstheme="minorHAnsi"/>
                <w:color w:val="313E37"/>
                <w:sz w:val="18"/>
                <w:szCs w:val="18"/>
              </w:rPr>
              <w:t>).</w:t>
            </w:r>
            <w:r w:rsidR="00863FDE" w:rsidRPr="00863FDE">
              <w:rPr>
                <w:rFonts w:asciiTheme="minorHAnsi" w:hAnsiTheme="minorHAnsi" w:cstheme="minorHAnsi"/>
                <w:color w:val="313E37"/>
                <w:sz w:val="18"/>
                <w:szCs w:val="18"/>
              </w:rPr>
              <w:t xml:space="preserve"> For the near future (2030), the annually averaged warming across all emission scenarios is projected to be around 0.4 to 1.1 °C above the climate of 1986–2005. By late in the century (2090), for a high emission scenario (RCP8.5) the projected range of warming is 2.3 to 4.0°C. Under an intermediate scenario (RCP4.5) the projected warming is 0.9 to 1.9 °C.</w:t>
            </w:r>
          </w:p>
          <w:p w14:paraId="29B8C470" w14:textId="77777777" w:rsidR="00863FDE" w:rsidRPr="00863FDE" w:rsidRDefault="00863FDE" w:rsidP="009250B8">
            <w:pPr>
              <w:numPr>
                <w:ilvl w:val="0"/>
                <w:numId w:val="17"/>
              </w:numPr>
              <w:tabs>
                <w:tab w:val="clear" w:pos="720"/>
              </w:tabs>
              <w:ind w:left="315" w:right="136" w:hanging="315"/>
              <w:rPr>
                <w:rFonts w:asciiTheme="minorHAnsi" w:hAnsiTheme="minorHAnsi" w:cstheme="minorHAnsi"/>
                <w:color w:val="313E37"/>
                <w:sz w:val="18"/>
                <w:szCs w:val="18"/>
              </w:rPr>
            </w:pPr>
            <w:r w:rsidRPr="00863FDE">
              <w:rPr>
                <w:rFonts w:asciiTheme="minorHAnsi" w:hAnsiTheme="minorHAnsi" w:cstheme="minorHAnsi"/>
                <w:color w:val="FF0000"/>
                <w:sz w:val="18"/>
                <w:szCs w:val="18"/>
              </w:rPr>
              <w:t xml:space="preserve">Extreme temperatures </w:t>
            </w:r>
            <w:r w:rsidRPr="00863FDE">
              <w:rPr>
                <w:rFonts w:asciiTheme="minorHAnsi" w:hAnsiTheme="minorHAnsi" w:cstheme="minorHAnsi"/>
                <w:color w:val="313E37"/>
                <w:sz w:val="18"/>
                <w:szCs w:val="18"/>
              </w:rPr>
              <w:t>are projected to increase at a similar rate to mean temperature, with a substantial increase in the temperature reached on hot days, the frequency of hot days, and the duration of warm spells (</w:t>
            </w:r>
            <w:r w:rsidRPr="00863FDE">
              <w:rPr>
                <w:rFonts w:asciiTheme="minorHAnsi" w:hAnsiTheme="minorHAnsi" w:cstheme="minorHAnsi"/>
                <w:i/>
                <w:iCs/>
                <w:color w:val="313E37"/>
                <w:sz w:val="18"/>
                <w:szCs w:val="18"/>
              </w:rPr>
              <w:t>very high confidence</w:t>
            </w:r>
            <w:r w:rsidRPr="00863FDE">
              <w:rPr>
                <w:rFonts w:asciiTheme="minorHAnsi" w:hAnsiTheme="minorHAnsi" w:cstheme="minorHAnsi"/>
                <w:color w:val="313E37"/>
                <w:sz w:val="18"/>
                <w:szCs w:val="18"/>
              </w:rPr>
              <w:t>).</w:t>
            </w:r>
          </w:p>
          <w:p w14:paraId="3054BF3A" w14:textId="77777777" w:rsidR="00863FDE" w:rsidRPr="00863FDE" w:rsidRDefault="00863FDE" w:rsidP="009250B8">
            <w:pPr>
              <w:numPr>
                <w:ilvl w:val="0"/>
                <w:numId w:val="17"/>
              </w:numPr>
              <w:tabs>
                <w:tab w:val="clear" w:pos="720"/>
              </w:tabs>
              <w:ind w:left="315" w:right="136" w:hanging="315"/>
              <w:rPr>
                <w:rFonts w:asciiTheme="minorHAnsi" w:hAnsiTheme="minorHAnsi" w:cstheme="minorHAnsi"/>
                <w:color w:val="313E37"/>
                <w:sz w:val="18"/>
                <w:szCs w:val="18"/>
              </w:rPr>
            </w:pPr>
            <w:r w:rsidRPr="00863FDE">
              <w:rPr>
                <w:rFonts w:asciiTheme="minorHAnsi" w:hAnsiTheme="minorHAnsi" w:cstheme="minorHAnsi"/>
                <w:color w:val="FF0000"/>
                <w:sz w:val="18"/>
                <w:szCs w:val="18"/>
              </w:rPr>
              <w:t xml:space="preserve">Frost </w:t>
            </w:r>
            <w:r w:rsidRPr="00863FDE">
              <w:rPr>
                <w:rFonts w:asciiTheme="minorHAnsi" w:hAnsiTheme="minorHAnsi" w:cstheme="minorHAnsi"/>
                <w:color w:val="313E37"/>
                <w:sz w:val="18"/>
                <w:szCs w:val="18"/>
              </w:rPr>
              <w:t>risk days (minimum temperatures under 2 °C) are expected to decrease across the cluster (</w:t>
            </w:r>
            <w:r w:rsidRPr="00863FDE">
              <w:rPr>
                <w:rFonts w:asciiTheme="minorHAnsi" w:hAnsiTheme="minorHAnsi" w:cstheme="minorHAnsi"/>
                <w:i/>
                <w:iCs/>
                <w:color w:val="313E37"/>
                <w:sz w:val="18"/>
                <w:szCs w:val="18"/>
              </w:rPr>
              <w:t>high confidence</w:t>
            </w:r>
            <w:r w:rsidRPr="00863FDE">
              <w:rPr>
                <w:rFonts w:asciiTheme="minorHAnsi" w:hAnsiTheme="minorHAnsi" w:cstheme="minorHAnsi"/>
                <w:color w:val="313E37"/>
                <w:sz w:val="18"/>
                <w:szCs w:val="18"/>
              </w:rPr>
              <w:t>).</w:t>
            </w:r>
          </w:p>
          <w:p w14:paraId="1FE7B6D8" w14:textId="548A7351" w:rsidR="0040556A" w:rsidRPr="00863FDE" w:rsidRDefault="00863FDE" w:rsidP="009250B8">
            <w:pPr>
              <w:numPr>
                <w:ilvl w:val="0"/>
                <w:numId w:val="17"/>
              </w:numPr>
              <w:tabs>
                <w:tab w:val="clear" w:pos="720"/>
              </w:tabs>
              <w:ind w:left="315" w:right="136" w:hanging="315"/>
              <w:rPr>
                <w:rFonts w:asciiTheme="minorHAnsi" w:hAnsiTheme="minorHAnsi" w:cstheme="minorHAnsi"/>
                <w:color w:val="313E37"/>
                <w:sz w:val="18"/>
                <w:szCs w:val="18"/>
              </w:rPr>
            </w:pPr>
            <w:r w:rsidRPr="00863FDE">
              <w:rPr>
                <w:rFonts w:asciiTheme="minorHAnsi" w:hAnsiTheme="minorHAnsi" w:cstheme="minorHAnsi"/>
                <w:color w:val="313E37"/>
                <w:sz w:val="18"/>
                <w:szCs w:val="18"/>
              </w:rPr>
              <w:t xml:space="preserve">In the near future (2030) natural variability in </w:t>
            </w:r>
            <w:r w:rsidRPr="00863FDE">
              <w:rPr>
                <w:rFonts w:asciiTheme="minorHAnsi" w:hAnsiTheme="minorHAnsi" w:cstheme="minorHAnsi"/>
                <w:color w:val="FF0000"/>
                <w:sz w:val="18"/>
                <w:szCs w:val="18"/>
              </w:rPr>
              <w:t>rainfall</w:t>
            </w:r>
            <w:r w:rsidRPr="00863FDE">
              <w:rPr>
                <w:rFonts w:asciiTheme="minorHAnsi" w:hAnsiTheme="minorHAnsi" w:cstheme="minorHAnsi"/>
                <w:color w:val="313E37"/>
                <w:sz w:val="18"/>
                <w:szCs w:val="18"/>
              </w:rPr>
              <w:t xml:space="preserve"> is projected to predominate over trends due to greenhouse gas emissions. Rainfall increases are projected (</w:t>
            </w:r>
            <w:r w:rsidRPr="00863FDE">
              <w:rPr>
                <w:rFonts w:asciiTheme="minorHAnsi" w:hAnsiTheme="minorHAnsi" w:cstheme="minorHAnsi"/>
                <w:i/>
                <w:iCs/>
                <w:color w:val="313E37"/>
                <w:sz w:val="18"/>
                <w:szCs w:val="18"/>
              </w:rPr>
              <w:t>medium confidence</w:t>
            </w:r>
            <w:r w:rsidRPr="00863FDE">
              <w:rPr>
                <w:rFonts w:asciiTheme="minorHAnsi" w:hAnsiTheme="minorHAnsi" w:cstheme="minorHAnsi"/>
                <w:color w:val="313E37"/>
                <w:sz w:val="18"/>
                <w:szCs w:val="18"/>
              </w:rPr>
              <w:t xml:space="preserve">) for SSTE in winter. By the middle of the century, and under high emissions, winter and spring changes are projected to be evident against natural variability. Changes to summer and autumn rainfall are possible but not clear, and regional changes specific to eastern Tasmania are possible. </w:t>
            </w:r>
          </w:p>
          <w:p w14:paraId="175E3D5C" w14:textId="5FE2A8B6" w:rsidR="0040556A" w:rsidRDefault="00863FDE" w:rsidP="009250B8">
            <w:pPr>
              <w:numPr>
                <w:ilvl w:val="0"/>
                <w:numId w:val="17"/>
              </w:numPr>
              <w:tabs>
                <w:tab w:val="clear" w:pos="720"/>
              </w:tabs>
              <w:ind w:left="315" w:right="136" w:hanging="315"/>
              <w:rPr>
                <w:rFonts w:asciiTheme="minorHAnsi" w:hAnsiTheme="minorHAnsi" w:cstheme="minorHAnsi"/>
                <w:color w:val="313E37"/>
                <w:sz w:val="18"/>
                <w:szCs w:val="18"/>
              </w:rPr>
            </w:pPr>
            <w:r w:rsidRPr="00863FDE">
              <w:rPr>
                <w:rFonts w:asciiTheme="minorHAnsi" w:hAnsiTheme="minorHAnsi" w:cstheme="minorHAnsi"/>
                <w:color w:val="313E37"/>
                <w:sz w:val="18"/>
                <w:szCs w:val="18"/>
              </w:rPr>
              <w:t xml:space="preserve">Even though annual mean rainfall is projected to experience little change or decrease in the region, understanding of the physical processes that cause </w:t>
            </w:r>
            <w:r w:rsidRPr="00863FDE">
              <w:rPr>
                <w:rFonts w:asciiTheme="minorHAnsi" w:hAnsiTheme="minorHAnsi" w:cstheme="minorHAnsi"/>
                <w:color w:val="FF0000"/>
                <w:sz w:val="18"/>
                <w:szCs w:val="18"/>
              </w:rPr>
              <w:t>extreme rainfall</w:t>
            </w:r>
            <w:r w:rsidRPr="00863FDE">
              <w:rPr>
                <w:rFonts w:asciiTheme="minorHAnsi" w:hAnsiTheme="minorHAnsi" w:cstheme="minorHAnsi"/>
                <w:color w:val="313E37"/>
                <w:sz w:val="18"/>
                <w:szCs w:val="18"/>
              </w:rPr>
              <w:t xml:space="preserve">, coupled with modelled projections indicate with </w:t>
            </w:r>
            <w:r w:rsidRPr="00863FDE">
              <w:rPr>
                <w:rFonts w:asciiTheme="minorHAnsi" w:hAnsiTheme="minorHAnsi" w:cstheme="minorHAnsi"/>
                <w:i/>
                <w:iCs/>
                <w:color w:val="313E37"/>
                <w:sz w:val="18"/>
                <w:szCs w:val="18"/>
              </w:rPr>
              <w:t>high confidence</w:t>
            </w:r>
            <w:r w:rsidRPr="00863FDE">
              <w:rPr>
                <w:rFonts w:asciiTheme="minorHAnsi" w:hAnsiTheme="minorHAnsi" w:cstheme="minorHAnsi"/>
                <w:color w:val="313E37"/>
                <w:sz w:val="18"/>
                <w:szCs w:val="18"/>
              </w:rPr>
              <w:t xml:space="preserve"> a future increase in the intensity of extreme rainfall events. However, the magnitude of the increases cannot be confidently projected</w:t>
            </w:r>
            <w:r w:rsidR="0040556A" w:rsidRPr="00863FDE">
              <w:rPr>
                <w:rFonts w:asciiTheme="minorHAnsi" w:hAnsiTheme="minorHAnsi" w:cstheme="minorHAnsi"/>
                <w:color w:val="313E37"/>
                <w:sz w:val="18"/>
                <w:szCs w:val="18"/>
              </w:rPr>
              <w:t>.</w:t>
            </w:r>
          </w:p>
          <w:p w14:paraId="27BE1826" w14:textId="77777777" w:rsidR="00863FDE" w:rsidRPr="00ED79BB" w:rsidRDefault="00863FDE" w:rsidP="009250B8">
            <w:pPr>
              <w:numPr>
                <w:ilvl w:val="0"/>
                <w:numId w:val="17"/>
              </w:numPr>
              <w:tabs>
                <w:tab w:val="clear" w:pos="720"/>
              </w:tabs>
              <w:ind w:left="315" w:right="136" w:hanging="284"/>
              <w:rPr>
                <w:rFonts w:asciiTheme="minorHAnsi" w:hAnsiTheme="minorHAnsi" w:cstheme="minorHAnsi"/>
                <w:color w:val="313E37"/>
                <w:sz w:val="18"/>
                <w:szCs w:val="18"/>
              </w:rPr>
            </w:pPr>
            <w:r w:rsidRPr="00007D32">
              <w:rPr>
                <w:rFonts w:asciiTheme="minorHAnsi" w:hAnsiTheme="minorHAnsi" w:cstheme="minorHAnsi"/>
                <w:color w:val="313E37"/>
                <w:sz w:val="18"/>
                <w:szCs w:val="18"/>
              </w:rPr>
              <w:t xml:space="preserve">Time spent in </w:t>
            </w:r>
            <w:r w:rsidRPr="00007D32">
              <w:rPr>
                <w:rFonts w:asciiTheme="minorHAnsi" w:hAnsiTheme="minorHAnsi" w:cstheme="minorHAnsi"/>
                <w:color w:val="FF0000"/>
                <w:sz w:val="18"/>
                <w:szCs w:val="18"/>
              </w:rPr>
              <w:t xml:space="preserve">drought </w:t>
            </w:r>
            <w:r w:rsidRPr="00007D32">
              <w:rPr>
                <w:rFonts w:asciiTheme="minorHAnsi" w:hAnsiTheme="minorHAnsi" w:cstheme="minorHAnsi"/>
                <w:color w:val="313E37"/>
                <w:sz w:val="18"/>
                <w:szCs w:val="18"/>
              </w:rPr>
              <w:t>is projected (</w:t>
            </w:r>
            <w:r w:rsidRPr="00007D32">
              <w:rPr>
                <w:rFonts w:asciiTheme="minorHAnsi" w:hAnsiTheme="minorHAnsi" w:cstheme="minorHAnsi"/>
                <w:i/>
                <w:iCs/>
                <w:color w:val="313E37"/>
                <w:sz w:val="18"/>
                <w:szCs w:val="18"/>
              </w:rPr>
              <w:t xml:space="preserve">with </w:t>
            </w:r>
            <w:r>
              <w:rPr>
                <w:rFonts w:asciiTheme="minorHAnsi" w:hAnsiTheme="minorHAnsi" w:cstheme="minorHAnsi"/>
                <w:i/>
                <w:iCs/>
                <w:color w:val="313E37"/>
                <w:sz w:val="18"/>
                <w:szCs w:val="18"/>
              </w:rPr>
              <w:t>medium</w:t>
            </w:r>
            <w:r w:rsidRPr="00007D32">
              <w:rPr>
                <w:rFonts w:asciiTheme="minorHAnsi" w:hAnsiTheme="minorHAnsi" w:cstheme="minorHAnsi"/>
                <w:i/>
                <w:iCs/>
                <w:color w:val="313E37"/>
                <w:sz w:val="18"/>
                <w:szCs w:val="18"/>
              </w:rPr>
              <w:t xml:space="preserve"> confidence</w:t>
            </w:r>
            <w:r w:rsidRPr="00007D32">
              <w:rPr>
                <w:rFonts w:asciiTheme="minorHAnsi" w:hAnsiTheme="minorHAnsi" w:cstheme="minorHAnsi"/>
                <w:color w:val="313E37"/>
                <w:sz w:val="18"/>
                <w:szCs w:val="18"/>
              </w:rPr>
              <w:t>) to increase over the course of the century.</w:t>
            </w:r>
          </w:p>
          <w:p w14:paraId="1564B171" w14:textId="4E50FB8A" w:rsidR="0040556A" w:rsidRDefault="0040556A" w:rsidP="009250B8">
            <w:pPr>
              <w:numPr>
                <w:ilvl w:val="0"/>
                <w:numId w:val="17"/>
              </w:numPr>
              <w:tabs>
                <w:tab w:val="clear" w:pos="720"/>
              </w:tabs>
              <w:ind w:left="315" w:right="136" w:hanging="315"/>
              <w:rPr>
                <w:rFonts w:asciiTheme="minorHAnsi" w:hAnsiTheme="minorHAnsi" w:cstheme="minorHAnsi"/>
                <w:color w:val="313E37"/>
                <w:sz w:val="18"/>
                <w:szCs w:val="18"/>
              </w:rPr>
            </w:pPr>
            <w:r w:rsidRPr="00863FDE">
              <w:rPr>
                <w:rFonts w:asciiTheme="minorHAnsi" w:hAnsiTheme="minorHAnsi" w:cstheme="minorHAnsi"/>
                <w:color w:val="313E37"/>
                <w:sz w:val="18"/>
                <w:szCs w:val="18"/>
              </w:rPr>
              <w:t xml:space="preserve">Mean </w:t>
            </w:r>
            <w:r w:rsidRPr="00863FDE">
              <w:rPr>
                <w:rFonts w:asciiTheme="minorHAnsi" w:hAnsiTheme="minorHAnsi" w:cstheme="minorHAnsi"/>
                <w:color w:val="FF0000"/>
                <w:sz w:val="18"/>
                <w:szCs w:val="18"/>
              </w:rPr>
              <w:t xml:space="preserve">sea level </w:t>
            </w:r>
            <w:r w:rsidRPr="00863FDE">
              <w:rPr>
                <w:rFonts w:asciiTheme="minorHAnsi" w:hAnsiTheme="minorHAnsi" w:cstheme="minorHAnsi"/>
                <w:color w:val="313E37"/>
                <w:sz w:val="18"/>
                <w:szCs w:val="18"/>
              </w:rPr>
              <w:t>will continue to rise and height of extreme sea-level events will also increase (</w:t>
            </w:r>
            <w:r w:rsidRPr="00863FDE">
              <w:rPr>
                <w:rFonts w:asciiTheme="minorHAnsi" w:hAnsiTheme="minorHAnsi" w:cstheme="minorHAnsi"/>
                <w:i/>
                <w:iCs/>
                <w:color w:val="313E37"/>
                <w:sz w:val="18"/>
                <w:szCs w:val="18"/>
              </w:rPr>
              <w:t>very high confidence</w:t>
            </w:r>
            <w:r w:rsidRPr="00863FDE">
              <w:rPr>
                <w:rFonts w:asciiTheme="minorHAnsi" w:hAnsiTheme="minorHAnsi" w:cstheme="minorHAnsi"/>
                <w:color w:val="313E37"/>
                <w:sz w:val="18"/>
                <w:szCs w:val="18"/>
              </w:rPr>
              <w:t>).</w:t>
            </w:r>
          </w:p>
          <w:p w14:paraId="5EA3E6ED" w14:textId="3F3872BA" w:rsidR="00863FDE" w:rsidRPr="003959DD" w:rsidRDefault="00863FDE" w:rsidP="009250B8">
            <w:pPr>
              <w:numPr>
                <w:ilvl w:val="0"/>
                <w:numId w:val="17"/>
              </w:numPr>
              <w:tabs>
                <w:tab w:val="clear" w:pos="720"/>
              </w:tabs>
              <w:ind w:left="315" w:right="136" w:hanging="284"/>
              <w:rPr>
                <w:rFonts w:asciiTheme="minorHAnsi" w:hAnsiTheme="minorHAnsi" w:cstheme="minorHAnsi"/>
                <w:color w:val="313E37"/>
                <w:sz w:val="18"/>
                <w:szCs w:val="18"/>
              </w:rPr>
            </w:pPr>
            <w:r w:rsidRPr="003959DD">
              <w:rPr>
                <w:rFonts w:asciiTheme="minorHAnsi" w:hAnsiTheme="minorHAnsi" w:cstheme="minorHAnsi"/>
                <w:color w:val="FF0000"/>
                <w:sz w:val="18"/>
                <w:szCs w:val="18"/>
              </w:rPr>
              <w:t xml:space="preserve">Potential evapotranspiration </w:t>
            </w:r>
            <w:r w:rsidRPr="003959DD">
              <w:rPr>
                <w:rFonts w:asciiTheme="minorHAnsi" w:hAnsiTheme="minorHAnsi" w:cstheme="minorHAnsi"/>
                <w:color w:val="313E37"/>
                <w:sz w:val="18"/>
                <w:szCs w:val="18"/>
              </w:rPr>
              <w:t xml:space="preserve">is projected to increase substantially in all seasons in the Southern Slopes, with the largest relative increases in winter and spring. Projected changes for 2030 are less than 10 % in all scenarios, but by 2090 under RCP8.5 increases of about 10 to 20 % are projected in summer and spring, and about 10 to 30 % in autumn and winter. In absolute terms, changes are largest in summer, particularly for </w:t>
            </w:r>
            <w:r w:rsidR="00187AAD" w:rsidRPr="003959DD">
              <w:rPr>
                <w:rFonts w:asciiTheme="minorHAnsi" w:hAnsiTheme="minorHAnsi" w:cstheme="minorHAnsi"/>
                <w:color w:val="313E37"/>
                <w:sz w:val="18"/>
                <w:szCs w:val="18"/>
              </w:rPr>
              <w:t>RCP8.5 is</w:t>
            </w:r>
            <w:r w:rsidRPr="003959DD">
              <w:rPr>
                <w:rFonts w:asciiTheme="minorHAnsi" w:hAnsiTheme="minorHAnsi" w:cstheme="minorHAnsi"/>
                <w:color w:val="313E37"/>
                <w:sz w:val="18"/>
                <w:szCs w:val="18"/>
              </w:rPr>
              <w:t xml:space="preserve"> projected to increase in all seasons as warming progresses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Despite there being high confidence in an increase, there is only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the magnitude of the increase.</w:t>
            </w:r>
          </w:p>
          <w:p w14:paraId="50DF0D81" w14:textId="77777777" w:rsidR="00863FDE" w:rsidRDefault="00863FDE" w:rsidP="009250B8">
            <w:pPr>
              <w:numPr>
                <w:ilvl w:val="0"/>
                <w:numId w:val="17"/>
              </w:numPr>
              <w:tabs>
                <w:tab w:val="clear" w:pos="720"/>
              </w:tabs>
              <w:ind w:left="315" w:right="136" w:hanging="284"/>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A decrease in </w:t>
            </w:r>
            <w:r w:rsidRPr="003959DD">
              <w:rPr>
                <w:rFonts w:asciiTheme="minorHAnsi" w:hAnsiTheme="minorHAnsi" w:cstheme="minorHAnsi"/>
                <w:color w:val="FF0000"/>
                <w:sz w:val="18"/>
                <w:szCs w:val="18"/>
              </w:rPr>
              <w:t xml:space="preserve">relative humidity </w:t>
            </w:r>
            <w:r w:rsidRPr="003959DD">
              <w:rPr>
                <w:rFonts w:asciiTheme="minorHAnsi" w:hAnsiTheme="minorHAnsi" w:cstheme="minorHAnsi"/>
                <w:color w:val="313E37"/>
                <w:sz w:val="18"/>
                <w:szCs w:val="18"/>
              </w:rPr>
              <w:t xml:space="preserve">away from coasts is expected because of the increased moisture holding capacity in a warming atmosphere. The greater warming of land compared to sea leads to increases in relative humidity over ocean and to decreases over continents. This general tendency to decrease can be counteracted by a strong rainfall increase. Taking this and the CMIP5 projections into account, there is high confidence in little change for 2030. By 2090, there is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decrease for summer and autumn, while for winter and spring there is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in decrease. </w:t>
            </w:r>
          </w:p>
          <w:p w14:paraId="1815EDED" w14:textId="77777777" w:rsidR="00863FDE" w:rsidRDefault="00863FDE"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313E37"/>
                <w:sz w:val="18"/>
                <w:szCs w:val="18"/>
              </w:rPr>
              <w:t xml:space="preserve">Decreases in </w:t>
            </w:r>
            <w:r w:rsidRPr="003959DD">
              <w:rPr>
                <w:rFonts w:asciiTheme="minorHAnsi" w:hAnsiTheme="minorHAnsi" w:cstheme="minorHAnsi"/>
                <w:color w:val="FF0000"/>
                <w:sz w:val="18"/>
                <w:szCs w:val="18"/>
              </w:rPr>
              <w:t xml:space="preserve">soil moisture </w:t>
            </w:r>
            <w:r w:rsidRPr="003959DD">
              <w:rPr>
                <w:rFonts w:asciiTheme="minorHAnsi" w:hAnsiTheme="minorHAnsi" w:cstheme="minorHAnsi"/>
                <w:color w:val="313E37"/>
                <w:sz w:val="18"/>
                <w:szCs w:val="18"/>
              </w:rPr>
              <w:t xml:space="preserve">are projected in all seasons </w:t>
            </w:r>
            <w:r>
              <w:rPr>
                <w:rFonts w:asciiTheme="minorHAnsi" w:hAnsiTheme="minorHAnsi" w:cstheme="minorHAnsi"/>
                <w:color w:val="313E37"/>
                <w:sz w:val="18"/>
                <w:szCs w:val="18"/>
              </w:rPr>
              <w:t>.</w:t>
            </w:r>
            <w:r w:rsidRPr="003959DD">
              <w:rPr>
                <w:rFonts w:asciiTheme="minorHAnsi" w:hAnsiTheme="minorHAnsi" w:cstheme="minorHAnsi"/>
                <w:color w:val="313E37"/>
                <w:sz w:val="18"/>
                <w:szCs w:val="18"/>
              </w:rPr>
              <w:t xml:space="preserve">There are some differences in the projected changes between sub-clusters, with a greater decline in soil moisture during winter and spring than in the other seasons in the northern regions, but a greater decline during summer and autumn than in the other seasons in Tasmania. For the Southern Slopes as a whole, the annual changes for RCP8.5 by 2090 range from around -14 to -3 % with very high model agreement on substantial decrease. </w:t>
            </w:r>
            <w:r>
              <w:rPr>
                <w:rFonts w:asciiTheme="minorHAnsi" w:hAnsiTheme="minorHAnsi" w:cstheme="minorHAnsi"/>
                <w:color w:val="313E37"/>
                <w:sz w:val="18"/>
                <w:szCs w:val="18"/>
              </w:rPr>
              <w:t>T</w:t>
            </w:r>
            <w:r w:rsidRPr="003959DD">
              <w:rPr>
                <w:rFonts w:asciiTheme="minorHAnsi" w:hAnsiTheme="minorHAnsi" w:cstheme="minorHAnsi"/>
                <w:color w:val="313E37"/>
                <w:sz w:val="18"/>
                <w:szCs w:val="18"/>
              </w:rPr>
              <w:t xml:space="preserve">he projected decrease in soil moisture is given </w:t>
            </w:r>
            <w:r w:rsidRPr="003959DD">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However, due to the potential limitations of this method, there is only </w:t>
            </w:r>
            <w:r w:rsidRPr="003959DD">
              <w:rPr>
                <w:rFonts w:asciiTheme="minorHAnsi" w:hAnsiTheme="minorHAnsi" w:cstheme="minorHAnsi"/>
                <w:i/>
                <w:iCs/>
                <w:color w:val="313E37"/>
                <w:sz w:val="18"/>
                <w:szCs w:val="18"/>
              </w:rPr>
              <w:t>medium confidence</w:t>
            </w:r>
            <w:r w:rsidRPr="003959DD">
              <w:rPr>
                <w:rFonts w:asciiTheme="minorHAnsi" w:hAnsiTheme="minorHAnsi" w:cstheme="minorHAnsi"/>
                <w:color w:val="313E37"/>
                <w:sz w:val="18"/>
                <w:szCs w:val="18"/>
              </w:rPr>
              <w:t xml:space="preserve"> in the magnitude of change indicated here</w:t>
            </w:r>
            <w:r>
              <w:rPr>
                <w:rFonts w:asciiTheme="minorHAnsi" w:hAnsiTheme="minorHAnsi" w:cstheme="minorHAnsi"/>
                <w:color w:val="313E37"/>
                <w:sz w:val="18"/>
                <w:szCs w:val="18"/>
              </w:rPr>
              <w:t>.</w:t>
            </w:r>
          </w:p>
          <w:p w14:paraId="1C554B55" w14:textId="77777777" w:rsidR="00863FDE" w:rsidRPr="00ED79BB" w:rsidRDefault="00863FDE" w:rsidP="009250B8">
            <w:pPr>
              <w:numPr>
                <w:ilvl w:val="0"/>
                <w:numId w:val="17"/>
              </w:numPr>
              <w:tabs>
                <w:tab w:val="clear" w:pos="720"/>
              </w:tabs>
              <w:ind w:left="315" w:right="136" w:hanging="315"/>
              <w:rPr>
                <w:rFonts w:asciiTheme="minorHAnsi" w:hAnsiTheme="minorHAnsi" w:cstheme="minorHAnsi"/>
                <w:color w:val="313E37"/>
                <w:sz w:val="18"/>
                <w:szCs w:val="18"/>
              </w:rPr>
            </w:pPr>
            <w:r w:rsidRPr="003959DD">
              <w:rPr>
                <w:rFonts w:asciiTheme="minorHAnsi" w:hAnsiTheme="minorHAnsi" w:cstheme="minorHAnsi"/>
                <w:color w:val="FF0000"/>
                <w:sz w:val="18"/>
                <w:szCs w:val="18"/>
              </w:rPr>
              <w:t>Runoff</w:t>
            </w:r>
            <w:r w:rsidRPr="003959DD">
              <w:rPr>
                <w:rFonts w:asciiTheme="minorHAnsi" w:hAnsiTheme="minorHAnsi" w:cstheme="minorHAnsi"/>
                <w:color w:val="313E37"/>
                <w:sz w:val="18"/>
                <w:szCs w:val="18"/>
              </w:rPr>
              <w:t xml:space="preserve"> projected to decrease under RCP4.5 and RCP8.5 by 2090. </w:t>
            </w:r>
            <w:r>
              <w:rPr>
                <w:rFonts w:asciiTheme="minorHAnsi" w:hAnsiTheme="minorHAnsi" w:cstheme="minorHAnsi"/>
                <w:color w:val="313E37"/>
                <w:sz w:val="18"/>
                <w:szCs w:val="18"/>
              </w:rPr>
              <w:t>T</w:t>
            </w:r>
            <w:r w:rsidRPr="003959DD">
              <w:rPr>
                <w:rFonts w:asciiTheme="minorHAnsi" w:hAnsiTheme="minorHAnsi" w:cstheme="minorHAnsi"/>
                <w:color w:val="313E37"/>
                <w:sz w:val="18"/>
                <w:szCs w:val="18"/>
              </w:rPr>
              <w:t xml:space="preserve">here is </w:t>
            </w:r>
            <w:r w:rsidRPr="00A32F25">
              <w:rPr>
                <w:rFonts w:asciiTheme="minorHAnsi" w:hAnsiTheme="minorHAnsi" w:cstheme="minorHAnsi"/>
                <w:i/>
                <w:iCs/>
                <w:color w:val="313E37"/>
                <w:sz w:val="18"/>
                <w:szCs w:val="18"/>
              </w:rPr>
              <w:t>high confidence</w:t>
            </w:r>
            <w:r w:rsidRPr="003959DD">
              <w:rPr>
                <w:rFonts w:asciiTheme="minorHAnsi" w:hAnsiTheme="minorHAnsi" w:cstheme="minorHAnsi"/>
                <w:color w:val="313E37"/>
                <w:sz w:val="18"/>
                <w:szCs w:val="18"/>
              </w:rPr>
              <w:t xml:space="preserve"> in the direction of change, but due to the limitations in the methods the magnitudes of change cannot be reliably projected</w:t>
            </w:r>
            <w:r>
              <w:rPr>
                <w:rFonts w:asciiTheme="minorHAnsi" w:hAnsiTheme="minorHAnsi" w:cstheme="minorHAnsi"/>
                <w:color w:val="313E37"/>
                <w:sz w:val="18"/>
                <w:szCs w:val="18"/>
              </w:rPr>
              <w:t>.</w:t>
            </w:r>
            <w:r w:rsidRPr="003959DD">
              <w:rPr>
                <w:rFonts w:asciiTheme="minorHAnsi" w:hAnsiTheme="minorHAnsi" w:cstheme="minorHAnsi"/>
                <w:color w:val="313E37"/>
                <w:sz w:val="18"/>
                <w:szCs w:val="18"/>
              </w:rPr>
              <w:t xml:space="preserve">   </w:t>
            </w:r>
          </w:p>
          <w:p w14:paraId="0A5A5D4F" w14:textId="2E563A8A" w:rsidR="0040556A" w:rsidRPr="00863FDE" w:rsidRDefault="0040556A" w:rsidP="009250B8">
            <w:pPr>
              <w:numPr>
                <w:ilvl w:val="0"/>
                <w:numId w:val="17"/>
              </w:numPr>
              <w:tabs>
                <w:tab w:val="clear" w:pos="720"/>
              </w:tabs>
              <w:ind w:left="315" w:right="136" w:hanging="315"/>
              <w:rPr>
                <w:rFonts w:asciiTheme="minorHAnsi" w:hAnsiTheme="minorHAnsi" w:cstheme="minorHAnsi"/>
                <w:color w:val="313E37"/>
                <w:sz w:val="18"/>
                <w:szCs w:val="18"/>
              </w:rPr>
            </w:pPr>
            <w:r w:rsidRPr="00863FDE">
              <w:rPr>
                <w:rFonts w:asciiTheme="minorHAnsi" w:hAnsiTheme="minorHAnsi" w:cstheme="minorHAnsi"/>
                <w:color w:val="313E37"/>
                <w:sz w:val="18"/>
                <w:szCs w:val="18"/>
              </w:rPr>
              <w:t xml:space="preserve">An increase in </w:t>
            </w:r>
            <w:r w:rsidRPr="00863FDE">
              <w:rPr>
                <w:rFonts w:asciiTheme="minorHAnsi" w:hAnsiTheme="minorHAnsi" w:cstheme="minorHAnsi"/>
                <w:color w:val="FF0000"/>
                <w:sz w:val="18"/>
                <w:szCs w:val="18"/>
              </w:rPr>
              <w:t xml:space="preserve">solar radiation </w:t>
            </w:r>
            <w:r w:rsidRPr="00863FDE">
              <w:rPr>
                <w:rFonts w:asciiTheme="minorHAnsi" w:hAnsiTheme="minorHAnsi" w:cstheme="minorHAnsi"/>
                <w:color w:val="313E37"/>
                <w:sz w:val="18"/>
                <w:szCs w:val="18"/>
              </w:rPr>
              <w:t>and a decrease in relative humidity is projected in the cool season through the century (</w:t>
            </w:r>
            <w:r w:rsidRPr="00863FDE">
              <w:rPr>
                <w:rFonts w:asciiTheme="minorHAnsi" w:hAnsiTheme="minorHAnsi" w:cstheme="minorHAnsi"/>
                <w:i/>
                <w:iCs/>
                <w:color w:val="313E37"/>
                <w:sz w:val="18"/>
                <w:szCs w:val="18"/>
              </w:rPr>
              <w:t>high confidence</w:t>
            </w:r>
            <w:r w:rsidRPr="00863FDE">
              <w:rPr>
                <w:rFonts w:asciiTheme="minorHAnsi" w:hAnsiTheme="minorHAnsi" w:cstheme="minorHAnsi"/>
                <w:color w:val="313E37"/>
                <w:sz w:val="18"/>
                <w:szCs w:val="18"/>
              </w:rPr>
              <w:t>). This will be influenced by changes in rainfall (and associated changes to cloudiness) and temperature in the cluster. Changes in summer and autumn are less clear.</w:t>
            </w:r>
          </w:p>
          <w:p w14:paraId="52F7E64F" w14:textId="2AC489EF" w:rsidR="0040556A" w:rsidRPr="00863FDE" w:rsidRDefault="0040556A" w:rsidP="009250B8">
            <w:pPr>
              <w:numPr>
                <w:ilvl w:val="0"/>
                <w:numId w:val="17"/>
              </w:numPr>
              <w:tabs>
                <w:tab w:val="clear" w:pos="720"/>
              </w:tabs>
              <w:ind w:left="315" w:right="136" w:hanging="315"/>
              <w:rPr>
                <w:rFonts w:asciiTheme="minorHAnsi" w:hAnsiTheme="minorHAnsi" w:cstheme="minorHAnsi"/>
                <w:color w:val="313E37"/>
                <w:sz w:val="18"/>
                <w:szCs w:val="18"/>
              </w:rPr>
            </w:pPr>
            <w:r w:rsidRPr="00863FDE">
              <w:rPr>
                <w:rFonts w:asciiTheme="minorHAnsi" w:hAnsiTheme="minorHAnsi" w:cstheme="minorHAnsi"/>
                <w:color w:val="313E37"/>
                <w:sz w:val="18"/>
                <w:szCs w:val="18"/>
              </w:rPr>
              <w:t xml:space="preserve">There is </w:t>
            </w:r>
            <w:r w:rsidRPr="00863FDE">
              <w:rPr>
                <w:rFonts w:asciiTheme="minorHAnsi" w:hAnsiTheme="minorHAnsi" w:cstheme="minorHAnsi"/>
                <w:i/>
                <w:iCs/>
                <w:color w:val="313E37"/>
                <w:sz w:val="18"/>
                <w:szCs w:val="18"/>
              </w:rPr>
              <w:t>high confidence</w:t>
            </w:r>
            <w:r w:rsidRPr="00863FDE">
              <w:rPr>
                <w:rFonts w:asciiTheme="minorHAnsi" w:hAnsiTheme="minorHAnsi" w:cstheme="minorHAnsi"/>
                <w:color w:val="313E37"/>
                <w:sz w:val="18"/>
                <w:szCs w:val="18"/>
              </w:rPr>
              <w:t xml:space="preserve"> that climate change will result in a harsher </w:t>
            </w:r>
            <w:r w:rsidRPr="00863FDE">
              <w:rPr>
                <w:rFonts w:asciiTheme="minorHAnsi" w:hAnsiTheme="minorHAnsi" w:cstheme="minorHAnsi"/>
                <w:color w:val="FF0000"/>
                <w:sz w:val="18"/>
                <w:szCs w:val="18"/>
              </w:rPr>
              <w:t>fire</w:t>
            </w:r>
            <w:r w:rsidRPr="00863FDE">
              <w:rPr>
                <w:rFonts w:asciiTheme="minorHAnsi" w:hAnsiTheme="minorHAnsi" w:cstheme="minorHAnsi"/>
                <w:color w:val="313E37"/>
                <w:sz w:val="18"/>
                <w:szCs w:val="18"/>
              </w:rPr>
              <w:t>-weather climate in the future. However, there is low confidence in the magnitude of the change to fire weather. This depends on the rainfall projection and its seasonal variation. Relative changes are comparable across all three sub-clusters.</w:t>
            </w:r>
          </w:p>
          <w:p w14:paraId="5CEF2AD0" w14:textId="77777777" w:rsidR="006A2094" w:rsidRDefault="006A2094" w:rsidP="00802F49">
            <w:pPr>
              <w:ind w:left="720" w:right="136"/>
              <w:rPr>
                <w:rFonts w:asciiTheme="minorHAnsi" w:hAnsiTheme="minorHAnsi" w:cstheme="minorHAnsi"/>
                <w:color w:val="313E37"/>
                <w:sz w:val="20"/>
                <w:szCs w:val="20"/>
              </w:rPr>
            </w:pPr>
          </w:p>
          <w:p w14:paraId="6559ACCA" w14:textId="77777777" w:rsidR="006A2094" w:rsidRDefault="006A2094" w:rsidP="00802F49">
            <w:pPr>
              <w:ind w:right="136"/>
              <w:rPr>
                <w:noProof/>
              </w:rPr>
            </w:pPr>
            <w:r>
              <w:rPr>
                <w:rFonts w:asciiTheme="minorHAnsi" w:hAnsiTheme="minorHAnsi" w:cstheme="minorHAnsi"/>
                <w:color w:val="313E37"/>
                <w:sz w:val="20"/>
                <w:szCs w:val="20"/>
              </w:rPr>
              <w:t xml:space="preserve">      </w:t>
            </w:r>
          </w:p>
          <w:p w14:paraId="3C46C149" w14:textId="77777777" w:rsidR="006A2094" w:rsidRDefault="006A2094" w:rsidP="00802F49">
            <w:pPr>
              <w:ind w:right="136"/>
              <w:rPr>
                <w:rFonts w:asciiTheme="minorHAnsi" w:hAnsiTheme="minorHAnsi" w:cstheme="minorHAnsi"/>
                <w:color w:val="313E37"/>
                <w:sz w:val="20"/>
                <w:szCs w:val="20"/>
              </w:rPr>
            </w:pPr>
          </w:p>
          <w:p w14:paraId="0171E9AF" w14:textId="77777777" w:rsidR="006A2094" w:rsidRPr="00EF238F" w:rsidRDefault="006A2094" w:rsidP="00802F49">
            <w:pPr>
              <w:ind w:right="136"/>
              <w:rPr>
                <w:rFonts w:asciiTheme="minorHAnsi" w:hAnsiTheme="minorHAnsi" w:cstheme="minorHAnsi"/>
                <w:color w:val="313E37"/>
                <w:sz w:val="20"/>
                <w:szCs w:val="20"/>
              </w:rPr>
            </w:pPr>
          </w:p>
        </w:tc>
      </w:tr>
    </w:tbl>
    <w:p w14:paraId="2F1A761F" w14:textId="4B269B9F" w:rsidR="00F83CAC" w:rsidRDefault="00F83CAC" w:rsidP="00852CC1">
      <w:pPr>
        <w:pStyle w:val="BodyText"/>
      </w:pPr>
    </w:p>
    <w:p w14:paraId="232D0272" w14:textId="77777777" w:rsidR="00F83CAC" w:rsidRDefault="00F83CAC">
      <w:pPr>
        <w:rPr>
          <w:rFonts w:ascii="Calibri" w:eastAsia="Calibri" w:hAnsi="Calibri"/>
          <w:color w:val="000000"/>
          <w:szCs w:val="22"/>
        </w:rPr>
      </w:pPr>
      <w:r>
        <w:br w:type="page"/>
      </w:r>
    </w:p>
    <w:p w14:paraId="4275714D" w14:textId="77777777" w:rsidR="009F12A0" w:rsidRDefault="009F12A0" w:rsidP="009F12A0">
      <w:pPr>
        <w:pStyle w:val="BodyText"/>
      </w:pPr>
    </w:p>
    <w:p w14:paraId="2E8861C1" w14:textId="77777777" w:rsidR="009F12A0" w:rsidRDefault="009F12A0" w:rsidP="009F12A0">
      <w:pPr>
        <w:ind w:left="567" w:hanging="567"/>
      </w:pPr>
    </w:p>
    <w:p w14:paraId="411AE73B" w14:textId="77777777" w:rsidR="009F12A0" w:rsidRPr="005432E7" w:rsidRDefault="009F12A0" w:rsidP="009F12A0">
      <w:pPr>
        <w:ind w:left="720" w:hanging="720"/>
        <w:jc w:val="both"/>
        <w:rPr>
          <w:rFonts w:cs="Arial"/>
        </w:rPr>
        <w:sectPr w:rsidR="009F12A0" w:rsidRPr="005432E7" w:rsidSect="009F12A0">
          <w:type w:val="continuous"/>
          <w:pgSz w:w="11906" w:h="16838" w:code="9"/>
          <w:pgMar w:top="1134" w:right="1134" w:bottom="1134" w:left="1134" w:header="510" w:footer="624" w:gutter="0"/>
          <w:cols w:space="284"/>
          <w:docGrid w:linePitch="360"/>
        </w:sectPr>
      </w:pPr>
    </w:p>
    <w:bookmarkStart w:id="262" w:name="_Hlk14716756" w:displacedByCustomXml="next"/>
    <w:sdt>
      <w:sdtPr>
        <w:rPr>
          <w:b/>
          <w:caps w:val="0"/>
          <w:color w:val="000000"/>
          <w:sz w:val="24"/>
          <w:szCs w:val="24"/>
        </w:rPr>
        <w:id w:val="-1369530439"/>
        <w:docPartObj>
          <w:docPartGallery w:val="Cover Pages"/>
        </w:docPartObj>
      </w:sdtPr>
      <w:sdtEndPr>
        <w:rPr>
          <w:b w:val="0"/>
          <w:szCs w:val="22"/>
        </w:rPr>
      </w:sdtEndPr>
      <w:sdtContent>
        <w:tbl>
          <w:tblPr>
            <w:tblStyle w:val="TableGrid"/>
            <w:tblpPr w:leftFromText="181" w:rightFromText="181" w:vertAnchor="page" w:horzAnchor="margin" w:tblpY="90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652"/>
            <w:gridCol w:w="567"/>
            <w:gridCol w:w="4536"/>
          </w:tblGrid>
          <w:tr w:rsidR="009F12A0" w14:paraId="5CF66F12" w14:textId="77777777" w:rsidTr="006D5D2C">
            <w:tc>
              <w:tcPr>
                <w:tcW w:w="3652" w:type="dxa"/>
              </w:tcPr>
              <w:p w14:paraId="40258C2A" w14:textId="77777777" w:rsidR="009F12A0" w:rsidRPr="00593BAC" w:rsidRDefault="009F12A0" w:rsidP="006D5D2C">
                <w:pPr>
                  <w:pStyle w:val="BackCoverContactHeading"/>
                  <w:spacing w:after="120"/>
                  <w:rPr>
                    <w:sz w:val="24"/>
                    <w:szCs w:val="24"/>
                  </w:rPr>
                </w:pPr>
                <w:r w:rsidRPr="00593BAC">
                  <w:rPr>
                    <w:sz w:val="24"/>
                    <w:szCs w:val="24"/>
                  </w:rPr>
                  <w:t>As Australia’s national science agency and innovation catalyst, CSIRO is solving the greatest challenges through innovative science and technology.</w:t>
                </w:r>
              </w:p>
              <w:p w14:paraId="7B7EF6E7" w14:textId="77777777" w:rsidR="009F12A0" w:rsidRPr="00593BAC" w:rsidRDefault="009F12A0" w:rsidP="006D5D2C">
                <w:pPr>
                  <w:pStyle w:val="BackCoverContactDetails"/>
                  <w:rPr>
                    <w:sz w:val="24"/>
                    <w:szCs w:val="24"/>
                  </w:rPr>
                </w:pPr>
                <w:r w:rsidRPr="00593BAC">
                  <w:rPr>
                    <w:sz w:val="24"/>
                    <w:szCs w:val="24"/>
                  </w:rPr>
                  <w:t>CSIRO. Unlocking a better future for everyone.</w:t>
                </w:r>
              </w:p>
              <w:bookmarkEnd w:id="262"/>
              <w:p w14:paraId="50D2FF57" w14:textId="77777777" w:rsidR="009F12A0" w:rsidRPr="00585C0D" w:rsidRDefault="009F12A0" w:rsidP="006D5D2C">
                <w:pPr>
                  <w:pStyle w:val="BackCoverContactHeading"/>
                </w:pPr>
                <w:r w:rsidRPr="00585C0D">
                  <w:t>Contact us</w:t>
                </w:r>
              </w:p>
              <w:p w14:paraId="499A9D86" w14:textId="77777777" w:rsidR="009F12A0" w:rsidRPr="00585C0D" w:rsidRDefault="009F12A0" w:rsidP="006D5D2C">
                <w:pPr>
                  <w:pStyle w:val="BackCoverContactDetails"/>
                </w:pPr>
                <w:r w:rsidRPr="00585C0D">
                  <w:t>1300 363 400</w:t>
                </w:r>
              </w:p>
              <w:p w14:paraId="4B99ED41" w14:textId="77777777" w:rsidR="009F12A0" w:rsidRPr="00585C0D" w:rsidRDefault="009F12A0" w:rsidP="006D5D2C">
                <w:pPr>
                  <w:pStyle w:val="BackCoverContactDetails"/>
                </w:pPr>
                <w:r w:rsidRPr="00585C0D">
                  <w:t>+61 3 9545 2176</w:t>
                </w:r>
              </w:p>
              <w:p w14:paraId="6B2FACB4" w14:textId="77777777" w:rsidR="009F12A0" w:rsidRPr="00585C0D" w:rsidRDefault="009F12A0" w:rsidP="006D5D2C">
                <w:pPr>
                  <w:pStyle w:val="BackCoverContactDetails"/>
                </w:pPr>
                <w:r>
                  <w:t>csiro</w:t>
                </w:r>
                <w:r w:rsidRPr="00585C0D">
                  <w:t>enquiries@csiro.au</w:t>
                </w:r>
              </w:p>
              <w:p w14:paraId="1F016A48" w14:textId="77777777" w:rsidR="009F12A0" w:rsidRPr="00585C0D" w:rsidRDefault="009F12A0" w:rsidP="006D5D2C">
                <w:pPr>
                  <w:pStyle w:val="BackCoverContactDetails"/>
                </w:pPr>
                <w:r w:rsidRPr="00585C0D">
                  <w:t>csiro.au</w:t>
                </w:r>
              </w:p>
              <w:p w14:paraId="14570D6C" w14:textId="77777777" w:rsidR="009F12A0" w:rsidRPr="00585C0D" w:rsidRDefault="009F12A0" w:rsidP="006D5D2C">
                <w:pPr>
                  <w:pStyle w:val="BackCoverContactDetails"/>
                </w:pPr>
              </w:p>
            </w:tc>
            <w:tc>
              <w:tcPr>
                <w:tcW w:w="567" w:type="dxa"/>
              </w:tcPr>
              <w:p w14:paraId="6AAAA3BA" w14:textId="77777777" w:rsidR="009F12A0" w:rsidRPr="00585C0D" w:rsidRDefault="009F12A0" w:rsidP="006D5D2C">
                <w:pPr>
                  <w:pStyle w:val="BackCoverContactHeading"/>
                </w:pPr>
              </w:p>
            </w:tc>
            <w:tc>
              <w:tcPr>
                <w:tcW w:w="4536" w:type="dxa"/>
              </w:tcPr>
              <w:p w14:paraId="2F57F8F4" w14:textId="77777777" w:rsidR="009F12A0" w:rsidRPr="00585C0D" w:rsidRDefault="009F12A0" w:rsidP="006D5D2C">
                <w:pPr>
                  <w:pStyle w:val="BackCoverContactDetails"/>
                </w:pPr>
              </w:p>
            </w:tc>
          </w:tr>
        </w:tbl>
        <w:p w14:paraId="750FFBD9" w14:textId="77777777" w:rsidR="009F12A0" w:rsidRPr="006C2F7A" w:rsidRDefault="009F12A0" w:rsidP="009F12A0">
          <w:pPr>
            <w:pStyle w:val="BodyText"/>
            <w:rPr>
              <w:sz w:val="18"/>
            </w:rPr>
          </w:pPr>
          <w:r>
            <w:rPr>
              <w:noProof/>
            </w:rPr>
            <mc:AlternateContent>
              <mc:Choice Requires="wps">
                <w:drawing>
                  <wp:anchor distT="0" distB="0" distL="114300" distR="114300" simplePos="0" relativeHeight="251658268" behindDoc="1" locked="1" layoutInCell="1" allowOverlap="1" wp14:anchorId="013DACC5" wp14:editId="5D069D7E">
                    <wp:simplePos x="0" y="0"/>
                    <wp:positionH relativeFrom="page">
                      <wp:posOffset>0</wp:posOffset>
                    </wp:positionH>
                    <wp:positionV relativeFrom="page">
                      <wp:posOffset>5328920</wp:posOffset>
                    </wp:positionV>
                    <wp:extent cx="7560310" cy="5346065"/>
                    <wp:effectExtent l="0" t="0" r="0" b="0"/>
                    <wp:wrapNone/>
                    <wp:docPr id="1068683808" name="Rectangle 102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34606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B348D" id="Rectangle 1026" o:spid="_x0000_s1026" style="position:absolute;margin-left:0;margin-top:419.6pt;width:595.3pt;height:420.95pt;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" fillcolor="#00a9ce [3204]" stroked="f">
                    <w10:wrap anchorx="page" anchory="page"/>
                    <w10:anchorlock/>
                  </v:rect>
                </w:pict>
              </mc:Fallback>
            </mc:AlternateContent>
          </w:r>
        </w:p>
      </w:sdtContent>
    </w:sdt>
    <w:p w14:paraId="1EDF1C88" w14:textId="7BFD9675" w:rsidR="004721A6" w:rsidRPr="00852CC1" w:rsidRDefault="004721A6" w:rsidP="00852CC1">
      <w:pPr>
        <w:pStyle w:val="BodyText"/>
      </w:pPr>
    </w:p>
    <w:sectPr w:rsidR="004721A6" w:rsidRPr="00852CC1" w:rsidSect="005C6350">
      <w:type w:val="continuous"/>
      <w:pgSz w:w="11906" w:h="16838" w:code="9"/>
      <w:pgMar w:top="1134" w:right="1134" w:bottom="1134" w:left="1134" w:header="510" w:footer="624" w:gutter="0"/>
      <w:cols w:space="85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758A7C" w14:textId="77777777" w:rsidR="005A3259" w:rsidRDefault="005A3259" w:rsidP="009964E7">
      <w:r>
        <w:separator/>
      </w:r>
    </w:p>
    <w:p w14:paraId="744EA5F0" w14:textId="77777777" w:rsidR="005A3259" w:rsidRDefault="005A3259"/>
  </w:endnote>
  <w:endnote w:type="continuationSeparator" w:id="0">
    <w:p w14:paraId="3C232175" w14:textId="77777777" w:rsidR="005A3259" w:rsidRDefault="005A3259" w:rsidP="009964E7">
      <w:r>
        <w:continuationSeparator/>
      </w:r>
    </w:p>
    <w:p w14:paraId="2AC750E2" w14:textId="77777777" w:rsidR="005A3259" w:rsidRDefault="005A3259"/>
  </w:endnote>
  <w:endnote w:type="continuationNotice" w:id="1">
    <w:p w14:paraId="55548C12" w14:textId="77777777" w:rsidR="005A3259" w:rsidRDefault="005A32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Univers 45 Light">
    <w:altName w:val="Calibri"/>
    <w:charset w:val="00"/>
    <w:family w:val="auto"/>
    <w:pitch w:val="variable"/>
    <w:sig w:usb0="80000023" w:usb1="00000000" w:usb2="00000000" w:usb3="00000000" w:csb0="00000001" w:csb1="00000000"/>
  </w:font>
  <w:font w:name="Calibri-Italic">
    <w:altName w:val="Calibri"/>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6D352" w14:textId="77777777" w:rsidR="00A264AF" w:rsidRDefault="00A264AF" w:rsidP="00AE0D97">
    <w:pPr>
      <w:pStyle w:val="Footer"/>
      <w:tabs>
        <w:tab w:val="clear" w:pos="4513"/>
        <w:tab w:val="clear" w:pos="9026"/>
      </w:tabs>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7C350E32" w14:textId="77777777" w:rsidTr="00117194">
      <w:tc>
        <w:tcPr>
          <w:tcW w:w="3213" w:type="dxa"/>
        </w:tcPr>
        <w:p w14:paraId="2D7B24E4" w14:textId="77777777" w:rsidR="00A264AF" w:rsidRDefault="00A264AF" w:rsidP="00117194">
          <w:pPr>
            <w:pStyle w:val="Header"/>
            <w:ind w:left="-115"/>
          </w:pPr>
        </w:p>
      </w:tc>
      <w:tc>
        <w:tcPr>
          <w:tcW w:w="3213" w:type="dxa"/>
        </w:tcPr>
        <w:p w14:paraId="68431B5D" w14:textId="77777777" w:rsidR="00A264AF" w:rsidRDefault="00A264AF" w:rsidP="00117194">
          <w:pPr>
            <w:pStyle w:val="Header"/>
            <w:jc w:val="center"/>
          </w:pPr>
        </w:p>
      </w:tc>
      <w:tc>
        <w:tcPr>
          <w:tcW w:w="3213" w:type="dxa"/>
        </w:tcPr>
        <w:p w14:paraId="717DA522" w14:textId="77777777" w:rsidR="00A264AF" w:rsidRDefault="00A264AF" w:rsidP="00117194">
          <w:pPr>
            <w:pStyle w:val="Header"/>
            <w:ind w:right="-115"/>
            <w:jc w:val="right"/>
          </w:pPr>
        </w:p>
      </w:tc>
    </w:tr>
  </w:tbl>
  <w:p w14:paraId="1A6E9651" w14:textId="77777777" w:rsidR="00A264AF" w:rsidRDefault="00A264AF" w:rsidP="00117194">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3393631F" w14:textId="77777777" w:rsidTr="00117194">
      <w:tc>
        <w:tcPr>
          <w:tcW w:w="3213" w:type="dxa"/>
        </w:tcPr>
        <w:p w14:paraId="790A2A7F" w14:textId="77777777" w:rsidR="00A264AF" w:rsidRDefault="00A264AF" w:rsidP="00117194">
          <w:pPr>
            <w:pStyle w:val="Header"/>
            <w:ind w:left="-115"/>
          </w:pPr>
        </w:p>
      </w:tc>
      <w:tc>
        <w:tcPr>
          <w:tcW w:w="3213" w:type="dxa"/>
        </w:tcPr>
        <w:p w14:paraId="160D51D6" w14:textId="77777777" w:rsidR="00A264AF" w:rsidRDefault="00A264AF" w:rsidP="00117194">
          <w:pPr>
            <w:pStyle w:val="Header"/>
            <w:jc w:val="center"/>
          </w:pPr>
        </w:p>
      </w:tc>
      <w:tc>
        <w:tcPr>
          <w:tcW w:w="3213" w:type="dxa"/>
        </w:tcPr>
        <w:p w14:paraId="1809306C" w14:textId="77777777" w:rsidR="00A264AF" w:rsidRDefault="00A264AF" w:rsidP="00117194">
          <w:pPr>
            <w:pStyle w:val="Header"/>
            <w:ind w:right="-115"/>
            <w:jc w:val="right"/>
          </w:pPr>
        </w:p>
      </w:tc>
    </w:tr>
  </w:tbl>
  <w:p w14:paraId="384E6578" w14:textId="77777777" w:rsidR="00A264AF" w:rsidRDefault="00A264AF" w:rsidP="00117194">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4C226" w14:textId="77777777" w:rsidR="00A264AF" w:rsidRDefault="00A264AF">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56F9E9CE" w14:textId="77777777" w:rsidTr="00117194">
      <w:tc>
        <w:tcPr>
          <w:tcW w:w="3213" w:type="dxa"/>
        </w:tcPr>
        <w:p w14:paraId="2712CFE0" w14:textId="75412D09" w:rsidR="00A264AF" w:rsidRDefault="00A264AF" w:rsidP="00117194">
          <w:pPr>
            <w:pStyle w:val="Header"/>
            <w:ind w:left="-115"/>
          </w:pPr>
        </w:p>
      </w:tc>
      <w:tc>
        <w:tcPr>
          <w:tcW w:w="3213" w:type="dxa"/>
        </w:tcPr>
        <w:p w14:paraId="0468DFC4" w14:textId="3DDF7D53" w:rsidR="00A264AF" w:rsidRDefault="00A264AF" w:rsidP="00117194">
          <w:pPr>
            <w:pStyle w:val="Header"/>
            <w:jc w:val="center"/>
          </w:pPr>
        </w:p>
      </w:tc>
      <w:tc>
        <w:tcPr>
          <w:tcW w:w="3213" w:type="dxa"/>
        </w:tcPr>
        <w:p w14:paraId="7EABF7B5" w14:textId="176E47E1" w:rsidR="00A264AF" w:rsidRDefault="00A264AF" w:rsidP="00117194">
          <w:pPr>
            <w:pStyle w:val="Header"/>
            <w:ind w:right="-115"/>
            <w:jc w:val="right"/>
          </w:pPr>
        </w:p>
      </w:tc>
    </w:tr>
  </w:tbl>
  <w:p w14:paraId="37C28A53" w14:textId="566F85D1" w:rsidR="00A264AF" w:rsidRDefault="00A264AF" w:rsidP="00117194">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72173845" w14:textId="77777777" w:rsidTr="00117194">
      <w:tc>
        <w:tcPr>
          <w:tcW w:w="3213" w:type="dxa"/>
        </w:tcPr>
        <w:p w14:paraId="6E602C8D" w14:textId="77777777" w:rsidR="00A264AF" w:rsidRDefault="00A264AF" w:rsidP="00117194">
          <w:pPr>
            <w:pStyle w:val="Header"/>
            <w:ind w:left="-115"/>
          </w:pPr>
        </w:p>
      </w:tc>
      <w:tc>
        <w:tcPr>
          <w:tcW w:w="3213" w:type="dxa"/>
        </w:tcPr>
        <w:p w14:paraId="7A9A1807" w14:textId="77777777" w:rsidR="00A264AF" w:rsidRDefault="00A264AF" w:rsidP="00117194">
          <w:pPr>
            <w:pStyle w:val="Header"/>
            <w:jc w:val="center"/>
          </w:pPr>
        </w:p>
      </w:tc>
      <w:tc>
        <w:tcPr>
          <w:tcW w:w="3213" w:type="dxa"/>
        </w:tcPr>
        <w:p w14:paraId="0498B9A9" w14:textId="77777777" w:rsidR="00A264AF" w:rsidRDefault="00A264AF" w:rsidP="00117194">
          <w:pPr>
            <w:pStyle w:val="Header"/>
            <w:ind w:right="-115"/>
            <w:jc w:val="right"/>
          </w:pPr>
        </w:p>
      </w:tc>
    </w:tr>
  </w:tbl>
  <w:p w14:paraId="7FD6B1E3" w14:textId="77777777" w:rsidR="00A264AF" w:rsidRDefault="00A264AF" w:rsidP="0011719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59E35A" w14:textId="7295169B" w:rsidR="00A264AF" w:rsidRDefault="00A264AF"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67B67E4D" w14:textId="77777777" w:rsidTr="00117194">
      <w:tc>
        <w:tcPr>
          <w:tcW w:w="3213" w:type="dxa"/>
        </w:tcPr>
        <w:p w14:paraId="171290FE" w14:textId="2E8A3EBD" w:rsidR="00A264AF" w:rsidRDefault="00A264AF" w:rsidP="00117194">
          <w:pPr>
            <w:pStyle w:val="Header"/>
            <w:ind w:left="-115"/>
          </w:pPr>
        </w:p>
      </w:tc>
      <w:tc>
        <w:tcPr>
          <w:tcW w:w="3213" w:type="dxa"/>
        </w:tcPr>
        <w:p w14:paraId="2E79A53B" w14:textId="63B75949" w:rsidR="00A264AF" w:rsidRDefault="00A264AF" w:rsidP="00117194">
          <w:pPr>
            <w:pStyle w:val="Header"/>
            <w:jc w:val="center"/>
          </w:pPr>
        </w:p>
      </w:tc>
      <w:tc>
        <w:tcPr>
          <w:tcW w:w="3213" w:type="dxa"/>
        </w:tcPr>
        <w:p w14:paraId="300B28F9" w14:textId="7E9C95C2" w:rsidR="00A264AF" w:rsidRDefault="00A264AF" w:rsidP="00117194">
          <w:pPr>
            <w:pStyle w:val="Header"/>
            <w:ind w:right="-115"/>
            <w:jc w:val="right"/>
          </w:pPr>
        </w:p>
      </w:tc>
    </w:tr>
  </w:tbl>
  <w:p w14:paraId="7A2D5F9F" w14:textId="02BA5B68" w:rsidR="00A264AF" w:rsidRDefault="00A264AF" w:rsidP="0011719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46A0E" w14:textId="77F27EE2" w:rsidR="00A264AF" w:rsidRDefault="00A264AF"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noProof/>
      </w:rPr>
      <w:t>30</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8E70A5" w14:textId="1D33B65F" w:rsidR="00A264AF" w:rsidRDefault="00A264AF"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sidR="000651DF">
      <w:rPr>
        <w:rStyle w:val="PageNumber"/>
        <w:noProof/>
      </w:rPr>
      <w:t>ix</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46EE915F" w14:textId="77777777" w:rsidTr="00117194">
      <w:tc>
        <w:tcPr>
          <w:tcW w:w="3213" w:type="dxa"/>
        </w:tcPr>
        <w:p w14:paraId="00EE5E79" w14:textId="6E5A0750" w:rsidR="00A264AF" w:rsidRDefault="00A264AF" w:rsidP="00117194">
          <w:pPr>
            <w:pStyle w:val="Header"/>
            <w:ind w:left="-115"/>
          </w:pPr>
        </w:p>
      </w:tc>
      <w:tc>
        <w:tcPr>
          <w:tcW w:w="3213" w:type="dxa"/>
        </w:tcPr>
        <w:p w14:paraId="538469B3" w14:textId="16AE4543" w:rsidR="00A264AF" w:rsidRDefault="00A264AF" w:rsidP="00117194">
          <w:pPr>
            <w:pStyle w:val="Header"/>
            <w:jc w:val="center"/>
          </w:pPr>
        </w:p>
      </w:tc>
      <w:tc>
        <w:tcPr>
          <w:tcW w:w="3213" w:type="dxa"/>
        </w:tcPr>
        <w:p w14:paraId="7C606A37" w14:textId="592740A8" w:rsidR="00A264AF" w:rsidRDefault="00A264AF" w:rsidP="00117194">
          <w:pPr>
            <w:pStyle w:val="Header"/>
            <w:ind w:right="-115"/>
            <w:jc w:val="right"/>
          </w:pPr>
        </w:p>
      </w:tc>
    </w:tr>
  </w:tbl>
  <w:p w14:paraId="324AC09D" w14:textId="62EAF7EB" w:rsidR="00A264AF" w:rsidRDefault="00A264AF" w:rsidP="00117194">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9A08C4" w14:textId="7E485311" w:rsidR="00A264AF" w:rsidRDefault="00A264AF"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sidR="000651DF">
      <w:rPr>
        <w:rStyle w:val="PageNumber"/>
        <w:noProof/>
      </w:rPr>
      <w:t>3</w:t>
    </w:r>
    <w:r>
      <w:rPr>
        <w:rStyle w:val="PageNumber"/>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49011121" w14:textId="77777777" w:rsidTr="00117194">
      <w:tc>
        <w:tcPr>
          <w:tcW w:w="3213" w:type="dxa"/>
        </w:tcPr>
        <w:p w14:paraId="088B81DD" w14:textId="77777777" w:rsidR="00A264AF" w:rsidRDefault="00A264AF" w:rsidP="00117194">
          <w:pPr>
            <w:pStyle w:val="Header"/>
            <w:ind w:left="-115"/>
          </w:pPr>
        </w:p>
      </w:tc>
      <w:tc>
        <w:tcPr>
          <w:tcW w:w="3213" w:type="dxa"/>
        </w:tcPr>
        <w:p w14:paraId="6B01A252" w14:textId="77777777" w:rsidR="00A264AF" w:rsidRDefault="00A264AF" w:rsidP="00117194">
          <w:pPr>
            <w:pStyle w:val="Header"/>
            <w:jc w:val="center"/>
          </w:pPr>
        </w:p>
      </w:tc>
      <w:tc>
        <w:tcPr>
          <w:tcW w:w="3213" w:type="dxa"/>
        </w:tcPr>
        <w:p w14:paraId="38BD15FB" w14:textId="77777777" w:rsidR="00A264AF" w:rsidRDefault="00A264AF" w:rsidP="00117194">
          <w:pPr>
            <w:pStyle w:val="Header"/>
            <w:ind w:right="-115"/>
            <w:jc w:val="right"/>
          </w:pPr>
        </w:p>
      </w:tc>
    </w:tr>
  </w:tbl>
  <w:p w14:paraId="48FAFBC0" w14:textId="77777777" w:rsidR="00A264AF" w:rsidRDefault="00A264AF" w:rsidP="00117194">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1BB3EAB7" w14:textId="77777777" w:rsidTr="00117194">
      <w:tc>
        <w:tcPr>
          <w:tcW w:w="3213" w:type="dxa"/>
        </w:tcPr>
        <w:p w14:paraId="10A343C6" w14:textId="77777777" w:rsidR="00A264AF" w:rsidRDefault="00A264AF" w:rsidP="00117194">
          <w:pPr>
            <w:pStyle w:val="Header"/>
            <w:ind w:left="-115"/>
          </w:pPr>
        </w:p>
      </w:tc>
      <w:tc>
        <w:tcPr>
          <w:tcW w:w="3213" w:type="dxa"/>
        </w:tcPr>
        <w:p w14:paraId="626BCC35" w14:textId="77777777" w:rsidR="00A264AF" w:rsidRDefault="00A264AF" w:rsidP="00117194">
          <w:pPr>
            <w:pStyle w:val="Header"/>
            <w:jc w:val="center"/>
          </w:pPr>
        </w:p>
      </w:tc>
      <w:tc>
        <w:tcPr>
          <w:tcW w:w="3213" w:type="dxa"/>
        </w:tcPr>
        <w:p w14:paraId="5C85FFD1" w14:textId="77777777" w:rsidR="00A264AF" w:rsidRDefault="00A264AF" w:rsidP="00117194">
          <w:pPr>
            <w:pStyle w:val="Header"/>
            <w:ind w:right="-115"/>
            <w:jc w:val="right"/>
          </w:pPr>
        </w:p>
      </w:tc>
    </w:tr>
  </w:tbl>
  <w:p w14:paraId="604036A3" w14:textId="77777777" w:rsidR="00A264AF" w:rsidRDefault="00A264AF" w:rsidP="001171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3C4ACE" w14:textId="77777777" w:rsidR="005A3259" w:rsidRDefault="005A3259" w:rsidP="009964E7">
      <w:r>
        <w:separator/>
      </w:r>
    </w:p>
    <w:p w14:paraId="410E96C7" w14:textId="77777777" w:rsidR="005A3259" w:rsidRDefault="005A3259"/>
  </w:footnote>
  <w:footnote w:type="continuationSeparator" w:id="0">
    <w:p w14:paraId="14433565" w14:textId="77777777" w:rsidR="005A3259" w:rsidRDefault="005A3259" w:rsidP="009964E7">
      <w:r>
        <w:continuationSeparator/>
      </w:r>
    </w:p>
    <w:p w14:paraId="71641E6F" w14:textId="77777777" w:rsidR="005A3259" w:rsidRDefault="005A3259"/>
  </w:footnote>
  <w:footnote w:type="continuationNotice" w:id="1">
    <w:p w14:paraId="2B489C1B" w14:textId="77777777" w:rsidR="005A3259" w:rsidRDefault="005A3259"/>
  </w:footnote>
  <w:footnote w:id="2">
    <w:p w14:paraId="4C83D809" w14:textId="31198DD7" w:rsidR="00A264AF" w:rsidRDefault="00A264AF" w:rsidP="00144033">
      <w:pPr>
        <w:pStyle w:val="FootnoteText"/>
      </w:pPr>
      <w:r>
        <w:rPr>
          <w:rStyle w:val="FootnoteReference"/>
        </w:rPr>
        <w:footnoteRef/>
      </w:r>
      <w:r>
        <w:t xml:space="preserve"> </w:t>
      </w:r>
      <w:hyperlink r:id="rId1" w:history="1">
        <w:r w:rsidRPr="00063F99">
          <w:rPr>
            <w:rStyle w:val="Hyperlink"/>
          </w:rPr>
          <w:t>www.climatechangeinaustralia.gov.au</w:t>
        </w:r>
      </w:hyperlink>
      <w:r>
        <w:t xml:space="preserve"> </w:t>
      </w:r>
    </w:p>
  </w:footnote>
  <w:footnote w:id="3">
    <w:p w14:paraId="0AB31EF5" w14:textId="78181C55" w:rsidR="00A264AF" w:rsidRDefault="00A264AF">
      <w:pPr>
        <w:pStyle w:val="FootnoteText"/>
      </w:pPr>
      <w:r>
        <w:rPr>
          <w:rStyle w:val="FootnoteReference"/>
        </w:rPr>
        <w:footnoteRef/>
      </w:r>
      <w:r>
        <w:t xml:space="preserve"> </w:t>
      </w:r>
      <w:r w:rsidRPr="0023225F">
        <w:t>Forests include all vegetation with a tree height of at least 2 metres and crown canopy cover of 20 per cent or more, of an area of at least 0.2 ha</w:t>
      </w:r>
    </w:p>
  </w:footnote>
  <w:footnote w:id="4">
    <w:p w14:paraId="62650C2A" w14:textId="7FABEB6B" w:rsidR="00A264AF" w:rsidRDefault="00A264AF">
      <w:pPr>
        <w:pStyle w:val="FootnoteText"/>
      </w:pPr>
      <w:r>
        <w:rPr>
          <w:rStyle w:val="FootnoteReference"/>
        </w:rPr>
        <w:footnoteRef/>
      </w:r>
      <w:r>
        <w:t xml:space="preserve"> </w:t>
      </w:r>
      <w:r w:rsidRPr="00CF285A">
        <w:t>Journal of Environmental Management 261, 110192</w:t>
      </w:r>
    </w:p>
  </w:footnote>
  <w:footnote w:id="5">
    <w:p w14:paraId="3222DEF2" w14:textId="02700A39" w:rsidR="00A264AF" w:rsidRDefault="00A264AF" w:rsidP="00980E75">
      <w:pPr>
        <w:pStyle w:val="FootnoteText"/>
      </w:pPr>
      <w:r>
        <w:rPr>
          <w:rStyle w:val="FootnoteReference"/>
        </w:rPr>
        <w:footnoteRef/>
      </w:r>
      <w:r>
        <w:t xml:space="preserve"> GCM simulations come from the archive developed by modelling groups from around the world through the Coupled Model Intercomparison Project phase 5 (CMIP5)) which also underpins the science of the Fifth Assessment Report of the Intergovernmental Panel on Climate Change (IPCC). Results from the latest research (CMIP6) are due to be released in April 2021.</w:t>
      </w:r>
    </w:p>
  </w:footnote>
  <w:footnote w:id="6">
    <w:p w14:paraId="6002A4D0" w14:textId="7BB06AEA" w:rsidR="00A264AF" w:rsidRDefault="00A264AF">
      <w:pPr>
        <w:pStyle w:val="FootnoteText"/>
      </w:pPr>
      <w:r>
        <w:rPr>
          <w:rStyle w:val="FootnoteReference"/>
        </w:rPr>
        <w:footnoteRef/>
      </w:r>
      <w:r>
        <w:t xml:space="preserve"> The</w:t>
      </w:r>
      <w:r w:rsidRPr="004543F1">
        <w:t xml:space="preserve"> crediting period is the period of time </w:t>
      </w:r>
      <w:r>
        <w:t xml:space="preserve">over which a </w:t>
      </w:r>
      <w:r w:rsidRPr="004543F1">
        <w:t>project is able to apply to claim ACCUs</w:t>
      </w:r>
      <w:r>
        <w:t xml:space="preserve">. All sequestration activities in </w:t>
      </w:r>
      <w:r>
        <w:fldChar w:fldCharType="begin"/>
      </w:r>
      <w:r>
        <w:instrText xml:space="preserve"> REF _Ref42770995 \h </w:instrText>
      </w:r>
      <w:r>
        <w:fldChar w:fldCharType="separate"/>
      </w:r>
      <w:r>
        <w:t xml:space="preserve">Table </w:t>
      </w:r>
      <w:r>
        <w:rPr>
          <w:noProof/>
        </w:rPr>
        <w:t>1</w:t>
      </w:r>
      <w:r>
        <w:fldChar w:fldCharType="end"/>
      </w:r>
      <w:r>
        <w:t xml:space="preserve"> have a crediting period of 25 years, with the exception of Avoided Deforestation, which is 15 years. </w:t>
      </w:r>
    </w:p>
  </w:footnote>
  <w:footnote w:id="7">
    <w:p w14:paraId="56C018CA" w14:textId="79A8F46B" w:rsidR="00A264AF" w:rsidRDefault="00A264AF">
      <w:pPr>
        <w:pStyle w:val="FootnoteText"/>
      </w:pPr>
      <w:r>
        <w:rPr>
          <w:rStyle w:val="FootnoteReference"/>
        </w:rPr>
        <w:footnoteRef/>
      </w:r>
      <w:r>
        <w:t xml:space="preserve"> Note Standards Australia (2009) (ISO 31000:2009 has been updated to ISO 31000-2018, available at </w:t>
      </w:r>
      <w:hyperlink r:id="rId2" w:anchor="iso:std:iso:31000:ed-2:v1:en" w:history="1">
        <w:r w:rsidRPr="003C764A">
          <w:rPr>
            <w:rStyle w:val="Hyperlink"/>
          </w:rPr>
          <w:t>https://www.iso.org/obp/ui#iso:std:iso:31000:ed-2:v1:en</w:t>
        </w:r>
      </w:hyperlink>
      <w:r>
        <w:t xml:space="preserve"> </w:t>
      </w:r>
    </w:p>
  </w:footnote>
  <w:footnote w:id="8">
    <w:p w14:paraId="36FB5F98" w14:textId="77777777" w:rsidR="00A264AF" w:rsidRDefault="00A264AF" w:rsidP="00025973">
      <w:pPr>
        <w:pStyle w:val="FootnoteText"/>
      </w:pPr>
      <w:r>
        <w:rPr>
          <w:rStyle w:val="FootnoteReference"/>
        </w:rPr>
        <w:footnoteRef/>
      </w:r>
      <w:r>
        <w:t xml:space="preserve"> </w:t>
      </w:r>
      <w:hyperlink r:id="rId3">
        <w:r w:rsidRPr="400E6D91">
          <w:rPr>
            <w:rStyle w:val="Hyperlink"/>
          </w:rPr>
          <w:t>https://www.climatechangeinaustralia.gov.au/</w:t>
        </w:r>
      </w:hyperlink>
    </w:p>
  </w:footnote>
  <w:footnote w:id="9">
    <w:p w14:paraId="06BF2550" w14:textId="34D8EED2" w:rsidR="00A264AF" w:rsidRDefault="00A264AF">
      <w:pPr>
        <w:pStyle w:val="FootnoteText"/>
      </w:pPr>
      <w:r>
        <w:rPr>
          <w:rStyle w:val="FootnoteReference"/>
        </w:rPr>
        <w:footnoteRef/>
      </w:r>
      <w:r>
        <w:t xml:space="preserve"> The convention adopted for reporting projections is 10(50)90, where ‘10’ is the 10</w:t>
      </w:r>
      <w:r w:rsidRPr="00FD0286">
        <w:rPr>
          <w:vertAlign w:val="superscript"/>
        </w:rPr>
        <w:t>th</w:t>
      </w:r>
      <w:r>
        <w:t xml:space="preserve"> percentile projection across the range of GCMs considered in the analysis, ‘(50)’ is the median projection, and ‘90’ is the 90</w:t>
      </w:r>
      <w:r w:rsidRPr="0066542A">
        <w:rPr>
          <w:vertAlign w:val="superscript"/>
        </w:rPr>
        <w:t>th</w:t>
      </w:r>
      <w:r>
        <w:t xml:space="preserve"> percentile projection.</w:t>
      </w:r>
    </w:p>
  </w:footnote>
  <w:footnote w:id="10">
    <w:p w14:paraId="7C286B2C" w14:textId="2455BD22" w:rsidR="00A264AF" w:rsidRDefault="00A264AF">
      <w:pPr>
        <w:pStyle w:val="FootnoteText"/>
      </w:pPr>
      <w:r>
        <w:rPr>
          <w:rStyle w:val="FootnoteReference"/>
        </w:rPr>
        <w:footnoteRef/>
      </w:r>
      <w:r>
        <w:t xml:space="preserve"> The confidence ratings of the projections are shown in italics; see </w:t>
      </w:r>
      <w:r>
        <w:fldChar w:fldCharType="begin"/>
      </w:r>
      <w:r>
        <w:instrText xml:space="preserve"> REF _Ref46169254 \h </w:instrText>
      </w:r>
      <w:r>
        <w:fldChar w:fldCharType="separate"/>
      </w:r>
      <w:r>
        <w:t xml:space="preserve">Table </w:t>
      </w:r>
      <w:r>
        <w:rPr>
          <w:noProof/>
        </w:rPr>
        <w:t>5</w:t>
      </w:r>
      <w:r>
        <w:fldChar w:fldCharType="end"/>
      </w:r>
      <w:r>
        <w:t xml:space="preserve">. </w:t>
      </w:r>
    </w:p>
  </w:footnote>
  <w:footnote w:id="11">
    <w:p w14:paraId="05EFD4D8" w14:textId="77777777" w:rsidR="00A264AF" w:rsidRDefault="00A264AF" w:rsidP="009C0BF6">
      <w:pPr>
        <w:pStyle w:val="FootnoteText"/>
      </w:pPr>
      <w:r>
        <w:rPr>
          <w:rStyle w:val="FootnoteReference"/>
        </w:rPr>
        <w:footnoteRef/>
      </w:r>
      <w:r>
        <w:t xml:space="preserve"> </w:t>
      </w:r>
      <w:r w:rsidRPr="00236870">
        <w:t>https://wetlandinfo.des.qld.gov.au/wetlands/ecology/components/flora/mangroves/mangrove-dieback.html</w:t>
      </w:r>
    </w:p>
  </w:footnote>
  <w:footnote w:id="12">
    <w:p w14:paraId="015819EA" w14:textId="77777777" w:rsidR="00A264AF" w:rsidRDefault="00A264AF" w:rsidP="00CA36FE">
      <w:pPr>
        <w:pStyle w:val="FootnoteText"/>
      </w:pPr>
      <w:r>
        <w:rPr>
          <w:rStyle w:val="FootnoteReference"/>
        </w:rPr>
        <w:footnoteRef/>
      </w:r>
      <w:r>
        <w:t xml:space="preserve"> </w:t>
      </w:r>
      <w:hyperlink r:id="rId4" w:history="1">
        <w:r>
          <w:rPr>
            <w:rStyle w:val="Hyperlink"/>
          </w:rPr>
          <w:t>https://www.abc.net.au/news/2018-11-16/fires-damages-millions-of-dollars-worth-of-wa-crops/10504886</w:t>
        </w:r>
      </w:hyperlink>
    </w:p>
  </w:footnote>
  <w:footnote w:id="13">
    <w:p w14:paraId="2BE6C674" w14:textId="77777777" w:rsidR="00A264AF" w:rsidRDefault="00A264AF" w:rsidP="00CA36FE">
      <w:pPr>
        <w:pStyle w:val="FootnoteText"/>
      </w:pPr>
      <w:r>
        <w:rPr>
          <w:rStyle w:val="FootnoteReference"/>
        </w:rPr>
        <w:footnoteRef/>
      </w:r>
      <w:r>
        <w:t xml:space="preserve"> </w:t>
      </w:r>
      <w:hyperlink r:id="rId5" w:history="1">
        <w:r>
          <w:rPr>
            <w:rStyle w:val="Hyperlink"/>
          </w:rPr>
          <w:t>https://www.abc.net.au/news/2015-12-01/farmers-hit-by-sa-bushfires-face-years-of-land-rehabilitation/6991176?nw=0</w:t>
        </w:r>
      </w:hyperlink>
    </w:p>
  </w:footnote>
  <w:footnote w:id="14">
    <w:p w14:paraId="25174CD8" w14:textId="434A47C8" w:rsidR="00A264AF" w:rsidRDefault="00A264AF" w:rsidP="00F25E95">
      <w:pPr>
        <w:pStyle w:val="FootnoteText"/>
      </w:pPr>
      <w:r>
        <w:rPr>
          <w:rStyle w:val="FootnoteReference"/>
        </w:rPr>
        <w:footnoteRef/>
      </w:r>
      <w:r>
        <w:t xml:space="preserve"> </w:t>
      </w:r>
      <w:r w:rsidRPr="00BA6FE9">
        <w:t>http://www.cleanenergyregulator.gov.au/DocumentAssets/Documents/Auction%20Guidelines%20-%20Option%20to%20Deliver.pdf</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4A560091" w14:textId="77777777" w:rsidTr="00117194">
      <w:tc>
        <w:tcPr>
          <w:tcW w:w="3213" w:type="dxa"/>
        </w:tcPr>
        <w:p w14:paraId="24CDCADE" w14:textId="2C76D386" w:rsidR="00A264AF" w:rsidRDefault="00A264AF" w:rsidP="00117194">
          <w:pPr>
            <w:pStyle w:val="Header"/>
            <w:ind w:left="-115"/>
          </w:pPr>
        </w:p>
      </w:tc>
      <w:tc>
        <w:tcPr>
          <w:tcW w:w="3213" w:type="dxa"/>
        </w:tcPr>
        <w:p w14:paraId="38BC16D0" w14:textId="331270EF" w:rsidR="00A264AF" w:rsidRDefault="00A264AF" w:rsidP="00117194">
          <w:pPr>
            <w:pStyle w:val="Header"/>
            <w:jc w:val="center"/>
          </w:pPr>
        </w:p>
      </w:tc>
      <w:tc>
        <w:tcPr>
          <w:tcW w:w="3213" w:type="dxa"/>
        </w:tcPr>
        <w:p w14:paraId="3FE0E8A6" w14:textId="750F172A" w:rsidR="00A264AF" w:rsidRDefault="00A264AF" w:rsidP="00117194">
          <w:pPr>
            <w:pStyle w:val="Header"/>
            <w:ind w:right="-115"/>
            <w:jc w:val="right"/>
          </w:pPr>
        </w:p>
      </w:tc>
    </w:tr>
  </w:tbl>
  <w:p w14:paraId="4FCC52E3" w14:textId="3027ECC4" w:rsidR="00A264AF" w:rsidRDefault="00A264AF" w:rsidP="00117194">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44B31" w14:textId="083ABAFC" w:rsidR="00A264AF" w:rsidRPr="0048589A" w:rsidRDefault="00A264AF" w:rsidP="0048589A">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EB8773" w14:textId="5023F7A3" w:rsidR="00A264AF" w:rsidRDefault="00A264AF">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563FFE0C" w14:textId="77777777" w:rsidTr="00117194">
      <w:tc>
        <w:tcPr>
          <w:tcW w:w="3213" w:type="dxa"/>
        </w:tcPr>
        <w:p w14:paraId="5D30E78E" w14:textId="77777777" w:rsidR="00A264AF" w:rsidRDefault="00A264AF" w:rsidP="00117194">
          <w:pPr>
            <w:pStyle w:val="Header"/>
            <w:ind w:left="-115"/>
          </w:pPr>
        </w:p>
      </w:tc>
      <w:tc>
        <w:tcPr>
          <w:tcW w:w="3213" w:type="dxa"/>
        </w:tcPr>
        <w:p w14:paraId="38302A2C" w14:textId="77777777" w:rsidR="00A264AF" w:rsidRDefault="00A264AF" w:rsidP="00117194">
          <w:pPr>
            <w:pStyle w:val="Header"/>
            <w:jc w:val="center"/>
          </w:pPr>
        </w:p>
      </w:tc>
      <w:tc>
        <w:tcPr>
          <w:tcW w:w="3213" w:type="dxa"/>
        </w:tcPr>
        <w:p w14:paraId="2ACEAFEE" w14:textId="77777777" w:rsidR="00A264AF" w:rsidRDefault="00A264AF" w:rsidP="00117194">
          <w:pPr>
            <w:pStyle w:val="Header"/>
            <w:ind w:right="-115"/>
            <w:jc w:val="right"/>
          </w:pPr>
        </w:p>
      </w:tc>
    </w:tr>
  </w:tbl>
  <w:p w14:paraId="7002023A" w14:textId="796DE6C3" w:rsidR="00A264AF" w:rsidRDefault="00A264AF" w:rsidP="00117194">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255A45" w14:textId="467319F3" w:rsidR="00A264AF" w:rsidRPr="0048589A" w:rsidRDefault="00A264AF" w:rsidP="0048589A">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61818" w14:textId="48B769AD" w:rsidR="00A264AF" w:rsidRDefault="00A264AF">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14273E5C" w14:textId="77777777" w:rsidTr="00117194">
      <w:tc>
        <w:tcPr>
          <w:tcW w:w="3213" w:type="dxa"/>
        </w:tcPr>
        <w:p w14:paraId="1E3A55B8" w14:textId="77777777" w:rsidR="00A264AF" w:rsidRDefault="00A264AF" w:rsidP="00117194">
          <w:pPr>
            <w:pStyle w:val="Header"/>
            <w:ind w:left="-115"/>
          </w:pPr>
        </w:p>
      </w:tc>
      <w:tc>
        <w:tcPr>
          <w:tcW w:w="3213" w:type="dxa"/>
        </w:tcPr>
        <w:p w14:paraId="3EF734F5" w14:textId="77777777" w:rsidR="00A264AF" w:rsidRDefault="00A264AF" w:rsidP="00117194">
          <w:pPr>
            <w:pStyle w:val="Header"/>
            <w:jc w:val="center"/>
          </w:pPr>
        </w:p>
      </w:tc>
      <w:tc>
        <w:tcPr>
          <w:tcW w:w="3213" w:type="dxa"/>
        </w:tcPr>
        <w:p w14:paraId="2CB76EED" w14:textId="77777777" w:rsidR="00A264AF" w:rsidRDefault="00A264AF" w:rsidP="00117194">
          <w:pPr>
            <w:pStyle w:val="Header"/>
            <w:ind w:right="-115"/>
            <w:jc w:val="right"/>
          </w:pPr>
        </w:p>
      </w:tc>
    </w:tr>
  </w:tbl>
  <w:p w14:paraId="4090151B" w14:textId="0EE01ADC" w:rsidR="00A264AF" w:rsidRDefault="00A264AF" w:rsidP="00117194">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3B1CA5" w14:textId="10C01545" w:rsidR="00A264AF" w:rsidRDefault="00A264AF" w:rsidP="00117194">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35FC6" w14:textId="33FCA600" w:rsidR="00A264AF" w:rsidRDefault="00A264AF">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6AF473F2" w14:textId="77777777" w:rsidTr="00117194">
      <w:tc>
        <w:tcPr>
          <w:tcW w:w="3213" w:type="dxa"/>
        </w:tcPr>
        <w:p w14:paraId="7065AAA0" w14:textId="77777777" w:rsidR="00A264AF" w:rsidRDefault="00A264AF" w:rsidP="00117194">
          <w:pPr>
            <w:pStyle w:val="Header"/>
            <w:ind w:left="-115"/>
          </w:pPr>
        </w:p>
      </w:tc>
      <w:tc>
        <w:tcPr>
          <w:tcW w:w="3213" w:type="dxa"/>
        </w:tcPr>
        <w:p w14:paraId="074FB8BC" w14:textId="77777777" w:rsidR="00A264AF" w:rsidRDefault="00A264AF" w:rsidP="00117194">
          <w:pPr>
            <w:pStyle w:val="Header"/>
            <w:jc w:val="center"/>
          </w:pPr>
        </w:p>
      </w:tc>
      <w:tc>
        <w:tcPr>
          <w:tcW w:w="3213" w:type="dxa"/>
        </w:tcPr>
        <w:p w14:paraId="186EBA79" w14:textId="77777777" w:rsidR="00A264AF" w:rsidRDefault="00A264AF" w:rsidP="00117194">
          <w:pPr>
            <w:pStyle w:val="Header"/>
            <w:ind w:right="-115"/>
            <w:jc w:val="right"/>
          </w:pPr>
        </w:p>
      </w:tc>
    </w:tr>
  </w:tbl>
  <w:p w14:paraId="3F10E966" w14:textId="3F5DE8FD" w:rsidR="00A264AF" w:rsidRDefault="00A264AF" w:rsidP="00117194">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F6A58F" w14:textId="0537401B" w:rsidR="00A264AF" w:rsidRDefault="00A264A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6C0DBF03" w14:textId="77777777" w:rsidTr="00117194">
      <w:tc>
        <w:tcPr>
          <w:tcW w:w="3213" w:type="dxa"/>
        </w:tcPr>
        <w:p w14:paraId="3203DFCA" w14:textId="0890F0AE" w:rsidR="00A264AF" w:rsidRDefault="00A264AF" w:rsidP="00117194">
          <w:pPr>
            <w:pStyle w:val="Header"/>
            <w:ind w:left="-115"/>
          </w:pPr>
        </w:p>
      </w:tc>
      <w:tc>
        <w:tcPr>
          <w:tcW w:w="3213" w:type="dxa"/>
        </w:tcPr>
        <w:p w14:paraId="0FA0B45D" w14:textId="316893D1" w:rsidR="00A264AF" w:rsidRDefault="00A264AF" w:rsidP="00117194">
          <w:pPr>
            <w:pStyle w:val="Header"/>
            <w:jc w:val="center"/>
          </w:pPr>
        </w:p>
      </w:tc>
      <w:tc>
        <w:tcPr>
          <w:tcW w:w="3213" w:type="dxa"/>
        </w:tcPr>
        <w:p w14:paraId="6E8DFD5A" w14:textId="2D996B64" w:rsidR="00A264AF" w:rsidRDefault="00A264AF" w:rsidP="00117194">
          <w:pPr>
            <w:pStyle w:val="Header"/>
            <w:ind w:right="-115"/>
            <w:jc w:val="right"/>
          </w:pPr>
        </w:p>
      </w:tc>
    </w:tr>
  </w:tbl>
  <w:p w14:paraId="6985E8AC" w14:textId="06B2E5FC" w:rsidR="00A264AF" w:rsidRDefault="00A264AF" w:rsidP="00117194">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538BA" w14:textId="33A2FE63" w:rsidR="00A264AF" w:rsidRDefault="00A264AF">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C6C29" w14:textId="7E790EBC" w:rsidR="00A264AF" w:rsidRDefault="00A264AF">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1BBDA3" w14:textId="7071EB80" w:rsidR="00A264AF" w:rsidRDefault="00A264AF" w:rsidP="00117194">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AB7E1" w14:textId="5D647D97" w:rsidR="00A264AF" w:rsidRDefault="00A264AF">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55371D39" w14:textId="77777777" w:rsidTr="00117194">
      <w:tc>
        <w:tcPr>
          <w:tcW w:w="3213" w:type="dxa"/>
        </w:tcPr>
        <w:p w14:paraId="282EF50D" w14:textId="3E22DF86" w:rsidR="00A264AF" w:rsidRDefault="00A264AF" w:rsidP="00117194">
          <w:pPr>
            <w:pStyle w:val="Header"/>
            <w:ind w:left="-115"/>
          </w:pPr>
        </w:p>
      </w:tc>
      <w:tc>
        <w:tcPr>
          <w:tcW w:w="3213" w:type="dxa"/>
        </w:tcPr>
        <w:p w14:paraId="2435B70D" w14:textId="6E7C08AD" w:rsidR="00A264AF" w:rsidRDefault="00A264AF" w:rsidP="00117194">
          <w:pPr>
            <w:pStyle w:val="Header"/>
            <w:jc w:val="center"/>
          </w:pPr>
        </w:p>
      </w:tc>
      <w:tc>
        <w:tcPr>
          <w:tcW w:w="3213" w:type="dxa"/>
        </w:tcPr>
        <w:p w14:paraId="5AF04AA2" w14:textId="6482F4B7" w:rsidR="00A264AF" w:rsidRDefault="00A264AF" w:rsidP="00117194">
          <w:pPr>
            <w:pStyle w:val="Header"/>
            <w:ind w:right="-115"/>
            <w:jc w:val="right"/>
          </w:pPr>
        </w:p>
      </w:tc>
    </w:tr>
  </w:tbl>
  <w:p w14:paraId="233A7961" w14:textId="0F05E6BF" w:rsidR="00A264AF" w:rsidRDefault="00A264AF" w:rsidP="00117194">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10948" w14:textId="068EC4B7" w:rsidR="00A264AF" w:rsidRDefault="00A264AF" w:rsidP="00117194">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F13E8" w14:textId="2E1D44AC" w:rsidR="00A264AF" w:rsidRDefault="00A264AF">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4F20A9FA" w14:textId="77777777" w:rsidTr="00117194">
      <w:tc>
        <w:tcPr>
          <w:tcW w:w="3213" w:type="dxa"/>
        </w:tcPr>
        <w:p w14:paraId="46625261" w14:textId="77777777" w:rsidR="00A264AF" w:rsidRDefault="00A264AF" w:rsidP="00117194">
          <w:pPr>
            <w:pStyle w:val="Header"/>
            <w:ind w:left="-115"/>
          </w:pPr>
        </w:p>
      </w:tc>
      <w:tc>
        <w:tcPr>
          <w:tcW w:w="3213" w:type="dxa"/>
        </w:tcPr>
        <w:p w14:paraId="44FF21D7" w14:textId="77777777" w:rsidR="00A264AF" w:rsidRDefault="00A264AF" w:rsidP="00117194">
          <w:pPr>
            <w:pStyle w:val="Header"/>
            <w:jc w:val="center"/>
          </w:pPr>
        </w:p>
      </w:tc>
      <w:tc>
        <w:tcPr>
          <w:tcW w:w="3213" w:type="dxa"/>
        </w:tcPr>
        <w:p w14:paraId="0AC1FD57" w14:textId="77777777" w:rsidR="00A264AF" w:rsidRDefault="00A264AF" w:rsidP="00117194">
          <w:pPr>
            <w:pStyle w:val="Header"/>
            <w:ind w:right="-115"/>
            <w:jc w:val="right"/>
          </w:pPr>
        </w:p>
      </w:tc>
    </w:tr>
  </w:tbl>
  <w:p w14:paraId="3325BE94" w14:textId="7332FFDD" w:rsidR="00A264AF" w:rsidRDefault="00A264AF" w:rsidP="0011719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69721691" w14:textId="77777777" w:rsidTr="00117194">
      <w:tc>
        <w:tcPr>
          <w:tcW w:w="3213" w:type="dxa"/>
        </w:tcPr>
        <w:p w14:paraId="39248579" w14:textId="608FC361" w:rsidR="00A264AF" w:rsidRDefault="00A264AF" w:rsidP="00117194">
          <w:pPr>
            <w:pStyle w:val="Header"/>
            <w:ind w:left="-115"/>
          </w:pPr>
        </w:p>
      </w:tc>
      <w:tc>
        <w:tcPr>
          <w:tcW w:w="3213" w:type="dxa"/>
        </w:tcPr>
        <w:p w14:paraId="2ACD1A3C" w14:textId="1278A0DA" w:rsidR="00A264AF" w:rsidRDefault="00A264AF" w:rsidP="00117194">
          <w:pPr>
            <w:pStyle w:val="Header"/>
            <w:jc w:val="center"/>
          </w:pPr>
        </w:p>
      </w:tc>
      <w:tc>
        <w:tcPr>
          <w:tcW w:w="3213" w:type="dxa"/>
        </w:tcPr>
        <w:p w14:paraId="792BA069" w14:textId="2E560F12" w:rsidR="00A264AF" w:rsidRDefault="00A264AF" w:rsidP="00117194">
          <w:pPr>
            <w:pStyle w:val="Header"/>
            <w:ind w:right="-115"/>
            <w:jc w:val="right"/>
          </w:pPr>
        </w:p>
      </w:tc>
    </w:tr>
  </w:tbl>
  <w:p w14:paraId="34D6C285" w14:textId="687A1FEE" w:rsidR="00A264AF" w:rsidRDefault="00A264AF" w:rsidP="0011719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799CB2" w14:textId="2C2BED7D" w:rsidR="00A264AF" w:rsidRDefault="00A264AF" w:rsidP="0011719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1FCF49" w14:textId="2C42A40F" w:rsidR="00A264AF" w:rsidRDefault="00A264AF" w:rsidP="002A47D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1DEC476D" w14:textId="77777777" w:rsidTr="00117194">
      <w:tc>
        <w:tcPr>
          <w:tcW w:w="3213" w:type="dxa"/>
        </w:tcPr>
        <w:p w14:paraId="003CC242" w14:textId="6C5E2DE3" w:rsidR="00A264AF" w:rsidRDefault="00A264AF" w:rsidP="00117194">
          <w:pPr>
            <w:pStyle w:val="Header"/>
            <w:ind w:left="-115"/>
          </w:pPr>
        </w:p>
      </w:tc>
      <w:tc>
        <w:tcPr>
          <w:tcW w:w="3213" w:type="dxa"/>
        </w:tcPr>
        <w:p w14:paraId="35E1F290" w14:textId="1B9A6F80" w:rsidR="00A264AF" w:rsidRDefault="00A264AF" w:rsidP="00117194">
          <w:pPr>
            <w:pStyle w:val="Header"/>
            <w:jc w:val="center"/>
          </w:pPr>
        </w:p>
      </w:tc>
      <w:tc>
        <w:tcPr>
          <w:tcW w:w="3213" w:type="dxa"/>
        </w:tcPr>
        <w:p w14:paraId="411CB5B2" w14:textId="5711AC2B" w:rsidR="00A264AF" w:rsidRDefault="00A264AF" w:rsidP="00117194">
          <w:pPr>
            <w:pStyle w:val="Header"/>
            <w:ind w:right="-115"/>
            <w:jc w:val="right"/>
          </w:pPr>
        </w:p>
      </w:tc>
    </w:tr>
  </w:tbl>
  <w:p w14:paraId="313A767F" w14:textId="182DB2AA" w:rsidR="00A264AF" w:rsidRDefault="00A264AF" w:rsidP="0011719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117AEB" w14:textId="7D2C5BFD" w:rsidR="00A264AF" w:rsidRPr="0048589A" w:rsidRDefault="00A264AF" w:rsidP="0048589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610D9" w14:textId="29D20747" w:rsidR="00A264AF" w:rsidRDefault="00A264AF">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A264AF" w14:paraId="64819E4E" w14:textId="77777777" w:rsidTr="00117194">
      <w:tc>
        <w:tcPr>
          <w:tcW w:w="3213" w:type="dxa"/>
        </w:tcPr>
        <w:p w14:paraId="586E2E23" w14:textId="77777777" w:rsidR="00A264AF" w:rsidRDefault="00A264AF" w:rsidP="00117194">
          <w:pPr>
            <w:pStyle w:val="Header"/>
            <w:ind w:left="-115"/>
          </w:pPr>
        </w:p>
      </w:tc>
      <w:tc>
        <w:tcPr>
          <w:tcW w:w="3213" w:type="dxa"/>
        </w:tcPr>
        <w:p w14:paraId="15ECD573" w14:textId="77777777" w:rsidR="00A264AF" w:rsidRDefault="00A264AF" w:rsidP="00117194">
          <w:pPr>
            <w:pStyle w:val="Header"/>
            <w:jc w:val="center"/>
          </w:pPr>
        </w:p>
      </w:tc>
      <w:tc>
        <w:tcPr>
          <w:tcW w:w="3213" w:type="dxa"/>
        </w:tcPr>
        <w:p w14:paraId="39C5635C" w14:textId="77777777" w:rsidR="00A264AF" w:rsidRDefault="00A264AF" w:rsidP="00117194">
          <w:pPr>
            <w:pStyle w:val="Header"/>
            <w:ind w:right="-115"/>
            <w:jc w:val="right"/>
          </w:pPr>
        </w:p>
      </w:tc>
    </w:tr>
  </w:tbl>
  <w:p w14:paraId="5BA30707" w14:textId="139CB083" w:rsidR="00A264AF" w:rsidRDefault="00A264AF" w:rsidP="0011719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1"/>
    <w:multiLevelType w:val="singleLevel"/>
    <w:tmpl w:val="B77C9CB0"/>
    <w:styleLink w:val="Sources"/>
    <w:lvl w:ilvl="0">
      <w:start w:val="1"/>
      <w:numFmt w:val="bullet"/>
      <w:pStyle w:val="ListNumber4"/>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3"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4" w15:restartNumberingAfterBreak="0">
    <w:nsid w:val="0D5A76F3"/>
    <w:multiLevelType w:val="hybridMultilevel"/>
    <w:tmpl w:val="E570BA40"/>
    <w:lvl w:ilvl="0" w:tplc="EEB89BB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445551F"/>
    <w:multiLevelType w:val="hybridMultilevel"/>
    <w:tmpl w:val="BE86C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324688"/>
    <w:multiLevelType w:val="multilevel"/>
    <w:tmpl w:val="3A90F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7B3255"/>
    <w:multiLevelType w:val="hybridMultilevel"/>
    <w:tmpl w:val="FF947F0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8" w15:restartNumberingAfterBreak="0">
    <w:nsid w:val="1F9716E3"/>
    <w:multiLevelType w:val="hybridMultilevel"/>
    <w:tmpl w:val="8A4A9D7E"/>
    <w:lvl w:ilvl="0" w:tplc="0C090001">
      <w:start w:val="1"/>
      <w:numFmt w:val="bullet"/>
      <w:lvlText w:val=""/>
      <w:lvlJc w:val="left"/>
      <w:pPr>
        <w:ind w:left="786" w:hanging="360"/>
      </w:pPr>
      <w:rPr>
        <w:rFonts w:ascii="Symbol" w:hAnsi="Symbol"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9" w15:restartNumberingAfterBreak="0">
    <w:nsid w:val="2086735F"/>
    <w:multiLevelType w:val="multilevel"/>
    <w:tmpl w:val="F1420D32"/>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1050236"/>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11" w15:restartNumberingAfterBreak="0">
    <w:nsid w:val="22362520"/>
    <w:multiLevelType w:val="hybridMultilevel"/>
    <w:tmpl w:val="C9C62E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8A90EFE"/>
    <w:multiLevelType w:val="hybridMultilevel"/>
    <w:tmpl w:val="9CB69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8B57485"/>
    <w:multiLevelType w:val="multilevel"/>
    <w:tmpl w:val="14C8A526"/>
    <w:styleLink w:val="1ai"/>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4" w15:restartNumberingAfterBreak="0">
    <w:nsid w:val="2B9F2950"/>
    <w:multiLevelType w:val="hybridMultilevel"/>
    <w:tmpl w:val="194E40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7614C6"/>
    <w:multiLevelType w:val="multilevel"/>
    <w:tmpl w:val="F1420D32"/>
    <w:styleLink w:val="111111"/>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92C0DDC"/>
    <w:multiLevelType w:val="hybridMultilevel"/>
    <w:tmpl w:val="896ECF02"/>
    <w:lvl w:ilvl="0" w:tplc="E50A506A">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3BA909F4"/>
    <w:multiLevelType w:val="hybridMultilevel"/>
    <w:tmpl w:val="18224A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9" w15:restartNumberingAfterBreak="0">
    <w:nsid w:val="3F1A7C41"/>
    <w:multiLevelType w:val="hybridMultilevel"/>
    <w:tmpl w:val="E570BA40"/>
    <w:lvl w:ilvl="0" w:tplc="EEB89BB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265682E"/>
    <w:multiLevelType w:val="singleLevel"/>
    <w:tmpl w:val="B77C9CB0"/>
    <w:styleLink w:val="Bullets"/>
    <w:lvl w:ilvl="0">
      <w:start w:val="1"/>
      <w:numFmt w:val="bullet"/>
      <w:pStyle w:val="ListBullet"/>
      <w:lvlText w:val=""/>
      <w:lvlJc w:val="left"/>
      <w:pPr>
        <w:tabs>
          <w:tab w:val="num" w:pos="1209"/>
        </w:tabs>
        <w:ind w:left="1209" w:hanging="360"/>
      </w:pPr>
      <w:rPr>
        <w:rFonts w:ascii="Symbol" w:hAnsi="Symbol" w:hint="default"/>
      </w:rPr>
    </w:lvl>
  </w:abstractNum>
  <w:abstractNum w:abstractNumId="21" w15:restartNumberingAfterBreak="0">
    <w:nsid w:val="4AE57892"/>
    <w:multiLevelType w:val="hybridMultilevel"/>
    <w:tmpl w:val="201C40B2"/>
    <w:lvl w:ilvl="0" w:tplc="66F8C250">
      <w:start w:val="9"/>
      <w:numFmt w:val="bullet"/>
      <w:lvlText w:val=""/>
      <w:lvlJc w:val="left"/>
      <w:pPr>
        <w:ind w:left="720" w:hanging="360"/>
      </w:pPr>
      <w:rPr>
        <w:rFonts w:ascii="Wingdings" w:eastAsia="Calibri"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3EB3819"/>
    <w:multiLevelType w:val="hybridMultilevel"/>
    <w:tmpl w:val="8EFE4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4520A9B"/>
    <w:multiLevelType w:val="hybridMultilevel"/>
    <w:tmpl w:val="367EE5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753489E"/>
    <w:multiLevelType w:val="hybridMultilevel"/>
    <w:tmpl w:val="20C0E17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9444BE6"/>
    <w:multiLevelType w:val="multilevel"/>
    <w:tmpl w:val="092ADFE4"/>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6" w15:restartNumberingAfterBreak="0">
    <w:nsid w:val="5A1767B6"/>
    <w:multiLevelType w:val="multilevel"/>
    <w:tmpl w:val="9432AB92"/>
    <w:styleLink w:val="Number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27" w15:restartNumberingAfterBreak="0">
    <w:nsid w:val="5F4C27FB"/>
    <w:multiLevelType w:val="multilevel"/>
    <w:tmpl w:val="0C09001F"/>
    <w:styleLink w:val="ArticleSection"/>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15:restartNumberingAfterBreak="0">
    <w:nsid w:val="66063429"/>
    <w:multiLevelType w:val="multilevel"/>
    <w:tmpl w:val="FCBECBAC"/>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9"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30" w15:restartNumberingAfterBreak="0">
    <w:nsid w:val="7CE53265"/>
    <w:multiLevelType w:val="hybridMultilevel"/>
    <w:tmpl w:val="287EF550"/>
    <w:lvl w:ilvl="0" w:tplc="0C090015">
      <w:start w:val="1"/>
      <w:numFmt w:val="upp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20"/>
  </w:num>
  <w:num w:numId="5">
    <w:abstractNumId w:val="9"/>
  </w:num>
  <w:num w:numId="6">
    <w:abstractNumId w:val="26"/>
  </w:num>
  <w:num w:numId="7">
    <w:abstractNumId w:val="15"/>
  </w:num>
  <w:num w:numId="8">
    <w:abstractNumId w:val="13"/>
  </w:num>
  <w:num w:numId="9">
    <w:abstractNumId w:val="27"/>
  </w:num>
  <w:num w:numId="10">
    <w:abstractNumId w:val="0"/>
  </w:num>
  <w:num w:numId="11">
    <w:abstractNumId w:val="25"/>
  </w:num>
  <w:num w:numId="12">
    <w:abstractNumId w:val="28"/>
  </w:num>
  <w:num w:numId="13">
    <w:abstractNumId w:val="29"/>
  </w:num>
  <w:num w:numId="14">
    <w:abstractNumId w:val="18"/>
  </w:num>
  <w:num w:numId="15">
    <w:abstractNumId w:val="10"/>
    <w:lvlOverride w:ilvl="0">
      <w:startOverride w:val="1"/>
    </w:lvlOverride>
  </w:num>
  <w:num w:numId="16">
    <w:abstractNumId w:val="8"/>
  </w:num>
  <w:num w:numId="17">
    <w:abstractNumId w:val="6"/>
  </w:num>
  <w:num w:numId="18">
    <w:abstractNumId w:val="12"/>
  </w:num>
  <w:num w:numId="19">
    <w:abstractNumId w:val="5"/>
  </w:num>
  <w:num w:numId="20">
    <w:abstractNumId w:val="14"/>
  </w:num>
  <w:num w:numId="21">
    <w:abstractNumId w:val="16"/>
  </w:num>
  <w:num w:numId="22">
    <w:abstractNumId w:val="30"/>
  </w:num>
  <w:num w:numId="23">
    <w:abstractNumId w:val="4"/>
  </w:num>
  <w:num w:numId="24">
    <w:abstractNumId w:val="21"/>
  </w:num>
  <w:num w:numId="25">
    <w:abstractNumId w:val="19"/>
  </w:num>
  <w:num w:numId="26">
    <w:abstractNumId w:val="24"/>
  </w:num>
  <w:num w:numId="27">
    <w:abstractNumId w:val="11"/>
  </w:num>
  <w:num w:numId="28">
    <w:abstractNumId w:val="23"/>
  </w:num>
  <w:num w:numId="29">
    <w:abstractNumId w:val="17"/>
  </w:num>
  <w:num w:numId="30">
    <w:abstractNumId w:val="22"/>
  </w:num>
  <w:num w:numId="31">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ocumentProtection w:edit="readOnly" w:formatting="1" w:enforcement="1" w:cryptProviderType="rsaAES" w:cryptAlgorithmClass="hash" w:cryptAlgorithmType="typeAny" w:cryptAlgorithmSid="14" w:cryptSpinCount="100000" w:hash="/UIodL2Ppgz75lMNm3YwbKTr5tNLOdcogmUCYbX4lwcJ6jEfMIaH0+RMWgNIDR2GqirC4pDC9MkcFxpnZ03Bzw==" w:salt="ZpFTmksEIlJ7TG1tYIulEw=="/>
  <w:defaultTabStop w:val="720"/>
  <w:drawingGridHorizontalSpacing w:val="110"/>
  <w:displayHorizontalDrawingGridEvery w:val="2"/>
  <w:characterSpacingControl w:val="doNotCompress"/>
  <w:hdrShapeDefaults>
    <o:shapedefaults v:ext="edit" spidmax="6145" style="mso-position-vertical-relative:page;v-text-anchor:bottom" fill="f" fillcolor="white" stroke="f">
      <v:fill color="white" on="f"/>
      <v:stroke on="f"/>
      <v:textbox inset="0,0,0,0"/>
      <o:colormru v:ext="edit" colors="#ddd,#f8f8f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 w:name="EN.InstantFormat" w:val="&lt;ENInstantFormat&gt;&lt;Enabled&gt;0&lt;/Enabled&gt;&lt;ScanUnformatted&gt;1&lt;/ScanUnformatted&gt;&lt;ScanChanges&gt;1&lt;/ScanChanges&gt;&lt;Suspended&gt;1&lt;/Suspended&gt;&lt;/ENInstantFormat&gt;"/>
    <w:docVar w:name="EN.Layout" w:val="&lt;ENLayout&gt;&lt;Style&gt;GBA-EndNoteStyle-v4 &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e5xx5vx2prp53esvs7pdxd8v9ts2x259sdx&quot;&gt;EndNoteLibSBS&lt;record-ids&gt;&lt;item&gt;1&lt;/item&gt;&lt;item&gt;2&lt;/item&gt;&lt;item&gt;5&lt;/item&gt;&lt;item&gt;6&lt;/item&gt;&lt;item&gt;7&lt;/item&gt;&lt;item&gt;9&lt;/item&gt;&lt;item&gt;10&lt;/item&gt;&lt;item&gt;11&lt;/item&gt;&lt;item&gt;12&lt;/item&gt;&lt;item&gt;15&lt;/item&gt;&lt;item&gt;24&lt;/item&gt;&lt;item&gt;26&lt;/item&gt;&lt;item&gt;27&lt;/item&gt;&lt;item&gt;28&lt;/item&gt;&lt;item&gt;29&lt;/item&gt;&lt;item&gt;30&lt;/item&gt;&lt;item&gt;34&lt;/item&gt;&lt;item&gt;38&lt;/item&gt;&lt;item&gt;41&lt;/item&gt;&lt;item&gt;42&lt;/item&gt;&lt;item&gt;43&lt;/item&gt;&lt;item&gt;48&lt;/item&gt;&lt;item&gt;49&lt;/item&gt;&lt;item&gt;53&lt;/item&gt;&lt;item&gt;54&lt;/item&gt;&lt;item&gt;55&lt;/item&gt;&lt;item&gt;57&lt;/item&gt;&lt;item&gt;58&lt;/item&gt;&lt;item&gt;59&lt;/item&gt;&lt;item&gt;61&lt;/item&gt;&lt;item&gt;62&lt;/item&gt;&lt;item&gt;74&lt;/item&gt;&lt;item&gt;75&lt;/item&gt;&lt;item&gt;76&lt;/item&gt;&lt;item&gt;78&lt;/item&gt;&lt;item&gt;79&lt;/item&gt;&lt;item&gt;80&lt;/item&gt;&lt;item&gt;87&lt;/item&gt;&lt;item&gt;88&lt;/item&gt;&lt;item&gt;89&lt;/item&gt;&lt;item&gt;90&lt;/item&gt;&lt;item&gt;91&lt;/item&gt;&lt;item&gt;96&lt;/item&gt;&lt;item&gt;98&lt;/item&gt;&lt;item&gt;99&lt;/item&gt;&lt;item&gt;100&lt;/item&gt;&lt;item&gt;101&lt;/item&gt;&lt;item&gt;102&lt;/item&gt;&lt;item&gt;118&lt;/item&gt;&lt;item&gt;124&lt;/item&gt;&lt;item&gt;126&lt;/item&gt;&lt;item&gt;127&lt;/item&gt;&lt;item&gt;128&lt;/item&gt;&lt;item&gt;130&lt;/item&gt;&lt;item&gt;131&lt;/item&gt;&lt;item&gt;132&lt;/item&gt;&lt;item&gt;133&lt;/item&gt;&lt;item&gt;134&lt;/item&gt;&lt;item&gt;135&lt;/item&gt;&lt;item&gt;136&lt;/item&gt;&lt;item&gt;137&lt;/item&gt;&lt;item&gt;138&lt;/item&gt;&lt;item&gt;139&lt;/item&gt;&lt;item&gt;140&lt;/item&gt;&lt;item&gt;141&lt;/item&gt;&lt;item&gt;143&lt;/item&gt;&lt;item&gt;147&lt;/item&gt;&lt;item&gt;148&lt;/item&gt;&lt;item&gt;149&lt;/item&gt;&lt;item&gt;150&lt;/item&gt;&lt;item&gt;151&lt;/item&gt;&lt;item&gt;152&lt;/item&gt;&lt;item&gt;153&lt;/item&gt;&lt;item&gt;154&lt;/item&gt;&lt;item&gt;155&lt;/item&gt;&lt;item&gt;158&lt;/item&gt;&lt;/record-ids&gt;&lt;/item&gt;&lt;/Libraries&gt;"/>
  </w:docVars>
  <w:rsids>
    <w:rsidRoot w:val="00C9058B"/>
    <w:rsid w:val="0000006C"/>
    <w:rsid w:val="0000011F"/>
    <w:rsid w:val="00000325"/>
    <w:rsid w:val="00000354"/>
    <w:rsid w:val="0000064D"/>
    <w:rsid w:val="000007D1"/>
    <w:rsid w:val="00000833"/>
    <w:rsid w:val="000008BD"/>
    <w:rsid w:val="00000A79"/>
    <w:rsid w:val="00000B24"/>
    <w:rsid w:val="00000CBB"/>
    <w:rsid w:val="00000D95"/>
    <w:rsid w:val="00000DE0"/>
    <w:rsid w:val="00000EEA"/>
    <w:rsid w:val="00000F07"/>
    <w:rsid w:val="00000F6B"/>
    <w:rsid w:val="0000127B"/>
    <w:rsid w:val="000012E5"/>
    <w:rsid w:val="0000131F"/>
    <w:rsid w:val="000013C8"/>
    <w:rsid w:val="00001731"/>
    <w:rsid w:val="00001813"/>
    <w:rsid w:val="00001849"/>
    <w:rsid w:val="00001864"/>
    <w:rsid w:val="000018D1"/>
    <w:rsid w:val="00001A92"/>
    <w:rsid w:val="00001B44"/>
    <w:rsid w:val="00001D95"/>
    <w:rsid w:val="00001F4C"/>
    <w:rsid w:val="0000216D"/>
    <w:rsid w:val="000023A2"/>
    <w:rsid w:val="000023C5"/>
    <w:rsid w:val="0000257C"/>
    <w:rsid w:val="00002677"/>
    <w:rsid w:val="00002767"/>
    <w:rsid w:val="000027C5"/>
    <w:rsid w:val="000027C9"/>
    <w:rsid w:val="0000294E"/>
    <w:rsid w:val="00002983"/>
    <w:rsid w:val="00002AA7"/>
    <w:rsid w:val="00002C30"/>
    <w:rsid w:val="00002D83"/>
    <w:rsid w:val="00002EA6"/>
    <w:rsid w:val="00002FDF"/>
    <w:rsid w:val="00003072"/>
    <w:rsid w:val="000030C9"/>
    <w:rsid w:val="000031CD"/>
    <w:rsid w:val="000031E1"/>
    <w:rsid w:val="000033C7"/>
    <w:rsid w:val="000033E3"/>
    <w:rsid w:val="000033F4"/>
    <w:rsid w:val="000035C2"/>
    <w:rsid w:val="00003675"/>
    <w:rsid w:val="00003970"/>
    <w:rsid w:val="00003D25"/>
    <w:rsid w:val="00003DD5"/>
    <w:rsid w:val="00004013"/>
    <w:rsid w:val="000040AF"/>
    <w:rsid w:val="0000467C"/>
    <w:rsid w:val="00004738"/>
    <w:rsid w:val="0000494D"/>
    <w:rsid w:val="00004A16"/>
    <w:rsid w:val="00004D10"/>
    <w:rsid w:val="00004D4E"/>
    <w:rsid w:val="00004DE3"/>
    <w:rsid w:val="00004EC3"/>
    <w:rsid w:val="00004F39"/>
    <w:rsid w:val="00004FC3"/>
    <w:rsid w:val="00005060"/>
    <w:rsid w:val="00005359"/>
    <w:rsid w:val="00005727"/>
    <w:rsid w:val="0000574A"/>
    <w:rsid w:val="00005898"/>
    <w:rsid w:val="00005AE4"/>
    <w:rsid w:val="00005C7D"/>
    <w:rsid w:val="00005FB0"/>
    <w:rsid w:val="000060E0"/>
    <w:rsid w:val="0000615B"/>
    <w:rsid w:val="0000653C"/>
    <w:rsid w:val="000067D8"/>
    <w:rsid w:val="00006BB5"/>
    <w:rsid w:val="00006DD5"/>
    <w:rsid w:val="00006EB6"/>
    <w:rsid w:val="000070C9"/>
    <w:rsid w:val="000072BE"/>
    <w:rsid w:val="00007420"/>
    <w:rsid w:val="000075B8"/>
    <w:rsid w:val="0000766E"/>
    <w:rsid w:val="0000767C"/>
    <w:rsid w:val="000077F3"/>
    <w:rsid w:val="000078A8"/>
    <w:rsid w:val="0000797F"/>
    <w:rsid w:val="00007B2C"/>
    <w:rsid w:val="00007B42"/>
    <w:rsid w:val="00007B6A"/>
    <w:rsid w:val="00007D32"/>
    <w:rsid w:val="00007EBF"/>
    <w:rsid w:val="00007EF8"/>
    <w:rsid w:val="000102C8"/>
    <w:rsid w:val="000103FE"/>
    <w:rsid w:val="00010469"/>
    <w:rsid w:val="00010494"/>
    <w:rsid w:val="000105D4"/>
    <w:rsid w:val="000106AF"/>
    <w:rsid w:val="00010CE3"/>
    <w:rsid w:val="00010D1D"/>
    <w:rsid w:val="00010F91"/>
    <w:rsid w:val="00011013"/>
    <w:rsid w:val="00011087"/>
    <w:rsid w:val="000110EF"/>
    <w:rsid w:val="0001119D"/>
    <w:rsid w:val="0001155B"/>
    <w:rsid w:val="0001156C"/>
    <w:rsid w:val="000118B0"/>
    <w:rsid w:val="000118B4"/>
    <w:rsid w:val="00011A64"/>
    <w:rsid w:val="00011C57"/>
    <w:rsid w:val="00011CF2"/>
    <w:rsid w:val="00011D65"/>
    <w:rsid w:val="00011F9C"/>
    <w:rsid w:val="00011FC6"/>
    <w:rsid w:val="000122B2"/>
    <w:rsid w:val="000123D8"/>
    <w:rsid w:val="0001262A"/>
    <w:rsid w:val="000126EB"/>
    <w:rsid w:val="00012740"/>
    <w:rsid w:val="00012833"/>
    <w:rsid w:val="0001285E"/>
    <w:rsid w:val="00012A4A"/>
    <w:rsid w:val="00012A5E"/>
    <w:rsid w:val="00012B57"/>
    <w:rsid w:val="00012D10"/>
    <w:rsid w:val="00012EEB"/>
    <w:rsid w:val="00012EF0"/>
    <w:rsid w:val="00012F8C"/>
    <w:rsid w:val="000133C2"/>
    <w:rsid w:val="00013454"/>
    <w:rsid w:val="00013474"/>
    <w:rsid w:val="00013501"/>
    <w:rsid w:val="000135B8"/>
    <w:rsid w:val="000138D5"/>
    <w:rsid w:val="00013ABF"/>
    <w:rsid w:val="00013AF4"/>
    <w:rsid w:val="00013B2E"/>
    <w:rsid w:val="00013EDA"/>
    <w:rsid w:val="00014062"/>
    <w:rsid w:val="000142C8"/>
    <w:rsid w:val="0001437C"/>
    <w:rsid w:val="00014520"/>
    <w:rsid w:val="000146BF"/>
    <w:rsid w:val="000146D6"/>
    <w:rsid w:val="000147C8"/>
    <w:rsid w:val="0001496C"/>
    <w:rsid w:val="00014CFD"/>
    <w:rsid w:val="00014D8F"/>
    <w:rsid w:val="000150DC"/>
    <w:rsid w:val="000151DD"/>
    <w:rsid w:val="000151F2"/>
    <w:rsid w:val="00015222"/>
    <w:rsid w:val="000152CC"/>
    <w:rsid w:val="000154E3"/>
    <w:rsid w:val="00015600"/>
    <w:rsid w:val="00015834"/>
    <w:rsid w:val="00015A57"/>
    <w:rsid w:val="00015ACF"/>
    <w:rsid w:val="00015E82"/>
    <w:rsid w:val="00015EF8"/>
    <w:rsid w:val="00015FA8"/>
    <w:rsid w:val="00016106"/>
    <w:rsid w:val="00016593"/>
    <w:rsid w:val="00016613"/>
    <w:rsid w:val="0001686D"/>
    <w:rsid w:val="00016AF8"/>
    <w:rsid w:val="00016B16"/>
    <w:rsid w:val="00016B64"/>
    <w:rsid w:val="00016CA2"/>
    <w:rsid w:val="00016D0C"/>
    <w:rsid w:val="00016D4C"/>
    <w:rsid w:val="00016E58"/>
    <w:rsid w:val="00016E9F"/>
    <w:rsid w:val="00016F30"/>
    <w:rsid w:val="0001712F"/>
    <w:rsid w:val="000172F2"/>
    <w:rsid w:val="00017434"/>
    <w:rsid w:val="000174C3"/>
    <w:rsid w:val="0001773A"/>
    <w:rsid w:val="0001775B"/>
    <w:rsid w:val="00017902"/>
    <w:rsid w:val="00017933"/>
    <w:rsid w:val="00017A8A"/>
    <w:rsid w:val="00017AF8"/>
    <w:rsid w:val="00017B2C"/>
    <w:rsid w:val="00017C85"/>
    <w:rsid w:val="00017F76"/>
    <w:rsid w:val="000208FF"/>
    <w:rsid w:val="000209C7"/>
    <w:rsid w:val="00020A05"/>
    <w:rsid w:val="00020AB3"/>
    <w:rsid w:val="00020BE4"/>
    <w:rsid w:val="00020C8F"/>
    <w:rsid w:val="000210B1"/>
    <w:rsid w:val="00021195"/>
    <w:rsid w:val="0002123B"/>
    <w:rsid w:val="0002156B"/>
    <w:rsid w:val="00021797"/>
    <w:rsid w:val="00021B18"/>
    <w:rsid w:val="00021EA1"/>
    <w:rsid w:val="00022099"/>
    <w:rsid w:val="00022110"/>
    <w:rsid w:val="0002221F"/>
    <w:rsid w:val="00022296"/>
    <w:rsid w:val="00022349"/>
    <w:rsid w:val="00022572"/>
    <w:rsid w:val="000227D4"/>
    <w:rsid w:val="00022A23"/>
    <w:rsid w:val="00022AB2"/>
    <w:rsid w:val="00022B0D"/>
    <w:rsid w:val="00022CFC"/>
    <w:rsid w:val="00022E61"/>
    <w:rsid w:val="000230CD"/>
    <w:rsid w:val="000231C3"/>
    <w:rsid w:val="00023474"/>
    <w:rsid w:val="000237B8"/>
    <w:rsid w:val="000238B9"/>
    <w:rsid w:val="0002393B"/>
    <w:rsid w:val="00023B3D"/>
    <w:rsid w:val="00023B88"/>
    <w:rsid w:val="00023C69"/>
    <w:rsid w:val="00023E21"/>
    <w:rsid w:val="00023E47"/>
    <w:rsid w:val="00024149"/>
    <w:rsid w:val="00024396"/>
    <w:rsid w:val="00024472"/>
    <w:rsid w:val="00024480"/>
    <w:rsid w:val="00024659"/>
    <w:rsid w:val="00024697"/>
    <w:rsid w:val="00024777"/>
    <w:rsid w:val="000248C0"/>
    <w:rsid w:val="0002497F"/>
    <w:rsid w:val="00024DE9"/>
    <w:rsid w:val="00024EDA"/>
    <w:rsid w:val="00024F6E"/>
    <w:rsid w:val="00024F74"/>
    <w:rsid w:val="00024FBD"/>
    <w:rsid w:val="00025048"/>
    <w:rsid w:val="00025322"/>
    <w:rsid w:val="00025406"/>
    <w:rsid w:val="00025973"/>
    <w:rsid w:val="00025AA8"/>
    <w:rsid w:val="00025CCB"/>
    <w:rsid w:val="00025D1F"/>
    <w:rsid w:val="00025F66"/>
    <w:rsid w:val="00025FD5"/>
    <w:rsid w:val="0002622B"/>
    <w:rsid w:val="000262B5"/>
    <w:rsid w:val="00026384"/>
    <w:rsid w:val="000263E5"/>
    <w:rsid w:val="0002676D"/>
    <w:rsid w:val="00026786"/>
    <w:rsid w:val="00026860"/>
    <w:rsid w:val="0002686D"/>
    <w:rsid w:val="00026917"/>
    <w:rsid w:val="00026B6F"/>
    <w:rsid w:val="00026D63"/>
    <w:rsid w:val="00026F44"/>
    <w:rsid w:val="0002707A"/>
    <w:rsid w:val="00027185"/>
    <w:rsid w:val="000272C6"/>
    <w:rsid w:val="00027589"/>
    <w:rsid w:val="000275CD"/>
    <w:rsid w:val="00027822"/>
    <w:rsid w:val="000278B6"/>
    <w:rsid w:val="000279FC"/>
    <w:rsid w:val="00027C35"/>
    <w:rsid w:val="00027CB1"/>
    <w:rsid w:val="00027CBD"/>
    <w:rsid w:val="00027EBE"/>
    <w:rsid w:val="00027ED6"/>
    <w:rsid w:val="00027FC1"/>
    <w:rsid w:val="0003006E"/>
    <w:rsid w:val="00030496"/>
    <w:rsid w:val="000304AC"/>
    <w:rsid w:val="000307A9"/>
    <w:rsid w:val="00030C20"/>
    <w:rsid w:val="00030D05"/>
    <w:rsid w:val="00030D5A"/>
    <w:rsid w:val="00030E25"/>
    <w:rsid w:val="00030F8E"/>
    <w:rsid w:val="00030FDC"/>
    <w:rsid w:val="000312A4"/>
    <w:rsid w:val="000312EA"/>
    <w:rsid w:val="00031348"/>
    <w:rsid w:val="000313A5"/>
    <w:rsid w:val="00031514"/>
    <w:rsid w:val="00031550"/>
    <w:rsid w:val="00031584"/>
    <w:rsid w:val="00031670"/>
    <w:rsid w:val="000316D4"/>
    <w:rsid w:val="00031811"/>
    <w:rsid w:val="000319FE"/>
    <w:rsid w:val="00031C1E"/>
    <w:rsid w:val="00031CE2"/>
    <w:rsid w:val="00031CF4"/>
    <w:rsid w:val="00031D6E"/>
    <w:rsid w:val="00031E8A"/>
    <w:rsid w:val="000320FD"/>
    <w:rsid w:val="0003217A"/>
    <w:rsid w:val="0003217B"/>
    <w:rsid w:val="0003217D"/>
    <w:rsid w:val="000322AD"/>
    <w:rsid w:val="00032341"/>
    <w:rsid w:val="000324C6"/>
    <w:rsid w:val="000325A3"/>
    <w:rsid w:val="0003291F"/>
    <w:rsid w:val="00032B29"/>
    <w:rsid w:val="00032C10"/>
    <w:rsid w:val="00032DD4"/>
    <w:rsid w:val="00032F2F"/>
    <w:rsid w:val="00033050"/>
    <w:rsid w:val="0003305F"/>
    <w:rsid w:val="000331D4"/>
    <w:rsid w:val="0003321C"/>
    <w:rsid w:val="0003321D"/>
    <w:rsid w:val="000333FB"/>
    <w:rsid w:val="000337B6"/>
    <w:rsid w:val="00033818"/>
    <w:rsid w:val="00033960"/>
    <w:rsid w:val="00033D04"/>
    <w:rsid w:val="00033D85"/>
    <w:rsid w:val="00033EB7"/>
    <w:rsid w:val="00033EC9"/>
    <w:rsid w:val="00033FA9"/>
    <w:rsid w:val="000340F8"/>
    <w:rsid w:val="00034406"/>
    <w:rsid w:val="000345A4"/>
    <w:rsid w:val="0003470B"/>
    <w:rsid w:val="000348DB"/>
    <w:rsid w:val="00034951"/>
    <w:rsid w:val="00034E26"/>
    <w:rsid w:val="00034F25"/>
    <w:rsid w:val="00034FE4"/>
    <w:rsid w:val="00035013"/>
    <w:rsid w:val="00035081"/>
    <w:rsid w:val="0003511C"/>
    <w:rsid w:val="0003530A"/>
    <w:rsid w:val="00035355"/>
    <w:rsid w:val="000355B2"/>
    <w:rsid w:val="000355DC"/>
    <w:rsid w:val="00035602"/>
    <w:rsid w:val="00035807"/>
    <w:rsid w:val="0003585B"/>
    <w:rsid w:val="000358BC"/>
    <w:rsid w:val="00035A40"/>
    <w:rsid w:val="00035C99"/>
    <w:rsid w:val="00035D4E"/>
    <w:rsid w:val="00035DB4"/>
    <w:rsid w:val="000364D1"/>
    <w:rsid w:val="0003650A"/>
    <w:rsid w:val="00037075"/>
    <w:rsid w:val="0003745E"/>
    <w:rsid w:val="00037949"/>
    <w:rsid w:val="00037AB6"/>
    <w:rsid w:val="00037EAF"/>
    <w:rsid w:val="00037EC1"/>
    <w:rsid w:val="000400A0"/>
    <w:rsid w:val="000400A8"/>
    <w:rsid w:val="000401D2"/>
    <w:rsid w:val="00040578"/>
    <w:rsid w:val="000407E0"/>
    <w:rsid w:val="0004089D"/>
    <w:rsid w:val="000409B5"/>
    <w:rsid w:val="00040B4A"/>
    <w:rsid w:val="00040C36"/>
    <w:rsid w:val="00040E8A"/>
    <w:rsid w:val="0004131B"/>
    <w:rsid w:val="000413B9"/>
    <w:rsid w:val="00041422"/>
    <w:rsid w:val="0004154B"/>
    <w:rsid w:val="0004155F"/>
    <w:rsid w:val="000416E0"/>
    <w:rsid w:val="00041732"/>
    <w:rsid w:val="00041B92"/>
    <w:rsid w:val="00041CF9"/>
    <w:rsid w:val="00041DDB"/>
    <w:rsid w:val="00041DF6"/>
    <w:rsid w:val="00041ED4"/>
    <w:rsid w:val="00041F43"/>
    <w:rsid w:val="000420F6"/>
    <w:rsid w:val="00042304"/>
    <w:rsid w:val="0004254E"/>
    <w:rsid w:val="00042658"/>
    <w:rsid w:val="000427C8"/>
    <w:rsid w:val="0004290D"/>
    <w:rsid w:val="00042A1A"/>
    <w:rsid w:val="00042B50"/>
    <w:rsid w:val="00042BA9"/>
    <w:rsid w:val="000431D6"/>
    <w:rsid w:val="000434F3"/>
    <w:rsid w:val="00043635"/>
    <w:rsid w:val="0004378A"/>
    <w:rsid w:val="000437DF"/>
    <w:rsid w:val="00043876"/>
    <w:rsid w:val="00043AEE"/>
    <w:rsid w:val="00043B67"/>
    <w:rsid w:val="00043DC8"/>
    <w:rsid w:val="000443E1"/>
    <w:rsid w:val="00044431"/>
    <w:rsid w:val="0004460F"/>
    <w:rsid w:val="00044776"/>
    <w:rsid w:val="00044A4F"/>
    <w:rsid w:val="00044A67"/>
    <w:rsid w:val="00044A7A"/>
    <w:rsid w:val="00044B07"/>
    <w:rsid w:val="00044D2F"/>
    <w:rsid w:val="00044DC2"/>
    <w:rsid w:val="00044E62"/>
    <w:rsid w:val="00044E8C"/>
    <w:rsid w:val="00044F34"/>
    <w:rsid w:val="00044F3E"/>
    <w:rsid w:val="00044F44"/>
    <w:rsid w:val="00045246"/>
    <w:rsid w:val="0004549B"/>
    <w:rsid w:val="00045892"/>
    <w:rsid w:val="000458D6"/>
    <w:rsid w:val="00045949"/>
    <w:rsid w:val="00045B64"/>
    <w:rsid w:val="00045BCE"/>
    <w:rsid w:val="00045C00"/>
    <w:rsid w:val="00045D5C"/>
    <w:rsid w:val="00045E58"/>
    <w:rsid w:val="00046141"/>
    <w:rsid w:val="00046160"/>
    <w:rsid w:val="0004633C"/>
    <w:rsid w:val="00046469"/>
    <w:rsid w:val="00046486"/>
    <w:rsid w:val="00046533"/>
    <w:rsid w:val="00046A23"/>
    <w:rsid w:val="00046CFA"/>
    <w:rsid w:val="00046CFD"/>
    <w:rsid w:val="00046D29"/>
    <w:rsid w:val="00046EF4"/>
    <w:rsid w:val="00047237"/>
    <w:rsid w:val="00047377"/>
    <w:rsid w:val="0004761E"/>
    <w:rsid w:val="0004767F"/>
    <w:rsid w:val="00047781"/>
    <w:rsid w:val="000477BD"/>
    <w:rsid w:val="00047AB2"/>
    <w:rsid w:val="00047B08"/>
    <w:rsid w:val="00047F73"/>
    <w:rsid w:val="0005048B"/>
    <w:rsid w:val="000507AD"/>
    <w:rsid w:val="000509B7"/>
    <w:rsid w:val="00050C0A"/>
    <w:rsid w:val="00050CEE"/>
    <w:rsid w:val="00051219"/>
    <w:rsid w:val="00051456"/>
    <w:rsid w:val="000514C4"/>
    <w:rsid w:val="000516D2"/>
    <w:rsid w:val="000517E9"/>
    <w:rsid w:val="000518FD"/>
    <w:rsid w:val="0005194A"/>
    <w:rsid w:val="00051C9C"/>
    <w:rsid w:val="00051CED"/>
    <w:rsid w:val="00051DA8"/>
    <w:rsid w:val="00051FCD"/>
    <w:rsid w:val="00051FD2"/>
    <w:rsid w:val="000521FF"/>
    <w:rsid w:val="00052247"/>
    <w:rsid w:val="0005226F"/>
    <w:rsid w:val="00052343"/>
    <w:rsid w:val="000523C2"/>
    <w:rsid w:val="000524BD"/>
    <w:rsid w:val="000525F6"/>
    <w:rsid w:val="00052C1A"/>
    <w:rsid w:val="00052C29"/>
    <w:rsid w:val="00052D41"/>
    <w:rsid w:val="00052D6C"/>
    <w:rsid w:val="00052D84"/>
    <w:rsid w:val="00052E34"/>
    <w:rsid w:val="000534D2"/>
    <w:rsid w:val="00053666"/>
    <w:rsid w:val="0005371F"/>
    <w:rsid w:val="0005390E"/>
    <w:rsid w:val="00053C44"/>
    <w:rsid w:val="00053C4D"/>
    <w:rsid w:val="00053E83"/>
    <w:rsid w:val="00053E8C"/>
    <w:rsid w:val="00053ED9"/>
    <w:rsid w:val="00054119"/>
    <w:rsid w:val="000542D9"/>
    <w:rsid w:val="00054904"/>
    <w:rsid w:val="00054D29"/>
    <w:rsid w:val="00054E44"/>
    <w:rsid w:val="00054ED9"/>
    <w:rsid w:val="0005500C"/>
    <w:rsid w:val="00055079"/>
    <w:rsid w:val="00055182"/>
    <w:rsid w:val="000556A4"/>
    <w:rsid w:val="00055876"/>
    <w:rsid w:val="000558B6"/>
    <w:rsid w:val="00055A94"/>
    <w:rsid w:val="00055AF9"/>
    <w:rsid w:val="00055BEF"/>
    <w:rsid w:val="00055E43"/>
    <w:rsid w:val="00055E67"/>
    <w:rsid w:val="00056202"/>
    <w:rsid w:val="00056297"/>
    <w:rsid w:val="000564A2"/>
    <w:rsid w:val="00056577"/>
    <w:rsid w:val="0005681E"/>
    <w:rsid w:val="00056AEF"/>
    <w:rsid w:val="00056E0E"/>
    <w:rsid w:val="00056ED2"/>
    <w:rsid w:val="00056F0B"/>
    <w:rsid w:val="00056FD0"/>
    <w:rsid w:val="000571C0"/>
    <w:rsid w:val="0005733C"/>
    <w:rsid w:val="00057453"/>
    <w:rsid w:val="00057472"/>
    <w:rsid w:val="000575C3"/>
    <w:rsid w:val="00057628"/>
    <w:rsid w:val="0005798A"/>
    <w:rsid w:val="000579BF"/>
    <w:rsid w:val="000579CF"/>
    <w:rsid w:val="00057C72"/>
    <w:rsid w:val="00057DAA"/>
    <w:rsid w:val="000600F6"/>
    <w:rsid w:val="000601B6"/>
    <w:rsid w:val="000603C3"/>
    <w:rsid w:val="0006097B"/>
    <w:rsid w:val="00060A04"/>
    <w:rsid w:val="00061214"/>
    <w:rsid w:val="000612DE"/>
    <w:rsid w:val="00061401"/>
    <w:rsid w:val="00061434"/>
    <w:rsid w:val="000614A6"/>
    <w:rsid w:val="00061676"/>
    <w:rsid w:val="000618F6"/>
    <w:rsid w:val="000619B1"/>
    <w:rsid w:val="00061D65"/>
    <w:rsid w:val="00061E0D"/>
    <w:rsid w:val="00061E10"/>
    <w:rsid w:val="00061EF7"/>
    <w:rsid w:val="000621DD"/>
    <w:rsid w:val="00062267"/>
    <w:rsid w:val="000622E7"/>
    <w:rsid w:val="000624D4"/>
    <w:rsid w:val="000624E7"/>
    <w:rsid w:val="000627ED"/>
    <w:rsid w:val="00062FAF"/>
    <w:rsid w:val="00063049"/>
    <w:rsid w:val="000630C7"/>
    <w:rsid w:val="00063191"/>
    <w:rsid w:val="00063267"/>
    <w:rsid w:val="000632A1"/>
    <w:rsid w:val="0006334C"/>
    <w:rsid w:val="0006355E"/>
    <w:rsid w:val="00063586"/>
    <w:rsid w:val="00063587"/>
    <w:rsid w:val="00063748"/>
    <w:rsid w:val="00063762"/>
    <w:rsid w:val="000638A5"/>
    <w:rsid w:val="00063AF2"/>
    <w:rsid w:val="00063C80"/>
    <w:rsid w:val="00063D20"/>
    <w:rsid w:val="00063D59"/>
    <w:rsid w:val="000641FD"/>
    <w:rsid w:val="0006421E"/>
    <w:rsid w:val="00064438"/>
    <w:rsid w:val="00064612"/>
    <w:rsid w:val="00064641"/>
    <w:rsid w:val="000646DF"/>
    <w:rsid w:val="00064B00"/>
    <w:rsid w:val="00064BD7"/>
    <w:rsid w:val="00064D3F"/>
    <w:rsid w:val="00064D60"/>
    <w:rsid w:val="00064DCE"/>
    <w:rsid w:val="00064E7B"/>
    <w:rsid w:val="00064F73"/>
    <w:rsid w:val="00065017"/>
    <w:rsid w:val="00065086"/>
    <w:rsid w:val="000651DF"/>
    <w:rsid w:val="0006528D"/>
    <w:rsid w:val="000653A4"/>
    <w:rsid w:val="0006543E"/>
    <w:rsid w:val="0006546A"/>
    <w:rsid w:val="00065556"/>
    <w:rsid w:val="000655DA"/>
    <w:rsid w:val="00065771"/>
    <w:rsid w:val="000657FF"/>
    <w:rsid w:val="00065851"/>
    <w:rsid w:val="000659C1"/>
    <w:rsid w:val="00065D2F"/>
    <w:rsid w:val="00065E27"/>
    <w:rsid w:val="00065FC3"/>
    <w:rsid w:val="0006603E"/>
    <w:rsid w:val="0006606C"/>
    <w:rsid w:val="00066099"/>
    <w:rsid w:val="00066153"/>
    <w:rsid w:val="00066386"/>
    <w:rsid w:val="0006640C"/>
    <w:rsid w:val="0006657C"/>
    <w:rsid w:val="00066789"/>
    <w:rsid w:val="000667A4"/>
    <w:rsid w:val="00066998"/>
    <w:rsid w:val="00066A49"/>
    <w:rsid w:val="00066A6D"/>
    <w:rsid w:val="00066B94"/>
    <w:rsid w:val="00066E4B"/>
    <w:rsid w:val="00067241"/>
    <w:rsid w:val="00067292"/>
    <w:rsid w:val="000672C0"/>
    <w:rsid w:val="0006753C"/>
    <w:rsid w:val="000675B4"/>
    <w:rsid w:val="0006764D"/>
    <w:rsid w:val="00067659"/>
    <w:rsid w:val="00067754"/>
    <w:rsid w:val="000677CE"/>
    <w:rsid w:val="00067810"/>
    <w:rsid w:val="00067828"/>
    <w:rsid w:val="00067883"/>
    <w:rsid w:val="00067A12"/>
    <w:rsid w:val="00067B0B"/>
    <w:rsid w:val="00067BF9"/>
    <w:rsid w:val="00067C10"/>
    <w:rsid w:val="00067F86"/>
    <w:rsid w:val="00070135"/>
    <w:rsid w:val="00070248"/>
    <w:rsid w:val="000706CA"/>
    <w:rsid w:val="0007078C"/>
    <w:rsid w:val="000707BE"/>
    <w:rsid w:val="000709AC"/>
    <w:rsid w:val="00070A5D"/>
    <w:rsid w:val="00070EC9"/>
    <w:rsid w:val="000710C6"/>
    <w:rsid w:val="000714D0"/>
    <w:rsid w:val="000716D5"/>
    <w:rsid w:val="000717CB"/>
    <w:rsid w:val="000717D1"/>
    <w:rsid w:val="00071F29"/>
    <w:rsid w:val="0007206D"/>
    <w:rsid w:val="000723F0"/>
    <w:rsid w:val="0007250A"/>
    <w:rsid w:val="00072628"/>
    <w:rsid w:val="000726AC"/>
    <w:rsid w:val="00072751"/>
    <w:rsid w:val="000727F7"/>
    <w:rsid w:val="000729CD"/>
    <w:rsid w:val="00072A1F"/>
    <w:rsid w:val="00072B0C"/>
    <w:rsid w:val="00072D30"/>
    <w:rsid w:val="00072E6A"/>
    <w:rsid w:val="00073251"/>
    <w:rsid w:val="0007339A"/>
    <w:rsid w:val="000733B2"/>
    <w:rsid w:val="00073464"/>
    <w:rsid w:val="0007371F"/>
    <w:rsid w:val="000738C8"/>
    <w:rsid w:val="00073900"/>
    <w:rsid w:val="00074055"/>
    <w:rsid w:val="000742ED"/>
    <w:rsid w:val="0007430A"/>
    <w:rsid w:val="0007458B"/>
    <w:rsid w:val="00074592"/>
    <w:rsid w:val="00074662"/>
    <w:rsid w:val="000746D6"/>
    <w:rsid w:val="00074742"/>
    <w:rsid w:val="000747FC"/>
    <w:rsid w:val="0007485A"/>
    <w:rsid w:val="00074873"/>
    <w:rsid w:val="00074C12"/>
    <w:rsid w:val="00074DFE"/>
    <w:rsid w:val="00074F23"/>
    <w:rsid w:val="0007504E"/>
    <w:rsid w:val="0007518D"/>
    <w:rsid w:val="000752F1"/>
    <w:rsid w:val="0007531D"/>
    <w:rsid w:val="0007557F"/>
    <w:rsid w:val="0007560D"/>
    <w:rsid w:val="00075625"/>
    <w:rsid w:val="000756A0"/>
    <w:rsid w:val="000756F9"/>
    <w:rsid w:val="00075705"/>
    <w:rsid w:val="00075774"/>
    <w:rsid w:val="0007578D"/>
    <w:rsid w:val="00075882"/>
    <w:rsid w:val="000759EE"/>
    <w:rsid w:val="00075A9D"/>
    <w:rsid w:val="00075B0B"/>
    <w:rsid w:val="00075BD7"/>
    <w:rsid w:val="00075C73"/>
    <w:rsid w:val="00075D4F"/>
    <w:rsid w:val="00075F59"/>
    <w:rsid w:val="00075F5C"/>
    <w:rsid w:val="0007630B"/>
    <w:rsid w:val="000763B3"/>
    <w:rsid w:val="0007645E"/>
    <w:rsid w:val="0007647C"/>
    <w:rsid w:val="000765DD"/>
    <w:rsid w:val="000766DF"/>
    <w:rsid w:val="00076709"/>
    <w:rsid w:val="00076723"/>
    <w:rsid w:val="000768DB"/>
    <w:rsid w:val="0007690E"/>
    <w:rsid w:val="00076D46"/>
    <w:rsid w:val="00076D9B"/>
    <w:rsid w:val="000770C1"/>
    <w:rsid w:val="000772A9"/>
    <w:rsid w:val="00077450"/>
    <w:rsid w:val="0007756D"/>
    <w:rsid w:val="0007763D"/>
    <w:rsid w:val="00077D1D"/>
    <w:rsid w:val="00080098"/>
    <w:rsid w:val="00080126"/>
    <w:rsid w:val="000802AF"/>
    <w:rsid w:val="0008031F"/>
    <w:rsid w:val="00080368"/>
    <w:rsid w:val="00080382"/>
    <w:rsid w:val="000803D2"/>
    <w:rsid w:val="000804DF"/>
    <w:rsid w:val="0008051F"/>
    <w:rsid w:val="0008067E"/>
    <w:rsid w:val="000806BD"/>
    <w:rsid w:val="00080940"/>
    <w:rsid w:val="00080975"/>
    <w:rsid w:val="00080AA2"/>
    <w:rsid w:val="00080B02"/>
    <w:rsid w:val="00080B5B"/>
    <w:rsid w:val="00080B63"/>
    <w:rsid w:val="00080C54"/>
    <w:rsid w:val="00080D0E"/>
    <w:rsid w:val="00080DE9"/>
    <w:rsid w:val="000813E9"/>
    <w:rsid w:val="000815C2"/>
    <w:rsid w:val="00081605"/>
    <w:rsid w:val="000817D4"/>
    <w:rsid w:val="000817EA"/>
    <w:rsid w:val="00081822"/>
    <w:rsid w:val="00081AC2"/>
    <w:rsid w:val="00081ACE"/>
    <w:rsid w:val="00081B5D"/>
    <w:rsid w:val="00081B96"/>
    <w:rsid w:val="00081E05"/>
    <w:rsid w:val="00081F0B"/>
    <w:rsid w:val="00081F89"/>
    <w:rsid w:val="00082009"/>
    <w:rsid w:val="00082061"/>
    <w:rsid w:val="000822DC"/>
    <w:rsid w:val="000823BE"/>
    <w:rsid w:val="00082419"/>
    <w:rsid w:val="0008247D"/>
    <w:rsid w:val="000825D5"/>
    <w:rsid w:val="000825E4"/>
    <w:rsid w:val="00082668"/>
    <w:rsid w:val="00082753"/>
    <w:rsid w:val="00082934"/>
    <w:rsid w:val="00082B6A"/>
    <w:rsid w:val="00082B81"/>
    <w:rsid w:val="00082CDC"/>
    <w:rsid w:val="00082EB9"/>
    <w:rsid w:val="00083044"/>
    <w:rsid w:val="0008314C"/>
    <w:rsid w:val="000831AA"/>
    <w:rsid w:val="000831E9"/>
    <w:rsid w:val="0008330E"/>
    <w:rsid w:val="000836B4"/>
    <w:rsid w:val="0008388E"/>
    <w:rsid w:val="00083B08"/>
    <w:rsid w:val="00083C33"/>
    <w:rsid w:val="00083C56"/>
    <w:rsid w:val="00083CBE"/>
    <w:rsid w:val="00083D5D"/>
    <w:rsid w:val="00083DFD"/>
    <w:rsid w:val="00083EB9"/>
    <w:rsid w:val="00083F1A"/>
    <w:rsid w:val="00083FBD"/>
    <w:rsid w:val="0008404E"/>
    <w:rsid w:val="000840C6"/>
    <w:rsid w:val="00084261"/>
    <w:rsid w:val="00084439"/>
    <w:rsid w:val="0008454D"/>
    <w:rsid w:val="0008456F"/>
    <w:rsid w:val="00084659"/>
    <w:rsid w:val="00084826"/>
    <w:rsid w:val="0008486F"/>
    <w:rsid w:val="000849C5"/>
    <w:rsid w:val="00084C87"/>
    <w:rsid w:val="00084DC1"/>
    <w:rsid w:val="00084EEE"/>
    <w:rsid w:val="00084F42"/>
    <w:rsid w:val="00085029"/>
    <w:rsid w:val="0008511F"/>
    <w:rsid w:val="0008553C"/>
    <w:rsid w:val="0008555D"/>
    <w:rsid w:val="0008571B"/>
    <w:rsid w:val="00085926"/>
    <w:rsid w:val="00085BC5"/>
    <w:rsid w:val="00085C0C"/>
    <w:rsid w:val="00085CB8"/>
    <w:rsid w:val="00085D4A"/>
    <w:rsid w:val="00085D6F"/>
    <w:rsid w:val="00085DC0"/>
    <w:rsid w:val="00085F38"/>
    <w:rsid w:val="00085FED"/>
    <w:rsid w:val="00086047"/>
    <w:rsid w:val="0008625B"/>
    <w:rsid w:val="00086392"/>
    <w:rsid w:val="00086601"/>
    <w:rsid w:val="00086657"/>
    <w:rsid w:val="00086B03"/>
    <w:rsid w:val="00086B54"/>
    <w:rsid w:val="00086C1F"/>
    <w:rsid w:val="00086C58"/>
    <w:rsid w:val="00086C8D"/>
    <w:rsid w:val="00086C92"/>
    <w:rsid w:val="00086CAF"/>
    <w:rsid w:val="00086D72"/>
    <w:rsid w:val="00086F6D"/>
    <w:rsid w:val="00087105"/>
    <w:rsid w:val="00087326"/>
    <w:rsid w:val="00087336"/>
    <w:rsid w:val="000873B7"/>
    <w:rsid w:val="0008740D"/>
    <w:rsid w:val="00087464"/>
    <w:rsid w:val="000876BA"/>
    <w:rsid w:val="000876CB"/>
    <w:rsid w:val="00087841"/>
    <w:rsid w:val="00087896"/>
    <w:rsid w:val="00087ADA"/>
    <w:rsid w:val="00087C3E"/>
    <w:rsid w:val="00087DDA"/>
    <w:rsid w:val="00087F21"/>
    <w:rsid w:val="00090124"/>
    <w:rsid w:val="000901A5"/>
    <w:rsid w:val="0009042D"/>
    <w:rsid w:val="000904D4"/>
    <w:rsid w:val="0009067F"/>
    <w:rsid w:val="000906C0"/>
    <w:rsid w:val="00090715"/>
    <w:rsid w:val="0009073A"/>
    <w:rsid w:val="0009078C"/>
    <w:rsid w:val="0009085A"/>
    <w:rsid w:val="00090B5C"/>
    <w:rsid w:val="00090C30"/>
    <w:rsid w:val="00090CC9"/>
    <w:rsid w:val="00090EDC"/>
    <w:rsid w:val="00091033"/>
    <w:rsid w:val="0009109E"/>
    <w:rsid w:val="000911EF"/>
    <w:rsid w:val="0009124E"/>
    <w:rsid w:val="000916B9"/>
    <w:rsid w:val="000918C3"/>
    <w:rsid w:val="00091958"/>
    <w:rsid w:val="00091A3C"/>
    <w:rsid w:val="00091A7F"/>
    <w:rsid w:val="00091A91"/>
    <w:rsid w:val="00091AAA"/>
    <w:rsid w:val="00091B04"/>
    <w:rsid w:val="00091FC3"/>
    <w:rsid w:val="000920A2"/>
    <w:rsid w:val="000926D3"/>
    <w:rsid w:val="000926EE"/>
    <w:rsid w:val="000927B9"/>
    <w:rsid w:val="0009288E"/>
    <w:rsid w:val="000928CF"/>
    <w:rsid w:val="00092BD8"/>
    <w:rsid w:val="00092EC5"/>
    <w:rsid w:val="00092F41"/>
    <w:rsid w:val="0009310D"/>
    <w:rsid w:val="000931F4"/>
    <w:rsid w:val="000932B3"/>
    <w:rsid w:val="00093378"/>
    <w:rsid w:val="0009351D"/>
    <w:rsid w:val="000935E7"/>
    <w:rsid w:val="00093720"/>
    <w:rsid w:val="00093E66"/>
    <w:rsid w:val="00093EA2"/>
    <w:rsid w:val="00094108"/>
    <w:rsid w:val="00094269"/>
    <w:rsid w:val="000943CA"/>
    <w:rsid w:val="000944DC"/>
    <w:rsid w:val="00094505"/>
    <w:rsid w:val="0009450F"/>
    <w:rsid w:val="000945D1"/>
    <w:rsid w:val="00094792"/>
    <w:rsid w:val="0009484C"/>
    <w:rsid w:val="0009488C"/>
    <w:rsid w:val="00094AC5"/>
    <w:rsid w:val="00094B02"/>
    <w:rsid w:val="00094CCC"/>
    <w:rsid w:val="00094DCD"/>
    <w:rsid w:val="00095275"/>
    <w:rsid w:val="000952B0"/>
    <w:rsid w:val="0009538F"/>
    <w:rsid w:val="0009562B"/>
    <w:rsid w:val="00095687"/>
    <w:rsid w:val="0009576A"/>
    <w:rsid w:val="000957AC"/>
    <w:rsid w:val="0009599F"/>
    <w:rsid w:val="000959BF"/>
    <w:rsid w:val="00096080"/>
    <w:rsid w:val="00096274"/>
    <w:rsid w:val="000963B4"/>
    <w:rsid w:val="0009660E"/>
    <w:rsid w:val="0009667A"/>
    <w:rsid w:val="00096840"/>
    <w:rsid w:val="000968D9"/>
    <w:rsid w:val="00096B9B"/>
    <w:rsid w:val="00096BC1"/>
    <w:rsid w:val="00096BCB"/>
    <w:rsid w:val="00096C25"/>
    <w:rsid w:val="00096F1F"/>
    <w:rsid w:val="00096F32"/>
    <w:rsid w:val="0009709F"/>
    <w:rsid w:val="000971B7"/>
    <w:rsid w:val="000971D3"/>
    <w:rsid w:val="0009773F"/>
    <w:rsid w:val="0009782D"/>
    <w:rsid w:val="000978EF"/>
    <w:rsid w:val="000979AD"/>
    <w:rsid w:val="00097BDD"/>
    <w:rsid w:val="00097C26"/>
    <w:rsid w:val="00097DA4"/>
    <w:rsid w:val="00097DEC"/>
    <w:rsid w:val="00097EE9"/>
    <w:rsid w:val="00097F1D"/>
    <w:rsid w:val="000A0033"/>
    <w:rsid w:val="000A0106"/>
    <w:rsid w:val="000A012C"/>
    <w:rsid w:val="000A018B"/>
    <w:rsid w:val="000A018C"/>
    <w:rsid w:val="000A0395"/>
    <w:rsid w:val="000A078F"/>
    <w:rsid w:val="000A0837"/>
    <w:rsid w:val="000A097D"/>
    <w:rsid w:val="000A0A2F"/>
    <w:rsid w:val="000A0C59"/>
    <w:rsid w:val="000A0DC9"/>
    <w:rsid w:val="000A0EBB"/>
    <w:rsid w:val="000A10CE"/>
    <w:rsid w:val="000A1194"/>
    <w:rsid w:val="000A11FE"/>
    <w:rsid w:val="000A131C"/>
    <w:rsid w:val="000A15E7"/>
    <w:rsid w:val="000A15F6"/>
    <w:rsid w:val="000A1616"/>
    <w:rsid w:val="000A17D7"/>
    <w:rsid w:val="000A185C"/>
    <w:rsid w:val="000A1872"/>
    <w:rsid w:val="000A18CE"/>
    <w:rsid w:val="000A1A98"/>
    <w:rsid w:val="000A1B13"/>
    <w:rsid w:val="000A1C8C"/>
    <w:rsid w:val="000A1D8A"/>
    <w:rsid w:val="000A1DB4"/>
    <w:rsid w:val="000A1DE2"/>
    <w:rsid w:val="000A1E60"/>
    <w:rsid w:val="000A1FC2"/>
    <w:rsid w:val="000A215C"/>
    <w:rsid w:val="000A234A"/>
    <w:rsid w:val="000A23BF"/>
    <w:rsid w:val="000A2421"/>
    <w:rsid w:val="000A26ED"/>
    <w:rsid w:val="000A29C4"/>
    <w:rsid w:val="000A2A8C"/>
    <w:rsid w:val="000A2EFE"/>
    <w:rsid w:val="000A315B"/>
    <w:rsid w:val="000A3384"/>
    <w:rsid w:val="000A33D8"/>
    <w:rsid w:val="000A34D0"/>
    <w:rsid w:val="000A34D2"/>
    <w:rsid w:val="000A365F"/>
    <w:rsid w:val="000A36F6"/>
    <w:rsid w:val="000A3859"/>
    <w:rsid w:val="000A3939"/>
    <w:rsid w:val="000A3AB4"/>
    <w:rsid w:val="000A3BF8"/>
    <w:rsid w:val="000A3F36"/>
    <w:rsid w:val="000A4086"/>
    <w:rsid w:val="000A4161"/>
    <w:rsid w:val="000A41E7"/>
    <w:rsid w:val="000A4384"/>
    <w:rsid w:val="000A4449"/>
    <w:rsid w:val="000A4460"/>
    <w:rsid w:val="000A45AD"/>
    <w:rsid w:val="000A4619"/>
    <w:rsid w:val="000A4663"/>
    <w:rsid w:val="000A4704"/>
    <w:rsid w:val="000A484E"/>
    <w:rsid w:val="000A49E5"/>
    <w:rsid w:val="000A4B14"/>
    <w:rsid w:val="000A4CE6"/>
    <w:rsid w:val="000A4E87"/>
    <w:rsid w:val="000A52E7"/>
    <w:rsid w:val="000A5364"/>
    <w:rsid w:val="000A53FA"/>
    <w:rsid w:val="000A53FE"/>
    <w:rsid w:val="000A57B3"/>
    <w:rsid w:val="000A57FE"/>
    <w:rsid w:val="000A5865"/>
    <w:rsid w:val="000A5939"/>
    <w:rsid w:val="000A5B5D"/>
    <w:rsid w:val="000A5BE9"/>
    <w:rsid w:val="000A5CD8"/>
    <w:rsid w:val="000A6114"/>
    <w:rsid w:val="000A6323"/>
    <w:rsid w:val="000A6332"/>
    <w:rsid w:val="000A6358"/>
    <w:rsid w:val="000A6544"/>
    <w:rsid w:val="000A6811"/>
    <w:rsid w:val="000A6A3F"/>
    <w:rsid w:val="000A6B60"/>
    <w:rsid w:val="000A6B6B"/>
    <w:rsid w:val="000A6F40"/>
    <w:rsid w:val="000A70EB"/>
    <w:rsid w:val="000A73A1"/>
    <w:rsid w:val="000A7458"/>
    <w:rsid w:val="000A7966"/>
    <w:rsid w:val="000A799F"/>
    <w:rsid w:val="000A7A0F"/>
    <w:rsid w:val="000A7D42"/>
    <w:rsid w:val="000A7D9E"/>
    <w:rsid w:val="000B00E2"/>
    <w:rsid w:val="000B010A"/>
    <w:rsid w:val="000B0212"/>
    <w:rsid w:val="000B02C7"/>
    <w:rsid w:val="000B0648"/>
    <w:rsid w:val="000B06A9"/>
    <w:rsid w:val="000B07F5"/>
    <w:rsid w:val="000B0A3D"/>
    <w:rsid w:val="000B0B12"/>
    <w:rsid w:val="000B0B80"/>
    <w:rsid w:val="000B0C71"/>
    <w:rsid w:val="000B0D5F"/>
    <w:rsid w:val="000B1009"/>
    <w:rsid w:val="000B13AD"/>
    <w:rsid w:val="000B1470"/>
    <w:rsid w:val="000B185A"/>
    <w:rsid w:val="000B18EF"/>
    <w:rsid w:val="000B1908"/>
    <w:rsid w:val="000B1997"/>
    <w:rsid w:val="000B1B8B"/>
    <w:rsid w:val="000B1CDE"/>
    <w:rsid w:val="000B1EE8"/>
    <w:rsid w:val="000B21DA"/>
    <w:rsid w:val="000B22CD"/>
    <w:rsid w:val="000B2316"/>
    <w:rsid w:val="000B2366"/>
    <w:rsid w:val="000B240B"/>
    <w:rsid w:val="000B241A"/>
    <w:rsid w:val="000B2AC0"/>
    <w:rsid w:val="000B2BDF"/>
    <w:rsid w:val="000B2EB0"/>
    <w:rsid w:val="000B31AE"/>
    <w:rsid w:val="000B3486"/>
    <w:rsid w:val="000B3524"/>
    <w:rsid w:val="000B353B"/>
    <w:rsid w:val="000B37D4"/>
    <w:rsid w:val="000B3851"/>
    <w:rsid w:val="000B3939"/>
    <w:rsid w:val="000B3966"/>
    <w:rsid w:val="000B3AB9"/>
    <w:rsid w:val="000B3D0C"/>
    <w:rsid w:val="000B3E24"/>
    <w:rsid w:val="000B3EC7"/>
    <w:rsid w:val="000B4070"/>
    <w:rsid w:val="000B40A5"/>
    <w:rsid w:val="000B40AF"/>
    <w:rsid w:val="000B4359"/>
    <w:rsid w:val="000B473D"/>
    <w:rsid w:val="000B4A19"/>
    <w:rsid w:val="000B4BDB"/>
    <w:rsid w:val="000B4E95"/>
    <w:rsid w:val="000B4F8C"/>
    <w:rsid w:val="000B520C"/>
    <w:rsid w:val="000B5210"/>
    <w:rsid w:val="000B5310"/>
    <w:rsid w:val="000B5326"/>
    <w:rsid w:val="000B53D1"/>
    <w:rsid w:val="000B54C6"/>
    <w:rsid w:val="000B58CA"/>
    <w:rsid w:val="000B5962"/>
    <w:rsid w:val="000B59BB"/>
    <w:rsid w:val="000B5ACF"/>
    <w:rsid w:val="000B5CD4"/>
    <w:rsid w:val="000B5F69"/>
    <w:rsid w:val="000B619A"/>
    <w:rsid w:val="000B61BF"/>
    <w:rsid w:val="000B620A"/>
    <w:rsid w:val="000B6377"/>
    <w:rsid w:val="000B63CD"/>
    <w:rsid w:val="000B675B"/>
    <w:rsid w:val="000B698D"/>
    <w:rsid w:val="000B6C06"/>
    <w:rsid w:val="000B6C76"/>
    <w:rsid w:val="000B6F8B"/>
    <w:rsid w:val="000B718B"/>
    <w:rsid w:val="000B7240"/>
    <w:rsid w:val="000B73EB"/>
    <w:rsid w:val="000B746F"/>
    <w:rsid w:val="000B74C1"/>
    <w:rsid w:val="000B7596"/>
    <w:rsid w:val="000B7755"/>
    <w:rsid w:val="000B78AC"/>
    <w:rsid w:val="000B7964"/>
    <w:rsid w:val="000B7E43"/>
    <w:rsid w:val="000C003E"/>
    <w:rsid w:val="000C0119"/>
    <w:rsid w:val="000C0156"/>
    <w:rsid w:val="000C0224"/>
    <w:rsid w:val="000C0233"/>
    <w:rsid w:val="000C02C0"/>
    <w:rsid w:val="000C03B9"/>
    <w:rsid w:val="000C03F6"/>
    <w:rsid w:val="000C05F1"/>
    <w:rsid w:val="000C0750"/>
    <w:rsid w:val="000C077B"/>
    <w:rsid w:val="000C0898"/>
    <w:rsid w:val="000C0940"/>
    <w:rsid w:val="000C0B42"/>
    <w:rsid w:val="000C0BC8"/>
    <w:rsid w:val="000C0D04"/>
    <w:rsid w:val="000C0DD1"/>
    <w:rsid w:val="000C0DE2"/>
    <w:rsid w:val="000C0E41"/>
    <w:rsid w:val="000C0F10"/>
    <w:rsid w:val="000C127B"/>
    <w:rsid w:val="000C1329"/>
    <w:rsid w:val="000C15A7"/>
    <w:rsid w:val="000C177F"/>
    <w:rsid w:val="000C1A45"/>
    <w:rsid w:val="000C1C3C"/>
    <w:rsid w:val="000C1CC2"/>
    <w:rsid w:val="000C1D4A"/>
    <w:rsid w:val="000C1D4C"/>
    <w:rsid w:val="000C1D6B"/>
    <w:rsid w:val="000C1EEC"/>
    <w:rsid w:val="000C1FBB"/>
    <w:rsid w:val="000C21DC"/>
    <w:rsid w:val="000C2240"/>
    <w:rsid w:val="000C2434"/>
    <w:rsid w:val="000C26CC"/>
    <w:rsid w:val="000C277D"/>
    <w:rsid w:val="000C27E0"/>
    <w:rsid w:val="000C2B1A"/>
    <w:rsid w:val="000C2B8E"/>
    <w:rsid w:val="000C2BA4"/>
    <w:rsid w:val="000C2BF8"/>
    <w:rsid w:val="000C2D53"/>
    <w:rsid w:val="000C2EA6"/>
    <w:rsid w:val="000C39A7"/>
    <w:rsid w:val="000C39E5"/>
    <w:rsid w:val="000C3BBA"/>
    <w:rsid w:val="000C3E30"/>
    <w:rsid w:val="000C3F68"/>
    <w:rsid w:val="000C4051"/>
    <w:rsid w:val="000C437F"/>
    <w:rsid w:val="000C43E0"/>
    <w:rsid w:val="000C4472"/>
    <w:rsid w:val="000C47B3"/>
    <w:rsid w:val="000C493B"/>
    <w:rsid w:val="000C4AA7"/>
    <w:rsid w:val="000C4AFA"/>
    <w:rsid w:val="000C4C31"/>
    <w:rsid w:val="000C524E"/>
    <w:rsid w:val="000C5356"/>
    <w:rsid w:val="000C551E"/>
    <w:rsid w:val="000C5523"/>
    <w:rsid w:val="000C5842"/>
    <w:rsid w:val="000C58E0"/>
    <w:rsid w:val="000C5B0A"/>
    <w:rsid w:val="000C5FEB"/>
    <w:rsid w:val="000C6124"/>
    <w:rsid w:val="000C61C0"/>
    <w:rsid w:val="000C61CA"/>
    <w:rsid w:val="000C61E5"/>
    <w:rsid w:val="000C62FE"/>
    <w:rsid w:val="000C6856"/>
    <w:rsid w:val="000C6AC8"/>
    <w:rsid w:val="000C6BD5"/>
    <w:rsid w:val="000C6C2B"/>
    <w:rsid w:val="000C6E65"/>
    <w:rsid w:val="000C6E74"/>
    <w:rsid w:val="000C6F8E"/>
    <w:rsid w:val="000C70FB"/>
    <w:rsid w:val="000C725F"/>
    <w:rsid w:val="000C7399"/>
    <w:rsid w:val="000C78CC"/>
    <w:rsid w:val="000C7960"/>
    <w:rsid w:val="000C7D15"/>
    <w:rsid w:val="000C7E00"/>
    <w:rsid w:val="000C7F3F"/>
    <w:rsid w:val="000C7F48"/>
    <w:rsid w:val="000C7F8B"/>
    <w:rsid w:val="000C7FD2"/>
    <w:rsid w:val="000D00D0"/>
    <w:rsid w:val="000D010D"/>
    <w:rsid w:val="000D0298"/>
    <w:rsid w:val="000D04CF"/>
    <w:rsid w:val="000D057F"/>
    <w:rsid w:val="000D066B"/>
    <w:rsid w:val="000D0E98"/>
    <w:rsid w:val="000D0EBF"/>
    <w:rsid w:val="000D10CA"/>
    <w:rsid w:val="000D1198"/>
    <w:rsid w:val="000D13FC"/>
    <w:rsid w:val="000D13FE"/>
    <w:rsid w:val="000D1427"/>
    <w:rsid w:val="000D19DE"/>
    <w:rsid w:val="000D1A82"/>
    <w:rsid w:val="000D1AAA"/>
    <w:rsid w:val="000D1B1F"/>
    <w:rsid w:val="000D1ED8"/>
    <w:rsid w:val="000D21D4"/>
    <w:rsid w:val="000D2234"/>
    <w:rsid w:val="000D27C6"/>
    <w:rsid w:val="000D2A6E"/>
    <w:rsid w:val="000D2BB3"/>
    <w:rsid w:val="000D2D81"/>
    <w:rsid w:val="000D2D8F"/>
    <w:rsid w:val="000D30B9"/>
    <w:rsid w:val="000D30BE"/>
    <w:rsid w:val="000D3177"/>
    <w:rsid w:val="000D332B"/>
    <w:rsid w:val="000D3338"/>
    <w:rsid w:val="000D343C"/>
    <w:rsid w:val="000D358C"/>
    <w:rsid w:val="000D37FA"/>
    <w:rsid w:val="000D3A24"/>
    <w:rsid w:val="000D3B2B"/>
    <w:rsid w:val="000D3DAD"/>
    <w:rsid w:val="000D3DE7"/>
    <w:rsid w:val="000D3F5C"/>
    <w:rsid w:val="000D436B"/>
    <w:rsid w:val="000D43CC"/>
    <w:rsid w:val="000D460F"/>
    <w:rsid w:val="000D4741"/>
    <w:rsid w:val="000D4C40"/>
    <w:rsid w:val="000D4DA0"/>
    <w:rsid w:val="000D5138"/>
    <w:rsid w:val="000D5215"/>
    <w:rsid w:val="000D522E"/>
    <w:rsid w:val="000D53AA"/>
    <w:rsid w:val="000D5672"/>
    <w:rsid w:val="000D57FC"/>
    <w:rsid w:val="000D58EF"/>
    <w:rsid w:val="000D5926"/>
    <w:rsid w:val="000D5A24"/>
    <w:rsid w:val="000D5DC2"/>
    <w:rsid w:val="000D5FD2"/>
    <w:rsid w:val="000D60A8"/>
    <w:rsid w:val="000D626A"/>
    <w:rsid w:val="000D62F8"/>
    <w:rsid w:val="000D644E"/>
    <w:rsid w:val="000D6568"/>
    <w:rsid w:val="000D6998"/>
    <w:rsid w:val="000D6B1F"/>
    <w:rsid w:val="000D6B9E"/>
    <w:rsid w:val="000D6C63"/>
    <w:rsid w:val="000D6CF9"/>
    <w:rsid w:val="000D6D2F"/>
    <w:rsid w:val="000D6E81"/>
    <w:rsid w:val="000D7211"/>
    <w:rsid w:val="000D7362"/>
    <w:rsid w:val="000D74E6"/>
    <w:rsid w:val="000D7819"/>
    <w:rsid w:val="000D7A27"/>
    <w:rsid w:val="000D7D2B"/>
    <w:rsid w:val="000E045E"/>
    <w:rsid w:val="000E050D"/>
    <w:rsid w:val="000E0516"/>
    <w:rsid w:val="000E05A6"/>
    <w:rsid w:val="000E0631"/>
    <w:rsid w:val="000E0A39"/>
    <w:rsid w:val="000E0AB4"/>
    <w:rsid w:val="000E0B5E"/>
    <w:rsid w:val="000E0C69"/>
    <w:rsid w:val="000E0F6F"/>
    <w:rsid w:val="000E10EB"/>
    <w:rsid w:val="000E121B"/>
    <w:rsid w:val="000E1308"/>
    <w:rsid w:val="000E1424"/>
    <w:rsid w:val="000E150B"/>
    <w:rsid w:val="000E1899"/>
    <w:rsid w:val="000E192C"/>
    <w:rsid w:val="000E1961"/>
    <w:rsid w:val="000E1C39"/>
    <w:rsid w:val="000E1CF3"/>
    <w:rsid w:val="000E1DCA"/>
    <w:rsid w:val="000E1DCB"/>
    <w:rsid w:val="000E1FD1"/>
    <w:rsid w:val="000E2030"/>
    <w:rsid w:val="000E2089"/>
    <w:rsid w:val="000E20D8"/>
    <w:rsid w:val="000E22D1"/>
    <w:rsid w:val="000E2422"/>
    <w:rsid w:val="000E253E"/>
    <w:rsid w:val="000E2AD2"/>
    <w:rsid w:val="000E2C4C"/>
    <w:rsid w:val="000E2C5B"/>
    <w:rsid w:val="000E2C5F"/>
    <w:rsid w:val="000E30BB"/>
    <w:rsid w:val="000E32A1"/>
    <w:rsid w:val="000E332D"/>
    <w:rsid w:val="000E370E"/>
    <w:rsid w:val="000E3804"/>
    <w:rsid w:val="000E39C7"/>
    <w:rsid w:val="000E3BFD"/>
    <w:rsid w:val="000E3DDD"/>
    <w:rsid w:val="000E3FDC"/>
    <w:rsid w:val="000E4042"/>
    <w:rsid w:val="000E413A"/>
    <w:rsid w:val="000E43AC"/>
    <w:rsid w:val="000E47C8"/>
    <w:rsid w:val="000E49D1"/>
    <w:rsid w:val="000E4B2F"/>
    <w:rsid w:val="000E4C12"/>
    <w:rsid w:val="000E4C4E"/>
    <w:rsid w:val="000E4CE2"/>
    <w:rsid w:val="000E4F01"/>
    <w:rsid w:val="000E4F6D"/>
    <w:rsid w:val="000E4FA4"/>
    <w:rsid w:val="000E5055"/>
    <w:rsid w:val="000E50EE"/>
    <w:rsid w:val="000E52A5"/>
    <w:rsid w:val="000E541B"/>
    <w:rsid w:val="000E56CF"/>
    <w:rsid w:val="000E574C"/>
    <w:rsid w:val="000E587C"/>
    <w:rsid w:val="000E58DF"/>
    <w:rsid w:val="000E599F"/>
    <w:rsid w:val="000E5A4E"/>
    <w:rsid w:val="000E5B1F"/>
    <w:rsid w:val="000E5D49"/>
    <w:rsid w:val="000E612A"/>
    <w:rsid w:val="000E6286"/>
    <w:rsid w:val="000E6704"/>
    <w:rsid w:val="000E6B36"/>
    <w:rsid w:val="000E6D1A"/>
    <w:rsid w:val="000E6DEF"/>
    <w:rsid w:val="000E7022"/>
    <w:rsid w:val="000E73B5"/>
    <w:rsid w:val="000E74CC"/>
    <w:rsid w:val="000E74F3"/>
    <w:rsid w:val="000E75E5"/>
    <w:rsid w:val="000E76B6"/>
    <w:rsid w:val="000E7727"/>
    <w:rsid w:val="000E78A4"/>
    <w:rsid w:val="000E7B23"/>
    <w:rsid w:val="000E7BE7"/>
    <w:rsid w:val="000E7C1E"/>
    <w:rsid w:val="000F070B"/>
    <w:rsid w:val="000F0A29"/>
    <w:rsid w:val="000F0EAA"/>
    <w:rsid w:val="000F107B"/>
    <w:rsid w:val="000F127B"/>
    <w:rsid w:val="000F1571"/>
    <w:rsid w:val="000F159B"/>
    <w:rsid w:val="000F15A0"/>
    <w:rsid w:val="000F16D5"/>
    <w:rsid w:val="000F16DB"/>
    <w:rsid w:val="000F1730"/>
    <w:rsid w:val="000F17EF"/>
    <w:rsid w:val="000F1ADB"/>
    <w:rsid w:val="000F1AE6"/>
    <w:rsid w:val="000F1B87"/>
    <w:rsid w:val="000F1C33"/>
    <w:rsid w:val="000F1DDF"/>
    <w:rsid w:val="000F1DEA"/>
    <w:rsid w:val="000F1EC3"/>
    <w:rsid w:val="000F1FE4"/>
    <w:rsid w:val="000F230D"/>
    <w:rsid w:val="000F2369"/>
    <w:rsid w:val="000F23CD"/>
    <w:rsid w:val="000F2863"/>
    <w:rsid w:val="000F2FA3"/>
    <w:rsid w:val="000F3043"/>
    <w:rsid w:val="000F31A7"/>
    <w:rsid w:val="000F33AD"/>
    <w:rsid w:val="000F35AA"/>
    <w:rsid w:val="000F36AF"/>
    <w:rsid w:val="000F3782"/>
    <w:rsid w:val="000F3A45"/>
    <w:rsid w:val="000F3AA3"/>
    <w:rsid w:val="000F3C2F"/>
    <w:rsid w:val="000F3CB1"/>
    <w:rsid w:val="000F3DD8"/>
    <w:rsid w:val="000F3EF7"/>
    <w:rsid w:val="000F3F67"/>
    <w:rsid w:val="000F40BB"/>
    <w:rsid w:val="000F40FB"/>
    <w:rsid w:val="000F43DA"/>
    <w:rsid w:val="000F4409"/>
    <w:rsid w:val="000F4546"/>
    <w:rsid w:val="000F464A"/>
    <w:rsid w:val="000F466C"/>
    <w:rsid w:val="000F4711"/>
    <w:rsid w:val="000F49AC"/>
    <w:rsid w:val="000F4A50"/>
    <w:rsid w:val="000F4CD0"/>
    <w:rsid w:val="000F4DDA"/>
    <w:rsid w:val="000F502E"/>
    <w:rsid w:val="000F5038"/>
    <w:rsid w:val="000F50ED"/>
    <w:rsid w:val="000F5150"/>
    <w:rsid w:val="000F51A0"/>
    <w:rsid w:val="000F53AD"/>
    <w:rsid w:val="000F53C0"/>
    <w:rsid w:val="000F558B"/>
    <w:rsid w:val="000F5769"/>
    <w:rsid w:val="000F57CC"/>
    <w:rsid w:val="000F594C"/>
    <w:rsid w:val="000F5A17"/>
    <w:rsid w:val="000F5AE5"/>
    <w:rsid w:val="000F5BEA"/>
    <w:rsid w:val="000F5BF2"/>
    <w:rsid w:val="000F5EB0"/>
    <w:rsid w:val="000F5F02"/>
    <w:rsid w:val="000F5F0B"/>
    <w:rsid w:val="000F5F5A"/>
    <w:rsid w:val="000F5FCA"/>
    <w:rsid w:val="000F6158"/>
    <w:rsid w:val="000F6303"/>
    <w:rsid w:val="000F6319"/>
    <w:rsid w:val="000F6474"/>
    <w:rsid w:val="000F6927"/>
    <w:rsid w:val="000F69E8"/>
    <w:rsid w:val="000F6A33"/>
    <w:rsid w:val="000F6A51"/>
    <w:rsid w:val="000F6B5F"/>
    <w:rsid w:val="000F6C04"/>
    <w:rsid w:val="000F6DBA"/>
    <w:rsid w:val="000F6E91"/>
    <w:rsid w:val="000F6FC6"/>
    <w:rsid w:val="000F700F"/>
    <w:rsid w:val="000F70F9"/>
    <w:rsid w:val="000F7136"/>
    <w:rsid w:val="000F73AD"/>
    <w:rsid w:val="000F74CF"/>
    <w:rsid w:val="000F7A5D"/>
    <w:rsid w:val="000F7AF5"/>
    <w:rsid w:val="000F7C1C"/>
    <w:rsid w:val="000F7D7A"/>
    <w:rsid w:val="000F7E1F"/>
    <w:rsid w:val="000F7E27"/>
    <w:rsid w:val="000F7E65"/>
    <w:rsid w:val="0010000B"/>
    <w:rsid w:val="0010034E"/>
    <w:rsid w:val="001004A3"/>
    <w:rsid w:val="001004D9"/>
    <w:rsid w:val="001005FD"/>
    <w:rsid w:val="00100747"/>
    <w:rsid w:val="0010082E"/>
    <w:rsid w:val="0010097F"/>
    <w:rsid w:val="00100A8A"/>
    <w:rsid w:val="00100B8A"/>
    <w:rsid w:val="00100C2E"/>
    <w:rsid w:val="00100D1B"/>
    <w:rsid w:val="00100D86"/>
    <w:rsid w:val="00101685"/>
    <w:rsid w:val="001017FB"/>
    <w:rsid w:val="0010199A"/>
    <w:rsid w:val="00101A2A"/>
    <w:rsid w:val="00101C63"/>
    <w:rsid w:val="00101C7F"/>
    <w:rsid w:val="00101D78"/>
    <w:rsid w:val="00101F84"/>
    <w:rsid w:val="00101FC8"/>
    <w:rsid w:val="0010202D"/>
    <w:rsid w:val="001024CA"/>
    <w:rsid w:val="0010254C"/>
    <w:rsid w:val="00102551"/>
    <w:rsid w:val="001026C8"/>
    <w:rsid w:val="0010294F"/>
    <w:rsid w:val="00102C48"/>
    <w:rsid w:val="00102CB5"/>
    <w:rsid w:val="00102E3E"/>
    <w:rsid w:val="001030E9"/>
    <w:rsid w:val="00103124"/>
    <w:rsid w:val="00103189"/>
    <w:rsid w:val="001031EC"/>
    <w:rsid w:val="001034F4"/>
    <w:rsid w:val="0010351D"/>
    <w:rsid w:val="00103615"/>
    <w:rsid w:val="00103962"/>
    <w:rsid w:val="001039AB"/>
    <w:rsid w:val="00104000"/>
    <w:rsid w:val="001043ED"/>
    <w:rsid w:val="00104902"/>
    <w:rsid w:val="00104958"/>
    <w:rsid w:val="00104FBD"/>
    <w:rsid w:val="001050A9"/>
    <w:rsid w:val="001052A2"/>
    <w:rsid w:val="001053B2"/>
    <w:rsid w:val="001053F8"/>
    <w:rsid w:val="00105725"/>
    <w:rsid w:val="001057E7"/>
    <w:rsid w:val="001059DE"/>
    <w:rsid w:val="00105A0D"/>
    <w:rsid w:val="00105A35"/>
    <w:rsid w:val="00105B2C"/>
    <w:rsid w:val="00105BD7"/>
    <w:rsid w:val="00105D10"/>
    <w:rsid w:val="001060B4"/>
    <w:rsid w:val="0010616E"/>
    <w:rsid w:val="00106270"/>
    <w:rsid w:val="0010633E"/>
    <w:rsid w:val="00106653"/>
    <w:rsid w:val="001066A8"/>
    <w:rsid w:val="001067D2"/>
    <w:rsid w:val="001067F0"/>
    <w:rsid w:val="00106807"/>
    <w:rsid w:val="001068F9"/>
    <w:rsid w:val="00106B22"/>
    <w:rsid w:val="00106B35"/>
    <w:rsid w:val="00106B42"/>
    <w:rsid w:val="00106CCA"/>
    <w:rsid w:val="00106DF3"/>
    <w:rsid w:val="00106F3E"/>
    <w:rsid w:val="00107300"/>
    <w:rsid w:val="001076F9"/>
    <w:rsid w:val="001077AA"/>
    <w:rsid w:val="001079A5"/>
    <w:rsid w:val="00107B8D"/>
    <w:rsid w:val="00107CBF"/>
    <w:rsid w:val="00107F33"/>
    <w:rsid w:val="0010B9E5"/>
    <w:rsid w:val="001100D4"/>
    <w:rsid w:val="001101EB"/>
    <w:rsid w:val="00110223"/>
    <w:rsid w:val="001108BB"/>
    <w:rsid w:val="00110903"/>
    <w:rsid w:val="00110B99"/>
    <w:rsid w:val="00110BFF"/>
    <w:rsid w:val="00110C65"/>
    <w:rsid w:val="00110F90"/>
    <w:rsid w:val="0011108E"/>
    <w:rsid w:val="00111144"/>
    <w:rsid w:val="001115D0"/>
    <w:rsid w:val="001115ED"/>
    <w:rsid w:val="0011188F"/>
    <w:rsid w:val="001118EB"/>
    <w:rsid w:val="00111E53"/>
    <w:rsid w:val="00111F54"/>
    <w:rsid w:val="0011224A"/>
    <w:rsid w:val="00112267"/>
    <w:rsid w:val="00112522"/>
    <w:rsid w:val="001129E6"/>
    <w:rsid w:val="00112F9D"/>
    <w:rsid w:val="00113045"/>
    <w:rsid w:val="00113114"/>
    <w:rsid w:val="0011311B"/>
    <w:rsid w:val="0011324C"/>
    <w:rsid w:val="00113461"/>
    <w:rsid w:val="0011346D"/>
    <w:rsid w:val="00113603"/>
    <w:rsid w:val="001138D9"/>
    <w:rsid w:val="00113979"/>
    <w:rsid w:val="00113A82"/>
    <w:rsid w:val="0011423C"/>
    <w:rsid w:val="00114441"/>
    <w:rsid w:val="001146A7"/>
    <w:rsid w:val="0011470B"/>
    <w:rsid w:val="00114781"/>
    <w:rsid w:val="00114861"/>
    <w:rsid w:val="00114AFF"/>
    <w:rsid w:val="00114B1E"/>
    <w:rsid w:val="00114B30"/>
    <w:rsid w:val="00114E1D"/>
    <w:rsid w:val="00114F3E"/>
    <w:rsid w:val="0011506D"/>
    <w:rsid w:val="00115308"/>
    <w:rsid w:val="00115322"/>
    <w:rsid w:val="0011535B"/>
    <w:rsid w:val="0011547F"/>
    <w:rsid w:val="001154A5"/>
    <w:rsid w:val="001155F8"/>
    <w:rsid w:val="00115625"/>
    <w:rsid w:val="001156AE"/>
    <w:rsid w:val="00115CE6"/>
    <w:rsid w:val="00115F00"/>
    <w:rsid w:val="0011612F"/>
    <w:rsid w:val="0011639E"/>
    <w:rsid w:val="00116759"/>
    <w:rsid w:val="001168C7"/>
    <w:rsid w:val="00116B34"/>
    <w:rsid w:val="00116B63"/>
    <w:rsid w:val="00116C3E"/>
    <w:rsid w:val="00116C54"/>
    <w:rsid w:val="00116E7B"/>
    <w:rsid w:val="00116E84"/>
    <w:rsid w:val="00116E9C"/>
    <w:rsid w:val="00117185"/>
    <w:rsid w:val="00117194"/>
    <w:rsid w:val="001171AB"/>
    <w:rsid w:val="0011723A"/>
    <w:rsid w:val="00117336"/>
    <w:rsid w:val="0011749F"/>
    <w:rsid w:val="001174B9"/>
    <w:rsid w:val="00117548"/>
    <w:rsid w:val="00117738"/>
    <w:rsid w:val="00117746"/>
    <w:rsid w:val="001177CF"/>
    <w:rsid w:val="00117886"/>
    <w:rsid w:val="00117954"/>
    <w:rsid w:val="00117C10"/>
    <w:rsid w:val="00117C3F"/>
    <w:rsid w:val="00117C6A"/>
    <w:rsid w:val="00117E18"/>
    <w:rsid w:val="00117E59"/>
    <w:rsid w:val="00117FAC"/>
    <w:rsid w:val="00120077"/>
    <w:rsid w:val="0012010A"/>
    <w:rsid w:val="00120158"/>
    <w:rsid w:val="0012075B"/>
    <w:rsid w:val="001207FB"/>
    <w:rsid w:val="00120814"/>
    <w:rsid w:val="00120C7B"/>
    <w:rsid w:val="00121012"/>
    <w:rsid w:val="00121052"/>
    <w:rsid w:val="001211A3"/>
    <w:rsid w:val="001211D3"/>
    <w:rsid w:val="0012139A"/>
    <w:rsid w:val="0012141B"/>
    <w:rsid w:val="001215AA"/>
    <w:rsid w:val="00121923"/>
    <w:rsid w:val="001219C6"/>
    <w:rsid w:val="00121CC7"/>
    <w:rsid w:val="00121D72"/>
    <w:rsid w:val="00121EB1"/>
    <w:rsid w:val="0012201E"/>
    <w:rsid w:val="00122167"/>
    <w:rsid w:val="00122196"/>
    <w:rsid w:val="001221AE"/>
    <w:rsid w:val="00122230"/>
    <w:rsid w:val="0012234F"/>
    <w:rsid w:val="0012248F"/>
    <w:rsid w:val="001225CE"/>
    <w:rsid w:val="00122600"/>
    <w:rsid w:val="00122A75"/>
    <w:rsid w:val="00122D4F"/>
    <w:rsid w:val="00122DEE"/>
    <w:rsid w:val="00122E92"/>
    <w:rsid w:val="0012303F"/>
    <w:rsid w:val="001230FB"/>
    <w:rsid w:val="001231B1"/>
    <w:rsid w:val="00123328"/>
    <w:rsid w:val="0012358B"/>
    <w:rsid w:val="00123643"/>
    <w:rsid w:val="00123753"/>
    <w:rsid w:val="0012393C"/>
    <w:rsid w:val="001239D2"/>
    <w:rsid w:val="00123A20"/>
    <w:rsid w:val="00123BA7"/>
    <w:rsid w:val="00123BCC"/>
    <w:rsid w:val="00123C5A"/>
    <w:rsid w:val="00123F6D"/>
    <w:rsid w:val="00123FB1"/>
    <w:rsid w:val="00123FD7"/>
    <w:rsid w:val="0012421C"/>
    <w:rsid w:val="001245BB"/>
    <w:rsid w:val="001245D6"/>
    <w:rsid w:val="0012462D"/>
    <w:rsid w:val="0012465B"/>
    <w:rsid w:val="00124764"/>
    <w:rsid w:val="00124794"/>
    <w:rsid w:val="001249CC"/>
    <w:rsid w:val="00124A5E"/>
    <w:rsid w:val="00124BEA"/>
    <w:rsid w:val="00124F44"/>
    <w:rsid w:val="00124FC5"/>
    <w:rsid w:val="00124FFF"/>
    <w:rsid w:val="00125044"/>
    <w:rsid w:val="001250FC"/>
    <w:rsid w:val="0012522E"/>
    <w:rsid w:val="0012531C"/>
    <w:rsid w:val="001253CC"/>
    <w:rsid w:val="001255ED"/>
    <w:rsid w:val="00125833"/>
    <w:rsid w:val="00125A7D"/>
    <w:rsid w:val="00125ABA"/>
    <w:rsid w:val="00125DBD"/>
    <w:rsid w:val="00125E26"/>
    <w:rsid w:val="0012613C"/>
    <w:rsid w:val="0012644F"/>
    <w:rsid w:val="001265CF"/>
    <w:rsid w:val="00126858"/>
    <w:rsid w:val="00126A97"/>
    <w:rsid w:val="00126AF2"/>
    <w:rsid w:val="00126E9B"/>
    <w:rsid w:val="00126EB1"/>
    <w:rsid w:val="00126F43"/>
    <w:rsid w:val="00126F73"/>
    <w:rsid w:val="00126F9A"/>
    <w:rsid w:val="001273EA"/>
    <w:rsid w:val="00127540"/>
    <w:rsid w:val="00127853"/>
    <w:rsid w:val="00127870"/>
    <w:rsid w:val="0012789C"/>
    <w:rsid w:val="001279BA"/>
    <w:rsid w:val="00127B78"/>
    <w:rsid w:val="00127DE8"/>
    <w:rsid w:val="00127E52"/>
    <w:rsid w:val="001301FF"/>
    <w:rsid w:val="00130317"/>
    <w:rsid w:val="0013039C"/>
    <w:rsid w:val="00130477"/>
    <w:rsid w:val="00130492"/>
    <w:rsid w:val="001304CA"/>
    <w:rsid w:val="0013050D"/>
    <w:rsid w:val="001306AB"/>
    <w:rsid w:val="00130766"/>
    <w:rsid w:val="0013089B"/>
    <w:rsid w:val="0013097D"/>
    <w:rsid w:val="00130BC2"/>
    <w:rsid w:val="00130C17"/>
    <w:rsid w:val="00130C9A"/>
    <w:rsid w:val="00130DC4"/>
    <w:rsid w:val="00131068"/>
    <w:rsid w:val="0013139B"/>
    <w:rsid w:val="0013153A"/>
    <w:rsid w:val="001315B7"/>
    <w:rsid w:val="00131661"/>
    <w:rsid w:val="0013169D"/>
    <w:rsid w:val="00131CA7"/>
    <w:rsid w:val="0013217E"/>
    <w:rsid w:val="0013218D"/>
    <w:rsid w:val="00132204"/>
    <w:rsid w:val="001323BD"/>
    <w:rsid w:val="00132491"/>
    <w:rsid w:val="0013251E"/>
    <w:rsid w:val="00132670"/>
    <w:rsid w:val="001327B4"/>
    <w:rsid w:val="00132806"/>
    <w:rsid w:val="0013294A"/>
    <w:rsid w:val="00132A3B"/>
    <w:rsid w:val="00132A81"/>
    <w:rsid w:val="00132B1E"/>
    <w:rsid w:val="00132C0A"/>
    <w:rsid w:val="00132C77"/>
    <w:rsid w:val="00132E7C"/>
    <w:rsid w:val="00132F44"/>
    <w:rsid w:val="00132F76"/>
    <w:rsid w:val="001332FF"/>
    <w:rsid w:val="0013343F"/>
    <w:rsid w:val="00133573"/>
    <w:rsid w:val="001335D8"/>
    <w:rsid w:val="0013365F"/>
    <w:rsid w:val="001336C3"/>
    <w:rsid w:val="0013384F"/>
    <w:rsid w:val="001338F8"/>
    <w:rsid w:val="001339DE"/>
    <w:rsid w:val="00133AE9"/>
    <w:rsid w:val="00133B20"/>
    <w:rsid w:val="00133BB2"/>
    <w:rsid w:val="00133EA0"/>
    <w:rsid w:val="00133F86"/>
    <w:rsid w:val="00134006"/>
    <w:rsid w:val="0013407D"/>
    <w:rsid w:val="001341A4"/>
    <w:rsid w:val="001341F1"/>
    <w:rsid w:val="00134201"/>
    <w:rsid w:val="0013445E"/>
    <w:rsid w:val="00134660"/>
    <w:rsid w:val="00134751"/>
    <w:rsid w:val="00134777"/>
    <w:rsid w:val="001348F3"/>
    <w:rsid w:val="00134FA2"/>
    <w:rsid w:val="00134FC3"/>
    <w:rsid w:val="00135069"/>
    <w:rsid w:val="00135111"/>
    <w:rsid w:val="0013525A"/>
    <w:rsid w:val="0013532A"/>
    <w:rsid w:val="00135A18"/>
    <w:rsid w:val="00135A36"/>
    <w:rsid w:val="00135A82"/>
    <w:rsid w:val="00135B4B"/>
    <w:rsid w:val="00135D83"/>
    <w:rsid w:val="00135EDD"/>
    <w:rsid w:val="00135F7E"/>
    <w:rsid w:val="00136032"/>
    <w:rsid w:val="001361E5"/>
    <w:rsid w:val="001362D8"/>
    <w:rsid w:val="0013632F"/>
    <w:rsid w:val="0013634A"/>
    <w:rsid w:val="0013649D"/>
    <w:rsid w:val="001364B0"/>
    <w:rsid w:val="00136503"/>
    <w:rsid w:val="0013655F"/>
    <w:rsid w:val="0013663D"/>
    <w:rsid w:val="00136748"/>
    <w:rsid w:val="00136754"/>
    <w:rsid w:val="00136844"/>
    <w:rsid w:val="001368C8"/>
    <w:rsid w:val="00136AA2"/>
    <w:rsid w:val="00136B1B"/>
    <w:rsid w:val="00136B7F"/>
    <w:rsid w:val="00136BAC"/>
    <w:rsid w:val="00136BEE"/>
    <w:rsid w:val="00136C03"/>
    <w:rsid w:val="00136D40"/>
    <w:rsid w:val="00136ED7"/>
    <w:rsid w:val="00137093"/>
    <w:rsid w:val="00137122"/>
    <w:rsid w:val="00137465"/>
    <w:rsid w:val="001374FF"/>
    <w:rsid w:val="0013764F"/>
    <w:rsid w:val="00137682"/>
    <w:rsid w:val="00137684"/>
    <w:rsid w:val="00137890"/>
    <w:rsid w:val="001379F5"/>
    <w:rsid w:val="00137A33"/>
    <w:rsid w:val="00137B24"/>
    <w:rsid w:val="00137BA9"/>
    <w:rsid w:val="00137C03"/>
    <w:rsid w:val="00137D4E"/>
    <w:rsid w:val="00137F91"/>
    <w:rsid w:val="00140085"/>
    <w:rsid w:val="00140223"/>
    <w:rsid w:val="00140282"/>
    <w:rsid w:val="00140337"/>
    <w:rsid w:val="0014033B"/>
    <w:rsid w:val="00140485"/>
    <w:rsid w:val="00140594"/>
    <w:rsid w:val="001406DC"/>
    <w:rsid w:val="0014086B"/>
    <w:rsid w:val="001408BB"/>
    <w:rsid w:val="00140956"/>
    <w:rsid w:val="001409E8"/>
    <w:rsid w:val="00140E18"/>
    <w:rsid w:val="00140FAE"/>
    <w:rsid w:val="001413A3"/>
    <w:rsid w:val="00141554"/>
    <w:rsid w:val="0014161B"/>
    <w:rsid w:val="0014163D"/>
    <w:rsid w:val="00141766"/>
    <w:rsid w:val="0014185F"/>
    <w:rsid w:val="001419BC"/>
    <w:rsid w:val="00141D5A"/>
    <w:rsid w:val="00141D5C"/>
    <w:rsid w:val="00141DF7"/>
    <w:rsid w:val="00141E6F"/>
    <w:rsid w:val="001420C0"/>
    <w:rsid w:val="001421B3"/>
    <w:rsid w:val="0014246F"/>
    <w:rsid w:val="00142748"/>
    <w:rsid w:val="00142750"/>
    <w:rsid w:val="001428DB"/>
    <w:rsid w:val="00142947"/>
    <w:rsid w:val="00142B31"/>
    <w:rsid w:val="00142CC4"/>
    <w:rsid w:val="00142D33"/>
    <w:rsid w:val="00142EC8"/>
    <w:rsid w:val="00142ECF"/>
    <w:rsid w:val="0014319C"/>
    <w:rsid w:val="00143225"/>
    <w:rsid w:val="00143271"/>
    <w:rsid w:val="001432CC"/>
    <w:rsid w:val="0014351A"/>
    <w:rsid w:val="001436B5"/>
    <w:rsid w:val="00143942"/>
    <w:rsid w:val="00143B45"/>
    <w:rsid w:val="00143C13"/>
    <w:rsid w:val="00143FBD"/>
    <w:rsid w:val="00144020"/>
    <w:rsid w:val="00144033"/>
    <w:rsid w:val="0014419D"/>
    <w:rsid w:val="00144482"/>
    <w:rsid w:val="001445FE"/>
    <w:rsid w:val="001446C5"/>
    <w:rsid w:val="00144717"/>
    <w:rsid w:val="001447CB"/>
    <w:rsid w:val="00144934"/>
    <w:rsid w:val="001449CC"/>
    <w:rsid w:val="00144B7D"/>
    <w:rsid w:val="00144C91"/>
    <w:rsid w:val="00145208"/>
    <w:rsid w:val="00145674"/>
    <w:rsid w:val="001457A1"/>
    <w:rsid w:val="00145B42"/>
    <w:rsid w:val="00145BEF"/>
    <w:rsid w:val="00145C90"/>
    <w:rsid w:val="00145E37"/>
    <w:rsid w:val="00145FF1"/>
    <w:rsid w:val="00146056"/>
    <w:rsid w:val="0014651E"/>
    <w:rsid w:val="001466AC"/>
    <w:rsid w:val="00146849"/>
    <w:rsid w:val="0014689C"/>
    <w:rsid w:val="00146904"/>
    <w:rsid w:val="00146F12"/>
    <w:rsid w:val="001470BF"/>
    <w:rsid w:val="0014718D"/>
    <w:rsid w:val="00147466"/>
    <w:rsid w:val="00147969"/>
    <w:rsid w:val="00147A84"/>
    <w:rsid w:val="00147AAF"/>
    <w:rsid w:val="00147B00"/>
    <w:rsid w:val="00147B99"/>
    <w:rsid w:val="0015007C"/>
    <w:rsid w:val="001500F2"/>
    <w:rsid w:val="00150486"/>
    <w:rsid w:val="001506B3"/>
    <w:rsid w:val="001506D4"/>
    <w:rsid w:val="001507D0"/>
    <w:rsid w:val="001507D8"/>
    <w:rsid w:val="00150857"/>
    <w:rsid w:val="001508CA"/>
    <w:rsid w:val="00150958"/>
    <w:rsid w:val="00150A74"/>
    <w:rsid w:val="00150AB3"/>
    <w:rsid w:val="00150AB8"/>
    <w:rsid w:val="00150BDD"/>
    <w:rsid w:val="00150C55"/>
    <w:rsid w:val="00150C86"/>
    <w:rsid w:val="00150D40"/>
    <w:rsid w:val="00150E95"/>
    <w:rsid w:val="00150F3F"/>
    <w:rsid w:val="001510AC"/>
    <w:rsid w:val="001510EA"/>
    <w:rsid w:val="00151127"/>
    <w:rsid w:val="001512F8"/>
    <w:rsid w:val="001513D3"/>
    <w:rsid w:val="00151525"/>
    <w:rsid w:val="0015187B"/>
    <w:rsid w:val="001518C6"/>
    <w:rsid w:val="00151961"/>
    <w:rsid w:val="00151B40"/>
    <w:rsid w:val="00151E9B"/>
    <w:rsid w:val="00151EB2"/>
    <w:rsid w:val="00151F09"/>
    <w:rsid w:val="00151F6D"/>
    <w:rsid w:val="00152095"/>
    <w:rsid w:val="001520F2"/>
    <w:rsid w:val="001521EF"/>
    <w:rsid w:val="00152329"/>
    <w:rsid w:val="0015233E"/>
    <w:rsid w:val="00152667"/>
    <w:rsid w:val="00152681"/>
    <w:rsid w:val="00152749"/>
    <w:rsid w:val="00152759"/>
    <w:rsid w:val="00152787"/>
    <w:rsid w:val="00152A8E"/>
    <w:rsid w:val="00152AAE"/>
    <w:rsid w:val="00152BA5"/>
    <w:rsid w:val="00152BC0"/>
    <w:rsid w:val="0015306E"/>
    <w:rsid w:val="001532EE"/>
    <w:rsid w:val="001534CD"/>
    <w:rsid w:val="00153555"/>
    <w:rsid w:val="001535B7"/>
    <w:rsid w:val="001535F9"/>
    <w:rsid w:val="00153805"/>
    <w:rsid w:val="00153938"/>
    <w:rsid w:val="00153DF3"/>
    <w:rsid w:val="00153E18"/>
    <w:rsid w:val="00153F79"/>
    <w:rsid w:val="001540EF"/>
    <w:rsid w:val="00154168"/>
    <w:rsid w:val="0015437D"/>
    <w:rsid w:val="001543F6"/>
    <w:rsid w:val="001544EE"/>
    <w:rsid w:val="00154523"/>
    <w:rsid w:val="00154668"/>
    <w:rsid w:val="0015489C"/>
    <w:rsid w:val="00154A57"/>
    <w:rsid w:val="00154AE4"/>
    <w:rsid w:val="00154BE7"/>
    <w:rsid w:val="00154E1A"/>
    <w:rsid w:val="001552E2"/>
    <w:rsid w:val="0015557A"/>
    <w:rsid w:val="00155714"/>
    <w:rsid w:val="001557DC"/>
    <w:rsid w:val="00155B49"/>
    <w:rsid w:val="00155B58"/>
    <w:rsid w:val="00155BAA"/>
    <w:rsid w:val="00155F5A"/>
    <w:rsid w:val="0015604A"/>
    <w:rsid w:val="0015605C"/>
    <w:rsid w:val="00156081"/>
    <w:rsid w:val="00156241"/>
    <w:rsid w:val="001566D5"/>
    <w:rsid w:val="0015681A"/>
    <w:rsid w:val="0015699D"/>
    <w:rsid w:val="00156C95"/>
    <w:rsid w:val="00156F72"/>
    <w:rsid w:val="0015712B"/>
    <w:rsid w:val="001571B1"/>
    <w:rsid w:val="001579C8"/>
    <w:rsid w:val="00157AAE"/>
    <w:rsid w:val="00157B2F"/>
    <w:rsid w:val="00157B73"/>
    <w:rsid w:val="00157E2D"/>
    <w:rsid w:val="001600AF"/>
    <w:rsid w:val="00160211"/>
    <w:rsid w:val="001602E8"/>
    <w:rsid w:val="00160325"/>
    <w:rsid w:val="00160366"/>
    <w:rsid w:val="001603CD"/>
    <w:rsid w:val="001603CF"/>
    <w:rsid w:val="00160415"/>
    <w:rsid w:val="00160477"/>
    <w:rsid w:val="001605CC"/>
    <w:rsid w:val="001605F6"/>
    <w:rsid w:val="00160634"/>
    <w:rsid w:val="00160778"/>
    <w:rsid w:val="00160781"/>
    <w:rsid w:val="001607B6"/>
    <w:rsid w:val="00160A76"/>
    <w:rsid w:val="00160B14"/>
    <w:rsid w:val="001618A4"/>
    <w:rsid w:val="00161906"/>
    <w:rsid w:val="00161BB6"/>
    <w:rsid w:val="0016255E"/>
    <w:rsid w:val="001625BA"/>
    <w:rsid w:val="0016280B"/>
    <w:rsid w:val="00162AE9"/>
    <w:rsid w:val="00162B11"/>
    <w:rsid w:val="00162B99"/>
    <w:rsid w:val="00162D06"/>
    <w:rsid w:val="00163434"/>
    <w:rsid w:val="00163528"/>
    <w:rsid w:val="0016362D"/>
    <w:rsid w:val="00163656"/>
    <w:rsid w:val="0016373F"/>
    <w:rsid w:val="00163987"/>
    <w:rsid w:val="001639D8"/>
    <w:rsid w:val="00163A4F"/>
    <w:rsid w:val="00163B02"/>
    <w:rsid w:val="00163B66"/>
    <w:rsid w:val="00163D11"/>
    <w:rsid w:val="00163D51"/>
    <w:rsid w:val="0016416E"/>
    <w:rsid w:val="001641CD"/>
    <w:rsid w:val="0016422D"/>
    <w:rsid w:val="001643F7"/>
    <w:rsid w:val="00164499"/>
    <w:rsid w:val="00164660"/>
    <w:rsid w:val="00164E1B"/>
    <w:rsid w:val="00164EB2"/>
    <w:rsid w:val="00165219"/>
    <w:rsid w:val="00165336"/>
    <w:rsid w:val="0016537D"/>
    <w:rsid w:val="0016594E"/>
    <w:rsid w:val="00165C53"/>
    <w:rsid w:val="00165E33"/>
    <w:rsid w:val="00166136"/>
    <w:rsid w:val="001661EA"/>
    <w:rsid w:val="001662D4"/>
    <w:rsid w:val="001663A5"/>
    <w:rsid w:val="00166511"/>
    <w:rsid w:val="001666CC"/>
    <w:rsid w:val="00166925"/>
    <w:rsid w:val="00166C63"/>
    <w:rsid w:val="00166D6F"/>
    <w:rsid w:val="00166E45"/>
    <w:rsid w:val="00166E93"/>
    <w:rsid w:val="00166FCB"/>
    <w:rsid w:val="00167059"/>
    <w:rsid w:val="001670BD"/>
    <w:rsid w:val="001671D3"/>
    <w:rsid w:val="001671FA"/>
    <w:rsid w:val="00167209"/>
    <w:rsid w:val="00167262"/>
    <w:rsid w:val="00167586"/>
    <w:rsid w:val="0016771C"/>
    <w:rsid w:val="0016777C"/>
    <w:rsid w:val="00167B81"/>
    <w:rsid w:val="00167B84"/>
    <w:rsid w:val="00167D18"/>
    <w:rsid w:val="00167E98"/>
    <w:rsid w:val="00167F79"/>
    <w:rsid w:val="00170054"/>
    <w:rsid w:val="00170127"/>
    <w:rsid w:val="00170367"/>
    <w:rsid w:val="001706B4"/>
    <w:rsid w:val="001708B3"/>
    <w:rsid w:val="00170A2A"/>
    <w:rsid w:val="00170B42"/>
    <w:rsid w:val="00170C32"/>
    <w:rsid w:val="00170DE6"/>
    <w:rsid w:val="00170F7F"/>
    <w:rsid w:val="001711C6"/>
    <w:rsid w:val="00171322"/>
    <w:rsid w:val="0017229D"/>
    <w:rsid w:val="001724C8"/>
    <w:rsid w:val="00172591"/>
    <w:rsid w:val="001726D7"/>
    <w:rsid w:val="00172960"/>
    <w:rsid w:val="00172B86"/>
    <w:rsid w:val="00172CCC"/>
    <w:rsid w:val="00172F88"/>
    <w:rsid w:val="001731D0"/>
    <w:rsid w:val="001735FF"/>
    <w:rsid w:val="0017388A"/>
    <w:rsid w:val="00173C3A"/>
    <w:rsid w:val="00173C4D"/>
    <w:rsid w:val="00173D18"/>
    <w:rsid w:val="00173D82"/>
    <w:rsid w:val="00173D99"/>
    <w:rsid w:val="00173E19"/>
    <w:rsid w:val="00173F29"/>
    <w:rsid w:val="001743F0"/>
    <w:rsid w:val="0017468A"/>
    <w:rsid w:val="0017480F"/>
    <w:rsid w:val="00174993"/>
    <w:rsid w:val="00174A49"/>
    <w:rsid w:val="00174BE1"/>
    <w:rsid w:val="00174CA3"/>
    <w:rsid w:val="00174CC9"/>
    <w:rsid w:val="00174D1B"/>
    <w:rsid w:val="00174DDE"/>
    <w:rsid w:val="00174EE5"/>
    <w:rsid w:val="00174F0D"/>
    <w:rsid w:val="001751B4"/>
    <w:rsid w:val="00175388"/>
    <w:rsid w:val="001753C0"/>
    <w:rsid w:val="0017542A"/>
    <w:rsid w:val="00175547"/>
    <w:rsid w:val="001756A4"/>
    <w:rsid w:val="001756B5"/>
    <w:rsid w:val="0017577F"/>
    <w:rsid w:val="001757F9"/>
    <w:rsid w:val="00175923"/>
    <w:rsid w:val="001759A0"/>
    <w:rsid w:val="001759C2"/>
    <w:rsid w:val="00175A9F"/>
    <w:rsid w:val="00175C05"/>
    <w:rsid w:val="00175C1B"/>
    <w:rsid w:val="00175CFB"/>
    <w:rsid w:val="00175D87"/>
    <w:rsid w:val="00175F54"/>
    <w:rsid w:val="001760A4"/>
    <w:rsid w:val="0017614B"/>
    <w:rsid w:val="001763DE"/>
    <w:rsid w:val="0017652D"/>
    <w:rsid w:val="00176591"/>
    <w:rsid w:val="0017669C"/>
    <w:rsid w:val="00176862"/>
    <w:rsid w:val="001768E1"/>
    <w:rsid w:val="00176953"/>
    <w:rsid w:val="001769B1"/>
    <w:rsid w:val="00176AE5"/>
    <w:rsid w:val="00176B2E"/>
    <w:rsid w:val="00176B53"/>
    <w:rsid w:val="00176E8B"/>
    <w:rsid w:val="00176F12"/>
    <w:rsid w:val="00176F1F"/>
    <w:rsid w:val="00177076"/>
    <w:rsid w:val="00177208"/>
    <w:rsid w:val="00177270"/>
    <w:rsid w:val="001772D6"/>
    <w:rsid w:val="0017758B"/>
    <w:rsid w:val="00177731"/>
    <w:rsid w:val="00177B21"/>
    <w:rsid w:val="00177D85"/>
    <w:rsid w:val="0018001C"/>
    <w:rsid w:val="001801B4"/>
    <w:rsid w:val="00180243"/>
    <w:rsid w:val="001803B5"/>
    <w:rsid w:val="001803F2"/>
    <w:rsid w:val="001805B2"/>
    <w:rsid w:val="001805CD"/>
    <w:rsid w:val="00180701"/>
    <w:rsid w:val="001807A3"/>
    <w:rsid w:val="0018088A"/>
    <w:rsid w:val="00180904"/>
    <w:rsid w:val="00180A19"/>
    <w:rsid w:val="00180B80"/>
    <w:rsid w:val="00180BA3"/>
    <w:rsid w:val="00180D90"/>
    <w:rsid w:val="00180E83"/>
    <w:rsid w:val="00180F27"/>
    <w:rsid w:val="00180F85"/>
    <w:rsid w:val="0018115C"/>
    <w:rsid w:val="001811E2"/>
    <w:rsid w:val="001812E1"/>
    <w:rsid w:val="001813B2"/>
    <w:rsid w:val="0018152D"/>
    <w:rsid w:val="00181571"/>
    <w:rsid w:val="001815F1"/>
    <w:rsid w:val="00181767"/>
    <w:rsid w:val="0018198C"/>
    <w:rsid w:val="00181A41"/>
    <w:rsid w:val="00181B72"/>
    <w:rsid w:val="00181BC9"/>
    <w:rsid w:val="00181C4E"/>
    <w:rsid w:val="00181CFB"/>
    <w:rsid w:val="00181E18"/>
    <w:rsid w:val="00181F96"/>
    <w:rsid w:val="00182025"/>
    <w:rsid w:val="001822E8"/>
    <w:rsid w:val="00182305"/>
    <w:rsid w:val="00182445"/>
    <w:rsid w:val="00182588"/>
    <w:rsid w:val="0018286F"/>
    <w:rsid w:val="00182A93"/>
    <w:rsid w:val="00182B2D"/>
    <w:rsid w:val="00182C56"/>
    <w:rsid w:val="00182F37"/>
    <w:rsid w:val="00182FF6"/>
    <w:rsid w:val="001830B6"/>
    <w:rsid w:val="00183223"/>
    <w:rsid w:val="0018322B"/>
    <w:rsid w:val="0018339A"/>
    <w:rsid w:val="001837E8"/>
    <w:rsid w:val="00183805"/>
    <w:rsid w:val="00183A04"/>
    <w:rsid w:val="00183D61"/>
    <w:rsid w:val="00183D7E"/>
    <w:rsid w:val="00183DFC"/>
    <w:rsid w:val="001844CC"/>
    <w:rsid w:val="0018450F"/>
    <w:rsid w:val="0018456F"/>
    <w:rsid w:val="00184995"/>
    <w:rsid w:val="00184A51"/>
    <w:rsid w:val="00184B0E"/>
    <w:rsid w:val="00184BC9"/>
    <w:rsid w:val="00184C04"/>
    <w:rsid w:val="00184C4E"/>
    <w:rsid w:val="00184D4C"/>
    <w:rsid w:val="00184E45"/>
    <w:rsid w:val="00184ECC"/>
    <w:rsid w:val="00185326"/>
    <w:rsid w:val="001854DE"/>
    <w:rsid w:val="0018564B"/>
    <w:rsid w:val="0018573D"/>
    <w:rsid w:val="00185773"/>
    <w:rsid w:val="001857D8"/>
    <w:rsid w:val="00185998"/>
    <w:rsid w:val="001859B1"/>
    <w:rsid w:val="00185A5A"/>
    <w:rsid w:val="00185AB6"/>
    <w:rsid w:val="00185BF2"/>
    <w:rsid w:val="001860B2"/>
    <w:rsid w:val="0018628B"/>
    <w:rsid w:val="0018646A"/>
    <w:rsid w:val="0018656C"/>
    <w:rsid w:val="00186669"/>
    <w:rsid w:val="001867F5"/>
    <w:rsid w:val="0018698A"/>
    <w:rsid w:val="001869AD"/>
    <w:rsid w:val="00186B4E"/>
    <w:rsid w:val="00186BBC"/>
    <w:rsid w:val="00186FFD"/>
    <w:rsid w:val="00187274"/>
    <w:rsid w:val="0018739E"/>
    <w:rsid w:val="001875BF"/>
    <w:rsid w:val="001878DB"/>
    <w:rsid w:val="001879D1"/>
    <w:rsid w:val="00187A03"/>
    <w:rsid w:val="00187AAD"/>
    <w:rsid w:val="00187D13"/>
    <w:rsid w:val="00187DA4"/>
    <w:rsid w:val="00187E43"/>
    <w:rsid w:val="00190320"/>
    <w:rsid w:val="00190651"/>
    <w:rsid w:val="001907BB"/>
    <w:rsid w:val="00190DC9"/>
    <w:rsid w:val="00190DD3"/>
    <w:rsid w:val="00190E0B"/>
    <w:rsid w:val="00190F94"/>
    <w:rsid w:val="00191092"/>
    <w:rsid w:val="00191118"/>
    <w:rsid w:val="00191382"/>
    <w:rsid w:val="001914C3"/>
    <w:rsid w:val="001915F4"/>
    <w:rsid w:val="00191B31"/>
    <w:rsid w:val="00191DC5"/>
    <w:rsid w:val="00191E3E"/>
    <w:rsid w:val="00191FBC"/>
    <w:rsid w:val="0019204E"/>
    <w:rsid w:val="00192081"/>
    <w:rsid w:val="00192240"/>
    <w:rsid w:val="00192470"/>
    <w:rsid w:val="00192586"/>
    <w:rsid w:val="001925E8"/>
    <w:rsid w:val="00192607"/>
    <w:rsid w:val="00192655"/>
    <w:rsid w:val="00192740"/>
    <w:rsid w:val="0019284B"/>
    <w:rsid w:val="00192A07"/>
    <w:rsid w:val="00192AD9"/>
    <w:rsid w:val="00192AE2"/>
    <w:rsid w:val="00192BC7"/>
    <w:rsid w:val="00192C1E"/>
    <w:rsid w:val="00192DA5"/>
    <w:rsid w:val="00192DD4"/>
    <w:rsid w:val="00192E59"/>
    <w:rsid w:val="00192F15"/>
    <w:rsid w:val="00192FAC"/>
    <w:rsid w:val="0019304C"/>
    <w:rsid w:val="001930F4"/>
    <w:rsid w:val="00193162"/>
    <w:rsid w:val="00193322"/>
    <w:rsid w:val="0019333D"/>
    <w:rsid w:val="0019377D"/>
    <w:rsid w:val="001937A8"/>
    <w:rsid w:val="00193B3A"/>
    <w:rsid w:val="00193F86"/>
    <w:rsid w:val="00193FD0"/>
    <w:rsid w:val="00194541"/>
    <w:rsid w:val="00194542"/>
    <w:rsid w:val="0019458B"/>
    <w:rsid w:val="001948B3"/>
    <w:rsid w:val="00194A0D"/>
    <w:rsid w:val="00194AB9"/>
    <w:rsid w:val="00194EDB"/>
    <w:rsid w:val="00194FCC"/>
    <w:rsid w:val="00195291"/>
    <w:rsid w:val="001952A8"/>
    <w:rsid w:val="00195301"/>
    <w:rsid w:val="0019567B"/>
    <w:rsid w:val="001956AB"/>
    <w:rsid w:val="001958A7"/>
    <w:rsid w:val="0019595A"/>
    <w:rsid w:val="001959AA"/>
    <w:rsid w:val="00195B86"/>
    <w:rsid w:val="00195C49"/>
    <w:rsid w:val="00195C50"/>
    <w:rsid w:val="00196027"/>
    <w:rsid w:val="00196074"/>
    <w:rsid w:val="00196146"/>
    <w:rsid w:val="001961F1"/>
    <w:rsid w:val="00196253"/>
    <w:rsid w:val="00196561"/>
    <w:rsid w:val="00196836"/>
    <w:rsid w:val="00196872"/>
    <w:rsid w:val="001968B2"/>
    <w:rsid w:val="00196BE1"/>
    <w:rsid w:val="00196FA5"/>
    <w:rsid w:val="00196FAB"/>
    <w:rsid w:val="0019705E"/>
    <w:rsid w:val="00197287"/>
    <w:rsid w:val="0019728C"/>
    <w:rsid w:val="001973DE"/>
    <w:rsid w:val="001973E7"/>
    <w:rsid w:val="0019745E"/>
    <w:rsid w:val="001974DB"/>
    <w:rsid w:val="0019757A"/>
    <w:rsid w:val="00197C48"/>
    <w:rsid w:val="00197CC5"/>
    <w:rsid w:val="00197E91"/>
    <w:rsid w:val="001A01B5"/>
    <w:rsid w:val="001A01E4"/>
    <w:rsid w:val="001A03DF"/>
    <w:rsid w:val="001A046C"/>
    <w:rsid w:val="001A0497"/>
    <w:rsid w:val="001A056B"/>
    <w:rsid w:val="001A05D8"/>
    <w:rsid w:val="001A071A"/>
    <w:rsid w:val="001A08D4"/>
    <w:rsid w:val="001A0A27"/>
    <w:rsid w:val="001A0BBD"/>
    <w:rsid w:val="001A0BC2"/>
    <w:rsid w:val="001A1020"/>
    <w:rsid w:val="001A1066"/>
    <w:rsid w:val="001A122D"/>
    <w:rsid w:val="001A12CF"/>
    <w:rsid w:val="001A17A0"/>
    <w:rsid w:val="001A18C2"/>
    <w:rsid w:val="001A1A17"/>
    <w:rsid w:val="001A1A24"/>
    <w:rsid w:val="001A1AEE"/>
    <w:rsid w:val="001A1B7B"/>
    <w:rsid w:val="001A1CA4"/>
    <w:rsid w:val="001A1DBB"/>
    <w:rsid w:val="001A1E5B"/>
    <w:rsid w:val="001A1EA8"/>
    <w:rsid w:val="001A20B5"/>
    <w:rsid w:val="001A2131"/>
    <w:rsid w:val="001A2155"/>
    <w:rsid w:val="001A21C2"/>
    <w:rsid w:val="001A21D9"/>
    <w:rsid w:val="001A21DB"/>
    <w:rsid w:val="001A22F3"/>
    <w:rsid w:val="001A2387"/>
    <w:rsid w:val="001A273E"/>
    <w:rsid w:val="001A2802"/>
    <w:rsid w:val="001A2804"/>
    <w:rsid w:val="001A2C81"/>
    <w:rsid w:val="001A2C85"/>
    <w:rsid w:val="001A2CC4"/>
    <w:rsid w:val="001A2E19"/>
    <w:rsid w:val="001A2EAC"/>
    <w:rsid w:val="001A2EFB"/>
    <w:rsid w:val="001A3105"/>
    <w:rsid w:val="001A3212"/>
    <w:rsid w:val="001A326E"/>
    <w:rsid w:val="001A3360"/>
    <w:rsid w:val="001A337F"/>
    <w:rsid w:val="001A33FF"/>
    <w:rsid w:val="001A3471"/>
    <w:rsid w:val="001A34BF"/>
    <w:rsid w:val="001A3505"/>
    <w:rsid w:val="001A3831"/>
    <w:rsid w:val="001A3A98"/>
    <w:rsid w:val="001A3AE1"/>
    <w:rsid w:val="001A3B4E"/>
    <w:rsid w:val="001A3CDB"/>
    <w:rsid w:val="001A3E09"/>
    <w:rsid w:val="001A40F9"/>
    <w:rsid w:val="001A42B7"/>
    <w:rsid w:val="001A42D5"/>
    <w:rsid w:val="001A4410"/>
    <w:rsid w:val="001A4629"/>
    <w:rsid w:val="001A4993"/>
    <w:rsid w:val="001A4BA4"/>
    <w:rsid w:val="001A53AB"/>
    <w:rsid w:val="001A56C5"/>
    <w:rsid w:val="001A5894"/>
    <w:rsid w:val="001A5915"/>
    <w:rsid w:val="001A5C06"/>
    <w:rsid w:val="001A5C69"/>
    <w:rsid w:val="001A616E"/>
    <w:rsid w:val="001A62F4"/>
    <w:rsid w:val="001A6408"/>
    <w:rsid w:val="001A670F"/>
    <w:rsid w:val="001A6965"/>
    <w:rsid w:val="001A6D16"/>
    <w:rsid w:val="001A6D5D"/>
    <w:rsid w:val="001A7111"/>
    <w:rsid w:val="001A7116"/>
    <w:rsid w:val="001A7214"/>
    <w:rsid w:val="001A733D"/>
    <w:rsid w:val="001A7821"/>
    <w:rsid w:val="001A7BB0"/>
    <w:rsid w:val="001A7BF1"/>
    <w:rsid w:val="001A7E4F"/>
    <w:rsid w:val="001A7F25"/>
    <w:rsid w:val="001B00A0"/>
    <w:rsid w:val="001B01EF"/>
    <w:rsid w:val="001B0299"/>
    <w:rsid w:val="001B02C6"/>
    <w:rsid w:val="001B04BC"/>
    <w:rsid w:val="001B0620"/>
    <w:rsid w:val="001B0760"/>
    <w:rsid w:val="001B085B"/>
    <w:rsid w:val="001B088C"/>
    <w:rsid w:val="001B092F"/>
    <w:rsid w:val="001B0B30"/>
    <w:rsid w:val="001B0BD9"/>
    <w:rsid w:val="001B10E3"/>
    <w:rsid w:val="001B11B2"/>
    <w:rsid w:val="001B12DE"/>
    <w:rsid w:val="001B180C"/>
    <w:rsid w:val="001B19B7"/>
    <w:rsid w:val="001B1A21"/>
    <w:rsid w:val="001B1B8C"/>
    <w:rsid w:val="001B1E6C"/>
    <w:rsid w:val="001B2023"/>
    <w:rsid w:val="001B2271"/>
    <w:rsid w:val="001B239A"/>
    <w:rsid w:val="001B23ED"/>
    <w:rsid w:val="001B25D6"/>
    <w:rsid w:val="001B27A9"/>
    <w:rsid w:val="001B28A2"/>
    <w:rsid w:val="001B28F1"/>
    <w:rsid w:val="001B29FA"/>
    <w:rsid w:val="001B2A70"/>
    <w:rsid w:val="001B2BB0"/>
    <w:rsid w:val="001B2BC2"/>
    <w:rsid w:val="001B2C1F"/>
    <w:rsid w:val="001B2C9E"/>
    <w:rsid w:val="001B2D7E"/>
    <w:rsid w:val="001B2E41"/>
    <w:rsid w:val="001B2F5F"/>
    <w:rsid w:val="001B34DE"/>
    <w:rsid w:val="001B3685"/>
    <w:rsid w:val="001B3C2F"/>
    <w:rsid w:val="001B3C55"/>
    <w:rsid w:val="001B3F03"/>
    <w:rsid w:val="001B3F20"/>
    <w:rsid w:val="001B41DD"/>
    <w:rsid w:val="001B45A7"/>
    <w:rsid w:val="001B4695"/>
    <w:rsid w:val="001B46EB"/>
    <w:rsid w:val="001B46F4"/>
    <w:rsid w:val="001B47CD"/>
    <w:rsid w:val="001B4880"/>
    <w:rsid w:val="001B4971"/>
    <w:rsid w:val="001B4D5B"/>
    <w:rsid w:val="001B4D8E"/>
    <w:rsid w:val="001B56E2"/>
    <w:rsid w:val="001B5A69"/>
    <w:rsid w:val="001B5B01"/>
    <w:rsid w:val="001B5B2B"/>
    <w:rsid w:val="001B5CA8"/>
    <w:rsid w:val="001B5D86"/>
    <w:rsid w:val="001B5F2C"/>
    <w:rsid w:val="001B615F"/>
    <w:rsid w:val="001B61C3"/>
    <w:rsid w:val="001B632C"/>
    <w:rsid w:val="001B638E"/>
    <w:rsid w:val="001B63AD"/>
    <w:rsid w:val="001B65BB"/>
    <w:rsid w:val="001B6684"/>
    <w:rsid w:val="001B66F3"/>
    <w:rsid w:val="001B66F5"/>
    <w:rsid w:val="001B6904"/>
    <w:rsid w:val="001B6933"/>
    <w:rsid w:val="001B69AB"/>
    <w:rsid w:val="001B6AE8"/>
    <w:rsid w:val="001B6C8A"/>
    <w:rsid w:val="001B6CB5"/>
    <w:rsid w:val="001B6FDF"/>
    <w:rsid w:val="001B70AC"/>
    <w:rsid w:val="001B725F"/>
    <w:rsid w:val="001B737B"/>
    <w:rsid w:val="001B73BA"/>
    <w:rsid w:val="001B7433"/>
    <w:rsid w:val="001B760E"/>
    <w:rsid w:val="001B7795"/>
    <w:rsid w:val="001B79DA"/>
    <w:rsid w:val="001B7BF3"/>
    <w:rsid w:val="001B7C08"/>
    <w:rsid w:val="001B7CE1"/>
    <w:rsid w:val="001B7D95"/>
    <w:rsid w:val="001B7EC0"/>
    <w:rsid w:val="001C001F"/>
    <w:rsid w:val="001C0058"/>
    <w:rsid w:val="001C0067"/>
    <w:rsid w:val="001C0114"/>
    <w:rsid w:val="001C01EB"/>
    <w:rsid w:val="001C02F1"/>
    <w:rsid w:val="001C0349"/>
    <w:rsid w:val="001C06BD"/>
    <w:rsid w:val="001C07F5"/>
    <w:rsid w:val="001C0B66"/>
    <w:rsid w:val="001C0BCD"/>
    <w:rsid w:val="001C104D"/>
    <w:rsid w:val="001C1147"/>
    <w:rsid w:val="001C1247"/>
    <w:rsid w:val="001C1394"/>
    <w:rsid w:val="001C144F"/>
    <w:rsid w:val="001C192A"/>
    <w:rsid w:val="001C19C6"/>
    <w:rsid w:val="001C1C00"/>
    <w:rsid w:val="001C1E46"/>
    <w:rsid w:val="001C1F00"/>
    <w:rsid w:val="001C2133"/>
    <w:rsid w:val="001C22D6"/>
    <w:rsid w:val="001C2425"/>
    <w:rsid w:val="001C2523"/>
    <w:rsid w:val="001C2639"/>
    <w:rsid w:val="001C2668"/>
    <w:rsid w:val="001C26C7"/>
    <w:rsid w:val="001C2750"/>
    <w:rsid w:val="001C2914"/>
    <w:rsid w:val="001C29E8"/>
    <w:rsid w:val="001C2A0B"/>
    <w:rsid w:val="001C2B43"/>
    <w:rsid w:val="001C2BFD"/>
    <w:rsid w:val="001C2CD5"/>
    <w:rsid w:val="001C2EE8"/>
    <w:rsid w:val="001C3086"/>
    <w:rsid w:val="001C3137"/>
    <w:rsid w:val="001C31C5"/>
    <w:rsid w:val="001C33B3"/>
    <w:rsid w:val="001C34D3"/>
    <w:rsid w:val="001C3652"/>
    <w:rsid w:val="001C3A6A"/>
    <w:rsid w:val="001C3C26"/>
    <w:rsid w:val="001C3EB3"/>
    <w:rsid w:val="001C3F9A"/>
    <w:rsid w:val="001C4008"/>
    <w:rsid w:val="001C4245"/>
    <w:rsid w:val="001C42CC"/>
    <w:rsid w:val="001C43CF"/>
    <w:rsid w:val="001C4427"/>
    <w:rsid w:val="001C49AB"/>
    <w:rsid w:val="001C49EB"/>
    <w:rsid w:val="001C4BCB"/>
    <w:rsid w:val="001C4C25"/>
    <w:rsid w:val="001C4EAA"/>
    <w:rsid w:val="001C5020"/>
    <w:rsid w:val="001C528C"/>
    <w:rsid w:val="001C540A"/>
    <w:rsid w:val="001C5562"/>
    <w:rsid w:val="001C569F"/>
    <w:rsid w:val="001C5990"/>
    <w:rsid w:val="001C5A37"/>
    <w:rsid w:val="001C5AA2"/>
    <w:rsid w:val="001C5AFD"/>
    <w:rsid w:val="001C5B4E"/>
    <w:rsid w:val="001C5CA5"/>
    <w:rsid w:val="001C5CBA"/>
    <w:rsid w:val="001C5FFB"/>
    <w:rsid w:val="001C6053"/>
    <w:rsid w:val="001C60BD"/>
    <w:rsid w:val="001C613B"/>
    <w:rsid w:val="001C6336"/>
    <w:rsid w:val="001C633E"/>
    <w:rsid w:val="001C63DD"/>
    <w:rsid w:val="001C6510"/>
    <w:rsid w:val="001C65B4"/>
    <w:rsid w:val="001C663B"/>
    <w:rsid w:val="001C6813"/>
    <w:rsid w:val="001C6999"/>
    <w:rsid w:val="001C69DC"/>
    <w:rsid w:val="001C6A64"/>
    <w:rsid w:val="001C6A8A"/>
    <w:rsid w:val="001C6CD5"/>
    <w:rsid w:val="001C6F1F"/>
    <w:rsid w:val="001C6FC2"/>
    <w:rsid w:val="001C6FD0"/>
    <w:rsid w:val="001C6FF5"/>
    <w:rsid w:val="001C6FFA"/>
    <w:rsid w:val="001C7279"/>
    <w:rsid w:val="001C72EC"/>
    <w:rsid w:val="001C7416"/>
    <w:rsid w:val="001C75BC"/>
    <w:rsid w:val="001C7753"/>
    <w:rsid w:val="001C7BDA"/>
    <w:rsid w:val="001C7DC4"/>
    <w:rsid w:val="001D00D1"/>
    <w:rsid w:val="001D03EB"/>
    <w:rsid w:val="001D054A"/>
    <w:rsid w:val="001D0757"/>
    <w:rsid w:val="001D07F0"/>
    <w:rsid w:val="001D0B44"/>
    <w:rsid w:val="001D0EFA"/>
    <w:rsid w:val="001D0F0F"/>
    <w:rsid w:val="001D0F4B"/>
    <w:rsid w:val="001D0F95"/>
    <w:rsid w:val="001D1079"/>
    <w:rsid w:val="001D10AD"/>
    <w:rsid w:val="001D1128"/>
    <w:rsid w:val="001D1412"/>
    <w:rsid w:val="001D1482"/>
    <w:rsid w:val="001D16DA"/>
    <w:rsid w:val="001D1700"/>
    <w:rsid w:val="001D180A"/>
    <w:rsid w:val="001D190B"/>
    <w:rsid w:val="001D1A9C"/>
    <w:rsid w:val="001D1D46"/>
    <w:rsid w:val="001D1FA8"/>
    <w:rsid w:val="001D1FB4"/>
    <w:rsid w:val="001D2059"/>
    <w:rsid w:val="001D205E"/>
    <w:rsid w:val="001D2108"/>
    <w:rsid w:val="001D227D"/>
    <w:rsid w:val="001D23C2"/>
    <w:rsid w:val="001D26C7"/>
    <w:rsid w:val="001D27F5"/>
    <w:rsid w:val="001D2C20"/>
    <w:rsid w:val="001D2D57"/>
    <w:rsid w:val="001D2D8A"/>
    <w:rsid w:val="001D2E86"/>
    <w:rsid w:val="001D314C"/>
    <w:rsid w:val="001D328A"/>
    <w:rsid w:val="001D35A3"/>
    <w:rsid w:val="001D36DC"/>
    <w:rsid w:val="001D383B"/>
    <w:rsid w:val="001D39DD"/>
    <w:rsid w:val="001D3A13"/>
    <w:rsid w:val="001D3C3B"/>
    <w:rsid w:val="001D3F6F"/>
    <w:rsid w:val="001D4041"/>
    <w:rsid w:val="001D41D8"/>
    <w:rsid w:val="001D420A"/>
    <w:rsid w:val="001D42B0"/>
    <w:rsid w:val="001D42EB"/>
    <w:rsid w:val="001D4527"/>
    <w:rsid w:val="001D45DC"/>
    <w:rsid w:val="001D4656"/>
    <w:rsid w:val="001D48D2"/>
    <w:rsid w:val="001D4C4B"/>
    <w:rsid w:val="001D4D59"/>
    <w:rsid w:val="001D500A"/>
    <w:rsid w:val="001D512E"/>
    <w:rsid w:val="001D5222"/>
    <w:rsid w:val="001D5237"/>
    <w:rsid w:val="001D53A0"/>
    <w:rsid w:val="001D56EE"/>
    <w:rsid w:val="001D56F0"/>
    <w:rsid w:val="001D59A2"/>
    <w:rsid w:val="001D5B04"/>
    <w:rsid w:val="001D5BAE"/>
    <w:rsid w:val="001D5CC3"/>
    <w:rsid w:val="001D5D82"/>
    <w:rsid w:val="001D5DB6"/>
    <w:rsid w:val="001D5E9D"/>
    <w:rsid w:val="001D5FEB"/>
    <w:rsid w:val="001D6087"/>
    <w:rsid w:val="001D6220"/>
    <w:rsid w:val="001D6330"/>
    <w:rsid w:val="001D67FC"/>
    <w:rsid w:val="001D680F"/>
    <w:rsid w:val="001D6E67"/>
    <w:rsid w:val="001D6FD3"/>
    <w:rsid w:val="001D713C"/>
    <w:rsid w:val="001D727A"/>
    <w:rsid w:val="001D7287"/>
    <w:rsid w:val="001D72D0"/>
    <w:rsid w:val="001D7354"/>
    <w:rsid w:val="001D74DE"/>
    <w:rsid w:val="001D757C"/>
    <w:rsid w:val="001D758A"/>
    <w:rsid w:val="001D7C52"/>
    <w:rsid w:val="001D7D1F"/>
    <w:rsid w:val="001D7D28"/>
    <w:rsid w:val="001D7DDA"/>
    <w:rsid w:val="001D7E76"/>
    <w:rsid w:val="001D7F78"/>
    <w:rsid w:val="001D7FCF"/>
    <w:rsid w:val="001E0358"/>
    <w:rsid w:val="001E04C9"/>
    <w:rsid w:val="001E068B"/>
    <w:rsid w:val="001E0BB7"/>
    <w:rsid w:val="001E0C5C"/>
    <w:rsid w:val="001E0E6B"/>
    <w:rsid w:val="001E0EB4"/>
    <w:rsid w:val="001E118F"/>
    <w:rsid w:val="001E1325"/>
    <w:rsid w:val="001E1595"/>
    <w:rsid w:val="001E17E3"/>
    <w:rsid w:val="001E19B0"/>
    <w:rsid w:val="001E1A06"/>
    <w:rsid w:val="001E1B74"/>
    <w:rsid w:val="001E1C0C"/>
    <w:rsid w:val="001E1C37"/>
    <w:rsid w:val="001E1C7C"/>
    <w:rsid w:val="001E1CA4"/>
    <w:rsid w:val="001E1EEC"/>
    <w:rsid w:val="001E22BF"/>
    <w:rsid w:val="001E2453"/>
    <w:rsid w:val="001E27F6"/>
    <w:rsid w:val="001E2835"/>
    <w:rsid w:val="001E29D7"/>
    <w:rsid w:val="001E2D97"/>
    <w:rsid w:val="001E2DDC"/>
    <w:rsid w:val="001E30E8"/>
    <w:rsid w:val="001E3278"/>
    <w:rsid w:val="001E32FC"/>
    <w:rsid w:val="001E3325"/>
    <w:rsid w:val="001E3560"/>
    <w:rsid w:val="001E3570"/>
    <w:rsid w:val="001E36DE"/>
    <w:rsid w:val="001E3751"/>
    <w:rsid w:val="001E382E"/>
    <w:rsid w:val="001E3A40"/>
    <w:rsid w:val="001E3B56"/>
    <w:rsid w:val="001E3B9B"/>
    <w:rsid w:val="001E3C06"/>
    <w:rsid w:val="001E3C6A"/>
    <w:rsid w:val="001E3CA7"/>
    <w:rsid w:val="001E3D9F"/>
    <w:rsid w:val="001E43A7"/>
    <w:rsid w:val="001E4743"/>
    <w:rsid w:val="001E485F"/>
    <w:rsid w:val="001E4A6A"/>
    <w:rsid w:val="001E4BAC"/>
    <w:rsid w:val="001E4C59"/>
    <w:rsid w:val="001E4C74"/>
    <w:rsid w:val="001E517A"/>
    <w:rsid w:val="001E51E5"/>
    <w:rsid w:val="001E5212"/>
    <w:rsid w:val="001E531C"/>
    <w:rsid w:val="001E54B0"/>
    <w:rsid w:val="001E567C"/>
    <w:rsid w:val="001E56BE"/>
    <w:rsid w:val="001E58A6"/>
    <w:rsid w:val="001E58D5"/>
    <w:rsid w:val="001E5999"/>
    <w:rsid w:val="001E5C49"/>
    <w:rsid w:val="001E5E6F"/>
    <w:rsid w:val="001E5FD5"/>
    <w:rsid w:val="001E63ED"/>
    <w:rsid w:val="001E6916"/>
    <w:rsid w:val="001E6A9C"/>
    <w:rsid w:val="001E6B04"/>
    <w:rsid w:val="001E6C0D"/>
    <w:rsid w:val="001E6C3D"/>
    <w:rsid w:val="001E6D72"/>
    <w:rsid w:val="001E6DA0"/>
    <w:rsid w:val="001E6E53"/>
    <w:rsid w:val="001E6FBE"/>
    <w:rsid w:val="001E7098"/>
    <w:rsid w:val="001E73A7"/>
    <w:rsid w:val="001E73C7"/>
    <w:rsid w:val="001E74DC"/>
    <w:rsid w:val="001E76F7"/>
    <w:rsid w:val="001E77DE"/>
    <w:rsid w:val="001E7A8C"/>
    <w:rsid w:val="001E7B30"/>
    <w:rsid w:val="001E7E62"/>
    <w:rsid w:val="001F0032"/>
    <w:rsid w:val="001F0049"/>
    <w:rsid w:val="001F00D1"/>
    <w:rsid w:val="001F0156"/>
    <w:rsid w:val="001F03F2"/>
    <w:rsid w:val="001F03F8"/>
    <w:rsid w:val="001F056E"/>
    <w:rsid w:val="001F0580"/>
    <w:rsid w:val="001F0799"/>
    <w:rsid w:val="001F0A51"/>
    <w:rsid w:val="001F0B43"/>
    <w:rsid w:val="001F0B59"/>
    <w:rsid w:val="001F0C3F"/>
    <w:rsid w:val="001F0E2A"/>
    <w:rsid w:val="001F0EAC"/>
    <w:rsid w:val="001F133B"/>
    <w:rsid w:val="001F14C3"/>
    <w:rsid w:val="001F1548"/>
    <w:rsid w:val="001F1865"/>
    <w:rsid w:val="001F1BAE"/>
    <w:rsid w:val="001F1CEC"/>
    <w:rsid w:val="001F1D33"/>
    <w:rsid w:val="001F1F11"/>
    <w:rsid w:val="001F2029"/>
    <w:rsid w:val="001F21BC"/>
    <w:rsid w:val="001F22C2"/>
    <w:rsid w:val="001F236F"/>
    <w:rsid w:val="001F2749"/>
    <w:rsid w:val="001F2779"/>
    <w:rsid w:val="001F2976"/>
    <w:rsid w:val="001F2D31"/>
    <w:rsid w:val="001F2E5E"/>
    <w:rsid w:val="001F2E6E"/>
    <w:rsid w:val="001F2F4F"/>
    <w:rsid w:val="001F2F72"/>
    <w:rsid w:val="001F327B"/>
    <w:rsid w:val="001F3289"/>
    <w:rsid w:val="001F35F6"/>
    <w:rsid w:val="001F36F4"/>
    <w:rsid w:val="001F3813"/>
    <w:rsid w:val="001F3912"/>
    <w:rsid w:val="001F3B70"/>
    <w:rsid w:val="001F3C7D"/>
    <w:rsid w:val="001F4122"/>
    <w:rsid w:val="001F42FF"/>
    <w:rsid w:val="001F4570"/>
    <w:rsid w:val="001F46AE"/>
    <w:rsid w:val="001F47D3"/>
    <w:rsid w:val="001F48E8"/>
    <w:rsid w:val="001F4995"/>
    <w:rsid w:val="001F4A5C"/>
    <w:rsid w:val="001F4AA4"/>
    <w:rsid w:val="001F4AD2"/>
    <w:rsid w:val="001F4C68"/>
    <w:rsid w:val="001F4C99"/>
    <w:rsid w:val="001F4CB4"/>
    <w:rsid w:val="001F4E41"/>
    <w:rsid w:val="001F4E70"/>
    <w:rsid w:val="001F4FE2"/>
    <w:rsid w:val="001F502D"/>
    <w:rsid w:val="001F527B"/>
    <w:rsid w:val="001F572A"/>
    <w:rsid w:val="001F5791"/>
    <w:rsid w:val="001F58F1"/>
    <w:rsid w:val="001F5D1A"/>
    <w:rsid w:val="001F6059"/>
    <w:rsid w:val="001F61D7"/>
    <w:rsid w:val="001F63B1"/>
    <w:rsid w:val="001F6686"/>
    <w:rsid w:val="001F66B7"/>
    <w:rsid w:val="001F688C"/>
    <w:rsid w:val="001F6B26"/>
    <w:rsid w:val="001F6B97"/>
    <w:rsid w:val="001F6DA2"/>
    <w:rsid w:val="001F6DD9"/>
    <w:rsid w:val="001F6F2C"/>
    <w:rsid w:val="001F70FB"/>
    <w:rsid w:val="001F76B0"/>
    <w:rsid w:val="001F77C1"/>
    <w:rsid w:val="001F77E6"/>
    <w:rsid w:val="001F7AAD"/>
    <w:rsid w:val="001F7BC5"/>
    <w:rsid w:val="001F7C92"/>
    <w:rsid w:val="001F7CC1"/>
    <w:rsid w:val="00200063"/>
    <w:rsid w:val="00200079"/>
    <w:rsid w:val="0020034E"/>
    <w:rsid w:val="002004D9"/>
    <w:rsid w:val="002005A2"/>
    <w:rsid w:val="002005D5"/>
    <w:rsid w:val="00200686"/>
    <w:rsid w:val="00200839"/>
    <w:rsid w:val="00200861"/>
    <w:rsid w:val="00200878"/>
    <w:rsid w:val="00200976"/>
    <w:rsid w:val="00200A03"/>
    <w:rsid w:val="00200B56"/>
    <w:rsid w:val="00200BA9"/>
    <w:rsid w:val="00200CD8"/>
    <w:rsid w:val="00200D43"/>
    <w:rsid w:val="00200D5E"/>
    <w:rsid w:val="00200F4F"/>
    <w:rsid w:val="00200F89"/>
    <w:rsid w:val="002010F7"/>
    <w:rsid w:val="002016A5"/>
    <w:rsid w:val="002017F4"/>
    <w:rsid w:val="0020181F"/>
    <w:rsid w:val="00201852"/>
    <w:rsid w:val="002018B1"/>
    <w:rsid w:val="0020198C"/>
    <w:rsid w:val="00201992"/>
    <w:rsid w:val="00201A74"/>
    <w:rsid w:val="00201AAE"/>
    <w:rsid w:val="00201B42"/>
    <w:rsid w:val="00201C06"/>
    <w:rsid w:val="00202116"/>
    <w:rsid w:val="002024D2"/>
    <w:rsid w:val="0020277A"/>
    <w:rsid w:val="002027D5"/>
    <w:rsid w:val="00202D0B"/>
    <w:rsid w:val="00202DB7"/>
    <w:rsid w:val="00202E0E"/>
    <w:rsid w:val="00203122"/>
    <w:rsid w:val="0020319B"/>
    <w:rsid w:val="002031B7"/>
    <w:rsid w:val="002038F5"/>
    <w:rsid w:val="00203B36"/>
    <w:rsid w:val="00203CB8"/>
    <w:rsid w:val="00203CDF"/>
    <w:rsid w:val="00203E09"/>
    <w:rsid w:val="00203E45"/>
    <w:rsid w:val="00203FE6"/>
    <w:rsid w:val="0020421A"/>
    <w:rsid w:val="0020432D"/>
    <w:rsid w:val="0020438B"/>
    <w:rsid w:val="00204456"/>
    <w:rsid w:val="002046A8"/>
    <w:rsid w:val="00204709"/>
    <w:rsid w:val="002049A1"/>
    <w:rsid w:val="00204A5E"/>
    <w:rsid w:val="00204B8F"/>
    <w:rsid w:val="00204F62"/>
    <w:rsid w:val="00205095"/>
    <w:rsid w:val="00205131"/>
    <w:rsid w:val="00205168"/>
    <w:rsid w:val="002053D5"/>
    <w:rsid w:val="002057B3"/>
    <w:rsid w:val="00205AD5"/>
    <w:rsid w:val="00205CEF"/>
    <w:rsid w:val="00205F84"/>
    <w:rsid w:val="00206085"/>
    <w:rsid w:val="002061D7"/>
    <w:rsid w:val="00206516"/>
    <w:rsid w:val="00206521"/>
    <w:rsid w:val="002065B2"/>
    <w:rsid w:val="00206780"/>
    <w:rsid w:val="00206AB2"/>
    <w:rsid w:val="00206AB7"/>
    <w:rsid w:val="00206AEC"/>
    <w:rsid w:val="00206BDD"/>
    <w:rsid w:val="00206C38"/>
    <w:rsid w:val="00206E71"/>
    <w:rsid w:val="00206F7B"/>
    <w:rsid w:val="00207117"/>
    <w:rsid w:val="002071C0"/>
    <w:rsid w:val="00207396"/>
    <w:rsid w:val="00207438"/>
    <w:rsid w:val="0020754B"/>
    <w:rsid w:val="00207625"/>
    <w:rsid w:val="00207D5B"/>
    <w:rsid w:val="00207EC3"/>
    <w:rsid w:val="00207F0A"/>
    <w:rsid w:val="00210083"/>
    <w:rsid w:val="002100EA"/>
    <w:rsid w:val="002101A4"/>
    <w:rsid w:val="0021021C"/>
    <w:rsid w:val="0021023C"/>
    <w:rsid w:val="002102EF"/>
    <w:rsid w:val="002103B2"/>
    <w:rsid w:val="00210890"/>
    <w:rsid w:val="002109F9"/>
    <w:rsid w:val="00210ADA"/>
    <w:rsid w:val="00210CF6"/>
    <w:rsid w:val="00210F60"/>
    <w:rsid w:val="00210FF8"/>
    <w:rsid w:val="002111FF"/>
    <w:rsid w:val="0021140F"/>
    <w:rsid w:val="002114C1"/>
    <w:rsid w:val="002115B9"/>
    <w:rsid w:val="002115CE"/>
    <w:rsid w:val="0021162A"/>
    <w:rsid w:val="00211740"/>
    <w:rsid w:val="00211934"/>
    <w:rsid w:val="0021197C"/>
    <w:rsid w:val="00211CD4"/>
    <w:rsid w:val="00211D0F"/>
    <w:rsid w:val="00211E5A"/>
    <w:rsid w:val="00211E66"/>
    <w:rsid w:val="0021200F"/>
    <w:rsid w:val="0021245D"/>
    <w:rsid w:val="0021245F"/>
    <w:rsid w:val="002124F3"/>
    <w:rsid w:val="00212515"/>
    <w:rsid w:val="002128F4"/>
    <w:rsid w:val="00212A8D"/>
    <w:rsid w:val="00212AE1"/>
    <w:rsid w:val="00212B15"/>
    <w:rsid w:val="00212EBE"/>
    <w:rsid w:val="00212F1F"/>
    <w:rsid w:val="00212FC9"/>
    <w:rsid w:val="0021324F"/>
    <w:rsid w:val="00213318"/>
    <w:rsid w:val="002133CA"/>
    <w:rsid w:val="0021349E"/>
    <w:rsid w:val="00213544"/>
    <w:rsid w:val="002137D2"/>
    <w:rsid w:val="00213846"/>
    <w:rsid w:val="002138C6"/>
    <w:rsid w:val="0021394F"/>
    <w:rsid w:val="00213D6D"/>
    <w:rsid w:val="00214092"/>
    <w:rsid w:val="0021419E"/>
    <w:rsid w:val="00214440"/>
    <w:rsid w:val="002144C6"/>
    <w:rsid w:val="002144F7"/>
    <w:rsid w:val="00214675"/>
    <w:rsid w:val="00214969"/>
    <w:rsid w:val="00214A37"/>
    <w:rsid w:val="00214AAD"/>
    <w:rsid w:val="00214BEC"/>
    <w:rsid w:val="00214C09"/>
    <w:rsid w:val="00214C63"/>
    <w:rsid w:val="00214CFF"/>
    <w:rsid w:val="00214DBA"/>
    <w:rsid w:val="00214EE1"/>
    <w:rsid w:val="00214EF1"/>
    <w:rsid w:val="00215132"/>
    <w:rsid w:val="0021515A"/>
    <w:rsid w:val="002152A4"/>
    <w:rsid w:val="0021540D"/>
    <w:rsid w:val="0021544F"/>
    <w:rsid w:val="002154A2"/>
    <w:rsid w:val="00215542"/>
    <w:rsid w:val="002156C8"/>
    <w:rsid w:val="00215774"/>
    <w:rsid w:val="002158D6"/>
    <w:rsid w:val="00215906"/>
    <w:rsid w:val="00215915"/>
    <w:rsid w:val="00215925"/>
    <w:rsid w:val="002159D1"/>
    <w:rsid w:val="00215BCF"/>
    <w:rsid w:val="00215CBC"/>
    <w:rsid w:val="00215E78"/>
    <w:rsid w:val="0021631D"/>
    <w:rsid w:val="00216596"/>
    <w:rsid w:val="002165A4"/>
    <w:rsid w:val="00216655"/>
    <w:rsid w:val="0021669F"/>
    <w:rsid w:val="0021672B"/>
    <w:rsid w:val="00216800"/>
    <w:rsid w:val="00216948"/>
    <w:rsid w:val="00216979"/>
    <w:rsid w:val="00216BBC"/>
    <w:rsid w:val="00217132"/>
    <w:rsid w:val="002171AD"/>
    <w:rsid w:val="00217280"/>
    <w:rsid w:val="002172B2"/>
    <w:rsid w:val="002173B1"/>
    <w:rsid w:val="002174B4"/>
    <w:rsid w:val="002174D6"/>
    <w:rsid w:val="002174E4"/>
    <w:rsid w:val="00217842"/>
    <w:rsid w:val="00217AC4"/>
    <w:rsid w:val="00217BAA"/>
    <w:rsid w:val="00217C4B"/>
    <w:rsid w:val="00217CBA"/>
    <w:rsid w:val="0022017A"/>
    <w:rsid w:val="00220426"/>
    <w:rsid w:val="002204A3"/>
    <w:rsid w:val="002206EE"/>
    <w:rsid w:val="002209F1"/>
    <w:rsid w:val="00220AC4"/>
    <w:rsid w:val="00220B27"/>
    <w:rsid w:val="00220EC7"/>
    <w:rsid w:val="00220FF8"/>
    <w:rsid w:val="0022106E"/>
    <w:rsid w:val="0022138B"/>
    <w:rsid w:val="002214BE"/>
    <w:rsid w:val="002215D8"/>
    <w:rsid w:val="0022178F"/>
    <w:rsid w:val="002217A2"/>
    <w:rsid w:val="00221A8F"/>
    <w:rsid w:val="00221BEE"/>
    <w:rsid w:val="00221C46"/>
    <w:rsid w:val="00221C47"/>
    <w:rsid w:val="00221D5A"/>
    <w:rsid w:val="00221FA7"/>
    <w:rsid w:val="002221E8"/>
    <w:rsid w:val="002223F3"/>
    <w:rsid w:val="002224FF"/>
    <w:rsid w:val="002225BE"/>
    <w:rsid w:val="00222813"/>
    <w:rsid w:val="00222ADD"/>
    <w:rsid w:val="00222C3E"/>
    <w:rsid w:val="002233A3"/>
    <w:rsid w:val="0022349E"/>
    <w:rsid w:val="00223782"/>
    <w:rsid w:val="00223A04"/>
    <w:rsid w:val="00223BA4"/>
    <w:rsid w:val="00223D94"/>
    <w:rsid w:val="002240B8"/>
    <w:rsid w:val="002241B4"/>
    <w:rsid w:val="0022431B"/>
    <w:rsid w:val="0022432D"/>
    <w:rsid w:val="00224354"/>
    <w:rsid w:val="0022440E"/>
    <w:rsid w:val="00224422"/>
    <w:rsid w:val="002246B0"/>
    <w:rsid w:val="00224770"/>
    <w:rsid w:val="002247C5"/>
    <w:rsid w:val="00224900"/>
    <w:rsid w:val="00224A2F"/>
    <w:rsid w:val="00224AF9"/>
    <w:rsid w:val="00224B05"/>
    <w:rsid w:val="00224B25"/>
    <w:rsid w:val="00224C30"/>
    <w:rsid w:val="00224C50"/>
    <w:rsid w:val="00224CDD"/>
    <w:rsid w:val="00224E3B"/>
    <w:rsid w:val="00225066"/>
    <w:rsid w:val="002251C8"/>
    <w:rsid w:val="00225468"/>
    <w:rsid w:val="002254A0"/>
    <w:rsid w:val="002256AA"/>
    <w:rsid w:val="002256CA"/>
    <w:rsid w:val="00225753"/>
    <w:rsid w:val="0022585E"/>
    <w:rsid w:val="00225908"/>
    <w:rsid w:val="00225AE5"/>
    <w:rsid w:val="00225B68"/>
    <w:rsid w:val="00225E8E"/>
    <w:rsid w:val="00226189"/>
    <w:rsid w:val="002261C9"/>
    <w:rsid w:val="002261DF"/>
    <w:rsid w:val="002262FD"/>
    <w:rsid w:val="00226347"/>
    <w:rsid w:val="0022635E"/>
    <w:rsid w:val="002265D4"/>
    <w:rsid w:val="00226757"/>
    <w:rsid w:val="002269C4"/>
    <w:rsid w:val="00226D82"/>
    <w:rsid w:val="00227137"/>
    <w:rsid w:val="0022715C"/>
    <w:rsid w:val="0022720B"/>
    <w:rsid w:val="002274F9"/>
    <w:rsid w:val="00227658"/>
    <w:rsid w:val="0022771A"/>
    <w:rsid w:val="00227747"/>
    <w:rsid w:val="00227770"/>
    <w:rsid w:val="002277FD"/>
    <w:rsid w:val="00227A2C"/>
    <w:rsid w:val="00227ACA"/>
    <w:rsid w:val="00227B50"/>
    <w:rsid w:val="00227BC1"/>
    <w:rsid w:val="00227DE8"/>
    <w:rsid w:val="00227F13"/>
    <w:rsid w:val="00227F16"/>
    <w:rsid w:val="00230219"/>
    <w:rsid w:val="002302D8"/>
    <w:rsid w:val="0023031E"/>
    <w:rsid w:val="00230490"/>
    <w:rsid w:val="002306AD"/>
    <w:rsid w:val="00230866"/>
    <w:rsid w:val="00230867"/>
    <w:rsid w:val="0023090C"/>
    <w:rsid w:val="00230A19"/>
    <w:rsid w:val="00230B2D"/>
    <w:rsid w:val="00230E5D"/>
    <w:rsid w:val="002311AD"/>
    <w:rsid w:val="002314F0"/>
    <w:rsid w:val="002316F3"/>
    <w:rsid w:val="002317E1"/>
    <w:rsid w:val="00231F39"/>
    <w:rsid w:val="00231FFA"/>
    <w:rsid w:val="0023225F"/>
    <w:rsid w:val="002322F8"/>
    <w:rsid w:val="002324EC"/>
    <w:rsid w:val="002325FB"/>
    <w:rsid w:val="00232708"/>
    <w:rsid w:val="002329E9"/>
    <w:rsid w:val="00232AC3"/>
    <w:rsid w:val="00232B56"/>
    <w:rsid w:val="00232C9C"/>
    <w:rsid w:val="00232D07"/>
    <w:rsid w:val="00232DAD"/>
    <w:rsid w:val="00232E41"/>
    <w:rsid w:val="00232F3B"/>
    <w:rsid w:val="002332B3"/>
    <w:rsid w:val="002332C0"/>
    <w:rsid w:val="00233351"/>
    <w:rsid w:val="00233424"/>
    <w:rsid w:val="002334A5"/>
    <w:rsid w:val="0023368B"/>
    <w:rsid w:val="002336BC"/>
    <w:rsid w:val="002339B6"/>
    <w:rsid w:val="002339F1"/>
    <w:rsid w:val="00233E8A"/>
    <w:rsid w:val="00234168"/>
    <w:rsid w:val="002341A0"/>
    <w:rsid w:val="00234426"/>
    <w:rsid w:val="002345B2"/>
    <w:rsid w:val="0023485A"/>
    <w:rsid w:val="00234A7B"/>
    <w:rsid w:val="00234B90"/>
    <w:rsid w:val="00234BE3"/>
    <w:rsid w:val="00234CC5"/>
    <w:rsid w:val="00234ED8"/>
    <w:rsid w:val="00235232"/>
    <w:rsid w:val="002352F6"/>
    <w:rsid w:val="00235301"/>
    <w:rsid w:val="00235621"/>
    <w:rsid w:val="0023563B"/>
    <w:rsid w:val="00235810"/>
    <w:rsid w:val="00235899"/>
    <w:rsid w:val="0023594F"/>
    <w:rsid w:val="002359A7"/>
    <w:rsid w:val="00235A2C"/>
    <w:rsid w:val="00235A2D"/>
    <w:rsid w:val="00235DF3"/>
    <w:rsid w:val="00235E94"/>
    <w:rsid w:val="00235F13"/>
    <w:rsid w:val="00236225"/>
    <w:rsid w:val="002366FA"/>
    <w:rsid w:val="0023689F"/>
    <w:rsid w:val="00236910"/>
    <w:rsid w:val="00236AC1"/>
    <w:rsid w:val="00236AFD"/>
    <w:rsid w:val="00236CBD"/>
    <w:rsid w:val="00236EF9"/>
    <w:rsid w:val="00236F30"/>
    <w:rsid w:val="002370B2"/>
    <w:rsid w:val="00237786"/>
    <w:rsid w:val="00237973"/>
    <w:rsid w:val="00237A58"/>
    <w:rsid w:val="00237A5E"/>
    <w:rsid w:val="00237ADD"/>
    <w:rsid w:val="00237AFB"/>
    <w:rsid w:val="00237E2A"/>
    <w:rsid w:val="00237EC3"/>
    <w:rsid w:val="00240034"/>
    <w:rsid w:val="002402C5"/>
    <w:rsid w:val="002402F7"/>
    <w:rsid w:val="00240403"/>
    <w:rsid w:val="0024067A"/>
    <w:rsid w:val="002406A7"/>
    <w:rsid w:val="0024094B"/>
    <w:rsid w:val="00240957"/>
    <w:rsid w:val="0024099A"/>
    <w:rsid w:val="00240C81"/>
    <w:rsid w:val="0024107D"/>
    <w:rsid w:val="00241308"/>
    <w:rsid w:val="00241406"/>
    <w:rsid w:val="002417E0"/>
    <w:rsid w:val="002417E8"/>
    <w:rsid w:val="002418DA"/>
    <w:rsid w:val="00241BAC"/>
    <w:rsid w:val="00241ED5"/>
    <w:rsid w:val="00241F13"/>
    <w:rsid w:val="00241FD0"/>
    <w:rsid w:val="0024206C"/>
    <w:rsid w:val="002421F2"/>
    <w:rsid w:val="002422DC"/>
    <w:rsid w:val="0024234E"/>
    <w:rsid w:val="002429C4"/>
    <w:rsid w:val="00242CB9"/>
    <w:rsid w:val="00242F22"/>
    <w:rsid w:val="0024301F"/>
    <w:rsid w:val="00243181"/>
    <w:rsid w:val="002431F5"/>
    <w:rsid w:val="002432B1"/>
    <w:rsid w:val="00243325"/>
    <w:rsid w:val="0024344A"/>
    <w:rsid w:val="0024357C"/>
    <w:rsid w:val="002438DE"/>
    <w:rsid w:val="0024398B"/>
    <w:rsid w:val="00243AF0"/>
    <w:rsid w:val="00243BE3"/>
    <w:rsid w:val="00243C55"/>
    <w:rsid w:val="00243FD1"/>
    <w:rsid w:val="0024401F"/>
    <w:rsid w:val="002440C1"/>
    <w:rsid w:val="0024422E"/>
    <w:rsid w:val="0024424B"/>
    <w:rsid w:val="002444DB"/>
    <w:rsid w:val="002445EF"/>
    <w:rsid w:val="00244665"/>
    <w:rsid w:val="0024466F"/>
    <w:rsid w:val="0024467A"/>
    <w:rsid w:val="002447C8"/>
    <w:rsid w:val="00244D95"/>
    <w:rsid w:val="00244E74"/>
    <w:rsid w:val="00244F20"/>
    <w:rsid w:val="00244F57"/>
    <w:rsid w:val="00245014"/>
    <w:rsid w:val="0024548B"/>
    <w:rsid w:val="00245534"/>
    <w:rsid w:val="00245649"/>
    <w:rsid w:val="0024585D"/>
    <w:rsid w:val="00245874"/>
    <w:rsid w:val="00245B86"/>
    <w:rsid w:val="00245F05"/>
    <w:rsid w:val="00245F55"/>
    <w:rsid w:val="00245FE3"/>
    <w:rsid w:val="00246115"/>
    <w:rsid w:val="0024648B"/>
    <w:rsid w:val="0024649A"/>
    <w:rsid w:val="002465B0"/>
    <w:rsid w:val="002465D3"/>
    <w:rsid w:val="0024663C"/>
    <w:rsid w:val="0024666C"/>
    <w:rsid w:val="0024694A"/>
    <w:rsid w:val="00246974"/>
    <w:rsid w:val="00246CF4"/>
    <w:rsid w:val="00246D2B"/>
    <w:rsid w:val="00246D4F"/>
    <w:rsid w:val="00246DD7"/>
    <w:rsid w:val="00246EC7"/>
    <w:rsid w:val="00246ECA"/>
    <w:rsid w:val="002470B6"/>
    <w:rsid w:val="002471EB"/>
    <w:rsid w:val="002472D2"/>
    <w:rsid w:val="0024749B"/>
    <w:rsid w:val="00247841"/>
    <w:rsid w:val="0024791D"/>
    <w:rsid w:val="00247B0A"/>
    <w:rsid w:val="00247BB8"/>
    <w:rsid w:val="00247D89"/>
    <w:rsid w:val="00247E2C"/>
    <w:rsid w:val="00247F3B"/>
    <w:rsid w:val="0025009A"/>
    <w:rsid w:val="002501B3"/>
    <w:rsid w:val="0025035C"/>
    <w:rsid w:val="00250413"/>
    <w:rsid w:val="00250436"/>
    <w:rsid w:val="00250523"/>
    <w:rsid w:val="00250537"/>
    <w:rsid w:val="0025068B"/>
    <w:rsid w:val="002506DE"/>
    <w:rsid w:val="002509B9"/>
    <w:rsid w:val="002509E7"/>
    <w:rsid w:val="00250C39"/>
    <w:rsid w:val="00251189"/>
    <w:rsid w:val="002512FF"/>
    <w:rsid w:val="00251324"/>
    <w:rsid w:val="00251361"/>
    <w:rsid w:val="002513CA"/>
    <w:rsid w:val="00251407"/>
    <w:rsid w:val="002516F9"/>
    <w:rsid w:val="0025177C"/>
    <w:rsid w:val="00251827"/>
    <w:rsid w:val="00251944"/>
    <w:rsid w:val="00251A49"/>
    <w:rsid w:val="00251C1A"/>
    <w:rsid w:val="00251C8A"/>
    <w:rsid w:val="00251CF8"/>
    <w:rsid w:val="00251DDE"/>
    <w:rsid w:val="002520BD"/>
    <w:rsid w:val="00252204"/>
    <w:rsid w:val="002522D6"/>
    <w:rsid w:val="00252419"/>
    <w:rsid w:val="002527C9"/>
    <w:rsid w:val="00252B4D"/>
    <w:rsid w:val="00252CBB"/>
    <w:rsid w:val="00252D2F"/>
    <w:rsid w:val="00252DE2"/>
    <w:rsid w:val="00252F13"/>
    <w:rsid w:val="002530D6"/>
    <w:rsid w:val="0025331F"/>
    <w:rsid w:val="00253429"/>
    <w:rsid w:val="00253463"/>
    <w:rsid w:val="00253467"/>
    <w:rsid w:val="00253550"/>
    <w:rsid w:val="0025366B"/>
    <w:rsid w:val="002537E1"/>
    <w:rsid w:val="00253FE2"/>
    <w:rsid w:val="002540DC"/>
    <w:rsid w:val="00254140"/>
    <w:rsid w:val="002542FF"/>
    <w:rsid w:val="0025459E"/>
    <w:rsid w:val="002545B3"/>
    <w:rsid w:val="002547B5"/>
    <w:rsid w:val="00254D1F"/>
    <w:rsid w:val="00254DC9"/>
    <w:rsid w:val="00254FCE"/>
    <w:rsid w:val="002550D3"/>
    <w:rsid w:val="00255122"/>
    <w:rsid w:val="00255142"/>
    <w:rsid w:val="002551FF"/>
    <w:rsid w:val="002552B2"/>
    <w:rsid w:val="002552DF"/>
    <w:rsid w:val="00255334"/>
    <w:rsid w:val="002553AA"/>
    <w:rsid w:val="002554AD"/>
    <w:rsid w:val="0025574D"/>
    <w:rsid w:val="00255890"/>
    <w:rsid w:val="00255B00"/>
    <w:rsid w:val="00255B05"/>
    <w:rsid w:val="00255CD0"/>
    <w:rsid w:val="00255F20"/>
    <w:rsid w:val="0025602F"/>
    <w:rsid w:val="002563B1"/>
    <w:rsid w:val="002563FF"/>
    <w:rsid w:val="00256474"/>
    <w:rsid w:val="002565AB"/>
    <w:rsid w:val="0025688A"/>
    <w:rsid w:val="002568B1"/>
    <w:rsid w:val="00256ABC"/>
    <w:rsid w:val="00256ACB"/>
    <w:rsid w:val="00256C43"/>
    <w:rsid w:val="00256F7D"/>
    <w:rsid w:val="00256FB2"/>
    <w:rsid w:val="00257075"/>
    <w:rsid w:val="00257082"/>
    <w:rsid w:val="002570D8"/>
    <w:rsid w:val="002570E4"/>
    <w:rsid w:val="00257320"/>
    <w:rsid w:val="0025754F"/>
    <w:rsid w:val="0025759F"/>
    <w:rsid w:val="002575AF"/>
    <w:rsid w:val="0025761A"/>
    <w:rsid w:val="002578C4"/>
    <w:rsid w:val="00257953"/>
    <w:rsid w:val="002579B2"/>
    <w:rsid w:val="002579C3"/>
    <w:rsid w:val="00257A4E"/>
    <w:rsid w:val="00257F18"/>
    <w:rsid w:val="00260056"/>
    <w:rsid w:val="0026050F"/>
    <w:rsid w:val="002605FE"/>
    <w:rsid w:val="00260787"/>
    <w:rsid w:val="00260992"/>
    <w:rsid w:val="00260AB4"/>
    <w:rsid w:val="00260B21"/>
    <w:rsid w:val="00260B33"/>
    <w:rsid w:val="00260CC9"/>
    <w:rsid w:val="00260D91"/>
    <w:rsid w:val="00260F06"/>
    <w:rsid w:val="00260FB1"/>
    <w:rsid w:val="00261221"/>
    <w:rsid w:val="002612ED"/>
    <w:rsid w:val="00261654"/>
    <w:rsid w:val="002616A2"/>
    <w:rsid w:val="002616C0"/>
    <w:rsid w:val="00261738"/>
    <w:rsid w:val="002617BD"/>
    <w:rsid w:val="002618C0"/>
    <w:rsid w:val="00261928"/>
    <w:rsid w:val="0026199C"/>
    <w:rsid w:val="00261A6D"/>
    <w:rsid w:val="00261B2E"/>
    <w:rsid w:val="00261D04"/>
    <w:rsid w:val="00261D5C"/>
    <w:rsid w:val="00261E08"/>
    <w:rsid w:val="00261EC2"/>
    <w:rsid w:val="002620CA"/>
    <w:rsid w:val="0026213E"/>
    <w:rsid w:val="002623E2"/>
    <w:rsid w:val="002624E0"/>
    <w:rsid w:val="002625C8"/>
    <w:rsid w:val="002625F2"/>
    <w:rsid w:val="002628C6"/>
    <w:rsid w:val="00262966"/>
    <w:rsid w:val="00262A30"/>
    <w:rsid w:val="00262F08"/>
    <w:rsid w:val="0026303D"/>
    <w:rsid w:val="0026303E"/>
    <w:rsid w:val="00263255"/>
    <w:rsid w:val="00263580"/>
    <w:rsid w:val="002635D8"/>
    <w:rsid w:val="00263819"/>
    <w:rsid w:val="002638B8"/>
    <w:rsid w:val="00263A58"/>
    <w:rsid w:val="00263AAE"/>
    <w:rsid w:val="00263BBE"/>
    <w:rsid w:val="00263CBB"/>
    <w:rsid w:val="00263FB4"/>
    <w:rsid w:val="00264199"/>
    <w:rsid w:val="002641A5"/>
    <w:rsid w:val="00264200"/>
    <w:rsid w:val="0026425C"/>
    <w:rsid w:val="00264291"/>
    <w:rsid w:val="00264315"/>
    <w:rsid w:val="00264572"/>
    <w:rsid w:val="00264625"/>
    <w:rsid w:val="002646FF"/>
    <w:rsid w:val="00264806"/>
    <w:rsid w:val="00264873"/>
    <w:rsid w:val="00264BFB"/>
    <w:rsid w:val="00264C66"/>
    <w:rsid w:val="00264D85"/>
    <w:rsid w:val="00264D8B"/>
    <w:rsid w:val="0026532B"/>
    <w:rsid w:val="0026537F"/>
    <w:rsid w:val="00265502"/>
    <w:rsid w:val="002656CD"/>
    <w:rsid w:val="002659B0"/>
    <w:rsid w:val="00265AAB"/>
    <w:rsid w:val="00265ABD"/>
    <w:rsid w:val="00265B85"/>
    <w:rsid w:val="00266346"/>
    <w:rsid w:val="0026641E"/>
    <w:rsid w:val="00266604"/>
    <w:rsid w:val="0026665F"/>
    <w:rsid w:val="00266767"/>
    <w:rsid w:val="00266840"/>
    <w:rsid w:val="002668EA"/>
    <w:rsid w:val="00266916"/>
    <w:rsid w:val="0026693F"/>
    <w:rsid w:val="002669C0"/>
    <w:rsid w:val="00266AA4"/>
    <w:rsid w:val="00266C01"/>
    <w:rsid w:val="00266C0E"/>
    <w:rsid w:val="00266E27"/>
    <w:rsid w:val="00266E4A"/>
    <w:rsid w:val="00267032"/>
    <w:rsid w:val="00267364"/>
    <w:rsid w:val="0026739B"/>
    <w:rsid w:val="002677AC"/>
    <w:rsid w:val="00267828"/>
    <w:rsid w:val="002679E5"/>
    <w:rsid w:val="00267AEA"/>
    <w:rsid w:val="00267CAD"/>
    <w:rsid w:val="00267D3B"/>
    <w:rsid w:val="00267F0C"/>
    <w:rsid w:val="0026EA16"/>
    <w:rsid w:val="002701CA"/>
    <w:rsid w:val="002703D1"/>
    <w:rsid w:val="002703E0"/>
    <w:rsid w:val="002705D0"/>
    <w:rsid w:val="0027083E"/>
    <w:rsid w:val="002709CA"/>
    <w:rsid w:val="002709DD"/>
    <w:rsid w:val="00270B43"/>
    <w:rsid w:val="00270C25"/>
    <w:rsid w:val="00270C34"/>
    <w:rsid w:val="00270DBA"/>
    <w:rsid w:val="00270E78"/>
    <w:rsid w:val="00270F86"/>
    <w:rsid w:val="00270FFE"/>
    <w:rsid w:val="00271053"/>
    <w:rsid w:val="0027112F"/>
    <w:rsid w:val="002711CD"/>
    <w:rsid w:val="00271311"/>
    <w:rsid w:val="0027133D"/>
    <w:rsid w:val="00271347"/>
    <w:rsid w:val="0027155E"/>
    <w:rsid w:val="002716BD"/>
    <w:rsid w:val="002716CE"/>
    <w:rsid w:val="00271843"/>
    <w:rsid w:val="0027188B"/>
    <w:rsid w:val="00271A0C"/>
    <w:rsid w:val="00271E23"/>
    <w:rsid w:val="00271FDF"/>
    <w:rsid w:val="002720A2"/>
    <w:rsid w:val="002722D6"/>
    <w:rsid w:val="00272468"/>
    <w:rsid w:val="002725E8"/>
    <w:rsid w:val="00272690"/>
    <w:rsid w:val="0027292F"/>
    <w:rsid w:val="00272939"/>
    <w:rsid w:val="00272965"/>
    <w:rsid w:val="002729A3"/>
    <w:rsid w:val="00272AD8"/>
    <w:rsid w:val="00272AE4"/>
    <w:rsid w:val="00272C5C"/>
    <w:rsid w:val="00272D16"/>
    <w:rsid w:val="00272D37"/>
    <w:rsid w:val="00272DA2"/>
    <w:rsid w:val="00272F9F"/>
    <w:rsid w:val="002730D9"/>
    <w:rsid w:val="00273502"/>
    <w:rsid w:val="00273544"/>
    <w:rsid w:val="00273643"/>
    <w:rsid w:val="00273656"/>
    <w:rsid w:val="00273667"/>
    <w:rsid w:val="002737AD"/>
    <w:rsid w:val="0027391A"/>
    <w:rsid w:val="00273A31"/>
    <w:rsid w:val="00273AC8"/>
    <w:rsid w:val="00273C23"/>
    <w:rsid w:val="00273DEF"/>
    <w:rsid w:val="00273ED9"/>
    <w:rsid w:val="0027444B"/>
    <w:rsid w:val="00274483"/>
    <w:rsid w:val="00274582"/>
    <w:rsid w:val="00274585"/>
    <w:rsid w:val="002746C5"/>
    <w:rsid w:val="002747AD"/>
    <w:rsid w:val="002747FD"/>
    <w:rsid w:val="00274B65"/>
    <w:rsid w:val="00274C9F"/>
    <w:rsid w:val="00274DF1"/>
    <w:rsid w:val="00274E53"/>
    <w:rsid w:val="00274F94"/>
    <w:rsid w:val="00274FEA"/>
    <w:rsid w:val="00275022"/>
    <w:rsid w:val="00275032"/>
    <w:rsid w:val="00275036"/>
    <w:rsid w:val="00275084"/>
    <w:rsid w:val="002750F0"/>
    <w:rsid w:val="002751ED"/>
    <w:rsid w:val="002754CF"/>
    <w:rsid w:val="00275673"/>
    <w:rsid w:val="0027586A"/>
    <w:rsid w:val="00275902"/>
    <w:rsid w:val="00275A3E"/>
    <w:rsid w:val="00275A85"/>
    <w:rsid w:val="00275CA8"/>
    <w:rsid w:val="00275CEE"/>
    <w:rsid w:val="00276016"/>
    <w:rsid w:val="002762B5"/>
    <w:rsid w:val="002762CC"/>
    <w:rsid w:val="002765AD"/>
    <w:rsid w:val="00276698"/>
    <w:rsid w:val="00276E3E"/>
    <w:rsid w:val="0027710B"/>
    <w:rsid w:val="00277240"/>
    <w:rsid w:val="002772A8"/>
    <w:rsid w:val="0027743E"/>
    <w:rsid w:val="0027750F"/>
    <w:rsid w:val="00277610"/>
    <w:rsid w:val="00277692"/>
    <w:rsid w:val="0027795B"/>
    <w:rsid w:val="002779BC"/>
    <w:rsid w:val="00277A23"/>
    <w:rsid w:val="00277B84"/>
    <w:rsid w:val="00277B97"/>
    <w:rsid w:val="00277BCC"/>
    <w:rsid w:val="00277C9E"/>
    <w:rsid w:val="00277CF8"/>
    <w:rsid w:val="00277D58"/>
    <w:rsid w:val="00277E26"/>
    <w:rsid w:val="00277E89"/>
    <w:rsid w:val="00277EEC"/>
    <w:rsid w:val="00277F08"/>
    <w:rsid w:val="00277FF0"/>
    <w:rsid w:val="00280017"/>
    <w:rsid w:val="0028006F"/>
    <w:rsid w:val="002800CA"/>
    <w:rsid w:val="0028021C"/>
    <w:rsid w:val="002806B0"/>
    <w:rsid w:val="00280763"/>
    <w:rsid w:val="00280795"/>
    <w:rsid w:val="002807E8"/>
    <w:rsid w:val="0028099B"/>
    <w:rsid w:val="0028099E"/>
    <w:rsid w:val="00280A07"/>
    <w:rsid w:val="00280E09"/>
    <w:rsid w:val="00280E4B"/>
    <w:rsid w:val="00281007"/>
    <w:rsid w:val="00281194"/>
    <w:rsid w:val="002812CE"/>
    <w:rsid w:val="002812D1"/>
    <w:rsid w:val="00281355"/>
    <w:rsid w:val="00281396"/>
    <w:rsid w:val="00281694"/>
    <w:rsid w:val="00281A44"/>
    <w:rsid w:val="00281B3F"/>
    <w:rsid w:val="00281BBE"/>
    <w:rsid w:val="00281D23"/>
    <w:rsid w:val="00281E23"/>
    <w:rsid w:val="00282181"/>
    <w:rsid w:val="0028229B"/>
    <w:rsid w:val="002822A8"/>
    <w:rsid w:val="002823D7"/>
    <w:rsid w:val="002824FE"/>
    <w:rsid w:val="00282685"/>
    <w:rsid w:val="00282717"/>
    <w:rsid w:val="00282B68"/>
    <w:rsid w:val="00282BC5"/>
    <w:rsid w:val="00282D2E"/>
    <w:rsid w:val="00282DC2"/>
    <w:rsid w:val="00282DF8"/>
    <w:rsid w:val="00283009"/>
    <w:rsid w:val="0028304E"/>
    <w:rsid w:val="0028317A"/>
    <w:rsid w:val="00283234"/>
    <w:rsid w:val="00283682"/>
    <w:rsid w:val="00283763"/>
    <w:rsid w:val="00283884"/>
    <w:rsid w:val="002838B7"/>
    <w:rsid w:val="002839CB"/>
    <w:rsid w:val="00283C0C"/>
    <w:rsid w:val="00283C15"/>
    <w:rsid w:val="00283ED3"/>
    <w:rsid w:val="002840FE"/>
    <w:rsid w:val="00284509"/>
    <w:rsid w:val="00284666"/>
    <w:rsid w:val="002846A1"/>
    <w:rsid w:val="00284966"/>
    <w:rsid w:val="002849A6"/>
    <w:rsid w:val="00284A32"/>
    <w:rsid w:val="00284A3B"/>
    <w:rsid w:val="00284CAA"/>
    <w:rsid w:val="00284E3B"/>
    <w:rsid w:val="00284E71"/>
    <w:rsid w:val="0028500B"/>
    <w:rsid w:val="002851D3"/>
    <w:rsid w:val="002852DB"/>
    <w:rsid w:val="00285394"/>
    <w:rsid w:val="00285416"/>
    <w:rsid w:val="0028541A"/>
    <w:rsid w:val="00285471"/>
    <w:rsid w:val="0028571F"/>
    <w:rsid w:val="002857F9"/>
    <w:rsid w:val="00285911"/>
    <w:rsid w:val="00285A52"/>
    <w:rsid w:val="00285A98"/>
    <w:rsid w:val="00285A9F"/>
    <w:rsid w:val="00285B34"/>
    <w:rsid w:val="00285C65"/>
    <w:rsid w:val="00285EE2"/>
    <w:rsid w:val="00285F27"/>
    <w:rsid w:val="0028638A"/>
    <w:rsid w:val="0028640C"/>
    <w:rsid w:val="002864C9"/>
    <w:rsid w:val="00286536"/>
    <w:rsid w:val="0028668F"/>
    <w:rsid w:val="0028678F"/>
    <w:rsid w:val="00286BA9"/>
    <w:rsid w:val="00286D9E"/>
    <w:rsid w:val="00286EA2"/>
    <w:rsid w:val="00286FF9"/>
    <w:rsid w:val="0028731C"/>
    <w:rsid w:val="002875CC"/>
    <w:rsid w:val="0028771D"/>
    <w:rsid w:val="00287B5A"/>
    <w:rsid w:val="00287F79"/>
    <w:rsid w:val="00287FBB"/>
    <w:rsid w:val="00290049"/>
    <w:rsid w:val="0029008B"/>
    <w:rsid w:val="0029026E"/>
    <w:rsid w:val="0029032E"/>
    <w:rsid w:val="002904C4"/>
    <w:rsid w:val="00290534"/>
    <w:rsid w:val="0029062D"/>
    <w:rsid w:val="002906B6"/>
    <w:rsid w:val="002906E3"/>
    <w:rsid w:val="002906FF"/>
    <w:rsid w:val="0029070B"/>
    <w:rsid w:val="00290723"/>
    <w:rsid w:val="002907B8"/>
    <w:rsid w:val="002908EB"/>
    <w:rsid w:val="00290D6B"/>
    <w:rsid w:val="00291110"/>
    <w:rsid w:val="0029143C"/>
    <w:rsid w:val="002916CC"/>
    <w:rsid w:val="00291750"/>
    <w:rsid w:val="002918B6"/>
    <w:rsid w:val="002918C5"/>
    <w:rsid w:val="00291B14"/>
    <w:rsid w:val="00291C93"/>
    <w:rsid w:val="00291E88"/>
    <w:rsid w:val="00291F10"/>
    <w:rsid w:val="00292194"/>
    <w:rsid w:val="0029261B"/>
    <w:rsid w:val="0029299C"/>
    <w:rsid w:val="00292A0F"/>
    <w:rsid w:val="00292AA6"/>
    <w:rsid w:val="00292B32"/>
    <w:rsid w:val="00292CE0"/>
    <w:rsid w:val="00292F20"/>
    <w:rsid w:val="0029325C"/>
    <w:rsid w:val="00293385"/>
    <w:rsid w:val="002934F6"/>
    <w:rsid w:val="0029371B"/>
    <w:rsid w:val="00293926"/>
    <w:rsid w:val="00293D96"/>
    <w:rsid w:val="00293EB0"/>
    <w:rsid w:val="002944B5"/>
    <w:rsid w:val="00294758"/>
    <w:rsid w:val="00294837"/>
    <w:rsid w:val="00294FD1"/>
    <w:rsid w:val="0029520A"/>
    <w:rsid w:val="002953B1"/>
    <w:rsid w:val="0029548F"/>
    <w:rsid w:val="0029556C"/>
    <w:rsid w:val="002955DF"/>
    <w:rsid w:val="00295701"/>
    <w:rsid w:val="002957BD"/>
    <w:rsid w:val="00295895"/>
    <w:rsid w:val="00295948"/>
    <w:rsid w:val="00295A92"/>
    <w:rsid w:val="00295C82"/>
    <w:rsid w:val="00295D01"/>
    <w:rsid w:val="00296109"/>
    <w:rsid w:val="00296227"/>
    <w:rsid w:val="00296327"/>
    <w:rsid w:val="00296348"/>
    <w:rsid w:val="00296372"/>
    <w:rsid w:val="00296435"/>
    <w:rsid w:val="00296541"/>
    <w:rsid w:val="002967D2"/>
    <w:rsid w:val="00296831"/>
    <w:rsid w:val="00296903"/>
    <w:rsid w:val="00296914"/>
    <w:rsid w:val="00296AC2"/>
    <w:rsid w:val="00296B81"/>
    <w:rsid w:val="00296CAD"/>
    <w:rsid w:val="00296CF6"/>
    <w:rsid w:val="00296D32"/>
    <w:rsid w:val="00296EF0"/>
    <w:rsid w:val="00296F0B"/>
    <w:rsid w:val="00297075"/>
    <w:rsid w:val="00297102"/>
    <w:rsid w:val="00297153"/>
    <w:rsid w:val="002971BF"/>
    <w:rsid w:val="0029725E"/>
    <w:rsid w:val="002972F5"/>
    <w:rsid w:val="00297A89"/>
    <w:rsid w:val="00297CDF"/>
    <w:rsid w:val="00297F92"/>
    <w:rsid w:val="00297FD0"/>
    <w:rsid w:val="002A043E"/>
    <w:rsid w:val="002A04DB"/>
    <w:rsid w:val="002A05CF"/>
    <w:rsid w:val="002A0800"/>
    <w:rsid w:val="002A08A3"/>
    <w:rsid w:val="002A0921"/>
    <w:rsid w:val="002A09F0"/>
    <w:rsid w:val="002A0A1F"/>
    <w:rsid w:val="002A0A68"/>
    <w:rsid w:val="002A0AB0"/>
    <w:rsid w:val="002A0AD5"/>
    <w:rsid w:val="002A0AF7"/>
    <w:rsid w:val="002A0B2A"/>
    <w:rsid w:val="002A0CAE"/>
    <w:rsid w:val="002A11F0"/>
    <w:rsid w:val="002A1281"/>
    <w:rsid w:val="002A1885"/>
    <w:rsid w:val="002A189D"/>
    <w:rsid w:val="002A1942"/>
    <w:rsid w:val="002A1984"/>
    <w:rsid w:val="002A19BF"/>
    <w:rsid w:val="002A1C3B"/>
    <w:rsid w:val="002A1D14"/>
    <w:rsid w:val="002A1F4C"/>
    <w:rsid w:val="002A21DC"/>
    <w:rsid w:val="002A21DE"/>
    <w:rsid w:val="002A2430"/>
    <w:rsid w:val="002A28FF"/>
    <w:rsid w:val="002A2922"/>
    <w:rsid w:val="002A2B2A"/>
    <w:rsid w:val="002A2D9A"/>
    <w:rsid w:val="002A2EEE"/>
    <w:rsid w:val="002A3459"/>
    <w:rsid w:val="002A38B8"/>
    <w:rsid w:val="002A3AA6"/>
    <w:rsid w:val="002A3B99"/>
    <w:rsid w:val="002A3D47"/>
    <w:rsid w:val="002A415A"/>
    <w:rsid w:val="002A431F"/>
    <w:rsid w:val="002A4322"/>
    <w:rsid w:val="002A437E"/>
    <w:rsid w:val="002A47DB"/>
    <w:rsid w:val="002A4A1E"/>
    <w:rsid w:val="002A4A99"/>
    <w:rsid w:val="002A4B2F"/>
    <w:rsid w:val="002A4DC7"/>
    <w:rsid w:val="002A5029"/>
    <w:rsid w:val="002A5162"/>
    <w:rsid w:val="002A51BF"/>
    <w:rsid w:val="002A51C7"/>
    <w:rsid w:val="002A5375"/>
    <w:rsid w:val="002A5570"/>
    <w:rsid w:val="002A571F"/>
    <w:rsid w:val="002A59ED"/>
    <w:rsid w:val="002A5A18"/>
    <w:rsid w:val="002A5A83"/>
    <w:rsid w:val="002A5A8A"/>
    <w:rsid w:val="002A5BE3"/>
    <w:rsid w:val="002A5D28"/>
    <w:rsid w:val="002A5D8F"/>
    <w:rsid w:val="002A5F07"/>
    <w:rsid w:val="002A5FCF"/>
    <w:rsid w:val="002A61BD"/>
    <w:rsid w:val="002A6479"/>
    <w:rsid w:val="002A658F"/>
    <w:rsid w:val="002A68F4"/>
    <w:rsid w:val="002A69B6"/>
    <w:rsid w:val="002A6B30"/>
    <w:rsid w:val="002A6CA3"/>
    <w:rsid w:val="002A6E5D"/>
    <w:rsid w:val="002A6E7B"/>
    <w:rsid w:val="002A6FC9"/>
    <w:rsid w:val="002A7688"/>
    <w:rsid w:val="002A7718"/>
    <w:rsid w:val="002A7743"/>
    <w:rsid w:val="002A79F7"/>
    <w:rsid w:val="002A7C22"/>
    <w:rsid w:val="002A7CE4"/>
    <w:rsid w:val="002A7D73"/>
    <w:rsid w:val="002A7F77"/>
    <w:rsid w:val="002A7FA3"/>
    <w:rsid w:val="002AB896"/>
    <w:rsid w:val="002B04AC"/>
    <w:rsid w:val="002B04F0"/>
    <w:rsid w:val="002B0526"/>
    <w:rsid w:val="002B0772"/>
    <w:rsid w:val="002B080F"/>
    <w:rsid w:val="002B0828"/>
    <w:rsid w:val="002B0961"/>
    <w:rsid w:val="002B0993"/>
    <w:rsid w:val="002B0C31"/>
    <w:rsid w:val="002B0EFD"/>
    <w:rsid w:val="002B13EE"/>
    <w:rsid w:val="002B143D"/>
    <w:rsid w:val="002B1A50"/>
    <w:rsid w:val="002B1D6B"/>
    <w:rsid w:val="002B1E80"/>
    <w:rsid w:val="002B1F7C"/>
    <w:rsid w:val="002B220B"/>
    <w:rsid w:val="002B23D3"/>
    <w:rsid w:val="002B24B2"/>
    <w:rsid w:val="002B259E"/>
    <w:rsid w:val="002B2656"/>
    <w:rsid w:val="002B27CE"/>
    <w:rsid w:val="002B2845"/>
    <w:rsid w:val="002B2925"/>
    <w:rsid w:val="002B2A0C"/>
    <w:rsid w:val="002B2A62"/>
    <w:rsid w:val="002B2B75"/>
    <w:rsid w:val="002B2BF6"/>
    <w:rsid w:val="002B2CEE"/>
    <w:rsid w:val="002B2E7D"/>
    <w:rsid w:val="002B2EA9"/>
    <w:rsid w:val="002B2FE8"/>
    <w:rsid w:val="002B320D"/>
    <w:rsid w:val="002B3328"/>
    <w:rsid w:val="002B3362"/>
    <w:rsid w:val="002B337F"/>
    <w:rsid w:val="002B33E2"/>
    <w:rsid w:val="002B343D"/>
    <w:rsid w:val="002B3589"/>
    <w:rsid w:val="002B35E8"/>
    <w:rsid w:val="002B3625"/>
    <w:rsid w:val="002B3698"/>
    <w:rsid w:val="002B378E"/>
    <w:rsid w:val="002B3DF5"/>
    <w:rsid w:val="002B3E28"/>
    <w:rsid w:val="002B3E2E"/>
    <w:rsid w:val="002B3E6E"/>
    <w:rsid w:val="002B3E7F"/>
    <w:rsid w:val="002B40BE"/>
    <w:rsid w:val="002B4260"/>
    <w:rsid w:val="002B4355"/>
    <w:rsid w:val="002B43B1"/>
    <w:rsid w:val="002B4464"/>
    <w:rsid w:val="002B44C7"/>
    <w:rsid w:val="002B4524"/>
    <w:rsid w:val="002B4B18"/>
    <w:rsid w:val="002B4BD5"/>
    <w:rsid w:val="002B4C1F"/>
    <w:rsid w:val="002B4DDB"/>
    <w:rsid w:val="002B4E29"/>
    <w:rsid w:val="002B5103"/>
    <w:rsid w:val="002B512E"/>
    <w:rsid w:val="002B52EA"/>
    <w:rsid w:val="002B52ED"/>
    <w:rsid w:val="002B52F4"/>
    <w:rsid w:val="002B54A7"/>
    <w:rsid w:val="002B54B4"/>
    <w:rsid w:val="002B57CF"/>
    <w:rsid w:val="002B5B53"/>
    <w:rsid w:val="002B5BBF"/>
    <w:rsid w:val="002B5EC4"/>
    <w:rsid w:val="002B5F0E"/>
    <w:rsid w:val="002B607D"/>
    <w:rsid w:val="002B6085"/>
    <w:rsid w:val="002B653C"/>
    <w:rsid w:val="002B679F"/>
    <w:rsid w:val="002B6BE2"/>
    <w:rsid w:val="002B6C3D"/>
    <w:rsid w:val="002B6DDB"/>
    <w:rsid w:val="002B6EDC"/>
    <w:rsid w:val="002B7133"/>
    <w:rsid w:val="002B71A2"/>
    <w:rsid w:val="002B72DF"/>
    <w:rsid w:val="002B7593"/>
    <w:rsid w:val="002B79E6"/>
    <w:rsid w:val="002B7B32"/>
    <w:rsid w:val="002B7BF9"/>
    <w:rsid w:val="002B7CFC"/>
    <w:rsid w:val="002B7F7C"/>
    <w:rsid w:val="002B7F9C"/>
    <w:rsid w:val="002C0185"/>
    <w:rsid w:val="002C01FF"/>
    <w:rsid w:val="002C0465"/>
    <w:rsid w:val="002C050A"/>
    <w:rsid w:val="002C053B"/>
    <w:rsid w:val="002C058F"/>
    <w:rsid w:val="002C0B5C"/>
    <w:rsid w:val="002C0BF5"/>
    <w:rsid w:val="002C0C71"/>
    <w:rsid w:val="002C0E0E"/>
    <w:rsid w:val="002C0E25"/>
    <w:rsid w:val="002C0E86"/>
    <w:rsid w:val="002C0FF7"/>
    <w:rsid w:val="002C12F4"/>
    <w:rsid w:val="002C139C"/>
    <w:rsid w:val="002C1574"/>
    <w:rsid w:val="002C189C"/>
    <w:rsid w:val="002C18C8"/>
    <w:rsid w:val="002C19F6"/>
    <w:rsid w:val="002C1E65"/>
    <w:rsid w:val="002C21AA"/>
    <w:rsid w:val="002C221F"/>
    <w:rsid w:val="002C2306"/>
    <w:rsid w:val="002C2331"/>
    <w:rsid w:val="002C2699"/>
    <w:rsid w:val="002C2959"/>
    <w:rsid w:val="002C2B05"/>
    <w:rsid w:val="002C2B15"/>
    <w:rsid w:val="002C2C46"/>
    <w:rsid w:val="002C2D8C"/>
    <w:rsid w:val="002C2EDF"/>
    <w:rsid w:val="002C2F6E"/>
    <w:rsid w:val="002C2F72"/>
    <w:rsid w:val="002C3022"/>
    <w:rsid w:val="002C3049"/>
    <w:rsid w:val="002C311E"/>
    <w:rsid w:val="002C32FE"/>
    <w:rsid w:val="002C35B2"/>
    <w:rsid w:val="002C38EC"/>
    <w:rsid w:val="002C3ACB"/>
    <w:rsid w:val="002C3C3F"/>
    <w:rsid w:val="002C3DFF"/>
    <w:rsid w:val="002C3E0F"/>
    <w:rsid w:val="002C3EFA"/>
    <w:rsid w:val="002C43B5"/>
    <w:rsid w:val="002C44E9"/>
    <w:rsid w:val="002C4927"/>
    <w:rsid w:val="002C4A75"/>
    <w:rsid w:val="002C4B03"/>
    <w:rsid w:val="002C4B9D"/>
    <w:rsid w:val="002C4C86"/>
    <w:rsid w:val="002C4CAB"/>
    <w:rsid w:val="002C4DF3"/>
    <w:rsid w:val="002C4E7A"/>
    <w:rsid w:val="002C5122"/>
    <w:rsid w:val="002C529D"/>
    <w:rsid w:val="002C54A6"/>
    <w:rsid w:val="002C58A0"/>
    <w:rsid w:val="002C58BF"/>
    <w:rsid w:val="002C5938"/>
    <w:rsid w:val="002C5A4C"/>
    <w:rsid w:val="002C5D07"/>
    <w:rsid w:val="002C5F9A"/>
    <w:rsid w:val="002C601F"/>
    <w:rsid w:val="002C6122"/>
    <w:rsid w:val="002C641B"/>
    <w:rsid w:val="002C6529"/>
    <w:rsid w:val="002C6736"/>
    <w:rsid w:val="002C68DA"/>
    <w:rsid w:val="002C695B"/>
    <w:rsid w:val="002C7050"/>
    <w:rsid w:val="002C70BD"/>
    <w:rsid w:val="002C735E"/>
    <w:rsid w:val="002C7507"/>
    <w:rsid w:val="002C764D"/>
    <w:rsid w:val="002C77B3"/>
    <w:rsid w:val="002C79F7"/>
    <w:rsid w:val="002C7CD3"/>
    <w:rsid w:val="002C7D8C"/>
    <w:rsid w:val="002C7E04"/>
    <w:rsid w:val="002C7EFC"/>
    <w:rsid w:val="002C7FE4"/>
    <w:rsid w:val="002D01A9"/>
    <w:rsid w:val="002D0412"/>
    <w:rsid w:val="002D0424"/>
    <w:rsid w:val="002D0630"/>
    <w:rsid w:val="002D09CA"/>
    <w:rsid w:val="002D0D4A"/>
    <w:rsid w:val="002D0D59"/>
    <w:rsid w:val="002D0E07"/>
    <w:rsid w:val="002D0F76"/>
    <w:rsid w:val="002D0F8D"/>
    <w:rsid w:val="002D1128"/>
    <w:rsid w:val="002D11E7"/>
    <w:rsid w:val="002D14B2"/>
    <w:rsid w:val="002D15C9"/>
    <w:rsid w:val="002D1795"/>
    <w:rsid w:val="002D1859"/>
    <w:rsid w:val="002D1861"/>
    <w:rsid w:val="002D195E"/>
    <w:rsid w:val="002D19CD"/>
    <w:rsid w:val="002D1A63"/>
    <w:rsid w:val="002D1B8D"/>
    <w:rsid w:val="002D1CF4"/>
    <w:rsid w:val="002D1D44"/>
    <w:rsid w:val="002D1D84"/>
    <w:rsid w:val="002D1EA2"/>
    <w:rsid w:val="002D2012"/>
    <w:rsid w:val="002D214C"/>
    <w:rsid w:val="002D219C"/>
    <w:rsid w:val="002D25DF"/>
    <w:rsid w:val="002D2642"/>
    <w:rsid w:val="002D2772"/>
    <w:rsid w:val="002D28D9"/>
    <w:rsid w:val="002D2E0C"/>
    <w:rsid w:val="002D3113"/>
    <w:rsid w:val="002D344E"/>
    <w:rsid w:val="002D372C"/>
    <w:rsid w:val="002D3837"/>
    <w:rsid w:val="002D3A75"/>
    <w:rsid w:val="002D3CC9"/>
    <w:rsid w:val="002D3EB4"/>
    <w:rsid w:val="002D3F38"/>
    <w:rsid w:val="002D41C4"/>
    <w:rsid w:val="002D428D"/>
    <w:rsid w:val="002D4331"/>
    <w:rsid w:val="002D43FD"/>
    <w:rsid w:val="002D4948"/>
    <w:rsid w:val="002D496D"/>
    <w:rsid w:val="002D4BB4"/>
    <w:rsid w:val="002D4CC1"/>
    <w:rsid w:val="002D4DA4"/>
    <w:rsid w:val="002D5209"/>
    <w:rsid w:val="002D52F6"/>
    <w:rsid w:val="002D5340"/>
    <w:rsid w:val="002D54AC"/>
    <w:rsid w:val="002D57FC"/>
    <w:rsid w:val="002D581B"/>
    <w:rsid w:val="002D592D"/>
    <w:rsid w:val="002D5A48"/>
    <w:rsid w:val="002D5C0E"/>
    <w:rsid w:val="002D5D4A"/>
    <w:rsid w:val="002D5F0C"/>
    <w:rsid w:val="002D5F11"/>
    <w:rsid w:val="002D5F2B"/>
    <w:rsid w:val="002D6099"/>
    <w:rsid w:val="002D6227"/>
    <w:rsid w:val="002D624E"/>
    <w:rsid w:val="002D64F2"/>
    <w:rsid w:val="002D65F9"/>
    <w:rsid w:val="002D66A2"/>
    <w:rsid w:val="002D681D"/>
    <w:rsid w:val="002D688F"/>
    <w:rsid w:val="002D698D"/>
    <w:rsid w:val="002D6A29"/>
    <w:rsid w:val="002D6A43"/>
    <w:rsid w:val="002D6E0F"/>
    <w:rsid w:val="002D6E55"/>
    <w:rsid w:val="002D6E6E"/>
    <w:rsid w:val="002D6FE1"/>
    <w:rsid w:val="002D70D9"/>
    <w:rsid w:val="002D727B"/>
    <w:rsid w:val="002D7437"/>
    <w:rsid w:val="002D749D"/>
    <w:rsid w:val="002D75C6"/>
    <w:rsid w:val="002D773C"/>
    <w:rsid w:val="002D7AE2"/>
    <w:rsid w:val="002D7AFA"/>
    <w:rsid w:val="002D7B95"/>
    <w:rsid w:val="002D7C20"/>
    <w:rsid w:val="002D7C43"/>
    <w:rsid w:val="002D7D63"/>
    <w:rsid w:val="002D7DC2"/>
    <w:rsid w:val="002D7DC3"/>
    <w:rsid w:val="002E00BA"/>
    <w:rsid w:val="002E01F1"/>
    <w:rsid w:val="002E0235"/>
    <w:rsid w:val="002E0331"/>
    <w:rsid w:val="002E064A"/>
    <w:rsid w:val="002E06B6"/>
    <w:rsid w:val="002E098A"/>
    <w:rsid w:val="002E0C1E"/>
    <w:rsid w:val="002E0E24"/>
    <w:rsid w:val="002E10FB"/>
    <w:rsid w:val="002E1145"/>
    <w:rsid w:val="002E11C6"/>
    <w:rsid w:val="002E11E5"/>
    <w:rsid w:val="002E132A"/>
    <w:rsid w:val="002E1416"/>
    <w:rsid w:val="002E1449"/>
    <w:rsid w:val="002E1532"/>
    <w:rsid w:val="002E167B"/>
    <w:rsid w:val="002E16F4"/>
    <w:rsid w:val="002E181F"/>
    <w:rsid w:val="002E1A66"/>
    <w:rsid w:val="002E1ACB"/>
    <w:rsid w:val="002E1DB4"/>
    <w:rsid w:val="002E1F8C"/>
    <w:rsid w:val="002E2052"/>
    <w:rsid w:val="002E211A"/>
    <w:rsid w:val="002E2483"/>
    <w:rsid w:val="002E264A"/>
    <w:rsid w:val="002E27C2"/>
    <w:rsid w:val="002E292C"/>
    <w:rsid w:val="002E2B81"/>
    <w:rsid w:val="002E2BDA"/>
    <w:rsid w:val="002E2BF4"/>
    <w:rsid w:val="002E2EA0"/>
    <w:rsid w:val="002E3022"/>
    <w:rsid w:val="002E316A"/>
    <w:rsid w:val="002E34EA"/>
    <w:rsid w:val="002E39D7"/>
    <w:rsid w:val="002E3B33"/>
    <w:rsid w:val="002E3BB0"/>
    <w:rsid w:val="002E3C1C"/>
    <w:rsid w:val="002E3CE7"/>
    <w:rsid w:val="002E4740"/>
    <w:rsid w:val="002E4A7D"/>
    <w:rsid w:val="002E4BD6"/>
    <w:rsid w:val="002E4C25"/>
    <w:rsid w:val="002E4D45"/>
    <w:rsid w:val="002E4D73"/>
    <w:rsid w:val="002E5048"/>
    <w:rsid w:val="002E50A7"/>
    <w:rsid w:val="002E5170"/>
    <w:rsid w:val="002E53B8"/>
    <w:rsid w:val="002E541B"/>
    <w:rsid w:val="002E54C3"/>
    <w:rsid w:val="002E55F5"/>
    <w:rsid w:val="002E59AE"/>
    <w:rsid w:val="002E5A85"/>
    <w:rsid w:val="002E5E0B"/>
    <w:rsid w:val="002E5E7C"/>
    <w:rsid w:val="002E5EEE"/>
    <w:rsid w:val="002E5FC1"/>
    <w:rsid w:val="002E60A4"/>
    <w:rsid w:val="002E62C9"/>
    <w:rsid w:val="002E6349"/>
    <w:rsid w:val="002E659D"/>
    <w:rsid w:val="002E65BD"/>
    <w:rsid w:val="002E65BF"/>
    <w:rsid w:val="002E6619"/>
    <w:rsid w:val="002E667B"/>
    <w:rsid w:val="002E6D36"/>
    <w:rsid w:val="002E6FFA"/>
    <w:rsid w:val="002E7085"/>
    <w:rsid w:val="002E7127"/>
    <w:rsid w:val="002E724B"/>
    <w:rsid w:val="002E736F"/>
    <w:rsid w:val="002E7451"/>
    <w:rsid w:val="002E75D5"/>
    <w:rsid w:val="002E7667"/>
    <w:rsid w:val="002E7AB1"/>
    <w:rsid w:val="002E7DC9"/>
    <w:rsid w:val="002F0071"/>
    <w:rsid w:val="002F0304"/>
    <w:rsid w:val="002F0397"/>
    <w:rsid w:val="002F06CC"/>
    <w:rsid w:val="002F076E"/>
    <w:rsid w:val="002F07F4"/>
    <w:rsid w:val="002F0869"/>
    <w:rsid w:val="002F0AB4"/>
    <w:rsid w:val="002F0EB3"/>
    <w:rsid w:val="002F0EDF"/>
    <w:rsid w:val="002F130A"/>
    <w:rsid w:val="002F13FB"/>
    <w:rsid w:val="002F1491"/>
    <w:rsid w:val="002F152A"/>
    <w:rsid w:val="002F1700"/>
    <w:rsid w:val="002F18DC"/>
    <w:rsid w:val="002F192A"/>
    <w:rsid w:val="002F1A4F"/>
    <w:rsid w:val="002F1ABC"/>
    <w:rsid w:val="002F1B04"/>
    <w:rsid w:val="002F1ECD"/>
    <w:rsid w:val="002F1EEF"/>
    <w:rsid w:val="002F1F23"/>
    <w:rsid w:val="002F2130"/>
    <w:rsid w:val="002F21E7"/>
    <w:rsid w:val="002F231C"/>
    <w:rsid w:val="002F2449"/>
    <w:rsid w:val="002F25E1"/>
    <w:rsid w:val="002F26EC"/>
    <w:rsid w:val="002F29F7"/>
    <w:rsid w:val="002F2B78"/>
    <w:rsid w:val="002F2D08"/>
    <w:rsid w:val="002F2D9B"/>
    <w:rsid w:val="002F2E2C"/>
    <w:rsid w:val="002F2EAD"/>
    <w:rsid w:val="002F2EB2"/>
    <w:rsid w:val="002F2FDD"/>
    <w:rsid w:val="002F31D7"/>
    <w:rsid w:val="002F3220"/>
    <w:rsid w:val="002F334C"/>
    <w:rsid w:val="002F3606"/>
    <w:rsid w:val="002F360B"/>
    <w:rsid w:val="002F365F"/>
    <w:rsid w:val="002F39B0"/>
    <w:rsid w:val="002F3D69"/>
    <w:rsid w:val="002F3DA2"/>
    <w:rsid w:val="002F3DBA"/>
    <w:rsid w:val="002F3DD5"/>
    <w:rsid w:val="002F3EE8"/>
    <w:rsid w:val="002F3EEB"/>
    <w:rsid w:val="002F409C"/>
    <w:rsid w:val="002F4160"/>
    <w:rsid w:val="002F41A2"/>
    <w:rsid w:val="002F42F7"/>
    <w:rsid w:val="002F4327"/>
    <w:rsid w:val="002F4552"/>
    <w:rsid w:val="002F4566"/>
    <w:rsid w:val="002F46F1"/>
    <w:rsid w:val="002F4719"/>
    <w:rsid w:val="002F477A"/>
    <w:rsid w:val="002F48DF"/>
    <w:rsid w:val="002F4960"/>
    <w:rsid w:val="002F4A1C"/>
    <w:rsid w:val="002F4C3E"/>
    <w:rsid w:val="002F5109"/>
    <w:rsid w:val="002F5410"/>
    <w:rsid w:val="002F5530"/>
    <w:rsid w:val="002F5550"/>
    <w:rsid w:val="002F578B"/>
    <w:rsid w:val="002F594E"/>
    <w:rsid w:val="002F5997"/>
    <w:rsid w:val="002F5D27"/>
    <w:rsid w:val="002F5D5F"/>
    <w:rsid w:val="002F5DE1"/>
    <w:rsid w:val="002F5E66"/>
    <w:rsid w:val="002F6044"/>
    <w:rsid w:val="002F63CF"/>
    <w:rsid w:val="002F6495"/>
    <w:rsid w:val="002F6563"/>
    <w:rsid w:val="002F669A"/>
    <w:rsid w:val="002F674B"/>
    <w:rsid w:val="002F6753"/>
    <w:rsid w:val="002F6876"/>
    <w:rsid w:val="002F6A23"/>
    <w:rsid w:val="002F6A51"/>
    <w:rsid w:val="002F6B3F"/>
    <w:rsid w:val="002F6ED4"/>
    <w:rsid w:val="002F711B"/>
    <w:rsid w:val="002F722A"/>
    <w:rsid w:val="002F73F7"/>
    <w:rsid w:val="002F7728"/>
    <w:rsid w:val="002F7909"/>
    <w:rsid w:val="002F79EE"/>
    <w:rsid w:val="002F7A19"/>
    <w:rsid w:val="002F7A5A"/>
    <w:rsid w:val="002F7C6F"/>
    <w:rsid w:val="002F7E76"/>
    <w:rsid w:val="003000FC"/>
    <w:rsid w:val="00300164"/>
    <w:rsid w:val="00300184"/>
    <w:rsid w:val="00300259"/>
    <w:rsid w:val="0030044D"/>
    <w:rsid w:val="003004F4"/>
    <w:rsid w:val="00300562"/>
    <w:rsid w:val="003006B7"/>
    <w:rsid w:val="00300815"/>
    <w:rsid w:val="0030088B"/>
    <w:rsid w:val="003008D5"/>
    <w:rsid w:val="00300C1E"/>
    <w:rsid w:val="00300C7F"/>
    <w:rsid w:val="00300C80"/>
    <w:rsid w:val="00300D27"/>
    <w:rsid w:val="0030115B"/>
    <w:rsid w:val="0030120C"/>
    <w:rsid w:val="003014A5"/>
    <w:rsid w:val="003014D2"/>
    <w:rsid w:val="003014D3"/>
    <w:rsid w:val="0030155A"/>
    <w:rsid w:val="00301923"/>
    <w:rsid w:val="00301989"/>
    <w:rsid w:val="00301BD0"/>
    <w:rsid w:val="00301BD8"/>
    <w:rsid w:val="00301C4A"/>
    <w:rsid w:val="00301C5C"/>
    <w:rsid w:val="00301CF4"/>
    <w:rsid w:val="00301E81"/>
    <w:rsid w:val="00301FC4"/>
    <w:rsid w:val="00302021"/>
    <w:rsid w:val="00302261"/>
    <w:rsid w:val="0030234E"/>
    <w:rsid w:val="003025E1"/>
    <w:rsid w:val="00302783"/>
    <w:rsid w:val="0030293D"/>
    <w:rsid w:val="00302B25"/>
    <w:rsid w:val="00302BED"/>
    <w:rsid w:val="00302D20"/>
    <w:rsid w:val="00302D4C"/>
    <w:rsid w:val="00302D59"/>
    <w:rsid w:val="00302F3D"/>
    <w:rsid w:val="00303080"/>
    <w:rsid w:val="003030A0"/>
    <w:rsid w:val="003031A1"/>
    <w:rsid w:val="003031BF"/>
    <w:rsid w:val="003031D9"/>
    <w:rsid w:val="00303283"/>
    <w:rsid w:val="00303467"/>
    <w:rsid w:val="00303604"/>
    <w:rsid w:val="00303689"/>
    <w:rsid w:val="003036A2"/>
    <w:rsid w:val="003037B0"/>
    <w:rsid w:val="00303BD3"/>
    <w:rsid w:val="00303CDE"/>
    <w:rsid w:val="00303D80"/>
    <w:rsid w:val="00303DCC"/>
    <w:rsid w:val="00303E9D"/>
    <w:rsid w:val="00304150"/>
    <w:rsid w:val="0030417A"/>
    <w:rsid w:val="003045B3"/>
    <w:rsid w:val="003045EA"/>
    <w:rsid w:val="0030491D"/>
    <w:rsid w:val="00304992"/>
    <w:rsid w:val="00304B01"/>
    <w:rsid w:val="00304C36"/>
    <w:rsid w:val="00304EAE"/>
    <w:rsid w:val="00304F4B"/>
    <w:rsid w:val="00305029"/>
    <w:rsid w:val="0030504D"/>
    <w:rsid w:val="003050B4"/>
    <w:rsid w:val="00305195"/>
    <w:rsid w:val="0030525E"/>
    <w:rsid w:val="003053C7"/>
    <w:rsid w:val="0030551C"/>
    <w:rsid w:val="003055CD"/>
    <w:rsid w:val="003056B7"/>
    <w:rsid w:val="003056CC"/>
    <w:rsid w:val="003059EB"/>
    <w:rsid w:val="00305A61"/>
    <w:rsid w:val="00305ABA"/>
    <w:rsid w:val="00305CCB"/>
    <w:rsid w:val="00305CDE"/>
    <w:rsid w:val="00305CE3"/>
    <w:rsid w:val="00305EEC"/>
    <w:rsid w:val="00305EF0"/>
    <w:rsid w:val="00306062"/>
    <w:rsid w:val="0030614A"/>
    <w:rsid w:val="0030619A"/>
    <w:rsid w:val="00306258"/>
    <w:rsid w:val="0030652D"/>
    <w:rsid w:val="0030673C"/>
    <w:rsid w:val="003068CD"/>
    <w:rsid w:val="00306A4B"/>
    <w:rsid w:val="00306AA5"/>
    <w:rsid w:val="00306EB8"/>
    <w:rsid w:val="00306EC6"/>
    <w:rsid w:val="003070E5"/>
    <w:rsid w:val="00307134"/>
    <w:rsid w:val="0030720F"/>
    <w:rsid w:val="003072B8"/>
    <w:rsid w:val="003072EF"/>
    <w:rsid w:val="00307306"/>
    <w:rsid w:val="00307478"/>
    <w:rsid w:val="00307742"/>
    <w:rsid w:val="00307B3C"/>
    <w:rsid w:val="00307B46"/>
    <w:rsid w:val="00307BF1"/>
    <w:rsid w:val="00307C5B"/>
    <w:rsid w:val="00307D5C"/>
    <w:rsid w:val="00307E78"/>
    <w:rsid w:val="0031004F"/>
    <w:rsid w:val="00310139"/>
    <w:rsid w:val="0031038A"/>
    <w:rsid w:val="00310421"/>
    <w:rsid w:val="0031046F"/>
    <w:rsid w:val="003107BF"/>
    <w:rsid w:val="003107CC"/>
    <w:rsid w:val="0031084B"/>
    <w:rsid w:val="00310948"/>
    <w:rsid w:val="00310AC4"/>
    <w:rsid w:val="00310C0A"/>
    <w:rsid w:val="00310C24"/>
    <w:rsid w:val="00310C7D"/>
    <w:rsid w:val="00310D6B"/>
    <w:rsid w:val="00310F32"/>
    <w:rsid w:val="00311192"/>
    <w:rsid w:val="003114B7"/>
    <w:rsid w:val="00311553"/>
    <w:rsid w:val="003115BA"/>
    <w:rsid w:val="00311837"/>
    <w:rsid w:val="00311926"/>
    <w:rsid w:val="00311A98"/>
    <w:rsid w:val="00311B7B"/>
    <w:rsid w:val="00311B98"/>
    <w:rsid w:val="00311E73"/>
    <w:rsid w:val="00311E96"/>
    <w:rsid w:val="00311F35"/>
    <w:rsid w:val="00311FDB"/>
    <w:rsid w:val="00312038"/>
    <w:rsid w:val="00312203"/>
    <w:rsid w:val="0031231A"/>
    <w:rsid w:val="003125AA"/>
    <w:rsid w:val="00312797"/>
    <w:rsid w:val="00312943"/>
    <w:rsid w:val="00312ADA"/>
    <w:rsid w:val="00312B48"/>
    <w:rsid w:val="00312B53"/>
    <w:rsid w:val="00312C09"/>
    <w:rsid w:val="00312D73"/>
    <w:rsid w:val="00312E0A"/>
    <w:rsid w:val="00313133"/>
    <w:rsid w:val="0031324F"/>
    <w:rsid w:val="00313309"/>
    <w:rsid w:val="003134AB"/>
    <w:rsid w:val="0031373C"/>
    <w:rsid w:val="003139EB"/>
    <w:rsid w:val="003139FA"/>
    <w:rsid w:val="00313BEF"/>
    <w:rsid w:val="00313CAE"/>
    <w:rsid w:val="00313CB2"/>
    <w:rsid w:val="00313E2E"/>
    <w:rsid w:val="00314041"/>
    <w:rsid w:val="00314070"/>
    <w:rsid w:val="00314195"/>
    <w:rsid w:val="003141E2"/>
    <w:rsid w:val="00314332"/>
    <w:rsid w:val="003143D8"/>
    <w:rsid w:val="003143D9"/>
    <w:rsid w:val="00314739"/>
    <w:rsid w:val="003147B6"/>
    <w:rsid w:val="00314987"/>
    <w:rsid w:val="00314BA5"/>
    <w:rsid w:val="00314BAC"/>
    <w:rsid w:val="00314C04"/>
    <w:rsid w:val="00314FE1"/>
    <w:rsid w:val="0031577A"/>
    <w:rsid w:val="003157EC"/>
    <w:rsid w:val="0031580C"/>
    <w:rsid w:val="00315A60"/>
    <w:rsid w:val="00315B6E"/>
    <w:rsid w:val="00315BD6"/>
    <w:rsid w:val="00315C66"/>
    <w:rsid w:val="00315D6D"/>
    <w:rsid w:val="00315F86"/>
    <w:rsid w:val="0031605A"/>
    <w:rsid w:val="0031606B"/>
    <w:rsid w:val="00316310"/>
    <w:rsid w:val="0031632B"/>
    <w:rsid w:val="00316673"/>
    <w:rsid w:val="003166A2"/>
    <w:rsid w:val="003168EA"/>
    <w:rsid w:val="003168ED"/>
    <w:rsid w:val="003169AF"/>
    <w:rsid w:val="00316A91"/>
    <w:rsid w:val="00316B5A"/>
    <w:rsid w:val="00316B9B"/>
    <w:rsid w:val="00316EA7"/>
    <w:rsid w:val="00317228"/>
    <w:rsid w:val="00317250"/>
    <w:rsid w:val="003174D3"/>
    <w:rsid w:val="00317520"/>
    <w:rsid w:val="00317699"/>
    <w:rsid w:val="00317B17"/>
    <w:rsid w:val="00317B51"/>
    <w:rsid w:val="00317CF6"/>
    <w:rsid w:val="00317D4D"/>
    <w:rsid w:val="00317D59"/>
    <w:rsid w:val="00320351"/>
    <w:rsid w:val="0032052D"/>
    <w:rsid w:val="00320618"/>
    <w:rsid w:val="0032063E"/>
    <w:rsid w:val="003207A0"/>
    <w:rsid w:val="003207B1"/>
    <w:rsid w:val="00320807"/>
    <w:rsid w:val="003208AE"/>
    <w:rsid w:val="003209A4"/>
    <w:rsid w:val="00320D6C"/>
    <w:rsid w:val="00320E70"/>
    <w:rsid w:val="00320EB5"/>
    <w:rsid w:val="00320FF8"/>
    <w:rsid w:val="00321129"/>
    <w:rsid w:val="003211F2"/>
    <w:rsid w:val="003213A8"/>
    <w:rsid w:val="0032150A"/>
    <w:rsid w:val="003215F3"/>
    <w:rsid w:val="00321646"/>
    <w:rsid w:val="00321696"/>
    <w:rsid w:val="003216B6"/>
    <w:rsid w:val="00321783"/>
    <w:rsid w:val="00321806"/>
    <w:rsid w:val="00321862"/>
    <w:rsid w:val="00321F7A"/>
    <w:rsid w:val="00322009"/>
    <w:rsid w:val="00322074"/>
    <w:rsid w:val="00322104"/>
    <w:rsid w:val="0032219E"/>
    <w:rsid w:val="003221AA"/>
    <w:rsid w:val="00322698"/>
    <w:rsid w:val="00322813"/>
    <w:rsid w:val="003228E4"/>
    <w:rsid w:val="00322988"/>
    <w:rsid w:val="00322BA1"/>
    <w:rsid w:val="00322C70"/>
    <w:rsid w:val="00322E85"/>
    <w:rsid w:val="00323112"/>
    <w:rsid w:val="00323518"/>
    <w:rsid w:val="00323581"/>
    <w:rsid w:val="003235C5"/>
    <w:rsid w:val="00323730"/>
    <w:rsid w:val="003238C1"/>
    <w:rsid w:val="00323A51"/>
    <w:rsid w:val="00323A90"/>
    <w:rsid w:val="00323C7A"/>
    <w:rsid w:val="00323E1F"/>
    <w:rsid w:val="00323FD3"/>
    <w:rsid w:val="003241B6"/>
    <w:rsid w:val="003243B5"/>
    <w:rsid w:val="00324416"/>
    <w:rsid w:val="003245B1"/>
    <w:rsid w:val="003245D4"/>
    <w:rsid w:val="00324826"/>
    <w:rsid w:val="0032487E"/>
    <w:rsid w:val="0032499B"/>
    <w:rsid w:val="00324B66"/>
    <w:rsid w:val="00324BA3"/>
    <w:rsid w:val="00324E06"/>
    <w:rsid w:val="0032515B"/>
    <w:rsid w:val="003252A4"/>
    <w:rsid w:val="003258AA"/>
    <w:rsid w:val="0032591F"/>
    <w:rsid w:val="00325990"/>
    <w:rsid w:val="0032599F"/>
    <w:rsid w:val="003259EE"/>
    <w:rsid w:val="00325AFD"/>
    <w:rsid w:val="00325D97"/>
    <w:rsid w:val="00325E49"/>
    <w:rsid w:val="00325E83"/>
    <w:rsid w:val="00325E98"/>
    <w:rsid w:val="00325F57"/>
    <w:rsid w:val="003260E5"/>
    <w:rsid w:val="00326189"/>
    <w:rsid w:val="003261C4"/>
    <w:rsid w:val="003262A2"/>
    <w:rsid w:val="00326309"/>
    <w:rsid w:val="0032630D"/>
    <w:rsid w:val="00326329"/>
    <w:rsid w:val="003263A4"/>
    <w:rsid w:val="00326755"/>
    <w:rsid w:val="00326832"/>
    <w:rsid w:val="00326D10"/>
    <w:rsid w:val="00326D7C"/>
    <w:rsid w:val="00326DF4"/>
    <w:rsid w:val="00326E05"/>
    <w:rsid w:val="00326E76"/>
    <w:rsid w:val="00327150"/>
    <w:rsid w:val="0032718A"/>
    <w:rsid w:val="0032744E"/>
    <w:rsid w:val="0032747C"/>
    <w:rsid w:val="00327656"/>
    <w:rsid w:val="003277B5"/>
    <w:rsid w:val="003277D4"/>
    <w:rsid w:val="00327825"/>
    <w:rsid w:val="003278EF"/>
    <w:rsid w:val="0032796C"/>
    <w:rsid w:val="00327ADA"/>
    <w:rsid w:val="00327D00"/>
    <w:rsid w:val="00327ECB"/>
    <w:rsid w:val="003301EF"/>
    <w:rsid w:val="00330709"/>
    <w:rsid w:val="0033073D"/>
    <w:rsid w:val="00330777"/>
    <w:rsid w:val="003309F0"/>
    <w:rsid w:val="00330AD8"/>
    <w:rsid w:val="00330B19"/>
    <w:rsid w:val="00330BD8"/>
    <w:rsid w:val="00331068"/>
    <w:rsid w:val="00331095"/>
    <w:rsid w:val="0033111C"/>
    <w:rsid w:val="0033132C"/>
    <w:rsid w:val="00331468"/>
    <w:rsid w:val="003314B6"/>
    <w:rsid w:val="003315F1"/>
    <w:rsid w:val="00331665"/>
    <w:rsid w:val="00331731"/>
    <w:rsid w:val="003318A0"/>
    <w:rsid w:val="00331960"/>
    <w:rsid w:val="00331D43"/>
    <w:rsid w:val="00331DB3"/>
    <w:rsid w:val="00331DD4"/>
    <w:rsid w:val="00331E60"/>
    <w:rsid w:val="003323C2"/>
    <w:rsid w:val="00332637"/>
    <w:rsid w:val="00332793"/>
    <w:rsid w:val="003327D3"/>
    <w:rsid w:val="00332864"/>
    <w:rsid w:val="00332AA1"/>
    <w:rsid w:val="00332B35"/>
    <w:rsid w:val="00332B5C"/>
    <w:rsid w:val="00332C19"/>
    <w:rsid w:val="003330F4"/>
    <w:rsid w:val="00333180"/>
    <w:rsid w:val="00333377"/>
    <w:rsid w:val="00333530"/>
    <w:rsid w:val="00333572"/>
    <w:rsid w:val="0033360F"/>
    <w:rsid w:val="00333779"/>
    <w:rsid w:val="003337B1"/>
    <w:rsid w:val="003337E2"/>
    <w:rsid w:val="00333890"/>
    <w:rsid w:val="003338D1"/>
    <w:rsid w:val="0033391D"/>
    <w:rsid w:val="00333AA1"/>
    <w:rsid w:val="00333AC8"/>
    <w:rsid w:val="00333AF2"/>
    <w:rsid w:val="00333D87"/>
    <w:rsid w:val="00333EED"/>
    <w:rsid w:val="00333F92"/>
    <w:rsid w:val="00334087"/>
    <w:rsid w:val="00334109"/>
    <w:rsid w:val="00334285"/>
    <w:rsid w:val="003347EE"/>
    <w:rsid w:val="00334AEF"/>
    <w:rsid w:val="00334D1A"/>
    <w:rsid w:val="00334DF9"/>
    <w:rsid w:val="00334EB2"/>
    <w:rsid w:val="00334EEF"/>
    <w:rsid w:val="00334EFF"/>
    <w:rsid w:val="00334F11"/>
    <w:rsid w:val="00335243"/>
    <w:rsid w:val="00335330"/>
    <w:rsid w:val="003353EB"/>
    <w:rsid w:val="0033551F"/>
    <w:rsid w:val="00335BE0"/>
    <w:rsid w:val="0033602F"/>
    <w:rsid w:val="00336154"/>
    <w:rsid w:val="0033616E"/>
    <w:rsid w:val="0033682E"/>
    <w:rsid w:val="00336847"/>
    <w:rsid w:val="00336B68"/>
    <w:rsid w:val="00336C89"/>
    <w:rsid w:val="00336EBB"/>
    <w:rsid w:val="00336F9A"/>
    <w:rsid w:val="0033713B"/>
    <w:rsid w:val="0033734D"/>
    <w:rsid w:val="00337426"/>
    <w:rsid w:val="003374FF"/>
    <w:rsid w:val="00337561"/>
    <w:rsid w:val="00337580"/>
    <w:rsid w:val="00337772"/>
    <w:rsid w:val="00337976"/>
    <w:rsid w:val="00340070"/>
    <w:rsid w:val="00340140"/>
    <w:rsid w:val="00340328"/>
    <w:rsid w:val="003404C4"/>
    <w:rsid w:val="003406E5"/>
    <w:rsid w:val="00340714"/>
    <w:rsid w:val="00340789"/>
    <w:rsid w:val="00340806"/>
    <w:rsid w:val="003408F8"/>
    <w:rsid w:val="00340AC9"/>
    <w:rsid w:val="00340D88"/>
    <w:rsid w:val="00340FDC"/>
    <w:rsid w:val="0034118E"/>
    <w:rsid w:val="0034164E"/>
    <w:rsid w:val="00341665"/>
    <w:rsid w:val="003416BD"/>
    <w:rsid w:val="003417DA"/>
    <w:rsid w:val="003418E2"/>
    <w:rsid w:val="00341A18"/>
    <w:rsid w:val="00341AC6"/>
    <w:rsid w:val="00341B78"/>
    <w:rsid w:val="00341D19"/>
    <w:rsid w:val="00341FEB"/>
    <w:rsid w:val="00341FFE"/>
    <w:rsid w:val="0034208A"/>
    <w:rsid w:val="0034217E"/>
    <w:rsid w:val="00342183"/>
    <w:rsid w:val="003421BF"/>
    <w:rsid w:val="00342375"/>
    <w:rsid w:val="00342465"/>
    <w:rsid w:val="0034246F"/>
    <w:rsid w:val="003425BE"/>
    <w:rsid w:val="00342638"/>
    <w:rsid w:val="00342828"/>
    <w:rsid w:val="003429D9"/>
    <w:rsid w:val="00343064"/>
    <w:rsid w:val="00343113"/>
    <w:rsid w:val="00343289"/>
    <w:rsid w:val="003433C1"/>
    <w:rsid w:val="003439A6"/>
    <w:rsid w:val="003439D2"/>
    <w:rsid w:val="00343ADD"/>
    <w:rsid w:val="00343E9A"/>
    <w:rsid w:val="00344516"/>
    <w:rsid w:val="00344604"/>
    <w:rsid w:val="00344909"/>
    <w:rsid w:val="0034497C"/>
    <w:rsid w:val="00344C3E"/>
    <w:rsid w:val="00344C42"/>
    <w:rsid w:val="00344C8F"/>
    <w:rsid w:val="00344D6F"/>
    <w:rsid w:val="00345085"/>
    <w:rsid w:val="003450A8"/>
    <w:rsid w:val="00345109"/>
    <w:rsid w:val="00345262"/>
    <w:rsid w:val="00345284"/>
    <w:rsid w:val="00345344"/>
    <w:rsid w:val="00345373"/>
    <w:rsid w:val="00345393"/>
    <w:rsid w:val="00345583"/>
    <w:rsid w:val="0034563E"/>
    <w:rsid w:val="00345728"/>
    <w:rsid w:val="00345794"/>
    <w:rsid w:val="003457CF"/>
    <w:rsid w:val="00345849"/>
    <w:rsid w:val="0034594B"/>
    <w:rsid w:val="00345950"/>
    <w:rsid w:val="00345962"/>
    <w:rsid w:val="00345ACB"/>
    <w:rsid w:val="00345CBF"/>
    <w:rsid w:val="00345E30"/>
    <w:rsid w:val="00345F4F"/>
    <w:rsid w:val="00345F77"/>
    <w:rsid w:val="00345FEF"/>
    <w:rsid w:val="00346140"/>
    <w:rsid w:val="003461B2"/>
    <w:rsid w:val="0034623C"/>
    <w:rsid w:val="0034660C"/>
    <w:rsid w:val="00346675"/>
    <w:rsid w:val="00346722"/>
    <w:rsid w:val="00346765"/>
    <w:rsid w:val="00346860"/>
    <w:rsid w:val="003468D4"/>
    <w:rsid w:val="00346BC8"/>
    <w:rsid w:val="00346F16"/>
    <w:rsid w:val="003472C5"/>
    <w:rsid w:val="00347401"/>
    <w:rsid w:val="00347455"/>
    <w:rsid w:val="00347477"/>
    <w:rsid w:val="00347563"/>
    <w:rsid w:val="00347650"/>
    <w:rsid w:val="0034767D"/>
    <w:rsid w:val="0034783D"/>
    <w:rsid w:val="003479B2"/>
    <w:rsid w:val="00347ACA"/>
    <w:rsid w:val="00347B64"/>
    <w:rsid w:val="00347B84"/>
    <w:rsid w:val="00347B87"/>
    <w:rsid w:val="00347D2A"/>
    <w:rsid w:val="00347F27"/>
    <w:rsid w:val="003503CA"/>
    <w:rsid w:val="003503DD"/>
    <w:rsid w:val="003504EB"/>
    <w:rsid w:val="00350569"/>
    <w:rsid w:val="0035061E"/>
    <w:rsid w:val="00350A40"/>
    <w:rsid w:val="00350AB3"/>
    <w:rsid w:val="00350B5A"/>
    <w:rsid w:val="00350E2E"/>
    <w:rsid w:val="00350F44"/>
    <w:rsid w:val="00350FDF"/>
    <w:rsid w:val="0035128B"/>
    <w:rsid w:val="00351564"/>
    <w:rsid w:val="0035162C"/>
    <w:rsid w:val="003518FD"/>
    <w:rsid w:val="0035193D"/>
    <w:rsid w:val="00351A48"/>
    <w:rsid w:val="00351B06"/>
    <w:rsid w:val="00351BCB"/>
    <w:rsid w:val="00351C0B"/>
    <w:rsid w:val="00351EF2"/>
    <w:rsid w:val="0035223E"/>
    <w:rsid w:val="003522FB"/>
    <w:rsid w:val="00352374"/>
    <w:rsid w:val="003524D0"/>
    <w:rsid w:val="003525FE"/>
    <w:rsid w:val="003526B9"/>
    <w:rsid w:val="0035273A"/>
    <w:rsid w:val="003529B1"/>
    <w:rsid w:val="00352ABD"/>
    <w:rsid w:val="00352D20"/>
    <w:rsid w:val="00352DCB"/>
    <w:rsid w:val="0035319A"/>
    <w:rsid w:val="003533BD"/>
    <w:rsid w:val="003534FB"/>
    <w:rsid w:val="003536A8"/>
    <w:rsid w:val="00353868"/>
    <w:rsid w:val="003538C1"/>
    <w:rsid w:val="00353B64"/>
    <w:rsid w:val="00353F17"/>
    <w:rsid w:val="00354036"/>
    <w:rsid w:val="00354079"/>
    <w:rsid w:val="00354111"/>
    <w:rsid w:val="003543A0"/>
    <w:rsid w:val="00354474"/>
    <w:rsid w:val="00354632"/>
    <w:rsid w:val="003548B9"/>
    <w:rsid w:val="00354AE7"/>
    <w:rsid w:val="00354D4C"/>
    <w:rsid w:val="00354FD9"/>
    <w:rsid w:val="00355353"/>
    <w:rsid w:val="00355372"/>
    <w:rsid w:val="00355425"/>
    <w:rsid w:val="0035567B"/>
    <w:rsid w:val="0035575A"/>
    <w:rsid w:val="003559D8"/>
    <w:rsid w:val="00355A38"/>
    <w:rsid w:val="00355B39"/>
    <w:rsid w:val="00355B43"/>
    <w:rsid w:val="00355CEB"/>
    <w:rsid w:val="00355ECC"/>
    <w:rsid w:val="003562DC"/>
    <w:rsid w:val="003563AF"/>
    <w:rsid w:val="00356528"/>
    <w:rsid w:val="003566D3"/>
    <w:rsid w:val="00356BD9"/>
    <w:rsid w:val="00356E35"/>
    <w:rsid w:val="00356EE4"/>
    <w:rsid w:val="00357082"/>
    <w:rsid w:val="00357124"/>
    <w:rsid w:val="00357251"/>
    <w:rsid w:val="00357528"/>
    <w:rsid w:val="003576B3"/>
    <w:rsid w:val="00357723"/>
    <w:rsid w:val="00357862"/>
    <w:rsid w:val="003579A8"/>
    <w:rsid w:val="00357A07"/>
    <w:rsid w:val="00357A7E"/>
    <w:rsid w:val="00357B6E"/>
    <w:rsid w:val="00357C81"/>
    <w:rsid w:val="00357C9D"/>
    <w:rsid w:val="00357D3F"/>
    <w:rsid w:val="00357D56"/>
    <w:rsid w:val="00357E88"/>
    <w:rsid w:val="00357F24"/>
    <w:rsid w:val="00360113"/>
    <w:rsid w:val="00360124"/>
    <w:rsid w:val="0036014B"/>
    <w:rsid w:val="003603A4"/>
    <w:rsid w:val="00360865"/>
    <w:rsid w:val="003609D2"/>
    <w:rsid w:val="00360BEF"/>
    <w:rsid w:val="00360C0C"/>
    <w:rsid w:val="00360D47"/>
    <w:rsid w:val="00360D8A"/>
    <w:rsid w:val="00360E28"/>
    <w:rsid w:val="00360F82"/>
    <w:rsid w:val="00360FA4"/>
    <w:rsid w:val="003610E9"/>
    <w:rsid w:val="0036120E"/>
    <w:rsid w:val="003612C0"/>
    <w:rsid w:val="00361396"/>
    <w:rsid w:val="003614CF"/>
    <w:rsid w:val="00361514"/>
    <w:rsid w:val="003616CC"/>
    <w:rsid w:val="003617E1"/>
    <w:rsid w:val="00361C90"/>
    <w:rsid w:val="00361EE2"/>
    <w:rsid w:val="00362046"/>
    <w:rsid w:val="0036220E"/>
    <w:rsid w:val="003622EA"/>
    <w:rsid w:val="0036252A"/>
    <w:rsid w:val="00362763"/>
    <w:rsid w:val="003627A2"/>
    <w:rsid w:val="003627C4"/>
    <w:rsid w:val="0036293D"/>
    <w:rsid w:val="00362B4D"/>
    <w:rsid w:val="00362DD2"/>
    <w:rsid w:val="00362FD1"/>
    <w:rsid w:val="00363028"/>
    <w:rsid w:val="003630C3"/>
    <w:rsid w:val="0036315F"/>
    <w:rsid w:val="0036319D"/>
    <w:rsid w:val="003634C7"/>
    <w:rsid w:val="003635B9"/>
    <w:rsid w:val="003635F0"/>
    <w:rsid w:val="0036368A"/>
    <w:rsid w:val="00363927"/>
    <w:rsid w:val="0036395B"/>
    <w:rsid w:val="003639FE"/>
    <w:rsid w:val="00363B73"/>
    <w:rsid w:val="00363D38"/>
    <w:rsid w:val="00363D57"/>
    <w:rsid w:val="00363E5D"/>
    <w:rsid w:val="003641DF"/>
    <w:rsid w:val="0036426D"/>
    <w:rsid w:val="003645CA"/>
    <w:rsid w:val="0036468C"/>
    <w:rsid w:val="003647A3"/>
    <w:rsid w:val="0036486F"/>
    <w:rsid w:val="003648E7"/>
    <w:rsid w:val="00364A29"/>
    <w:rsid w:val="00364D48"/>
    <w:rsid w:val="00364EB0"/>
    <w:rsid w:val="00365197"/>
    <w:rsid w:val="003651F2"/>
    <w:rsid w:val="003653D1"/>
    <w:rsid w:val="0036541A"/>
    <w:rsid w:val="003655CF"/>
    <w:rsid w:val="00365795"/>
    <w:rsid w:val="00365847"/>
    <w:rsid w:val="003658D7"/>
    <w:rsid w:val="00365930"/>
    <w:rsid w:val="00365C03"/>
    <w:rsid w:val="00365C85"/>
    <w:rsid w:val="00365E58"/>
    <w:rsid w:val="00365EB3"/>
    <w:rsid w:val="00365F7D"/>
    <w:rsid w:val="00365FB5"/>
    <w:rsid w:val="00366074"/>
    <w:rsid w:val="00366209"/>
    <w:rsid w:val="0036657E"/>
    <w:rsid w:val="003666B3"/>
    <w:rsid w:val="00366741"/>
    <w:rsid w:val="0036680B"/>
    <w:rsid w:val="00366A50"/>
    <w:rsid w:val="00366C24"/>
    <w:rsid w:val="00367002"/>
    <w:rsid w:val="00367052"/>
    <w:rsid w:val="00367346"/>
    <w:rsid w:val="00367451"/>
    <w:rsid w:val="00367491"/>
    <w:rsid w:val="00367569"/>
    <w:rsid w:val="003678E7"/>
    <w:rsid w:val="0036791E"/>
    <w:rsid w:val="003679CF"/>
    <w:rsid w:val="00367B1E"/>
    <w:rsid w:val="00367B37"/>
    <w:rsid w:val="00367D74"/>
    <w:rsid w:val="00367DC0"/>
    <w:rsid w:val="00367E33"/>
    <w:rsid w:val="003702AB"/>
    <w:rsid w:val="0037032F"/>
    <w:rsid w:val="0037058D"/>
    <w:rsid w:val="00370592"/>
    <w:rsid w:val="00370C4E"/>
    <w:rsid w:val="00370DAD"/>
    <w:rsid w:val="00370DC3"/>
    <w:rsid w:val="00371620"/>
    <w:rsid w:val="0037177D"/>
    <w:rsid w:val="0037185D"/>
    <w:rsid w:val="0037197B"/>
    <w:rsid w:val="003719EC"/>
    <w:rsid w:val="00371FE3"/>
    <w:rsid w:val="0037209F"/>
    <w:rsid w:val="00372176"/>
    <w:rsid w:val="003721BF"/>
    <w:rsid w:val="0037243B"/>
    <w:rsid w:val="0037249B"/>
    <w:rsid w:val="00372792"/>
    <w:rsid w:val="00372906"/>
    <w:rsid w:val="00372983"/>
    <w:rsid w:val="003729F7"/>
    <w:rsid w:val="00372B2B"/>
    <w:rsid w:val="00372B9B"/>
    <w:rsid w:val="00372FE6"/>
    <w:rsid w:val="003730E7"/>
    <w:rsid w:val="00373229"/>
    <w:rsid w:val="00373AB5"/>
    <w:rsid w:val="00373EF2"/>
    <w:rsid w:val="0037411A"/>
    <w:rsid w:val="003742FA"/>
    <w:rsid w:val="0037438F"/>
    <w:rsid w:val="00374510"/>
    <w:rsid w:val="003745E3"/>
    <w:rsid w:val="003746A3"/>
    <w:rsid w:val="00374846"/>
    <w:rsid w:val="00374892"/>
    <w:rsid w:val="0037499B"/>
    <w:rsid w:val="00374A03"/>
    <w:rsid w:val="00374A9E"/>
    <w:rsid w:val="00374AAD"/>
    <w:rsid w:val="00374AD8"/>
    <w:rsid w:val="00374C0F"/>
    <w:rsid w:val="00374D3C"/>
    <w:rsid w:val="00374E6F"/>
    <w:rsid w:val="00374F46"/>
    <w:rsid w:val="00375200"/>
    <w:rsid w:val="003752B1"/>
    <w:rsid w:val="00375340"/>
    <w:rsid w:val="0037545C"/>
    <w:rsid w:val="003755B9"/>
    <w:rsid w:val="00375BCF"/>
    <w:rsid w:val="00375BDF"/>
    <w:rsid w:val="00375D34"/>
    <w:rsid w:val="00375D4B"/>
    <w:rsid w:val="00375DD0"/>
    <w:rsid w:val="00375E78"/>
    <w:rsid w:val="00375F02"/>
    <w:rsid w:val="003761F8"/>
    <w:rsid w:val="00376395"/>
    <w:rsid w:val="0037654B"/>
    <w:rsid w:val="00376684"/>
    <w:rsid w:val="003767E7"/>
    <w:rsid w:val="003767F6"/>
    <w:rsid w:val="003768A8"/>
    <w:rsid w:val="003768AD"/>
    <w:rsid w:val="00376906"/>
    <w:rsid w:val="00376ACE"/>
    <w:rsid w:val="00376BAC"/>
    <w:rsid w:val="00376D82"/>
    <w:rsid w:val="00376DB3"/>
    <w:rsid w:val="003770AA"/>
    <w:rsid w:val="0037723B"/>
    <w:rsid w:val="003773B7"/>
    <w:rsid w:val="0037745B"/>
    <w:rsid w:val="003774C4"/>
    <w:rsid w:val="003776F3"/>
    <w:rsid w:val="00377A2B"/>
    <w:rsid w:val="00377A36"/>
    <w:rsid w:val="00377B65"/>
    <w:rsid w:val="00377B8B"/>
    <w:rsid w:val="00377E6C"/>
    <w:rsid w:val="00377FBB"/>
    <w:rsid w:val="0038003E"/>
    <w:rsid w:val="0038009B"/>
    <w:rsid w:val="00380351"/>
    <w:rsid w:val="00380395"/>
    <w:rsid w:val="00380489"/>
    <w:rsid w:val="0038061B"/>
    <w:rsid w:val="003807FF"/>
    <w:rsid w:val="0038094D"/>
    <w:rsid w:val="00380A7D"/>
    <w:rsid w:val="00380BCB"/>
    <w:rsid w:val="00380D26"/>
    <w:rsid w:val="00380EC3"/>
    <w:rsid w:val="00381255"/>
    <w:rsid w:val="00381438"/>
    <w:rsid w:val="00381889"/>
    <w:rsid w:val="00381935"/>
    <w:rsid w:val="00381D92"/>
    <w:rsid w:val="0038232E"/>
    <w:rsid w:val="003824E2"/>
    <w:rsid w:val="003826DE"/>
    <w:rsid w:val="003827FF"/>
    <w:rsid w:val="0038292C"/>
    <w:rsid w:val="00382AEB"/>
    <w:rsid w:val="00382AFE"/>
    <w:rsid w:val="00382BEB"/>
    <w:rsid w:val="00382D6D"/>
    <w:rsid w:val="00383002"/>
    <w:rsid w:val="0038311C"/>
    <w:rsid w:val="0038314F"/>
    <w:rsid w:val="003835D0"/>
    <w:rsid w:val="003836F4"/>
    <w:rsid w:val="003839EF"/>
    <w:rsid w:val="00383ADF"/>
    <w:rsid w:val="00383B12"/>
    <w:rsid w:val="00383BDE"/>
    <w:rsid w:val="00383D8F"/>
    <w:rsid w:val="00383EDF"/>
    <w:rsid w:val="00384007"/>
    <w:rsid w:val="0038407D"/>
    <w:rsid w:val="003842C1"/>
    <w:rsid w:val="0038471B"/>
    <w:rsid w:val="003848CB"/>
    <w:rsid w:val="003848EA"/>
    <w:rsid w:val="003849E6"/>
    <w:rsid w:val="00384CF5"/>
    <w:rsid w:val="00384D9F"/>
    <w:rsid w:val="00384DB3"/>
    <w:rsid w:val="00384F26"/>
    <w:rsid w:val="00385144"/>
    <w:rsid w:val="0038522B"/>
    <w:rsid w:val="0038536C"/>
    <w:rsid w:val="00385562"/>
    <w:rsid w:val="003858BA"/>
    <w:rsid w:val="003858D5"/>
    <w:rsid w:val="00385958"/>
    <w:rsid w:val="003859DC"/>
    <w:rsid w:val="00385A35"/>
    <w:rsid w:val="00385AB5"/>
    <w:rsid w:val="00385FB8"/>
    <w:rsid w:val="00386000"/>
    <w:rsid w:val="00386119"/>
    <w:rsid w:val="003867D1"/>
    <w:rsid w:val="00386A9D"/>
    <w:rsid w:val="00386AD4"/>
    <w:rsid w:val="00386C8D"/>
    <w:rsid w:val="00386D5B"/>
    <w:rsid w:val="00386D98"/>
    <w:rsid w:val="003870E3"/>
    <w:rsid w:val="003871FB"/>
    <w:rsid w:val="00387433"/>
    <w:rsid w:val="003878E6"/>
    <w:rsid w:val="00387974"/>
    <w:rsid w:val="003879A0"/>
    <w:rsid w:val="00387AEC"/>
    <w:rsid w:val="00387EFD"/>
    <w:rsid w:val="00390015"/>
    <w:rsid w:val="003900E1"/>
    <w:rsid w:val="003901AB"/>
    <w:rsid w:val="003901B0"/>
    <w:rsid w:val="0039025C"/>
    <w:rsid w:val="00390496"/>
    <w:rsid w:val="003904B0"/>
    <w:rsid w:val="0039057F"/>
    <w:rsid w:val="00390640"/>
    <w:rsid w:val="003906E4"/>
    <w:rsid w:val="003907EC"/>
    <w:rsid w:val="0039086C"/>
    <w:rsid w:val="003908C5"/>
    <w:rsid w:val="003909D4"/>
    <w:rsid w:val="003909F6"/>
    <w:rsid w:val="00390A62"/>
    <w:rsid w:val="00390A8A"/>
    <w:rsid w:val="00390BB4"/>
    <w:rsid w:val="00390D9C"/>
    <w:rsid w:val="00390DBD"/>
    <w:rsid w:val="00390EAF"/>
    <w:rsid w:val="00390FA2"/>
    <w:rsid w:val="00391120"/>
    <w:rsid w:val="00391249"/>
    <w:rsid w:val="003912F4"/>
    <w:rsid w:val="0039143B"/>
    <w:rsid w:val="003914FB"/>
    <w:rsid w:val="0039151E"/>
    <w:rsid w:val="00391832"/>
    <w:rsid w:val="00391851"/>
    <w:rsid w:val="003918B3"/>
    <w:rsid w:val="00391A26"/>
    <w:rsid w:val="00391B21"/>
    <w:rsid w:val="00391D10"/>
    <w:rsid w:val="00391DE4"/>
    <w:rsid w:val="00391E51"/>
    <w:rsid w:val="00391E61"/>
    <w:rsid w:val="0039270B"/>
    <w:rsid w:val="00392944"/>
    <w:rsid w:val="003929AF"/>
    <w:rsid w:val="00392F53"/>
    <w:rsid w:val="00393028"/>
    <w:rsid w:val="00393377"/>
    <w:rsid w:val="003938E6"/>
    <w:rsid w:val="00393945"/>
    <w:rsid w:val="00393C68"/>
    <w:rsid w:val="00393CCE"/>
    <w:rsid w:val="00393EB7"/>
    <w:rsid w:val="00393F94"/>
    <w:rsid w:val="003941E4"/>
    <w:rsid w:val="00394305"/>
    <w:rsid w:val="00394330"/>
    <w:rsid w:val="00394427"/>
    <w:rsid w:val="003944E9"/>
    <w:rsid w:val="00394681"/>
    <w:rsid w:val="00394893"/>
    <w:rsid w:val="00394A33"/>
    <w:rsid w:val="00394A5C"/>
    <w:rsid w:val="00394D63"/>
    <w:rsid w:val="00394DA2"/>
    <w:rsid w:val="00394DE1"/>
    <w:rsid w:val="00394DFC"/>
    <w:rsid w:val="00394F9E"/>
    <w:rsid w:val="003951B8"/>
    <w:rsid w:val="00395242"/>
    <w:rsid w:val="003955DA"/>
    <w:rsid w:val="0039569F"/>
    <w:rsid w:val="00395761"/>
    <w:rsid w:val="003957D1"/>
    <w:rsid w:val="003957F3"/>
    <w:rsid w:val="003959DD"/>
    <w:rsid w:val="00395B5B"/>
    <w:rsid w:val="00395BA9"/>
    <w:rsid w:val="00395C73"/>
    <w:rsid w:val="00395D8E"/>
    <w:rsid w:val="00395EF5"/>
    <w:rsid w:val="00396015"/>
    <w:rsid w:val="003960BD"/>
    <w:rsid w:val="003961A0"/>
    <w:rsid w:val="00396220"/>
    <w:rsid w:val="003968A8"/>
    <w:rsid w:val="00396A15"/>
    <w:rsid w:val="00396B2C"/>
    <w:rsid w:val="00396D52"/>
    <w:rsid w:val="00396D7A"/>
    <w:rsid w:val="00396DBF"/>
    <w:rsid w:val="00396E07"/>
    <w:rsid w:val="003970D9"/>
    <w:rsid w:val="0039729E"/>
    <w:rsid w:val="00397368"/>
    <w:rsid w:val="0039743E"/>
    <w:rsid w:val="003975CE"/>
    <w:rsid w:val="003975E5"/>
    <w:rsid w:val="003975F8"/>
    <w:rsid w:val="0039763F"/>
    <w:rsid w:val="00397BD5"/>
    <w:rsid w:val="00397F79"/>
    <w:rsid w:val="003A039C"/>
    <w:rsid w:val="003A06E3"/>
    <w:rsid w:val="003A0ACA"/>
    <w:rsid w:val="003A11D8"/>
    <w:rsid w:val="003A1400"/>
    <w:rsid w:val="003A1455"/>
    <w:rsid w:val="003A152C"/>
    <w:rsid w:val="003A1C15"/>
    <w:rsid w:val="003A1CCD"/>
    <w:rsid w:val="003A1E2F"/>
    <w:rsid w:val="003A1E60"/>
    <w:rsid w:val="003A2165"/>
    <w:rsid w:val="003A2483"/>
    <w:rsid w:val="003A24BE"/>
    <w:rsid w:val="003A2628"/>
    <w:rsid w:val="003A276F"/>
    <w:rsid w:val="003A2874"/>
    <w:rsid w:val="003A2887"/>
    <w:rsid w:val="003A28B3"/>
    <w:rsid w:val="003A29DD"/>
    <w:rsid w:val="003A2B54"/>
    <w:rsid w:val="003A2C43"/>
    <w:rsid w:val="003A2C58"/>
    <w:rsid w:val="003A2CEF"/>
    <w:rsid w:val="003A2E13"/>
    <w:rsid w:val="003A2EC1"/>
    <w:rsid w:val="003A2FB2"/>
    <w:rsid w:val="003A2FF2"/>
    <w:rsid w:val="003A3052"/>
    <w:rsid w:val="003A30EB"/>
    <w:rsid w:val="003A34AD"/>
    <w:rsid w:val="003A35B3"/>
    <w:rsid w:val="003A3728"/>
    <w:rsid w:val="003A37B5"/>
    <w:rsid w:val="003A3919"/>
    <w:rsid w:val="003A3DA2"/>
    <w:rsid w:val="003A3ECD"/>
    <w:rsid w:val="003A4084"/>
    <w:rsid w:val="003A4181"/>
    <w:rsid w:val="003A41B6"/>
    <w:rsid w:val="003A41D5"/>
    <w:rsid w:val="003A42DC"/>
    <w:rsid w:val="003A4566"/>
    <w:rsid w:val="003A456B"/>
    <w:rsid w:val="003A466C"/>
    <w:rsid w:val="003A476E"/>
    <w:rsid w:val="003A479E"/>
    <w:rsid w:val="003A49C7"/>
    <w:rsid w:val="003A4A07"/>
    <w:rsid w:val="003A4A2A"/>
    <w:rsid w:val="003A4AF4"/>
    <w:rsid w:val="003A4C1B"/>
    <w:rsid w:val="003A4D4D"/>
    <w:rsid w:val="003A4DCB"/>
    <w:rsid w:val="003A4FBB"/>
    <w:rsid w:val="003A5096"/>
    <w:rsid w:val="003A5252"/>
    <w:rsid w:val="003A56D6"/>
    <w:rsid w:val="003A5757"/>
    <w:rsid w:val="003A57F6"/>
    <w:rsid w:val="003A5B76"/>
    <w:rsid w:val="003A5BE2"/>
    <w:rsid w:val="003A5ED2"/>
    <w:rsid w:val="003A6103"/>
    <w:rsid w:val="003A6184"/>
    <w:rsid w:val="003A644C"/>
    <w:rsid w:val="003A647C"/>
    <w:rsid w:val="003A657B"/>
    <w:rsid w:val="003A6615"/>
    <w:rsid w:val="003A6799"/>
    <w:rsid w:val="003A6A28"/>
    <w:rsid w:val="003A6D27"/>
    <w:rsid w:val="003A6D36"/>
    <w:rsid w:val="003A710E"/>
    <w:rsid w:val="003A74E0"/>
    <w:rsid w:val="003A769F"/>
    <w:rsid w:val="003A76EA"/>
    <w:rsid w:val="003A7735"/>
    <w:rsid w:val="003A7942"/>
    <w:rsid w:val="003A7A10"/>
    <w:rsid w:val="003A7AA2"/>
    <w:rsid w:val="003A7ADD"/>
    <w:rsid w:val="003A7DD9"/>
    <w:rsid w:val="003A7EC4"/>
    <w:rsid w:val="003A7F4C"/>
    <w:rsid w:val="003B00DB"/>
    <w:rsid w:val="003B0297"/>
    <w:rsid w:val="003B0453"/>
    <w:rsid w:val="003B0471"/>
    <w:rsid w:val="003B0722"/>
    <w:rsid w:val="003B091B"/>
    <w:rsid w:val="003B094D"/>
    <w:rsid w:val="003B09D5"/>
    <w:rsid w:val="003B0C46"/>
    <w:rsid w:val="003B0F38"/>
    <w:rsid w:val="003B0FFF"/>
    <w:rsid w:val="003B1006"/>
    <w:rsid w:val="003B1061"/>
    <w:rsid w:val="003B1145"/>
    <w:rsid w:val="003B1238"/>
    <w:rsid w:val="003B1387"/>
    <w:rsid w:val="003B1628"/>
    <w:rsid w:val="003B1BA4"/>
    <w:rsid w:val="003B1CB0"/>
    <w:rsid w:val="003B1E5B"/>
    <w:rsid w:val="003B1FE9"/>
    <w:rsid w:val="003B227B"/>
    <w:rsid w:val="003B2419"/>
    <w:rsid w:val="003B24EF"/>
    <w:rsid w:val="003B262C"/>
    <w:rsid w:val="003B26C3"/>
    <w:rsid w:val="003B26D6"/>
    <w:rsid w:val="003B279C"/>
    <w:rsid w:val="003B2993"/>
    <w:rsid w:val="003B2B5E"/>
    <w:rsid w:val="003B2E9C"/>
    <w:rsid w:val="003B2FEE"/>
    <w:rsid w:val="003B344A"/>
    <w:rsid w:val="003B34BC"/>
    <w:rsid w:val="003B3505"/>
    <w:rsid w:val="003B364E"/>
    <w:rsid w:val="003B3BA3"/>
    <w:rsid w:val="003B3EDC"/>
    <w:rsid w:val="003B3F44"/>
    <w:rsid w:val="003B4050"/>
    <w:rsid w:val="003B4144"/>
    <w:rsid w:val="003B418D"/>
    <w:rsid w:val="003B42F4"/>
    <w:rsid w:val="003B4380"/>
    <w:rsid w:val="003B438A"/>
    <w:rsid w:val="003B475B"/>
    <w:rsid w:val="003B4B30"/>
    <w:rsid w:val="003B4BAD"/>
    <w:rsid w:val="003B4C90"/>
    <w:rsid w:val="003B5088"/>
    <w:rsid w:val="003B5440"/>
    <w:rsid w:val="003B56FD"/>
    <w:rsid w:val="003B5884"/>
    <w:rsid w:val="003B58A6"/>
    <w:rsid w:val="003B5AE9"/>
    <w:rsid w:val="003B5E83"/>
    <w:rsid w:val="003B5F70"/>
    <w:rsid w:val="003B603A"/>
    <w:rsid w:val="003B6059"/>
    <w:rsid w:val="003B6080"/>
    <w:rsid w:val="003B6374"/>
    <w:rsid w:val="003B6376"/>
    <w:rsid w:val="003B651A"/>
    <w:rsid w:val="003B69FC"/>
    <w:rsid w:val="003B6BE7"/>
    <w:rsid w:val="003B6EAA"/>
    <w:rsid w:val="003B726D"/>
    <w:rsid w:val="003B74C8"/>
    <w:rsid w:val="003B767C"/>
    <w:rsid w:val="003B76A5"/>
    <w:rsid w:val="003B7B8A"/>
    <w:rsid w:val="003B7C0A"/>
    <w:rsid w:val="003B7C2C"/>
    <w:rsid w:val="003B7C61"/>
    <w:rsid w:val="003C0243"/>
    <w:rsid w:val="003C0325"/>
    <w:rsid w:val="003C04B1"/>
    <w:rsid w:val="003C0653"/>
    <w:rsid w:val="003C06F2"/>
    <w:rsid w:val="003C0816"/>
    <w:rsid w:val="003C0CA5"/>
    <w:rsid w:val="003C0D30"/>
    <w:rsid w:val="003C0DFF"/>
    <w:rsid w:val="003C0E26"/>
    <w:rsid w:val="003C1079"/>
    <w:rsid w:val="003C11A8"/>
    <w:rsid w:val="003C124D"/>
    <w:rsid w:val="003C1428"/>
    <w:rsid w:val="003C14E6"/>
    <w:rsid w:val="003C1707"/>
    <w:rsid w:val="003C17B5"/>
    <w:rsid w:val="003C1CBA"/>
    <w:rsid w:val="003C1D9E"/>
    <w:rsid w:val="003C1F02"/>
    <w:rsid w:val="003C2341"/>
    <w:rsid w:val="003C2497"/>
    <w:rsid w:val="003C25C8"/>
    <w:rsid w:val="003C26E4"/>
    <w:rsid w:val="003C28A3"/>
    <w:rsid w:val="003C28F6"/>
    <w:rsid w:val="003C290C"/>
    <w:rsid w:val="003C2E66"/>
    <w:rsid w:val="003C3036"/>
    <w:rsid w:val="003C32FB"/>
    <w:rsid w:val="003C352B"/>
    <w:rsid w:val="003C376C"/>
    <w:rsid w:val="003C39D5"/>
    <w:rsid w:val="003C3AF3"/>
    <w:rsid w:val="003C3DC8"/>
    <w:rsid w:val="003C3FA8"/>
    <w:rsid w:val="003C40B6"/>
    <w:rsid w:val="003C424D"/>
    <w:rsid w:val="003C4319"/>
    <w:rsid w:val="003C4360"/>
    <w:rsid w:val="003C43F3"/>
    <w:rsid w:val="003C4496"/>
    <w:rsid w:val="003C4831"/>
    <w:rsid w:val="003C4968"/>
    <w:rsid w:val="003C4AEA"/>
    <w:rsid w:val="003C4D7F"/>
    <w:rsid w:val="003C4E0C"/>
    <w:rsid w:val="003C5075"/>
    <w:rsid w:val="003C52CB"/>
    <w:rsid w:val="003C532E"/>
    <w:rsid w:val="003C55EB"/>
    <w:rsid w:val="003C560E"/>
    <w:rsid w:val="003C586F"/>
    <w:rsid w:val="003C5C08"/>
    <w:rsid w:val="003C5CBC"/>
    <w:rsid w:val="003C5D36"/>
    <w:rsid w:val="003C5DE4"/>
    <w:rsid w:val="003C5DEA"/>
    <w:rsid w:val="003C5EF7"/>
    <w:rsid w:val="003C61A7"/>
    <w:rsid w:val="003C61A9"/>
    <w:rsid w:val="003C6219"/>
    <w:rsid w:val="003C626C"/>
    <w:rsid w:val="003C6369"/>
    <w:rsid w:val="003C636D"/>
    <w:rsid w:val="003C6584"/>
    <w:rsid w:val="003C65A1"/>
    <w:rsid w:val="003C6651"/>
    <w:rsid w:val="003C6825"/>
    <w:rsid w:val="003C6A9B"/>
    <w:rsid w:val="003C6B3E"/>
    <w:rsid w:val="003C6B7E"/>
    <w:rsid w:val="003C6C8E"/>
    <w:rsid w:val="003C6CC6"/>
    <w:rsid w:val="003C6D95"/>
    <w:rsid w:val="003C6F06"/>
    <w:rsid w:val="003C7049"/>
    <w:rsid w:val="003C7114"/>
    <w:rsid w:val="003C722E"/>
    <w:rsid w:val="003C7237"/>
    <w:rsid w:val="003C723C"/>
    <w:rsid w:val="003C7369"/>
    <w:rsid w:val="003C7536"/>
    <w:rsid w:val="003C7A43"/>
    <w:rsid w:val="003C7F9C"/>
    <w:rsid w:val="003D007E"/>
    <w:rsid w:val="003D0129"/>
    <w:rsid w:val="003D03C3"/>
    <w:rsid w:val="003D03D5"/>
    <w:rsid w:val="003D0545"/>
    <w:rsid w:val="003D06D0"/>
    <w:rsid w:val="003D0704"/>
    <w:rsid w:val="003D077E"/>
    <w:rsid w:val="003D07B6"/>
    <w:rsid w:val="003D08AE"/>
    <w:rsid w:val="003D0976"/>
    <w:rsid w:val="003D099E"/>
    <w:rsid w:val="003D0A7E"/>
    <w:rsid w:val="003D0CDF"/>
    <w:rsid w:val="003D0D1A"/>
    <w:rsid w:val="003D105B"/>
    <w:rsid w:val="003D1396"/>
    <w:rsid w:val="003D16A4"/>
    <w:rsid w:val="003D1875"/>
    <w:rsid w:val="003D198D"/>
    <w:rsid w:val="003D19BC"/>
    <w:rsid w:val="003D1B76"/>
    <w:rsid w:val="003D1CA4"/>
    <w:rsid w:val="003D1CD4"/>
    <w:rsid w:val="003D1D62"/>
    <w:rsid w:val="003D1E49"/>
    <w:rsid w:val="003D1F6F"/>
    <w:rsid w:val="003D201C"/>
    <w:rsid w:val="003D2086"/>
    <w:rsid w:val="003D21CE"/>
    <w:rsid w:val="003D2292"/>
    <w:rsid w:val="003D231C"/>
    <w:rsid w:val="003D265F"/>
    <w:rsid w:val="003D26A3"/>
    <w:rsid w:val="003D26F4"/>
    <w:rsid w:val="003D28D0"/>
    <w:rsid w:val="003D2B5F"/>
    <w:rsid w:val="003D2C98"/>
    <w:rsid w:val="003D2F11"/>
    <w:rsid w:val="003D2F79"/>
    <w:rsid w:val="003D2FF1"/>
    <w:rsid w:val="003D3344"/>
    <w:rsid w:val="003D334A"/>
    <w:rsid w:val="003D344A"/>
    <w:rsid w:val="003D3937"/>
    <w:rsid w:val="003D39B9"/>
    <w:rsid w:val="003D3B31"/>
    <w:rsid w:val="003D3B37"/>
    <w:rsid w:val="003D3F53"/>
    <w:rsid w:val="003D401B"/>
    <w:rsid w:val="003D4107"/>
    <w:rsid w:val="003D436A"/>
    <w:rsid w:val="003D4424"/>
    <w:rsid w:val="003D44FA"/>
    <w:rsid w:val="003D46E6"/>
    <w:rsid w:val="003D488A"/>
    <w:rsid w:val="003D49C4"/>
    <w:rsid w:val="003D4ACF"/>
    <w:rsid w:val="003D4F49"/>
    <w:rsid w:val="003D5060"/>
    <w:rsid w:val="003D5144"/>
    <w:rsid w:val="003D53DD"/>
    <w:rsid w:val="003D55CE"/>
    <w:rsid w:val="003D5840"/>
    <w:rsid w:val="003D584F"/>
    <w:rsid w:val="003D5C34"/>
    <w:rsid w:val="003D5D0F"/>
    <w:rsid w:val="003D5D65"/>
    <w:rsid w:val="003D5D80"/>
    <w:rsid w:val="003D5D91"/>
    <w:rsid w:val="003D5EB5"/>
    <w:rsid w:val="003D5F35"/>
    <w:rsid w:val="003D60E9"/>
    <w:rsid w:val="003D60F1"/>
    <w:rsid w:val="003D621B"/>
    <w:rsid w:val="003D62C0"/>
    <w:rsid w:val="003D62C9"/>
    <w:rsid w:val="003D641F"/>
    <w:rsid w:val="003D6565"/>
    <w:rsid w:val="003D6795"/>
    <w:rsid w:val="003D6BCD"/>
    <w:rsid w:val="003D6C7F"/>
    <w:rsid w:val="003D6F2B"/>
    <w:rsid w:val="003D71D6"/>
    <w:rsid w:val="003D725D"/>
    <w:rsid w:val="003D73AD"/>
    <w:rsid w:val="003D7402"/>
    <w:rsid w:val="003D754D"/>
    <w:rsid w:val="003D76A6"/>
    <w:rsid w:val="003D778D"/>
    <w:rsid w:val="003D7E0A"/>
    <w:rsid w:val="003D7ED0"/>
    <w:rsid w:val="003E0049"/>
    <w:rsid w:val="003E0078"/>
    <w:rsid w:val="003E00C0"/>
    <w:rsid w:val="003E0141"/>
    <w:rsid w:val="003E018E"/>
    <w:rsid w:val="003E045B"/>
    <w:rsid w:val="003E0513"/>
    <w:rsid w:val="003E059B"/>
    <w:rsid w:val="003E05E4"/>
    <w:rsid w:val="003E0812"/>
    <w:rsid w:val="003E096C"/>
    <w:rsid w:val="003E0A50"/>
    <w:rsid w:val="003E0B38"/>
    <w:rsid w:val="003E0D44"/>
    <w:rsid w:val="003E0DD0"/>
    <w:rsid w:val="003E1006"/>
    <w:rsid w:val="003E1049"/>
    <w:rsid w:val="003E10BF"/>
    <w:rsid w:val="003E18A8"/>
    <w:rsid w:val="003E1E26"/>
    <w:rsid w:val="003E1E27"/>
    <w:rsid w:val="003E1EB4"/>
    <w:rsid w:val="003E23F4"/>
    <w:rsid w:val="003E2407"/>
    <w:rsid w:val="003E2521"/>
    <w:rsid w:val="003E258E"/>
    <w:rsid w:val="003E27E2"/>
    <w:rsid w:val="003E2972"/>
    <w:rsid w:val="003E29F7"/>
    <w:rsid w:val="003E2A1E"/>
    <w:rsid w:val="003E2AE2"/>
    <w:rsid w:val="003E2EC6"/>
    <w:rsid w:val="003E2F70"/>
    <w:rsid w:val="003E2FEA"/>
    <w:rsid w:val="003E3211"/>
    <w:rsid w:val="003E331B"/>
    <w:rsid w:val="003E3827"/>
    <w:rsid w:val="003E385E"/>
    <w:rsid w:val="003E38A9"/>
    <w:rsid w:val="003E3960"/>
    <w:rsid w:val="003E3972"/>
    <w:rsid w:val="003E398D"/>
    <w:rsid w:val="003E3F52"/>
    <w:rsid w:val="003E3FB0"/>
    <w:rsid w:val="003E41C1"/>
    <w:rsid w:val="003E43F5"/>
    <w:rsid w:val="003E4426"/>
    <w:rsid w:val="003E44D5"/>
    <w:rsid w:val="003E46C3"/>
    <w:rsid w:val="003E4770"/>
    <w:rsid w:val="003E47F6"/>
    <w:rsid w:val="003E48B6"/>
    <w:rsid w:val="003E4969"/>
    <w:rsid w:val="003E49B7"/>
    <w:rsid w:val="003E4A3A"/>
    <w:rsid w:val="003E4DFE"/>
    <w:rsid w:val="003E4E81"/>
    <w:rsid w:val="003E4EE6"/>
    <w:rsid w:val="003E502C"/>
    <w:rsid w:val="003E50E0"/>
    <w:rsid w:val="003E52D2"/>
    <w:rsid w:val="003E52D7"/>
    <w:rsid w:val="003E57E0"/>
    <w:rsid w:val="003E5DDF"/>
    <w:rsid w:val="003E5E37"/>
    <w:rsid w:val="003E5F75"/>
    <w:rsid w:val="003E5F86"/>
    <w:rsid w:val="003E611B"/>
    <w:rsid w:val="003E6199"/>
    <w:rsid w:val="003E6295"/>
    <w:rsid w:val="003E634C"/>
    <w:rsid w:val="003E6675"/>
    <w:rsid w:val="003E671E"/>
    <w:rsid w:val="003E6758"/>
    <w:rsid w:val="003E6903"/>
    <w:rsid w:val="003E6B19"/>
    <w:rsid w:val="003E6BBB"/>
    <w:rsid w:val="003E6C25"/>
    <w:rsid w:val="003E6DE8"/>
    <w:rsid w:val="003E6EDE"/>
    <w:rsid w:val="003E6F88"/>
    <w:rsid w:val="003E6FBE"/>
    <w:rsid w:val="003E719B"/>
    <w:rsid w:val="003E7206"/>
    <w:rsid w:val="003E7356"/>
    <w:rsid w:val="003E738E"/>
    <w:rsid w:val="003E7498"/>
    <w:rsid w:val="003E7849"/>
    <w:rsid w:val="003E7850"/>
    <w:rsid w:val="003E79B7"/>
    <w:rsid w:val="003E7A12"/>
    <w:rsid w:val="003E7A3D"/>
    <w:rsid w:val="003E7C61"/>
    <w:rsid w:val="003E7D77"/>
    <w:rsid w:val="003E7E13"/>
    <w:rsid w:val="003E7F68"/>
    <w:rsid w:val="003F000E"/>
    <w:rsid w:val="003F00CC"/>
    <w:rsid w:val="003F0137"/>
    <w:rsid w:val="003F01C9"/>
    <w:rsid w:val="003F0317"/>
    <w:rsid w:val="003F0390"/>
    <w:rsid w:val="003F03BD"/>
    <w:rsid w:val="003F061A"/>
    <w:rsid w:val="003F07DF"/>
    <w:rsid w:val="003F0950"/>
    <w:rsid w:val="003F0A51"/>
    <w:rsid w:val="003F0CA1"/>
    <w:rsid w:val="003F0CBB"/>
    <w:rsid w:val="003F0E5D"/>
    <w:rsid w:val="003F1123"/>
    <w:rsid w:val="003F133F"/>
    <w:rsid w:val="003F1386"/>
    <w:rsid w:val="003F1649"/>
    <w:rsid w:val="003F16DA"/>
    <w:rsid w:val="003F16F4"/>
    <w:rsid w:val="003F1806"/>
    <w:rsid w:val="003F1A46"/>
    <w:rsid w:val="003F1BB2"/>
    <w:rsid w:val="003F1CCC"/>
    <w:rsid w:val="003F1D46"/>
    <w:rsid w:val="003F1FBD"/>
    <w:rsid w:val="003F2030"/>
    <w:rsid w:val="003F2033"/>
    <w:rsid w:val="003F20BC"/>
    <w:rsid w:val="003F2226"/>
    <w:rsid w:val="003F24CD"/>
    <w:rsid w:val="003F264B"/>
    <w:rsid w:val="003F29C3"/>
    <w:rsid w:val="003F2B7B"/>
    <w:rsid w:val="003F2BB1"/>
    <w:rsid w:val="003F2C8E"/>
    <w:rsid w:val="003F2DC7"/>
    <w:rsid w:val="003F2E5D"/>
    <w:rsid w:val="003F2F5C"/>
    <w:rsid w:val="003F2F63"/>
    <w:rsid w:val="003F32E1"/>
    <w:rsid w:val="003F3421"/>
    <w:rsid w:val="003F345B"/>
    <w:rsid w:val="003F379D"/>
    <w:rsid w:val="003F37DA"/>
    <w:rsid w:val="003F3B1A"/>
    <w:rsid w:val="003F3BBE"/>
    <w:rsid w:val="003F3C62"/>
    <w:rsid w:val="003F3DC6"/>
    <w:rsid w:val="003F3F34"/>
    <w:rsid w:val="003F4218"/>
    <w:rsid w:val="003F43B9"/>
    <w:rsid w:val="003F4450"/>
    <w:rsid w:val="003F45AC"/>
    <w:rsid w:val="003F46B7"/>
    <w:rsid w:val="003F4902"/>
    <w:rsid w:val="003F4941"/>
    <w:rsid w:val="003F4946"/>
    <w:rsid w:val="003F4987"/>
    <w:rsid w:val="003F49A2"/>
    <w:rsid w:val="003F4A14"/>
    <w:rsid w:val="003F4A6D"/>
    <w:rsid w:val="003F4B07"/>
    <w:rsid w:val="003F4B48"/>
    <w:rsid w:val="003F4CAD"/>
    <w:rsid w:val="003F4DC5"/>
    <w:rsid w:val="003F4DFA"/>
    <w:rsid w:val="003F4F63"/>
    <w:rsid w:val="003F54D4"/>
    <w:rsid w:val="003F553F"/>
    <w:rsid w:val="003F55F3"/>
    <w:rsid w:val="003F570D"/>
    <w:rsid w:val="003F5865"/>
    <w:rsid w:val="003F5877"/>
    <w:rsid w:val="003F5ADE"/>
    <w:rsid w:val="003F5CE9"/>
    <w:rsid w:val="003F5D80"/>
    <w:rsid w:val="003F6044"/>
    <w:rsid w:val="003F64A7"/>
    <w:rsid w:val="003F6505"/>
    <w:rsid w:val="003F66A0"/>
    <w:rsid w:val="003F6C7B"/>
    <w:rsid w:val="003F6CAA"/>
    <w:rsid w:val="003F6EAD"/>
    <w:rsid w:val="003F6EF8"/>
    <w:rsid w:val="003F6F00"/>
    <w:rsid w:val="003F74CF"/>
    <w:rsid w:val="003F77BB"/>
    <w:rsid w:val="003F788A"/>
    <w:rsid w:val="003F7890"/>
    <w:rsid w:val="003F7A0C"/>
    <w:rsid w:val="003F7C7B"/>
    <w:rsid w:val="003F7E7A"/>
    <w:rsid w:val="003F7F04"/>
    <w:rsid w:val="004002AD"/>
    <w:rsid w:val="0040040A"/>
    <w:rsid w:val="0040071D"/>
    <w:rsid w:val="00400957"/>
    <w:rsid w:val="004009A6"/>
    <w:rsid w:val="00400ABF"/>
    <w:rsid w:val="00400AFE"/>
    <w:rsid w:val="00400B9D"/>
    <w:rsid w:val="00400C66"/>
    <w:rsid w:val="00400D22"/>
    <w:rsid w:val="0040108B"/>
    <w:rsid w:val="004011A4"/>
    <w:rsid w:val="004013C1"/>
    <w:rsid w:val="004015E6"/>
    <w:rsid w:val="00401690"/>
    <w:rsid w:val="00401824"/>
    <w:rsid w:val="00401AD5"/>
    <w:rsid w:val="00401B56"/>
    <w:rsid w:val="00401C9F"/>
    <w:rsid w:val="00402186"/>
    <w:rsid w:val="004022D5"/>
    <w:rsid w:val="00402316"/>
    <w:rsid w:val="0040248A"/>
    <w:rsid w:val="004024A2"/>
    <w:rsid w:val="004025F9"/>
    <w:rsid w:val="00402722"/>
    <w:rsid w:val="0040287C"/>
    <w:rsid w:val="004029E4"/>
    <w:rsid w:val="00402BE9"/>
    <w:rsid w:val="00402CA4"/>
    <w:rsid w:val="00402E02"/>
    <w:rsid w:val="0040315E"/>
    <w:rsid w:val="004037CC"/>
    <w:rsid w:val="0040383F"/>
    <w:rsid w:val="0040385B"/>
    <w:rsid w:val="0040386C"/>
    <w:rsid w:val="0040392F"/>
    <w:rsid w:val="00403A0A"/>
    <w:rsid w:val="00403C6E"/>
    <w:rsid w:val="00403ED7"/>
    <w:rsid w:val="00403F38"/>
    <w:rsid w:val="00403FD0"/>
    <w:rsid w:val="004041BE"/>
    <w:rsid w:val="0040423C"/>
    <w:rsid w:val="00404260"/>
    <w:rsid w:val="00404323"/>
    <w:rsid w:val="0040433B"/>
    <w:rsid w:val="00404465"/>
    <w:rsid w:val="0040467D"/>
    <w:rsid w:val="00404A9F"/>
    <w:rsid w:val="00404AEA"/>
    <w:rsid w:val="00404AF1"/>
    <w:rsid w:val="00404B82"/>
    <w:rsid w:val="00404E63"/>
    <w:rsid w:val="00404FF5"/>
    <w:rsid w:val="004054E4"/>
    <w:rsid w:val="0040556A"/>
    <w:rsid w:val="0040575E"/>
    <w:rsid w:val="0040588F"/>
    <w:rsid w:val="00405ABC"/>
    <w:rsid w:val="0040609C"/>
    <w:rsid w:val="004061F0"/>
    <w:rsid w:val="004061FD"/>
    <w:rsid w:val="00406217"/>
    <w:rsid w:val="00406385"/>
    <w:rsid w:val="00406471"/>
    <w:rsid w:val="004065EA"/>
    <w:rsid w:val="004067B6"/>
    <w:rsid w:val="004067CC"/>
    <w:rsid w:val="004068F0"/>
    <w:rsid w:val="00406A35"/>
    <w:rsid w:val="00406AAE"/>
    <w:rsid w:val="00406B4D"/>
    <w:rsid w:val="00406CA8"/>
    <w:rsid w:val="00406DB0"/>
    <w:rsid w:val="00406DCE"/>
    <w:rsid w:val="00406FE5"/>
    <w:rsid w:val="00407069"/>
    <w:rsid w:val="004070AA"/>
    <w:rsid w:val="00407151"/>
    <w:rsid w:val="00407263"/>
    <w:rsid w:val="00407384"/>
    <w:rsid w:val="00407676"/>
    <w:rsid w:val="004077B5"/>
    <w:rsid w:val="004079A5"/>
    <w:rsid w:val="00407A03"/>
    <w:rsid w:val="00407A8D"/>
    <w:rsid w:val="00407BEA"/>
    <w:rsid w:val="00407C96"/>
    <w:rsid w:val="00407F27"/>
    <w:rsid w:val="0041007C"/>
    <w:rsid w:val="004100EA"/>
    <w:rsid w:val="004100FD"/>
    <w:rsid w:val="00410244"/>
    <w:rsid w:val="00410404"/>
    <w:rsid w:val="0041069F"/>
    <w:rsid w:val="00410738"/>
    <w:rsid w:val="004108CF"/>
    <w:rsid w:val="00410ACC"/>
    <w:rsid w:val="00410C28"/>
    <w:rsid w:val="00410CB7"/>
    <w:rsid w:val="00410ED9"/>
    <w:rsid w:val="004111F5"/>
    <w:rsid w:val="004114FE"/>
    <w:rsid w:val="00411578"/>
    <w:rsid w:val="00411595"/>
    <w:rsid w:val="004115B6"/>
    <w:rsid w:val="00411649"/>
    <w:rsid w:val="00411665"/>
    <w:rsid w:val="004116AA"/>
    <w:rsid w:val="004116D5"/>
    <w:rsid w:val="00411B01"/>
    <w:rsid w:val="00411C7D"/>
    <w:rsid w:val="00411CC5"/>
    <w:rsid w:val="00411E7B"/>
    <w:rsid w:val="00411F95"/>
    <w:rsid w:val="00411FA7"/>
    <w:rsid w:val="0041202A"/>
    <w:rsid w:val="00412450"/>
    <w:rsid w:val="004124BB"/>
    <w:rsid w:val="0041253C"/>
    <w:rsid w:val="00412553"/>
    <w:rsid w:val="004125B5"/>
    <w:rsid w:val="004125DF"/>
    <w:rsid w:val="00412627"/>
    <w:rsid w:val="004126DC"/>
    <w:rsid w:val="00412842"/>
    <w:rsid w:val="00412870"/>
    <w:rsid w:val="00412992"/>
    <w:rsid w:val="00413159"/>
    <w:rsid w:val="004134DD"/>
    <w:rsid w:val="004135F6"/>
    <w:rsid w:val="00413620"/>
    <w:rsid w:val="0041368C"/>
    <w:rsid w:val="00413733"/>
    <w:rsid w:val="00413968"/>
    <w:rsid w:val="00413B65"/>
    <w:rsid w:val="00413B91"/>
    <w:rsid w:val="00413D73"/>
    <w:rsid w:val="00413DAD"/>
    <w:rsid w:val="00413E73"/>
    <w:rsid w:val="00413E81"/>
    <w:rsid w:val="00413F6C"/>
    <w:rsid w:val="00414089"/>
    <w:rsid w:val="004140FC"/>
    <w:rsid w:val="0041420D"/>
    <w:rsid w:val="00414312"/>
    <w:rsid w:val="00414796"/>
    <w:rsid w:val="004148EA"/>
    <w:rsid w:val="00414A30"/>
    <w:rsid w:val="00414B5A"/>
    <w:rsid w:val="00414E62"/>
    <w:rsid w:val="00414F51"/>
    <w:rsid w:val="00414F9B"/>
    <w:rsid w:val="0041513F"/>
    <w:rsid w:val="00415170"/>
    <w:rsid w:val="0041517D"/>
    <w:rsid w:val="00415393"/>
    <w:rsid w:val="0041553E"/>
    <w:rsid w:val="00415647"/>
    <w:rsid w:val="00415919"/>
    <w:rsid w:val="00415A41"/>
    <w:rsid w:val="00415E20"/>
    <w:rsid w:val="00415F6E"/>
    <w:rsid w:val="00415FFF"/>
    <w:rsid w:val="00416310"/>
    <w:rsid w:val="0041647D"/>
    <w:rsid w:val="004165CC"/>
    <w:rsid w:val="004165F5"/>
    <w:rsid w:val="00416668"/>
    <w:rsid w:val="0041667C"/>
    <w:rsid w:val="004166ED"/>
    <w:rsid w:val="004168AC"/>
    <w:rsid w:val="00416A9F"/>
    <w:rsid w:val="00416B7E"/>
    <w:rsid w:val="00416DF7"/>
    <w:rsid w:val="00417134"/>
    <w:rsid w:val="0041713E"/>
    <w:rsid w:val="00417145"/>
    <w:rsid w:val="00417502"/>
    <w:rsid w:val="00417721"/>
    <w:rsid w:val="0041775C"/>
    <w:rsid w:val="00417809"/>
    <w:rsid w:val="0041788F"/>
    <w:rsid w:val="00417ABB"/>
    <w:rsid w:val="00417DA2"/>
    <w:rsid w:val="00417F5B"/>
    <w:rsid w:val="00417FB9"/>
    <w:rsid w:val="004202A3"/>
    <w:rsid w:val="0042066D"/>
    <w:rsid w:val="00420CC0"/>
    <w:rsid w:val="00420E46"/>
    <w:rsid w:val="00420F47"/>
    <w:rsid w:val="004211D9"/>
    <w:rsid w:val="00421330"/>
    <w:rsid w:val="004213F9"/>
    <w:rsid w:val="0042147B"/>
    <w:rsid w:val="0042152E"/>
    <w:rsid w:val="00421561"/>
    <w:rsid w:val="00421601"/>
    <w:rsid w:val="00421846"/>
    <w:rsid w:val="0042186C"/>
    <w:rsid w:val="00421A3F"/>
    <w:rsid w:val="00421A8B"/>
    <w:rsid w:val="00421ACB"/>
    <w:rsid w:val="00421C45"/>
    <w:rsid w:val="00421DD9"/>
    <w:rsid w:val="00421F74"/>
    <w:rsid w:val="00421FB3"/>
    <w:rsid w:val="0042203C"/>
    <w:rsid w:val="00422043"/>
    <w:rsid w:val="0042237B"/>
    <w:rsid w:val="0042280B"/>
    <w:rsid w:val="004228A0"/>
    <w:rsid w:val="00422B5E"/>
    <w:rsid w:val="00422C72"/>
    <w:rsid w:val="00422D36"/>
    <w:rsid w:val="00422E58"/>
    <w:rsid w:val="00422FBC"/>
    <w:rsid w:val="004230B5"/>
    <w:rsid w:val="00423102"/>
    <w:rsid w:val="004233B3"/>
    <w:rsid w:val="0042342B"/>
    <w:rsid w:val="00423710"/>
    <w:rsid w:val="00423745"/>
    <w:rsid w:val="004239D3"/>
    <w:rsid w:val="00423B32"/>
    <w:rsid w:val="00423D9F"/>
    <w:rsid w:val="00423E2F"/>
    <w:rsid w:val="00423FDD"/>
    <w:rsid w:val="004241E1"/>
    <w:rsid w:val="00424719"/>
    <w:rsid w:val="00424AFA"/>
    <w:rsid w:val="00424B48"/>
    <w:rsid w:val="00424B7A"/>
    <w:rsid w:val="00424C56"/>
    <w:rsid w:val="00424D48"/>
    <w:rsid w:val="0042525D"/>
    <w:rsid w:val="0042525F"/>
    <w:rsid w:val="004253E6"/>
    <w:rsid w:val="0042543A"/>
    <w:rsid w:val="004258BA"/>
    <w:rsid w:val="00425974"/>
    <w:rsid w:val="00425A22"/>
    <w:rsid w:val="00425B20"/>
    <w:rsid w:val="00425CCC"/>
    <w:rsid w:val="00425D31"/>
    <w:rsid w:val="00425F29"/>
    <w:rsid w:val="00425F2E"/>
    <w:rsid w:val="00425F8F"/>
    <w:rsid w:val="004260A4"/>
    <w:rsid w:val="004264E1"/>
    <w:rsid w:val="0042651E"/>
    <w:rsid w:val="0042655F"/>
    <w:rsid w:val="004265BC"/>
    <w:rsid w:val="00426E56"/>
    <w:rsid w:val="00426E97"/>
    <w:rsid w:val="0042724D"/>
    <w:rsid w:val="004273B3"/>
    <w:rsid w:val="004275F3"/>
    <w:rsid w:val="00427B44"/>
    <w:rsid w:val="00427BC3"/>
    <w:rsid w:val="00427BFB"/>
    <w:rsid w:val="00427C12"/>
    <w:rsid w:val="00427DBE"/>
    <w:rsid w:val="00427E0B"/>
    <w:rsid w:val="00427F42"/>
    <w:rsid w:val="00427F4D"/>
    <w:rsid w:val="00427FE6"/>
    <w:rsid w:val="00430114"/>
    <w:rsid w:val="0043012E"/>
    <w:rsid w:val="0043014A"/>
    <w:rsid w:val="004303A0"/>
    <w:rsid w:val="0043098E"/>
    <w:rsid w:val="004309E3"/>
    <w:rsid w:val="00430A29"/>
    <w:rsid w:val="00430AE4"/>
    <w:rsid w:val="00430B3E"/>
    <w:rsid w:val="00430B9B"/>
    <w:rsid w:val="00430BD3"/>
    <w:rsid w:val="00430C13"/>
    <w:rsid w:val="00430CA0"/>
    <w:rsid w:val="00430DD5"/>
    <w:rsid w:val="00430E21"/>
    <w:rsid w:val="00430EC7"/>
    <w:rsid w:val="00430F22"/>
    <w:rsid w:val="00430FB5"/>
    <w:rsid w:val="0043108E"/>
    <w:rsid w:val="0043163C"/>
    <w:rsid w:val="004316BC"/>
    <w:rsid w:val="00431715"/>
    <w:rsid w:val="004318B4"/>
    <w:rsid w:val="004318C5"/>
    <w:rsid w:val="00431D03"/>
    <w:rsid w:val="00431D31"/>
    <w:rsid w:val="00431F5B"/>
    <w:rsid w:val="004320CA"/>
    <w:rsid w:val="004321FE"/>
    <w:rsid w:val="0043234A"/>
    <w:rsid w:val="004324C2"/>
    <w:rsid w:val="0043267C"/>
    <w:rsid w:val="00432720"/>
    <w:rsid w:val="00432831"/>
    <w:rsid w:val="00432AA4"/>
    <w:rsid w:val="00432C89"/>
    <w:rsid w:val="00432EC5"/>
    <w:rsid w:val="00433201"/>
    <w:rsid w:val="00433273"/>
    <w:rsid w:val="0043335C"/>
    <w:rsid w:val="004334D4"/>
    <w:rsid w:val="004334DA"/>
    <w:rsid w:val="00433639"/>
    <w:rsid w:val="00433818"/>
    <w:rsid w:val="00433A51"/>
    <w:rsid w:val="00433AE9"/>
    <w:rsid w:val="00433B12"/>
    <w:rsid w:val="00433BD1"/>
    <w:rsid w:val="00433C2B"/>
    <w:rsid w:val="00433D58"/>
    <w:rsid w:val="00433E03"/>
    <w:rsid w:val="00433EA3"/>
    <w:rsid w:val="0043409D"/>
    <w:rsid w:val="004340EC"/>
    <w:rsid w:val="00434303"/>
    <w:rsid w:val="004345D2"/>
    <w:rsid w:val="004345F0"/>
    <w:rsid w:val="0043472A"/>
    <w:rsid w:val="0043486E"/>
    <w:rsid w:val="00434DF8"/>
    <w:rsid w:val="00434E7E"/>
    <w:rsid w:val="00434E7F"/>
    <w:rsid w:val="004352A2"/>
    <w:rsid w:val="004354E2"/>
    <w:rsid w:val="004357E0"/>
    <w:rsid w:val="004357F8"/>
    <w:rsid w:val="0043599A"/>
    <w:rsid w:val="00435A45"/>
    <w:rsid w:val="00435D14"/>
    <w:rsid w:val="00435D48"/>
    <w:rsid w:val="00435D8C"/>
    <w:rsid w:val="00435E1C"/>
    <w:rsid w:val="00436038"/>
    <w:rsid w:val="0043616C"/>
    <w:rsid w:val="0043628E"/>
    <w:rsid w:val="004362E3"/>
    <w:rsid w:val="00436698"/>
    <w:rsid w:val="0043679B"/>
    <w:rsid w:val="004368A1"/>
    <w:rsid w:val="00436D7F"/>
    <w:rsid w:val="00436F5E"/>
    <w:rsid w:val="00436FE1"/>
    <w:rsid w:val="004377B8"/>
    <w:rsid w:val="004378D9"/>
    <w:rsid w:val="00437A65"/>
    <w:rsid w:val="00437CA9"/>
    <w:rsid w:val="00437F6C"/>
    <w:rsid w:val="004400E2"/>
    <w:rsid w:val="0044049C"/>
    <w:rsid w:val="004404FA"/>
    <w:rsid w:val="00440A52"/>
    <w:rsid w:val="00440BBB"/>
    <w:rsid w:val="00440C4F"/>
    <w:rsid w:val="00440CFE"/>
    <w:rsid w:val="00441229"/>
    <w:rsid w:val="00441243"/>
    <w:rsid w:val="004412DC"/>
    <w:rsid w:val="0044130D"/>
    <w:rsid w:val="00441644"/>
    <w:rsid w:val="004418E2"/>
    <w:rsid w:val="0044194A"/>
    <w:rsid w:val="00441B8F"/>
    <w:rsid w:val="00441C1E"/>
    <w:rsid w:val="00441D99"/>
    <w:rsid w:val="00441D9E"/>
    <w:rsid w:val="00441F17"/>
    <w:rsid w:val="004420F0"/>
    <w:rsid w:val="004421E5"/>
    <w:rsid w:val="00442318"/>
    <w:rsid w:val="004423C7"/>
    <w:rsid w:val="004426C0"/>
    <w:rsid w:val="004428E9"/>
    <w:rsid w:val="004429B4"/>
    <w:rsid w:val="004429FC"/>
    <w:rsid w:val="00442A3B"/>
    <w:rsid w:val="00442AD8"/>
    <w:rsid w:val="00442E3D"/>
    <w:rsid w:val="00442E79"/>
    <w:rsid w:val="00442ED2"/>
    <w:rsid w:val="00442F0E"/>
    <w:rsid w:val="00442FC7"/>
    <w:rsid w:val="00443264"/>
    <w:rsid w:val="0044328B"/>
    <w:rsid w:val="004432D5"/>
    <w:rsid w:val="00443523"/>
    <w:rsid w:val="0044356B"/>
    <w:rsid w:val="004437A7"/>
    <w:rsid w:val="0044387E"/>
    <w:rsid w:val="00443C35"/>
    <w:rsid w:val="00444010"/>
    <w:rsid w:val="00444225"/>
    <w:rsid w:val="0044422F"/>
    <w:rsid w:val="00444230"/>
    <w:rsid w:val="004442C7"/>
    <w:rsid w:val="004443E4"/>
    <w:rsid w:val="00444577"/>
    <w:rsid w:val="004447B5"/>
    <w:rsid w:val="00444959"/>
    <w:rsid w:val="00444967"/>
    <w:rsid w:val="00444A1B"/>
    <w:rsid w:val="00444D4A"/>
    <w:rsid w:val="00444E30"/>
    <w:rsid w:val="00444E5B"/>
    <w:rsid w:val="004450B8"/>
    <w:rsid w:val="0044525E"/>
    <w:rsid w:val="0044544A"/>
    <w:rsid w:val="004455D5"/>
    <w:rsid w:val="004457A2"/>
    <w:rsid w:val="0044595C"/>
    <w:rsid w:val="004459A9"/>
    <w:rsid w:val="004459B1"/>
    <w:rsid w:val="004459CE"/>
    <w:rsid w:val="00445AAD"/>
    <w:rsid w:val="00445BC1"/>
    <w:rsid w:val="00445D29"/>
    <w:rsid w:val="00445E59"/>
    <w:rsid w:val="00445F1A"/>
    <w:rsid w:val="004463CD"/>
    <w:rsid w:val="004464CB"/>
    <w:rsid w:val="00446749"/>
    <w:rsid w:val="00446783"/>
    <w:rsid w:val="00446897"/>
    <w:rsid w:val="004468C8"/>
    <w:rsid w:val="00446A96"/>
    <w:rsid w:val="00446AB8"/>
    <w:rsid w:val="00446C07"/>
    <w:rsid w:val="00446C30"/>
    <w:rsid w:val="00446D68"/>
    <w:rsid w:val="00446DCC"/>
    <w:rsid w:val="00446E3F"/>
    <w:rsid w:val="00446FE3"/>
    <w:rsid w:val="004470AA"/>
    <w:rsid w:val="00447188"/>
    <w:rsid w:val="00447298"/>
    <w:rsid w:val="00447334"/>
    <w:rsid w:val="0044738B"/>
    <w:rsid w:val="00447508"/>
    <w:rsid w:val="00447722"/>
    <w:rsid w:val="00447739"/>
    <w:rsid w:val="00447756"/>
    <w:rsid w:val="004477F7"/>
    <w:rsid w:val="0044794A"/>
    <w:rsid w:val="00447D91"/>
    <w:rsid w:val="00447DF3"/>
    <w:rsid w:val="00450030"/>
    <w:rsid w:val="0045015E"/>
    <w:rsid w:val="00450328"/>
    <w:rsid w:val="00450429"/>
    <w:rsid w:val="004504D3"/>
    <w:rsid w:val="00450527"/>
    <w:rsid w:val="00450923"/>
    <w:rsid w:val="004509B3"/>
    <w:rsid w:val="00450AF9"/>
    <w:rsid w:val="00450B33"/>
    <w:rsid w:val="00450B7D"/>
    <w:rsid w:val="00450C41"/>
    <w:rsid w:val="00450CF6"/>
    <w:rsid w:val="00450EEC"/>
    <w:rsid w:val="0045136A"/>
    <w:rsid w:val="00451461"/>
    <w:rsid w:val="00451565"/>
    <w:rsid w:val="0045175B"/>
    <w:rsid w:val="004518BD"/>
    <w:rsid w:val="00451A15"/>
    <w:rsid w:val="00451B37"/>
    <w:rsid w:val="00451B72"/>
    <w:rsid w:val="00451BDC"/>
    <w:rsid w:val="00451CD2"/>
    <w:rsid w:val="00451D2B"/>
    <w:rsid w:val="00451D65"/>
    <w:rsid w:val="00451DFE"/>
    <w:rsid w:val="00451FD9"/>
    <w:rsid w:val="004521FB"/>
    <w:rsid w:val="00452216"/>
    <w:rsid w:val="00452328"/>
    <w:rsid w:val="0045280D"/>
    <w:rsid w:val="00452824"/>
    <w:rsid w:val="004528B0"/>
    <w:rsid w:val="004528F2"/>
    <w:rsid w:val="00452A6B"/>
    <w:rsid w:val="00452E60"/>
    <w:rsid w:val="00452EE6"/>
    <w:rsid w:val="00453007"/>
    <w:rsid w:val="00453060"/>
    <w:rsid w:val="004531CC"/>
    <w:rsid w:val="00453560"/>
    <w:rsid w:val="0045378E"/>
    <w:rsid w:val="00453972"/>
    <w:rsid w:val="00453988"/>
    <w:rsid w:val="00453A78"/>
    <w:rsid w:val="00453A97"/>
    <w:rsid w:val="00453C09"/>
    <w:rsid w:val="00453F72"/>
    <w:rsid w:val="00453FBD"/>
    <w:rsid w:val="0045408B"/>
    <w:rsid w:val="00454251"/>
    <w:rsid w:val="004543A5"/>
    <w:rsid w:val="004543F1"/>
    <w:rsid w:val="00454586"/>
    <w:rsid w:val="00454660"/>
    <w:rsid w:val="00454776"/>
    <w:rsid w:val="00454997"/>
    <w:rsid w:val="00454B1E"/>
    <w:rsid w:val="00454D7E"/>
    <w:rsid w:val="00454EA6"/>
    <w:rsid w:val="00454FBF"/>
    <w:rsid w:val="00455195"/>
    <w:rsid w:val="004551BD"/>
    <w:rsid w:val="0045526A"/>
    <w:rsid w:val="00455487"/>
    <w:rsid w:val="004555C6"/>
    <w:rsid w:val="0045563B"/>
    <w:rsid w:val="0045575F"/>
    <w:rsid w:val="004557BA"/>
    <w:rsid w:val="004557C7"/>
    <w:rsid w:val="00455807"/>
    <w:rsid w:val="0045597F"/>
    <w:rsid w:val="004559C3"/>
    <w:rsid w:val="00455A19"/>
    <w:rsid w:val="00455A31"/>
    <w:rsid w:val="00455C55"/>
    <w:rsid w:val="00455E9C"/>
    <w:rsid w:val="00455F51"/>
    <w:rsid w:val="00456119"/>
    <w:rsid w:val="0045666F"/>
    <w:rsid w:val="00456698"/>
    <w:rsid w:val="00456910"/>
    <w:rsid w:val="00456A17"/>
    <w:rsid w:val="00456AC8"/>
    <w:rsid w:val="00456DE9"/>
    <w:rsid w:val="00456E50"/>
    <w:rsid w:val="00456F59"/>
    <w:rsid w:val="004570A8"/>
    <w:rsid w:val="004570E9"/>
    <w:rsid w:val="004570EC"/>
    <w:rsid w:val="00457130"/>
    <w:rsid w:val="00457440"/>
    <w:rsid w:val="004575C4"/>
    <w:rsid w:val="00457726"/>
    <w:rsid w:val="00457934"/>
    <w:rsid w:val="004579CC"/>
    <w:rsid w:val="00457A92"/>
    <w:rsid w:val="00457C50"/>
    <w:rsid w:val="00457C8F"/>
    <w:rsid w:val="00457DF2"/>
    <w:rsid w:val="00457FD3"/>
    <w:rsid w:val="00457FF1"/>
    <w:rsid w:val="00460123"/>
    <w:rsid w:val="0046015F"/>
    <w:rsid w:val="004603BF"/>
    <w:rsid w:val="004603EE"/>
    <w:rsid w:val="004605B1"/>
    <w:rsid w:val="0046067F"/>
    <w:rsid w:val="00460733"/>
    <w:rsid w:val="0046079B"/>
    <w:rsid w:val="00460914"/>
    <w:rsid w:val="00460940"/>
    <w:rsid w:val="004609DC"/>
    <w:rsid w:val="00460A5A"/>
    <w:rsid w:val="00460BB1"/>
    <w:rsid w:val="00460CB8"/>
    <w:rsid w:val="00460E4D"/>
    <w:rsid w:val="00460F8F"/>
    <w:rsid w:val="00461117"/>
    <w:rsid w:val="0046138F"/>
    <w:rsid w:val="004613A9"/>
    <w:rsid w:val="004617F8"/>
    <w:rsid w:val="0046196E"/>
    <w:rsid w:val="00461A3E"/>
    <w:rsid w:val="00461B07"/>
    <w:rsid w:val="00461C93"/>
    <w:rsid w:val="00461D10"/>
    <w:rsid w:val="0046209B"/>
    <w:rsid w:val="00462182"/>
    <w:rsid w:val="00462193"/>
    <w:rsid w:val="004621CD"/>
    <w:rsid w:val="00462435"/>
    <w:rsid w:val="004624BB"/>
    <w:rsid w:val="00462582"/>
    <w:rsid w:val="004627D4"/>
    <w:rsid w:val="0046287B"/>
    <w:rsid w:val="00462ACC"/>
    <w:rsid w:val="00462B0C"/>
    <w:rsid w:val="00463019"/>
    <w:rsid w:val="00463134"/>
    <w:rsid w:val="00463395"/>
    <w:rsid w:val="0046344D"/>
    <w:rsid w:val="00463784"/>
    <w:rsid w:val="00463CD2"/>
    <w:rsid w:val="00463DE7"/>
    <w:rsid w:val="00463E55"/>
    <w:rsid w:val="00463ED6"/>
    <w:rsid w:val="00463FF3"/>
    <w:rsid w:val="004642BD"/>
    <w:rsid w:val="004645B9"/>
    <w:rsid w:val="004645E3"/>
    <w:rsid w:val="004647C9"/>
    <w:rsid w:val="00464A1B"/>
    <w:rsid w:val="00465356"/>
    <w:rsid w:val="00465399"/>
    <w:rsid w:val="004653CE"/>
    <w:rsid w:val="0046554D"/>
    <w:rsid w:val="0046561C"/>
    <w:rsid w:val="004658C8"/>
    <w:rsid w:val="00465A01"/>
    <w:rsid w:val="00465A27"/>
    <w:rsid w:val="00465A62"/>
    <w:rsid w:val="00465DB7"/>
    <w:rsid w:val="00465F73"/>
    <w:rsid w:val="00465F8C"/>
    <w:rsid w:val="00465F8D"/>
    <w:rsid w:val="00466142"/>
    <w:rsid w:val="00466235"/>
    <w:rsid w:val="00466400"/>
    <w:rsid w:val="0046648C"/>
    <w:rsid w:val="00466540"/>
    <w:rsid w:val="00466556"/>
    <w:rsid w:val="0046656E"/>
    <w:rsid w:val="004666B7"/>
    <w:rsid w:val="00466784"/>
    <w:rsid w:val="004667E0"/>
    <w:rsid w:val="00466857"/>
    <w:rsid w:val="0046685E"/>
    <w:rsid w:val="00466A6A"/>
    <w:rsid w:val="00466ABE"/>
    <w:rsid w:val="00466B8C"/>
    <w:rsid w:val="00466D70"/>
    <w:rsid w:val="00466ED9"/>
    <w:rsid w:val="004670FD"/>
    <w:rsid w:val="00467137"/>
    <w:rsid w:val="00467438"/>
    <w:rsid w:val="004676DA"/>
    <w:rsid w:val="0046776D"/>
    <w:rsid w:val="00467842"/>
    <w:rsid w:val="00467888"/>
    <w:rsid w:val="00467AA6"/>
    <w:rsid w:val="00467AC0"/>
    <w:rsid w:val="00467DF3"/>
    <w:rsid w:val="00467E55"/>
    <w:rsid w:val="00467F16"/>
    <w:rsid w:val="00470428"/>
    <w:rsid w:val="0047048E"/>
    <w:rsid w:val="004706C4"/>
    <w:rsid w:val="004708F6"/>
    <w:rsid w:val="00470C54"/>
    <w:rsid w:val="00470E93"/>
    <w:rsid w:val="00470F16"/>
    <w:rsid w:val="004712A8"/>
    <w:rsid w:val="0047137E"/>
    <w:rsid w:val="004713EC"/>
    <w:rsid w:val="0047188E"/>
    <w:rsid w:val="004718B2"/>
    <w:rsid w:val="00471B16"/>
    <w:rsid w:val="00471B8D"/>
    <w:rsid w:val="00471C0D"/>
    <w:rsid w:val="00471C90"/>
    <w:rsid w:val="00471DED"/>
    <w:rsid w:val="004721A6"/>
    <w:rsid w:val="004721EB"/>
    <w:rsid w:val="004721F8"/>
    <w:rsid w:val="00472219"/>
    <w:rsid w:val="00472331"/>
    <w:rsid w:val="0047235A"/>
    <w:rsid w:val="004725DF"/>
    <w:rsid w:val="00472679"/>
    <w:rsid w:val="00472D30"/>
    <w:rsid w:val="00472D57"/>
    <w:rsid w:val="00472E1B"/>
    <w:rsid w:val="00472EA7"/>
    <w:rsid w:val="00472EEA"/>
    <w:rsid w:val="00473030"/>
    <w:rsid w:val="0047307E"/>
    <w:rsid w:val="004730B4"/>
    <w:rsid w:val="004731E6"/>
    <w:rsid w:val="004733F8"/>
    <w:rsid w:val="004735F3"/>
    <w:rsid w:val="00473647"/>
    <w:rsid w:val="0047387F"/>
    <w:rsid w:val="004738F2"/>
    <w:rsid w:val="00473929"/>
    <w:rsid w:val="0047394F"/>
    <w:rsid w:val="00473A30"/>
    <w:rsid w:val="00473A38"/>
    <w:rsid w:val="00473AE5"/>
    <w:rsid w:val="00473FFD"/>
    <w:rsid w:val="00474169"/>
    <w:rsid w:val="00474293"/>
    <w:rsid w:val="004742EB"/>
    <w:rsid w:val="00474384"/>
    <w:rsid w:val="0047447A"/>
    <w:rsid w:val="004746C2"/>
    <w:rsid w:val="00474707"/>
    <w:rsid w:val="00474748"/>
    <w:rsid w:val="00474BBE"/>
    <w:rsid w:val="00474FD0"/>
    <w:rsid w:val="004753A4"/>
    <w:rsid w:val="00475415"/>
    <w:rsid w:val="004754EB"/>
    <w:rsid w:val="00475600"/>
    <w:rsid w:val="00475988"/>
    <w:rsid w:val="004759A7"/>
    <w:rsid w:val="00475BB5"/>
    <w:rsid w:val="00475C73"/>
    <w:rsid w:val="00475EB7"/>
    <w:rsid w:val="0047601F"/>
    <w:rsid w:val="00476104"/>
    <w:rsid w:val="004762C0"/>
    <w:rsid w:val="004766E5"/>
    <w:rsid w:val="00476A8C"/>
    <w:rsid w:val="00476B83"/>
    <w:rsid w:val="00476D64"/>
    <w:rsid w:val="00476E7B"/>
    <w:rsid w:val="00476EB4"/>
    <w:rsid w:val="00476FCD"/>
    <w:rsid w:val="0047716F"/>
    <w:rsid w:val="004771FE"/>
    <w:rsid w:val="004773D6"/>
    <w:rsid w:val="004774DA"/>
    <w:rsid w:val="00477647"/>
    <w:rsid w:val="004800D3"/>
    <w:rsid w:val="00480409"/>
    <w:rsid w:val="00480453"/>
    <w:rsid w:val="004805AA"/>
    <w:rsid w:val="004807D4"/>
    <w:rsid w:val="0048099F"/>
    <w:rsid w:val="00480DC7"/>
    <w:rsid w:val="00480FFF"/>
    <w:rsid w:val="0048117E"/>
    <w:rsid w:val="00481452"/>
    <w:rsid w:val="0048179A"/>
    <w:rsid w:val="00481B37"/>
    <w:rsid w:val="00481BDA"/>
    <w:rsid w:val="00481CAF"/>
    <w:rsid w:val="00481EE1"/>
    <w:rsid w:val="00482369"/>
    <w:rsid w:val="0048244A"/>
    <w:rsid w:val="004826CD"/>
    <w:rsid w:val="004826CF"/>
    <w:rsid w:val="004827EC"/>
    <w:rsid w:val="004827FC"/>
    <w:rsid w:val="00482855"/>
    <w:rsid w:val="00482D52"/>
    <w:rsid w:val="00482DD2"/>
    <w:rsid w:val="00482DF4"/>
    <w:rsid w:val="00482E18"/>
    <w:rsid w:val="00482F29"/>
    <w:rsid w:val="0048303F"/>
    <w:rsid w:val="004830E7"/>
    <w:rsid w:val="00483159"/>
    <w:rsid w:val="00483585"/>
    <w:rsid w:val="00483649"/>
    <w:rsid w:val="0048365E"/>
    <w:rsid w:val="00483716"/>
    <w:rsid w:val="0048375B"/>
    <w:rsid w:val="0048392D"/>
    <w:rsid w:val="004839AC"/>
    <w:rsid w:val="004839C1"/>
    <w:rsid w:val="00483E8C"/>
    <w:rsid w:val="00483F64"/>
    <w:rsid w:val="00483F89"/>
    <w:rsid w:val="0048406A"/>
    <w:rsid w:val="00484071"/>
    <w:rsid w:val="0048429E"/>
    <w:rsid w:val="004846F0"/>
    <w:rsid w:val="0048472A"/>
    <w:rsid w:val="004848E9"/>
    <w:rsid w:val="004848F5"/>
    <w:rsid w:val="0048492D"/>
    <w:rsid w:val="004849F7"/>
    <w:rsid w:val="00484A4C"/>
    <w:rsid w:val="00484CC4"/>
    <w:rsid w:val="00484D41"/>
    <w:rsid w:val="00484D95"/>
    <w:rsid w:val="00485017"/>
    <w:rsid w:val="00485255"/>
    <w:rsid w:val="00485450"/>
    <w:rsid w:val="0048554B"/>
    <w:rsid w:val="004855F3"/>
    <w:rsid w:val="0048562F"/>
    <w:rsid w:val="00485782"/>
    <w:rsid w:val="00485792"/>
    <w:rsid w:val="00485810"/>
    <w:rsid w:val="0048589A"/>
    <w:rsid w:val="004859A7"/>
    <w:rsid w:val="004859CE"/>
    <w:rsid w:val="00485ADA"/>
    <w:rsid w:val="00485BA6"/>
    <w:rsid w:val="00485D65"/>
    <w:rsid w:val="004860B8"/>
    <w:rsid w:val="0048616F"/>
    <w:rsid w:val="00486189"/>
    <w:rsid w:val="0048636C"/>
    <w:rsid w:val="00486411"/>
    <w:rsid w:val="00486608"/>
    <w:rsid w:val="00486672"/>
    <w:rsid w:val="004868BF"/>
    <w:rsid w:val="004868F9"/>
    <w:rsid w:val="00486ACB"/>
    <w:rsid w:val="00486AFC"/>
    <w:rsid w:val="00486E28"/>
    <w:rsid w:val="00486F9C"/>
    <w:rsid w:val="00487110"/>
    <w:rsid w:val="0048711D"/>
    <w:rsid w:val="00487343"/>
    <w:rsid w:val="00487444"/>
    <w:rsid w:val="00487471"/>
    <w:rsid w:val="004874A9"/>
    <w:rsid w:val="004874B2"/>
    <w:rsid w:val="004875AF"/>
    <w:rsid w:val="0048768F"/>
    <w:rsid w:val="00487911"/>
    <w:rsid w:val="00487C32"/>
    <w:rsid w:val="00487C56"/>
    <w:rsid w:val="00487D3D"/>
    <w:rsid w:val="00487E0E"/>
    <w:rsid w:val="00487EB2"/>
    <w:rsid w:val="00487EF6"/>
    <w:rsid w:val="00490082"/>
    <w:rsid w:val="0049029D"/>
    <w:rsid w:val="004904CA"/>
    <w:rsid w:val="004906E6"/>
    <w:rsid w:val="004906FF"/>
    <w:rsid w:val="004907D0"/>
    <w:rsid w:val="00490947"/>
    <w:rsid w:val="004909A6"/>
    <w:rsid w:val="00490B28"/>
    <w:rsid w:val="00490B4A"/>
    <w:rsid w:val="00490B58"/>
    <w:rsid w:val="00490EA4"/>
    <w:rsid w:val="0049116F"/>
    <w:rsid w:val="0049117B"/>
    <w:rsid w:val="00491236"/>
    <w:rsid w:val="0049132C"/>
    <w:rsid w:val="00491544"/>
    <w:rsid w:val="0049180A"/>
    <w:rsid w:val="0049194C"/>
    <w:rsid w:val="00491B05"/>
    <w:rsid w:val="00491B23"/>
    <w:rsid w:val="00491C2D"/>
    <w:rsid w:val="00491D4F"/>
    <w:rsid w:val="00491FB0"/>
    <w:rsid w:val="004920A2"/>
    <w:rsid w:val="004921DA"/>
    <w:rsid w:val="00492453"/>
    <w:rsid w:val="00492547"/>
    <w:rsid w:val="00492621"/>
    <w:rsid w:val="00492674"/>
    <w:rsid w:val="004926D4"/>
    <w:rsid w:val="004926DC"/>
    <w:rsid w:val="0049297F"/>
    <w:rsid w:val="00492C13"/>
    <w:rsid w:val="00492E28"/>
    <w:rsid w:val="00492E82"/>
    <w:rsid w:val="00492F89"/>
    <w:rsid w:val="00492FB6"/>
    <w:rsid w:val="00493411"/>
    <w:rsid w:val="0049348C"/>
    <w:rsid w:val="00493611"/>
    <w:rsid w:val="00493B9F"/>
    <w:rsid w:val="00494226"/>
    <w:rsid w:val="00494257"/>
    <w:rsid w:val="0049439E"/>
    <w:rsid w:val="004943B0"/>
    <w:rsid w:val="00494587"/>
    <w:rsid w:val="00494743"/>
    <w:rsid w:val="00494897"/>
    <w:rsid w:val="004948E4"/>
    <w:rsid w:val="00494AAB"/>
    <w:rsid w:val="00494B4E"/>
    <w:rsid w:val="00494BA6"/>
    <w:rsid w:val="00495297"/>
    <w:rsid w:val="00495428"/>
    <w:rsid w:val="0049567C"/>
    <w:rsid w:val="00495708"/>
    <w:rsid w:val="00495804"/>
    <w:rsid w:val="004958F7"/>
    <w:rsid w:val="00495B7B"/>
    <w:rsid w:val="00495B96"/>
    <w:rsid w:val="00495BA3"/>
    <w:rsid w:val="00495BBA"/>
    <w:rsid w:val="00495BFC"/>
    <w:rsid w:val="00495D88"/>
    <w:rsid w:val="004960D6"/>
    <w:rsid w:val="004963B3"/>
    <w:rsid w:val="004964E9"/>
    <w:rsid w:val="004967C0"/>
    <w:rsid w:val="0049681F"/>
    <w:rsid w:val="00496865"/>
    <w:rsid w:val="004968F0"/>
    <w:rsid w:val="00496B76"/>
    <w:rsid w:val="00496E10"/>
    <w:rsid w:val="00496F31"/>
    <w:rsid w:val="00497157"/>
    <w:rsid w:val="004973E5"/>
    <w:rsid w:val="00497B8F"/>
    <w:rsid w:val="00497F79"/>
    <w:rsid w:val="004A0265"/>
    <w:rsid w:val="004A043C"/>
    <w:rsid w:val="004A0628"/>
    <w:rsid w:val="004A067D"/>
    <w:rsid w:val="004A07C0"/>
    <w:rsid w:val="004A07F0"/>
    <w:rsid w:val="004A0891"/>
    <w:rsid w:val="004A0927"/>
    <w:rsid w:val="004A0AA3"/>
    <w:rsid w:val="004A0AC6"/>
    <w:rsid w:val="004A0B93"/>
    <w:rsid w:val="004A0BBF"/>
    <w:rsid w:val="004A0BC0"/>
    <w:rsid w:val="004A0BC2"/>
    <w:rsid w:val="004A0CB7"/>
    <w:rsid w:val="004A0D3B"/>
    <w:rsid w:val="004A0EDD"/>
    <w:rsid w:val="004A11A8"/>
    <w:rsid w:val="004A1269"/>
    <w:rsid w:val="004A13C4"/>
    <w:rsid w:val="004A1B07"/>
    <w:rsid w:val="004A1BED"/>
    <w:rsid w:val="004A1C8C"/>
    <w:rsid w:val="004A1C8E"/>
    <w:rsid w:val="004A1EF1"/>
    <w:rsid w:val="004A22AF"/>
    <w:rsid w:val="004A235E"/>
    <w:rsid w:val="004A23CA"/>
    <w:rsid w:val="004A240A"/>
    <w:rsid w:val="004A285E"/>
    <w:rsid w:val="004A2903"/>
    <w:rsid w:val="004A2B09"/>
    <w:rsid w:val="004A2C05"/>
    <w:rsid w:val="004A2C22"/>
    <w:rsid w:val="004A2EBA"/>
    <w:rsid w:val="004A33C0"/>
    <w:rsid w:val="004A3460"/>
    <w:rsid w:val="004A350E"/>
    <w:rsid w:val="004A3528"/>
    <w:rsid w:val="004A3655"/>
    <w:rsid w:val="004A382E"/>
    <w:rsid w:val="004A393B"/>
    <w:rsid w:val="004A3B09"/>
    <w:rsid w:val="004A3BBA"/>
    <w:rsid w:val="004A3F21"/>
    <w:rsid w:val="004A4028"/>
    <w:rsid w:val="004A4053"/>
    <w:rsid w:val="004A40C0"/>
    <w:rsid w:val="004A41A7"/>
    <w:rsid w:val="004A4261"/>
    <w:rsid w:val="004A42C7"/>
    <w:rsid w:val="004A4344"/>
    <w:rsid w:val="004A43E6"/>
    <w:rsid w:val="004A4445"/>
    <w:rsid w:val="004A4769"/>
    <w:rsid w:val="004A495C"/>
    <w:rsid w:val="004A4B46"/>
    <w:rsid w:val="004A4BAF"/>
    <w:rsid w:val="004A4BED"/>
    <w:rsid w:val="004A4C18"/>
    <w:rsid w:val="004A4C61"/>
    <w:rsid w:val="004A4CD4"/>
    <w:rsid w:val="004A4DAB"/>
    <w:rsid w:val="004A5073"/>
    <w:rsid w:val="004A5338"/>
    <w:rsid w:val="004A538B"/>
    <w:rsid w:val="004A54BC"/>
    <w:rsid w:val="004A575F"/>
    <w:rsid w:val="004A5781"/>
    <w:rsid w:val="004A59DF"/>
    <w:rsid w:val="004A5A54"/>
    <w:rsid w:val="004A5A7A"/>
    <w:rsid w:val="004A5BCB"/>
    <w:rsid w:val="004A5D40"/>
    <w:rsid w:val="004A5F02"/>
    <w:rsid w:val="004A5F16"/>
    <w:rsid w:val="004A5F3A"/>
    <w:rsid w:val="004A5FCB"/>
    <w:rsid w:val="004A64FF"/>
    <w:rsid w:val="004A6605"/>
    <w:rsid w:val="004A6699"/>
    <w:rsid w:val="004A6834"/>
    <w:rsid w:val="004A6B2B"/>
    <w:rsid w:val="004A6DD5"/>
    <w:rsid w:val="004A6F02"/>
    <w:rsid w:val="004A7153"/>
    <w:rsid w:val="004A72F2"/>
    <w:rsid w:val="004A7395"/>
    <w:rsid w:val="004A78E4"/>
    <w:rsid w:val="004A790A"/>
    <w:rsid w:val="004A7918"/>
    <w:rsid w:val="004A7AD2"/>
    <w:rsid w:val="004A7BEF"/>
    <w:rsid w:val="004A7C56"/>
    <w:rsid w:val="004A7D52"/>
    <w:rsid w:val="004A7D8C"/>
    <w:rsid w:val="004A7DA6"/>
    <w:rsid w:val="004A7FA7"/>
    <w:rsid w:val="004B00F1"/>
    <w:rsid w:val="004B0655"/>
    <w:rsid w:val="004B06B8"/>
    <w:rsid w:val="004B0974"/>
    <w:rsid w:val="004B09D6"/>
    <w:rsid w:val="004B0AC9"/>
    <w:rsid w:val="004B0C5E"/>
    <w:rsid w:val="004B1017"/>
    <w:rsid w:val="004B1255"/>
    <w:rsid w:val="004B1282"/>
    <w:rsid w:val="004B1330"/>
    <w:rsid w:val="004B151C"/>
    <w:rsid w:val="004B164B"/>
    <w:rsid w:val="004B1AD4"/>
    <w:rsid w:val="004B1DDE"/>
    <w:rsid w:val="004B1EE8"/>
    <w:rsid w:val="004B1EE9"/>
    <w:rsid w:val="004B22F1"/>
    <w:rsid w:val="004B251B"/>
    <w:rsid w:val="004B2592"/>
    <w:rsid w:val="004B276C"/>
    <w:rsid w:val="004B2896"/>
    <w:rsid w:val="004B2DAA"/>
    <w:rsid w:val="004B3073"/>
    <w:rsid w:val="004B30D7"/>
    <w:rsid w:val="004B30F2"/>
    <w:rsid w:val="004B3423"/>
    <w:rsid w:val="004B384F"/>
    <w:rsid w:val="004B38A5"/>
    <w:rsid w:val="004B3ACB"/>
    <w:rsid w:val="004B3B32"/>
    <w:rsid w:val="004B3BA0"/>
    <w:rsid w:val="004B3C45"/>
    <w:rsid w:val="004B3CCD"/>
    <w:rsid w:val="004B42C5"/>
    <w:rsid w:val="004B4481"/>
    <w:rsid w:val="004B45FB"/>
    <w:rsid w:val="004B4716"/>
    <w:rsid w:val="004B4866"/>
    <w:rsid w:val="004B48BB"/>
    <w:rsid w:val="004B49E4"/>
    <w:rsid w:val="004B4B6E"/>
    <w:rsid w:val="004B4BF8"/>
    <w:rsid w:val="004B4C56"/>
    <w:rsid w:val="004B4C67"/>
    <w:rsid w:val="004B50D0"/>
    <w:rsid w:val="004B5200"/>
    <w:rsid w:val="004B52C5"/>
    <w:rsid w:val="004B5457"/>
    <w:rsid w:val="004B5509"/>
    <w:rsid w:val="004B5762"/>
    <w:rsid w:val="004B57FD"/>
    <w:rsid w:val="004B5980"/>
    <w:rsid w:val="004B5AC9"/>
    <w:rsid w:val="004B5E91"/>
    <w:rsid w:val="004B5F52"/>
    <w:rsid w:val="004B6107"/>
    <w:rsid w:val="004B621F"/>
    <w:rsid w:val="004B6461"/>
    <w:rsid w:val="004B654F"/>
    <w:rsid w:val="004B67A7"/>
    <w:rsid w:val="004B6AB1"/>
    <w:rsid w:val="004B6D06"/>
    <w:rsid w:val="004B6D9B"/>
    <w:rsid w:val="004B7019"/>
    <w:rsid w:val="004B7124"/>
    <w:rsid w:val="004B727D"/>
    <w:rsid w:val="004B7320"/>
    <w:rsid w:val="004B73D4"/>
    <w:rsid w:val="004B745C"/>
    <w:rsid w:val="004B75BE"/>
    <w:rsid w:val="004B75E5"/>
    <w:rsid w:val="004B767E"/>
    <w:rsid w:val="004B7948"/>
    <w:rsid w:val="004B7A04"/>
    <w:rsid w:val="004B7ADD"/>
    <w:rsid w:val="004B7D0C"/>
    <w:rsid w:val="004B7D2D"/>
    <w:rsid w:val="004B7EE8"/>
    <w:rsid w:val="004C01E9"/>
    <w:rsid w:val="004C01F3"/>
    <w:rsid w:val="004C0301"/>
    <w:rsid w:val="004C043C"/>
    <w:rsid w:val="004C04F8"/>
    <w:rsid w:val="004C08B6"/>
    <w:rsid w:val="004C08BF"/>
    <w:rsid w:val="004C09F1"/>
    <w:rsid w:val="004C0D00"/>
    <w:rsid w:val="004C0D83"/>
    <w:rsid w:val="004C1093"/>
    <w:rsid w:val="004C11CE"/>
    <w:rsid w:val="004C11E4"/>
    <w:rsid w:val="004C14AB"/>
    <w:rsid w:val="004C167A"/>
    <w:rsid w:val="004C1741"/>
    <w:rsid w:val="004C1ADC"/>
    <w:rsid w:val="004C1B05"/>
    <w:rsid w:val="004C1B47"/>
    <w:rsid w:val="004C1CF9"/>
    <w:rsid w:val="004C1D32"/>
    <w:rsid w:val="004C1E36"/>
    <w:rsid w:val="004C1EDB"/>
    <w:rsid w:val="004C22DF"/>
    <w:rsid w:val="004C239C"/>
    <w:rsid w:val="004C23D6"/>
    <w:rsid w:val="004C2602"/>
    <w:rsid w:val="004C2727"/>
    <w:rsid w:val="004C2A33"/>
    <w:rsid w:val="004C2B50"/>
    <w:rsid w:val="004C2B62"/>
    <w:rsid w:val="004C2BA1"/>
    <w:rsid w:val="004C2D72"/>
    <w:rsid w:val="004C2DB7"/>
    <w:rsid w:val="004C2F04"/>
    <w:rsid w:val="004C2FA4"/>
    <w:rsid w:val="004C3041"/>
    <w:rsid w:val="004C33BC"/>
    <w:rsid w:val="004C3462"/>
    <w:rsid w:val="004C3893"/>
    <w:rsid w:val="004C38DF"/>
    <w:rsid w:val="004C39ED"/>
    <w:rsid w:val="004C3A43"/>
    <w:rsid w:val="004C3CCC"/>
    <w:rsid w:val="004C3FEB"/>
    <w:rsid w:val="004C438F"/>
    <w:rsid w:val="004C45ED"/>
    <w:rsid w:val="004C4B70"/>
    <w:rsid w:val="004C4C92"/>
    <w:rsid w:val="004C50AF"/>
    <w:rsid w:val="004C512F"/>
    <w:rsid w:val="004C514C"/>
    <w:rsid w:val="004C5294"/>
    <w:rsid w:val="004C5772"/>
    <w:rsid w:val="004C5855"/>
    <w:rsid w:val="004C5CD1"/>
    <w:rsid w:val="004C61D9"/>
    <w:rsid w:val="004C632C"/>
    <w:rsid w:val="004C678B"/>
    <w:rsid w:val="004C699F"/>
    <w:rsid w:val="004C6B57"/>
    <w:rsid w:val="004C6E75"/>
    <w:rsid w:val="004C6E7E"/>
    <w:rsid w:val="004C7051"/>
    <w:rsid w:val="004C7142"/>
    <w:rsid w:val="004C72FA"/>
    <w:rsid w:val="004C7524"/>
    <w:rsid w:val="004C75B9"/>
    <w:rsid w:val="004C76B5"/>
    <w:rsid w:val="004C7A34"/>
    <w:rsid w:val="004C7BE6"/>
    <w:rsid w:val="004C7C80"/>
    <w:rsid w:val="004C7CE0"/>
    <w:rsid w:val="004C7D90"/>
    <w:rsid w:val="004C7E5B"/>
    <w:rsid w:val="004C7E7D"/>
    <w:rsid w:val="004C7EA3"/>
    <w:rsid w:val="004D068B"/>
    <w:rsid w:val="004D06B1"/>
    <w:rsid w:val="004D06BD"/>
    <w:rsid w:val="004D0A90"/>
    <w:rsid w:val="004D0AEB"/>
    <w:rsid w:val="004D0BA9"/>
    <w:rsid w:val="004D0DC0"/>
    <w:rsid w:val="004D124C"/>
    <w:rsid w:val="004D139E"/>
    <w:rsid w:val="004D13BD"/>
    <w:rsid w:val="004D14DF"/>
    <w:rsid w:val="004D16E5"/>
    <w:rsid w:val="004D1847"/>
    <w:rsid w:val="004D1943"/>
    <w:rsid w:val="004D1A42"/>
    <w:rsid w:val="004D1CE2"/>
    <w:rsid w:val="004D1D45"/>
    <w:rsid w:val="004D1D49"/>
    <w:rsid w:val="004D1D6E"/>
    <w:rsid w:val="004D1DE8"/>
    <w:rsid w:val="004D1DFF"/>
    <w:rsid w:val="004D22B0"/>
    <w:rsid w:val="004D2310"/>
    <w:rsid w:val="004D23D0"/>
    <w:rsid w:val="004D243E"/>
    <w:rsid w:val="004D2A3A"/>
    <w:rsid w:val="004D2AC2"/>
    <w:rsid w:val="004D2B22"/>
    <w:rsid w:val="004D2C1B"/>
    <w:rsid w:val="004D2E4A"/>
    <w:rsid w:val="004D2EF3"/>
    <w:rsid w:val="004D2F55"/>
    <w:rsid w:val="004D314D"/>
    <w:rsid w:val="004D3175"/>
    <w:rsid w:val="004D3184"/>
    <w:rsid w:val="004D3216"/>
    <w:rsid w:val="004D3435"/>
    <w:rsid w:val="004D35F0"/>
    <w:rsid w:val="004D369E"/>
    <w:rsid w:val="004D36A7"/>
    <w:rsid w:val="004D399C"/>
    <w:rsid w:val="004D3B89"/>
    <w:rsid w:val="004D3D88"/>
    <w:rsid w:val="004D3DB4"/>
    <w:rsid w:val="004D4019"/>
    <w:rsid w:val="004D414A"/>
    <w:rsid w:val="004D4352"/>
    <w:rsid w:val="004D4367"/>
    <w:rsid w:val="004D44A5"/>
    <w:rsid w:val="004D44AC"/>
    <w:rsid w:val="004D4690"/>
    <w:rsid w:val="004D46EB"/>
    <w:rsid w:val="004D4705"/>
    <w:rsid w:val="004D49AF"/>
    <w:rsid w:val="004D4A74"/>
    <w:rsid w:val="004D4AD9"/>
    <w:rsid w:val="004D4CA0"/>
    <w:rsid w:val="004D4E01"/>
    <w:rsid w:val="004D4E85"/>
    <w:rsid w:val="004D505C"/>
    <w:rsid w:val="004D507D"/>
    <w:rsid w:val="004D5155"/>
    <w:rsid w:val="004D51F3"/>
    <w:rsid w:val="004D524F"/>
    <w:rsid w:val="004D5254"/>
    <w:rsid w:val="004D5400"/>
    <w:rsid w:val="004D5466"/>
    <w:rsid w:val="004D5501"/>
    <w:rsid w:val="004D5675"/>
    <w:rsid w:val="004D584B"/>
    <w:rsid w:val="004D5866"/>
    <w:rsid w:val="004D58F5"/>
    <w:rsid w:val="004D5932"/>
    <w:rsid w:val="004D5AF7"/>
    <w:rsid w:val="004D5ED7"/>
    <w:rsid w:val="004D606E"/>
    <w:rsid w:val="004D6169"/>
    <w:rsid w:val="004D626F"/>
    <w:rsid w:val="004D6443"/>
    <w:rsid w:val="004D6588"/>
    <w:rsid w:val="004D669D"/>
    <w:rsid w:val="004D67EB"/>
    <w:rsid w:val="004D6CFF"/>
    <w:rsid w:val="004D702A"/>
    <w:rsid w:val="004D706C"/>
    <w:rsid w:val="004D70E7"/>
    <w:rsid w:val="004D71AC"/>
    <w:rsid w:val="004D71C1"/>
    <w:rsid w:val="004D7224"/>
    <w:rsid w:val="004D72ED"/>
    <w:rsid w:val="004D7351"/>
    <w:rsid w:val="004D7364"/>
    <w:rsid w:val="004D7460"/>
    <w:rsid w:val="004D74AE"/>
    <w:rsid w:val="004D77BC"/>
    <w:rsid w:val="004D7860"/>
    <w:rsid w:val="004D786E"/>
    <w:rsid w:val="004D78D6"/>
    <w:rsid w:val="004D7AA3"/>
    <w:rsid w:val="004D7B6B"/>
    <w:rsid w:val="004D7C65"/>
    <w:rsid w:val="004D7D1D"/>
    <w:rsid w:val="004D7D53"/>
    <w:rsid w:val="004D7F06"/>
    <w:rsid w:val="004E011D"/>
    <w:rsid w:val="004E01CB"/>
    <w:rsid w:val="004E0521"/>
    <w:rsid w:val="004E067B"/>
    <w:rsid w:val="004E085A"/>
    <w:rsid w:val="004E08CE"/>
    <w:rsid w:val="004E0988"/>
    <w:rsid w:val="004E0A43"/>
    <w:rsid w:val="004E0BF7"/>
    <w:rsid w:val="004E0DA2"/>
    <w:rsid w:val="004E1092"/>
    <w:rsid w:val="004E1262"/>
    <w:rsid w:val="004E13CC"/>
    <w:rsid w:val="004E1450"/>
    <w:rsid w:val="004E14CA"/>
    <w:rsid w:val="004E155E"/>
    <w:rsid w:val="004E18C2"/>
    <w:rsid w:val="004E1A4E"/>
    <w:rsid w:val="004E1A5F"/>
    <w:rsid w:val="004E1B5B"/>
    <w:rsid w:val="004E1BA7"/>
    <w:rsid w:val="004E1CBA"/>
    <w:rsid w:val="004E1DE1"/>
    <w:rsid w:val="004E1E0B"/>
    <w:rsid w:val="004E1E1F"/>
    <w:rsid w:val="004E1E47"/>
    <w:rsid w:val="004E1EB8"/>
    <w:rsid w:val="004E1FBB"/>
    <w:rsid w:val="004E21C3"/>
    <w:rsid w:val="004E226D"/>
    <w:rsid w:val="004E22D6"/>
    <w:rsid w:val="004E232D"/>
    <w:rsid w:val="004E246E"/>
    <w:rsid w:val="004E2578"/>
    <w:rsid w:val="004E2BA4"/>
    <w:rsid w:val="004E2BF7"/>
    <w:rsid w:val="004E2CA4"/>
    <w:rsid w:val="004E3049"/>
    <w:rsid w:val="004E3157"/>
    <w:rsid w:val="004E31CA"/>
    <w:rsid w:val="004E33DA"/>
    <w:rsid w:val="004E3525"/>
    <w:rsid w:val="004E3A3E"/>
    <w:rsid w:val="004E3BB4"/>
    <w:rsid w:val="004E3BC1"/>
    <w:rsid w:val="004E3D66"/>
    <w:rsid w:val="004E3FD3"/>
    <w:rsid w:val="004E411B"/>
    <w:rsid w:val="004E422B"/>
    <w:rsid w:val="004E4262"/>
    <w:rsid w:val="004E43F5"/>
    <w:rsid w:val="004E469B"/>
    <w:rsid w:val="004E46CD"/>
    <w:rsid w:val="004E4839"/>
    <w:rsid w:val="004E49F5"/>
    <w:rsid w:val="004E4ABF"/>
    <w:rsid w:val="004E4EF4"/>
    <w:rsid w:val="004E5109"/>
    <w:rsid w:val="004E5263"/>
    <w:rsid w:val="004E52AA"/>
    <w:rsid w:val="004E535B"/>
    <w:rsid w:val="004E5384"/>
    <w:rsid w:val="004E53F9"/>
    <w:rsid w:val="004E5520"/>
    <w:rsid w:val="004E58B9"/>
    <w:rsid w:val="004E58E5"/>
    <w:rsid w:val="004E59B6"/>
    <w:rsid w:val="004E5AA8"/>
    <w:rsid w:val="004E5B8E"/>
    <w:rsid w:val="004E5BAE"/>
    <w:rsid w:val="004E5C13"/>
    <w:rsid w:val="004E5C69"/>
    <w:rsid w:val="004E5D04"/>
    <w:rsid w:val="004E5E48"/>
    <w:rsid w:val="004E5FF5"/>
    <w:rsid w:val="004E6002"/>
    <w:rsid w:val="004E60D0"/>
    <w:rsid w:val="004E630C"/>
    <w:rsid w:val="004E636C"/>
    <w:rsid w:val="004E63DE"/>
    <w:rsid w:val="004E64A7"/>
    <w:rsid w:val="004E64C6"/>
    <w:rsid w:val="004E67C4"/>
    <w:rsid w:val="004E6818"/>
    <w:rsid w:val="004E68F9"/>
    <w:rsid w:val="004E69AD"/>
    <w:rsid w:val="004E6BE0"/>
    <w:rsid w:val="004E6EA8"/>
    <w:rsid w:val="004E6F89"/>
    <w:rsid w:val="004E7056"/>
    <w:rsid w:val="004E70D6"/>
    <w:rsid w:val="004E70F2"/>
    <w:rsid w:val="004E712F"/>
    <w:rsid w:val="004E73E0"/>
    <w:rsid w:val="004E74A0"/>
    <w:rsid w:val="004E7547"/>
    <w:rsid w:val="004E7653"/>
    <w:rsid w:val="004E7911"/>
    <w:rsid w:val="004E7A61"/>
    <w:rsid w:val="004E7D7F"/>
    <w:rsid w:val="004E7DB5"/>
    <w:rsid w:val="004E7F8D"/>
    <w:rsid w:val="004E7FC6"/>
    <w:rsid w:val="004F0058"/>
    <w:rsid w:val="004F00BD"/>
    <w:rsid w:val="004F02F7"/>
    <w:rsid w:val="004F03B0"/>
    <w:rsid w:val="004F04A4"/>
    <w:rsid w:val="004F059A"/>
    <w:rsid w:val="004F05C3"/>
    <w:rsid w:val="004F0679"/>
    <w:rsid w:val="004F07EA"/>
    <w:rsid w:val="004F0968"/>
    <w:rsid w:val="004F09C8"/>
    <w:rsid w:val="004F0E22"/>
    <w:rsid w:val="004F1041"/>
    <w:rsid w:val="004F109A"/>
    <w:rsid w:val="004F11BE"/>
    <w:rsid w:val="004F12A6"/>
    <w:rsid w:val="004F1565"/>
    <w:rsid w:val="004F17C8"/>
    <w:rsid w:val="004F1878"/>
    <w:rsid w:val="004F1B00"/>
    <w:rsid w:val="004F1B26"/>
    <w:rsid w:val="004F1B51"/>
    <w:rsid w:val="004F1B67"/>
    <w:rsid w:val="004F1BBD"/>
    <w:rsid w:val="004F1D50"/>
    <w:rsid w:val="004F1EA6"/>
    <w:rsid w:val="004F229C"/>
    <w:rsid w:val="004F2304"/>
    <w:rsid w:val="004F2373"/>
    <w:rsid w:val="004F23E4"/>
    <w:rsid w:val="004F24A5"/>
    <w:rsid w:val="004F2501"/>
    <w:rsid w:val="004F264F"/>
    <w:rsid w:val="004F26F8"/>
    <w:rsid w:val="004F287F"/>
    <w:rsid w:val="004F29CD"/>
    <w:rsid w:val="004F2A65"/>
    <w:rsid w:val="004F2E1D"/>
    <w:rsid w:val="004F2FD3"/>
    <w:rsid w:val="004F31E4"/>
    <w:rsid w:val="004F32EE"/>
    <w:rsid w:val="004F34EE"/>
    <w:rsid w:val="004F363E"/>
    <w:rsid w:val="004F36EC"/>
    <w:rsid w:val="004F3774"/>
    <w:rsid w:val="004F393B"/>
    <w:rsid w:val="004F3D66"/>
    <w:rsid w:val="004F3E33"/>
    <w:rsid w:val="004F3E51"/>
    <w:rsid w:val="004F3E96"/>
    <w:rsid w:val="004F3FEF"/>
    <w:rsid w:val="004F409B"/>
    <w:rsid w:val="004F409C"/>
    <w:rsid w:val="004F424C"/>
    <w:rsid w:val="004F468D"/>
    <w:rsid w:val="004F48DF"/>
    <w:rsid w:val="004F48F9"/>
    <w:rsid w:val="004F4926"/>
    <w:rsid w:val="004F4B5D"/>
    <w:rsid w:val="004F4C30"/>
    <w:rsid w:val="004F4CC9"/>
    <w:rsid w:val="004F4ED4"/>
    <w:rsid w:val="004F534D"/>
    <w:rsid w:val="004F553E"/>
    <w:rsid w:val="004F5633"/>
    <w:rsid w:val="004F5798"/>
    <w:rsid w:val="004F5873"/>
    <w:rsid w:val="004F58D2"/>
    <w:rsid w:val="004F59E5"/>
    <w:rsid w:val="004F5B24"/>
    <w:rsid w:val="004F5B9D"/>
    <w:rsid w:val="004F5CD2"/>
    <w:rsid w:val="004F5D5A"/>
    <w:rsid w:val="004F5DA2"/>
    <w:rsid w:val="004F5ED9"/>
    <w:rsid w:val="004F5F62"/>
    <w:rsid w:val="004F5F93"/>
    <w:rsid w:val="004F5FFE"/>
    <w:rsid w:val="004F604E"/>
    <w:rsid w:val="004F6050"/>
    <w:rsid w:val="004F60BA"/>
    <w:rsid w:val="004F6277"/>
    <w:rsid w:val="004F630D"/>
    <w:rsid w:val="004F6377"/>
    <w:rsid w:val="004F63F5"/>
    <w:rsid w:val="004F65E4"/>
    <w:rsid w:val="004F66FA"/>
    <w:rsid w:val="004F6843"/>
    <w:rsid w:val="004F68F5"/>
    <w:rsid w:val="004F6B3A"/>
    <w:rsid w:val="004F75D8"/>
    <w:rsid w:val="004F784C"/>
    <w:rsid w:val="004F7D3B"/>
    <w:rsid w:val="00500106"/>
    <w:rsid w:val="00500689"/>
    <w:rsid w:val="0050089D"/>
    <w:rsid w:val="00500941"/>
    <w:rsid w:val="005009CF"/>
    <w:rsid w:val="00500B85"/>
    <w:rsid w:val="00501295"/>
    <w:rsid w:val="00501488"/>
    <w:rsid w:val="00501538"/>
    <w:rsid w:val="0050185C"/>
    <w:rsid w:val="00501C7C"/>
    <w:rsid w:val="00501C88"/>
    <w:rsid w:val="00501DA8"/>
    <w:rsid w:val="00501EF7"/>
    <w:rsid w:val="00501FDB"/>
    <w:rsid w:val="00502136"/>
    <w:rsid w:val="005021A6"/>
    <w:rsid w:val="00502346"/>
    <w:rsid w:val="00502495"/>
    <w:rsid w:val="005025FE"/>
    <w:rsid w:val="005026BC"/>
    <w:rsid w:val="005029E0"/>
    <w:rsid w:val="00502D48"/>
    <w:rsid w:val="00502D5E"/>
    <w:rsid w:val="00502F25"/>
    <w:rsid w:val="00502F33"/>
    <w:rsid w:val="00502FC7"/>
    <w:rsid w:val="005030BA"/>
    <w:rsid w:val="0050312F"/>
    <w:rsid w:val="005031A0"/>
    <w:rsid w:val="00503507"/>
    <w:rsid w:val="005035E0"/>
    <w:rsid w:val="0050365A"/>
    <w:rsid w:val="005036C2"/>
    <w:rsid w:val="0050385E"/>
    <w:rsid w:val="0050399E"/>
    <w:rsid w:val="00503C4F"/>
    <w:rsid w:val="00503CA0"/>
    <w:rsid w:val="00503CAA"/>
    <w:rsid w:val="00503CB1"/>
    <w:rsid w:val="00503E58"/>
    <w:rsid w:val="00504220"/>
    <w:rsid w:val="00504259"/>
    <w:rsid w:val="00504402"/>
    <w:rsid w:val="0050440E"/>
    <w:rsid w:val="00504585"/>
    <w:rsid w:val="00504605"/>
    <w:rsid w:val="005046A8"/>
    <w:rsid w:val="005047D6"/>
    <w:rsid w:val="005047E8"/>
    <w:rsid w:val="00504D47"/>
    <w:rsid w:val="00504F14"/>
    <w:rsid w:val="00504F1E"/>
    <w:rsid w:val="00504F30"/>
    <w:rsid w:val="005051E3"/>
    <w:rsid w:val="005056F0"/>
    <w:rsid w:val="00505BEF"/>
    <w:rsid w:val="00505C45"/>
    <w:rsid w:val="00505F22"/>
    <w:rsid w:val="00505FE1"/>
    <w:rsid w:val="0050606E"/>
    <w:rsid w:val="005060AD"/>
    <w:rsid w:val="005061C5"/>
    <w:rsid w:val="00506952"/>
    <w:rsid w:val="00506C3D"/>
    <w:rsid w:val="00506CD0"/>
    <w:rsid w:val="00506CF8"/>
    <w:rsid w:val="00506D01"/>
    <w:rsid w:val="00506DDE"/>
    <w:rsid w:val="00506DFF"/>
    <w:rsid w:val="0050708F"/>
    <w:rsid w:val="005070F3"/>
    <w:rsid w:val="00507346"/>
    <w:rsid w:val="00507394"/>
    <w:rsid w:val="005073AC"/>
    <w:rsid w:val="005077DB"/>
    <w:rsid w:val="00507B62"/>
    <w:rsid w:val="00507C1C"/>
    <w:rsid w:val="00507C3B"/>
    <w:rsid w:val="00507C56"/>
    <w:rsid w:val="00507EDF"/>
    <w:rsid w:val="00507FBF"/>
    <w:rsid w:val="0051005D"/>
    <w:rsid w:val="00510084"/>
    <w:rsid w:val="00510121"/>
    <w:rsid w:val="0051056D"/>
    <w:rsid w:val="0051063E"/>
    <w:rsid w:val="005106FA"/>
    <w:rsid w:val="0051082D"/>
    <w:rsid w:val="00510E66"/>
    <w:rsid w:val="00510ED3"/>
    <w:rsid w:val="005110F6"/>
    <w:rsid w:val="0051112E"/>
    <w:rsid w:val="0051125F"/>
    <w:rsid w:val="005112FF"/>
    <w:rsid w:val="005113A5"/>
    <w:rsid w:val="0051147B"/>
    <w:rsid w:val="005116C9"/>
    <w:rsid w:val="0051188B"/>
    <w:rsid w:val="005118EA"/>
    <w:rsid w:val="00511C26"/>
    <w:rsid w:val="00511D8C"/>
    <w:rsid w:val="00511DD7"/>
    <w:rsid w:val="00511E6C"/>
    <w:rsid w:val="00511FA6"/>
    <w:rsid w:val="00512176"/>
    <w:rsid w:val="005123C0"/>
    <w:rsid w:val="005123DA"/>
    <w:rsid w:val="005123E5"/>
    <w:rsid w:val="005123FE"/>
    <w:rsid w:val="00512414"/>
    <w:rsid w:val="005126E0"/>
    <w:rsid w:val="005126E3"/>
    <w:rsid w:val="00512749"/>
    <w:rsid w:val="00512854"/>
    <w:rsid w:val="00512A7C"/>
    <w:rsid w:val="00512B37"/>
    <w:rsid w:val="00512B80"/>
    <w:rsid w:val="00512C73"/>
    <w:rsid w:val="00513208"/>
    <w:rsid w:val="00513373"/>
    <w:rsid w:val="005133DD"/>
    <w:rsid w:val="005135CE"/>
    <w:rsid w:val="005136AD"/>
    <w:rsid w:val="00513714"/>
    <w:rsid w:val="005137FC"/>
    <w:rsid w:val="00513885"/>
    <w:rsid w:val="005138BA"/>
    <w:rsid w:val="00513923"/>
    <w:rsid w:val="0051395A"/>
    <w:rsid w:val="00513A54"/>
    <w:rsid w:val="00513CCC"/>
    <w:rsid w:val="00513CE9"/>
    <w:rsid w:val="00513CF1"/>
    <w:rsid w:val="00513D37"/>
    <w:rsid w:val="00513E55"/>
    <w:rsid w:val="00513F17"/>
    <w:rsid w:val="00514002"/>
    <w:rsid w:val="00514259"/>
    <w:rsid w:val="00514346"/>
    <w:rsid w:val="00514426"/>
    <w:rsid w:val="005144CE"/>
    <w:rsid w:val="005149FB"/>
    <w:rsid w:val="00514BF7"/>
    <w:rsid w:val="00514CF2"/>
    <w:rsid w:val="00514F04"/>
    <w:rsid w:val="00514F53"/>
    <w:rsid w:val="00514FCF"/>
    <w:rsid w:val="00515641"/>
    <w:rsid w:val="00515767"/>
    <w:rsid w:val="00515984"/>
    <w:rsid w:val="00515A2B"/>
    <w:rsid w:val="00515ABD"/>
    <w:rsid w:val="00515B61"/>
    <w:rsid w:val="00515C17"/>
    <w:rsid w:val="00515CFE"/>
    <w:rsid w:val="00515D0D"/>
    <w:rsid w:val="00515E13"/>
    <w:rsid w:val="0051621E"/>
    <w:rsid w:val="00516415"/>
    <w:rsid w:val="00516657"/>
    <w:rsid w:val="00516904"/>
    <w:rsid w:val="0051694E"/>
    <w:rsid w:val="00516A3E"/>
    <w:rsid w:val="00516C1D"/>
    <w:rsid w:val="00516CB6"/>
    <w:rsid w:val="00516E1A"/>
    <w:rsid w:val="00517033"/>
    <w:rsid w:val="00517295"/>
    <w:rsid w:val="005174C8"/>
    <w:rsid w:val="0051751C"/>
    <w:rsid w:val="00517581"/>
    <w:rsid w:val="0051773C"/>
    <w:rsid w:val="005179E7"/>
    <w:rsid w:val="00517EA9"/>
    <w:rsid w:val="00517F19"/>
    <w:rsid w:val="005201A7"/>
    <w:rsid w:val="00520340"/>
    <w:rsid w:val="005203B0"/>
    <w:rsid w:val="00520585"/>
    <w:rsid w:val="0052058A"/>
    <w:rsid w:val="0052081C"/>
    <w:rsid w:val="005209C9"/>
    <w:rsid w:val="00520B81"/>
    <w:rsid w:val="00520C21"/>
    <w:rsid w:val="00520CB5"/>
    <w:rsid w:val="00520CC8"/>
    <w:rsid w:val="005210CC"/>
    <w:rsid w:val="005211AF"/>
    <w:rsid w:val="00521348"/>
    <w:rsid w:val="005213E2"/>
    <w:rsid w:val="0052159B"/>
    <w:rsid w:val="00521F16"/>
    <w:rsid w:val="00521FBD"/>
    <w:rsid w:val="00522192"/>
    <w:rsid w:val="0052225F"/>
    <w:rsid w:val="0052226F"/>
    <w:rsid w:val="00522386"/>
    <w:rsid w:val="00522698"/>
    <w:rsid w:val="005226FE"/>
    <w:rsid w:val="00522750"/>
    <w:rsid w:val="005227B9"/>
    <w:rsid w:val="005227DA"/>
    <w:rsid w:val="00522906"/>
    <w:rsid w:val="0052298C"/>
    <w:rsid w:val="00522EDF"/>
    <w:rsid w:val="0052304C"/>
    <w:rsid w:val="00523100"/>
    <w:rsid w:val="005232C9"/>
    <w:rsid w:val="00523601"/>
    <w:rsid w:val="00523674"/>
    <w:rsid w:val="00523681"/>
    <w:rsid w:val="005239CC"/>
    <w:rsid w:val="00523E07"/>
    <w:rsid w:val="00523E9C"/>
    <w:rsid w:val="00523ED2"/>
    <w:rsid w:val="00523F13"/>
    <w:rsid w:val="00524160"/>
    <w:rsid w:val="00524282"/>
    <w:rsid w:val="00524729"/>
    <w:rsid w:val="00524836"/>
    <w:rsid w:val="005248F3"/>
    <w:rsid w:val="00524959"/>
    <w:rsid w:val="00524BF6"/>
    <w:rsid w:val="00524C1D"/>
    <w:rsid w:val="00524D52"/>
    <w:rsid w:val="00524D6E"/>
    <w:rsid w:val="00524EBB"/>
    <w:rsid w:val="00524F08"/>
    <w:rsid w:val="00524F82"/>
    <w:rsid w:val="00524FB6"/>
    <w:rsid w:val="00525002"/>
    <w:rsid w:val="00525244"/>
    <w:rsid w:val="005252E4"/>
    <w:rsid w:val="00525312"/>
    <w:rsid w:val="005253F5"/>
    <w:rsid w:val="0052574E"/>
    <w:rsid w:val="005258B1"/>
    <w:rsid w:val="00525972"/>
    <w:rsid w:val="00525A68"/>
    <w:rsid w:val="00525AC6"/>
    <w:rsid w:val="00525AEB"/>
    <w:rsid w:val="00525B39"/>
    <w:rsid w:val="00525B4B"/>
    <w:rsid w:val="00525BBA"/>
    <w:rsid w:val="00525DB2"/>
    <w:rsid w:val="00525EB5"/>
    <w:rsid w:val="005262C3"/>
    <w:rsid w:val="00526414"/>
    <w:rsid w:val="005264FA"/>
    <w:rsid w:val="00526995"/>
    <w:rsid w:val="00526CE2"/>
    <w:rsid w:val="00526E1E"/>
    <w:rsid w:val="00526E30"/>
    <w:rsid w:val="00526E8B"/>
    <w:rsid w:val="00526ED7"/>
    <w:rsid w:val="00526F23"/>
    <w:rsid w:val="0052705E"/>
    <w:rsid w:val="005270AA"/>
    <w:rsid w:val="005276C2"/>
    <w:rsid w:val="0052789C"/>
    <w:rsid w:val="005278D6"/>
    <w:rsid w:val="005279DD"/>
    <w:rsid w:val="00527A11"/>
    <w:rsid w:val="00527F10"/>
    <w:rsid w:val="0053002A"/>
    <w:rsid w:val="005303EC"/>
    <w:rsid w:val="00530411"/>
    <w:rsid w:val="00530417"/>
    <w:rsid w:val="005304D5"/>
    <w:rsid w:val="0053058A"/>
    <w:rsid w:val="00530621"/>
    <w:rsid w:val="00530714"/>
    <w:rsid w:val="00530976"/>
    <w:rsid w:val="005309BF"/>
    <w:rsid w:val="00530A15"/>
    <w:rsid w:val="00530B13"/>
    <w:rsid w:val="00530B75"/>
    <w:rsid w:val="00530C13"/>
    <w:rsid w:val="00530CC7"/>
    <w:rsid w:val="00530D6D"/>
    <w:rsid w:val="00530E7F"/>
    <w:rsid w:val="00530E90"/>
    <w:rsid w:val="00530F2E"/>
    <w:rsid w:val="00531198"/>
    <w:rsid w:val="00531202"/>
    <w:rsid w:val="0053130A"/>
    <w:rsid w:val="005314B0"/>
    <w:rsid w:val="0053159C"/>
    <w:rsid w:val="005315CA"/>
    <w:rsid w:val="00531659"/>
    <w:rsid w:val="00531710"/>
    <w:rsid w:val="00531983"/>
    <w:rsid w:val="00531A13"/>
    <w:rsid w:val="00531AB3"/>
    <w:rsid w:val="00531BC3"/>
    <w:rsid w:val="005320E7"/>
    <w:rsid w:val="005323B1"/>
    <w:rsid w:val="005324BE"/>
    <w:rsid w:val="00532983"/>
    <w:rsid w:val="005329C6"/>
    <w:rsid w:val="005329E1"/>
    <w:rsid w:val="00532A5D"/>
    <w:rsid w:val="00533066"/>
    <w:rsid w:val="00533181"/>
    <w:rsid w:val="00533224"/>
    <w:rsid w:val="00533430"/>
    <w:rsid w:val="00533711"/>
    <w:rsid w:val="00533775"/>
    <w:rsid w:val="0053380C"/>
    <w:rsid w:val="00533888"/>
    <w:rsid w:val="00533B01"/>
    <w:rsid w:val="00533C74"/>
    <w:rsid w:val="00533E68"/>
    <w:rsid w:val="00533E79"/>
    <w:rsid w:val="00534054"/>
    <w:rsid w:val="0053463D"/>
    <w:rsid w:val="00534678"/>
    <w:rsid w:val="005347AA"/>
    <w:rsid w:val="005348A7"/>
    <w:rsid w:val="00534939"/>
    <w:rsid w:val="005349A6"/>
    <w:rsid w:val="00534B3B"/>
    <w:rsid w:val="00534CDD"/>
    <w:rsid w:val="0053519D"/>
    <w:rsid w:val="00535291"/>
    <w:rsid w:val="005353B3"/>
    <w:rsid w:val="00535BD6"/>
    <w:rsid w:val="00535CAA"/>
    <w:rsid w:val="00535DB0"/>
    <w:rsid w:val="00535E8C"/>
    <w:rsid w:val="005360EB"/>
    <w:rsid w:val="005362A1"/>
    <w:rsid w:val="00536378"/>
    <w:rsid w:val="0053645F"/>
    <w:rsid w:val="005366DE"/>
    <w:rsid w:val="005367B9"/>
    <w:rsid w:val="00536A59"/>
    <w:rsid w:val="00536B5C"/>
    <w:rsid w:val="00536B9D"/>
    <w:rsid w:val="00536BC5"/>
    <w:rsid w:val="00536D60"/>
    <w:rsid w:val="00536E1B"/>
    <w:rsid w:val="00536EFE"/>
    <w:rsid w:val="00536FD2"/>
    <w:rsid w:val="0053716B"/>
    <w:rsid w:val="0053732A"/>
    <w:rsid w:val="005374FD"/>
    <w:rsid w:val="00537586"/>
    <w:rsid w:val="005377C9"/>
    <w:rsid w:val="005377DE"/>
    <w:rsid w:val="005378DB"/>
    <w:rsid w:val="005379CF"/>
    <w:rsid w:val="005379DF"/>
    <w:rsid w:val="00537A4F"/>
    <w:rsid w:val="00537AEA"/>
    <w:rsid w:val="00537C30"/>
    <w:rsid w:val="00537F20"/>
    <w:rsid w:val="00537F3A"/>
    <w:rsid w:val="00537FF6"/>
    <w:rsid w:val="0054011C"/>
    <w:rsid w:val="005401E8"/>
    <w:rsid w:val="00540441"/>
    <w:rsid w:val="00540445"/>
    <w:rsid w:val="005405B1"/>
    <w:rsid w:val="005405D7"/>
    <w:rsid w:val="005406F8"/>
    <w:rsid w:val="00540A0C"/>
    <w:rsid w:val="00540B80"/>
    <w:rsid w:val="00540C0C"/>
    <w:rsid w:val="00540C82"/>
    <w:rsid w:val="00540EB4"/>
    <w:rsid w:val="00541113"/>
    <w:rsid w:val="00541181"/>
    <w:rsid w:val="005411E8"/>
    <w:rsid w:val="00541435"/>
    <w:rsid w:val="0054169B"/>
    <w:rsid w:val="0054171B"/>
    <w:rsid w:val="005417B4"/>
    <w:rsid w:val="005417D2"/>
    <w:rsid w:val="005417EC"/>
    <w:rsid w:val="00541B81"/>
    <w:rsid w:val="00541CD2"/>
    <w:rsid w:val="005420F1"/>
    <w:rsid w:val="00542128"/>
    <w:rsid w:val="005421BF"/>
    <w:rsid w:val="005422E4"/>
    <w:rsid w:val="005422F4"/>
    <w:rsid w:val="0054246B"/>
    <w:rsid w:val="005426C1"/>
    <w:rsid w:val="00542891"/>
    <w:rsid w:val="0054289B"/>
    <w:rsid w:val="00542A3F"/>
    <w:rsid w:val="00542C5F"/>
    <w:rsid w:val="00542CE2"/>
    <w:rsid w:val="00542D69"/>
    <w:rsid w:val="00542F6E"/>
    <w:rsid w:val="00543060"/>
    <w:rsid w:val="00543147"/>
    <w:rsid w:val="0054316E"/>
    <w:rsid w:val="005432A0"/>
    <w:rsid w:val="005432FE"/>
    <w:rsid w:val="00543317"/>
    <w:rsid w:val="0054361A"/>
    <w:rsid w:val="00543654"/>
    <w:rsid w:val="00543721"/>
    <w:rsid w:val="0054376E"/>
    <w:rsid w:val="005437C5"/>
    <w:rsid w:val="00543814"/>
    <w:rsid w:val="00543927"/>
    <w:rsid w:val="00543C5F"/>
    <w:rsid w:val="00543D01"/>
    <w:rsid w:val="00543F1C"/>
    <w:rsid w:val="00543F36"/>
    <w:rsid w:val="00543FCD"/>
    <w:rsid w:val="0054405E"/>
    <w:rsid w:val="0054415A"/>
    <w:rsid w:val="00544161"/>
    <w:rsid w:val="005441D4"/>
    <w:rsid w:val="0054436C"/>
    <w:rsid w:val="00544377"/>
    <w:rsid w:val="00544551"/>
    <w:rsid w:val="0054472B"/>
    <w:rsid w:val="00544A7B"/>
    <w:rsid w:val="00544E17"/>
    <w:rsid w:val="00544F23"/>
    <w:rsid w:val="005450C1"/>
    <w:rsid w:val="005450D4"/>
    <w:rsid w:val="005451C5"/>
    <w:rsid w:val="005451D8"/>
    <w:rsid w:val="0054531F"/>
    <w:rsid w:val="00545324"/>
    <w:rsid w:val="00545398"/>
    <w:rsid w:val="0054555F"/>
    <w:rsid w:val="0054563F"/>
    <w:rsid w:val="0054566C"/>
    <w:rsid w:val="0054569F"/>
    <w:rsid w:val="005456D0"/>
    <w:rsid w:val="00545824"/>
    <w:rsid w:val="0054585E"/>
    <w:rsid w:val="00545952"/>
    <w:rsid w:val="00545A19"/>
    <w:rsid w:val="00545BD2"/>
    <w:rsid w:val="00545CF8"/>
    <w:rsid w:val="00545D71"/>
    <w:rsid w:val="00545FCB"/>
    <w:rsid w:val="00546021"/>
    <w:rsid w:val="005460B7"/>
    <w:rsid w:val="0054615B"/>
    <w:rsid w:val="005461CB"/>
    <w:rsid w:val="005466EA"/>
    <w:rsid w:val="00546B54"/>
    <w:rsid w:val="00546C20"/>
    <w:rsid w:val="00546D84"/>
    <w:rsid w:val="00546EDB"/>
    <w:rsid w:val="00546F1D"/>
    <w:rsid w:val="00547055"/>
    <w:rsid w:val="005470BB"/>
    <w:rsid w:val="00547199"/>
    <w:rsid w:val="00547455"/>
    <w:rsid w:val="005476B1"/>
    <w:rsid w:val="00547724"/>
    <w:rsid w:val="00547736"/>
    <w:rsid w:val="00547892"/>
    <w:rsid w:val="005478BF"/>
    <w:rsid w:val="005479C8"/>
    <w:rsid w:val="00547ADF"/>
    <w:rsid w:val="00547B48"/>
    <w:rsid w:val="00547BA9"/>
    <w:rsid w:val="00547BE9"/>
    <w:rsid w:val="00547C2C"/>
    <w:rsid w:val="00547D13"/>
    <w:rsid w:val="00547D30"/>
    <w:rsid w:val="00547EEE"/>
    <w:rsid w:val="0055009F"/>
    <w:rsid w:val="00550200"/>
    <w:rsid w:val="0055042E"/>
    <w:rsid w:val="005504C7"/>
    <w:rsid w:val="00550767"/>
    <w:rsid w:val="00550E4D"/>
    <w:rsid w:val="00550E9D"/>
    <w:rsid w:val="00550EC6"/>
    <w:rsid w:val="00550F69"/>
    <w:rsid w:val="00551441"/>
    <w:rsid w:val="0055146A"/>
    <w:rsid w:val="005514EE"/>
    <w:rsid w:val="005515E1"/>
    <w:rsid w:val="00551845"/>
    <w:rsid w:val="005518BD"/>
    <w:rsid w:val="00551B01"/>
    <w:rsid w:val="00552096"/>
    <w:rsid w:val="005520E8"/>
    <w:rsid w:val="00552134"/>
    <w:rsid w:val="0055219F"/>
    <w:rsid w:val="00552326"/>
    <w:rsid w:val="0055236D"/>
    <w:rsid w:val="005523C6"/>
    <w:rsid w:val="00552502"/>
    <w:rsid w:val="0055261C"/>
    <w:rsid w:val="00552654"/>
    <w:rsid w:val="0055281F"/>
    <w:rsid w:val="00552935"/>
    <w:rsid w:val="00552A83"/>
    <w:rsid w:val="00552A86"/>
    <w:rsid w:val="00552B5D"/>
    <w:rsid w:val="00552B70"/>
    <w:rsid w:val="00552C88"/>
    <w:rsid w:val="00552FBB"/>
    <w:rsid w:val="005530BD"/>
    <w:rsid w:val="005531F7"/>
    <w:rsid w:val="00553276"/>
    <w:rsid w:val="005532DD"/>
    <w:rsid w:val="00553442"/>
    <w:rsid w:val="005535C1"/>
    <w:rsid w:val="00553670"/>
    <w:rsid w:val="00553790"/>
    <w:rsid w:val="0055388B"/>
    <w:rsid w:val="005538AC"/>
    <w:rsid w:val="005539F4"/>
    <w:rsid w:val="00553AC8"/>
    <w:rsid w:val="00553B23"/>
    <w:rsid w:val="00553E05"/>
    <w:rsid w:val="00553E40"/>
    <w:rsid w:val="00553EBC"/>
    <w:rsid w:val="00553FC7"/>
    <w:rsid w:val="005540CD"/>
    <w:rsid w:val="00554133"/>
    <w:rsid w:val="00554221"/>
    <w:rsid w:val="00554396"/>
    <w:rsid w:val="00554537"/>
    <w:rsid w:val="00554610"/>
    <w:rsid w:val="00554698"/>
    <w:rsid w:val="00554739"/>
    <w:rsid w:val="005548E6"/>
    <w:rsid w:val="00554907"/>
    <w:rsid w:val="00554D58"/>
    <w:rsid w:val="00554F4A"/>
    <w:rsid w:val="00554FCB"/>
    <w:rsid w:val="00554FE4"/>
    <w:rsid w:val="00555168"/>
    <w:rsid w:val="00555211"/>
    <w:rsid w:val="0055563B"/>
    <w:rsid w:val="00555793"/>
    <w:rsid w:val="005557D3"/>
    <w:rsid w:val="005557EB"/>
    <w:rsid w:val="005557F4"/>
    <w:rsid w:val="00555884"/>
    <w:rsid w:val="00555BA0"/>
    <w:rsid w:val="00555DEB"/>
    <w:rsid w:val="005563BB"/>
    <w:rsid w:val="00556416"/>
    <w:rsid w:val="0055646C"/>
    <w:rsid w:val="005565FF"/>
    <w:rsid w:val="00556648"/>
    <w:rsid w:val="00556662"/>
    <w:rsid w:val="005566FD"/>
    <w:rsid w:val="005567A2"/>
    <w:rsid w:val="00556A5C"/>
    <w:rsid w:val="00556B1B"/>
    <w:rsid w:val="00556C6A"/>
    <w:rsid w:val="00556C7F"/>
    <w:rsid w:val="00556D0F"/>
    <w:rsid w:val="005572DF"/>
    <w:rsid w:val="00557563"/>
    <w:rsid w:val="00557646"/>
    <w:rsid w:val="005577FF"/>
    <w:rsid w:val="00557845"/>
    <w:rsid w:val="00557878"/>
    <w:rsid w:val="00557BAC"/>
    <w:rsid w:val="0056009D"/>
    <w:rsid w:val="005603FC"/>
    <w:rsid w:val="0056047D"/>
    <w:rsid w:val="0056066C"/>
    <w:rsid w:val="005608D1"/>
    <w:rsid w:val="00560B5C"/>
    <w:rsid w:val="00560D48"/>
    <w:rsid w:val="00560FA5"/>
    <w:rsid w:val="005611DB"/>
    <w:rsid w:val="00561243"/>
    <w:rsid w:val="005612D8"/>
    <w:rsid w:val="005613E6"/>
    <w:rsid w:val="005614D1"/>
    <w:rsid w:val="005616AE"/>
    <w:rsid w:val="005616D6"/>
    <w:rsid w:val="005616DE"/>
    <w:rsid w:val="00561A5A"/>
    <w:rsid w:val="00561B85"/>
    <w:rsid w:val="00561C0B"/>
    <w:rsid w:val="00561E0A"/>
    <w:rsid w:val="00561E4B"/>
    <w:rsid w:val="00561EC5"/>
    <w:rsid w:val="00561F6C"/>
    <w:rsid w:val="00561F74"/>
    <w:rsid w:val="00561F90"/>
    <w:rsid w:val="00562065"/>
    <w:rsid w:val="00562212"/>
    <w:rsid w:val="00562244"/>
    <w:rsid w:val="005622C5"/>
    <w:rsid w:val="00562333"/>
    <w:rsid w:val="00562393"/>
    <w:rsid w:val="00562456"/>
    <w:rsid w:val="0056248C"/>
    <w:rsid w:val="005624A4"/>
    <w:rsid w:val="00562512"/>
    <w:rsid w:val="00562679"/>
    <w:rsid w:val="0056293E"/>
    <w:rsid w:val="00562B41"/>
    <w:rsid w:val="00562C59"/>
    <w:rsid w:val="00562C69"/>
    <w:rsid w:val="00562D14"/>
    <w:rsid w:val="00562D55"/>
    <w:rsid w:val="00563026"/>
    <w:rsid w:val="0056304B"/>
    <w:rsid w:val="0056312F"/>
    <w:rsid w:val="005631B1"/>
    <w:rsid w:val="005632D3"/>
    <w:rsid w:val="005634AD"/>
    <w:rsid w:val="005635D5"/>
    <w:rsid w:val="00563646"/>
    <w:rsid w:val="00563926"/>
    <w:rsid w:val="005639E3"/>
    <w:rsid w:val="00563A32"/>
    <w:rsid w:val="00563A4B"/>
    <w:rsid w:val="00563B90"/>
    <w:rsid w:val="00563EA8"/>
    <w:rsid w:val="005643B9"/>
    <w:rsid w:val="00564759"/>
    <w:rsid w:val="00564AFD"/>
    <w:rsid w:val="00564C30"/>
    <w:rsid w:val="00564C99"/>
    <w:rsid w:val="00564DD0"/>
    <w:rsid w:val="00564E6B"/>
    <w:rsid w:val="0056520B"/>
    <w:rsid w:val="0056526A"/>
    <w:rsid w:val="0056544E"/>
    <w:rsid w:val="00565469"/>
    <w:rsid w:val="0056548B"/>
    <w:rsid w:val="0056551C"/>
    <w:rsid w:val="0056561A"/>
    <w:rsid w:val="00565915"/>
    <w:rsid w:val="00565AB7"/>
    <w:rsid w:val="00565B14"/>
    <w:rsid w:val="00565E78"/>
    <w:rsid w:val="00566038"/>
    <w:rsid w:val="005660B6"/>
    <w:rsid w:val="00566141"/>
    <w:rsid w:val="005663B1"/>
    <w:rsid w:val="005663C6"/>
    <w:rsid w:val="0056650E"/>
    <w:rsid w:val="005665D6"/>
    <w:rsid w:val="00566B49"/>
    <w:rsid w:val="00566D08"/>
    <w:rsid w:val="00566FCD"/>
    <w:rsid w:val="00567172"/>
    <w:rsid w:val="00567236"/>
    <w:rsid w:val="00567418"/>
    <w:rsid w:val="00567453"/>
    <w:rsid w:val="00567480"/>
    <w:rsid w:val="005675F2"/>
    <w:rsid w:val="005676C2"/>
    <w:rsid w:val="005677E5"/>
    <w:rsid w:val="00567B6E"/>
    <w:rsid w:val="00567C24"/>
    <w:rsid w:val="00567DCD"/>
    <w:rsid w:val="00567DDE"/>
    <w:rsid w:val="005701E8"/>
    <w:rsid w:val="0057023C"/>
    <w:rsid w:val="00570254"/>
    <w:rsid w:val="0057039D"/>
    <w:rsid w:val="00570908"/>
    <w:rsid w:val="00570974"/>
    <w:rsid w:val="00570CC0"/>
    <w:rsid w:val="00570E5E"/>
    <w:rsid w:val="00570FB1"/>
    <w:rsid w:val="005710A8"/>
    <w:rsid w:val="0057110A"/>
    <w:rsid w:val="0057128A"/>
    <w:rsid w:val="005716B2"/>
    <w:rsid w:val="005716BF"/>
    <w:rsid w:val="00571AAC"/>
    <w:rsid w:val="00571ADF"/>
    <w:rsid w:val="00571B2F"/>
    <w:rsid w:val="00571B78"/>
    <w:rsid w:val="00571CEA"/>
    <w:rsid w:val="00571DDB"/>
    <w:rsid w:val="00571EF2"/>
    <w:rsid w:val="00571F91"/>
    <w:rsid w:val="0057202B"/>
    <w:rsid w:val="00572160"/>
    <w:rsid w:val="0057228E"/>
    <w:rsid w:val="0057241A"/>
    <w:rsid w:val="00572485"/>
    <w:rsid w:val="005725B1"/>
    <w:rsid w:val="005725C7"/>
    <w:rsid w:val="00572628"/>
    <w:rsid w:val="0057286F"/>
    <w:rsid w:val="00572A3E"/>
    <w:rsid w:val="00572DFC"/>
    <w:rsid w:val="00572ECD"/>
    <w:rsid w:val="00572ED9"/>
    <w:rsid w:val="005730E5"/>
    <w:rsid w:val="0057316E"/>
    <w:rsid w:val="0057328B"/>
    <w:rsid w:val="00573390"/>
    <w:rsid w:val="00573392"/>
    <w:rsid w:val="00573669"/>
    <w:rsid w:val="00573720"/>
    <w:rsid w:val="00573793"/>
    <w:rsid w:val="005737C3"/>
    <w:rsid w:val="005738B8"/>
    <w:rsid w:val="005738DA"/>
    <w:rsid w:val="00573901"/>
    <w:rsid w:val="0057392C"/>
    <w:rsid w:val="0057394B"/>
    <w:rsid w:val="00573971"/>
    <w:rsid w:val="005739CC"/>
    <w:rsid w:val="00573B94"/>
    <w:rsid w:val="00573EDC"/>
    <w:rsid w:val="00574084"/>
    <w:rsid w:val="005740BB"/>
    <w:rsid w:val="00574101"/>
    <w:rsid w:val="0057420C"/>
    <w:rsid w:val="005742F0"/>
    <w:rsid w:val="0057487F"/>
    <w:rsid w:val="00574976"/>
    <w:rsid w:val="005749C3"/>
    <w:rsid w:val="00574B39"/>
    <w:rsid w:val="00574B6D"/>
    <w:rsid w:val="00574BFD"/>
    <w:rsid w:val="00574EA2"/>
    <w:rsid w:val="00574FAF"/>
    <w:rsid w:val="005750FA"/>
    <w:rsid w:val="0057516A"/>
    <w:rsid w:val="00575225"/>
    <w:rsid w:val="00575547"/>
    <w:rsid w:val="0057568A"/>
    <w:rsid w:val="005756B0"/>
    <w:rsid w:val="0057577A"/>
    <w:rsid w:val="005757D9"/>
    <w:rsid w:val="0057584E"/>
    <w:rsid w:val="00575A52"/>
    <w:rsid w:val="00575ACF"/>
    <w:rsid w:val="00575D6A"/>
    <w:rsid w:val="00575E19"/>
    <w:rsid w:val="00575E58"/>
    <w:rsid w:val="00575E75"/>
    <w:rsid w:val="00575F4D"/>
    <w:rsid w:val="00576353"/>
    <w:rsid w:val="00576360"/>
    <w:rsid w:val="005765B0"/>
    <w:rsid w:val="005766C3"/>
    <w:rsid w:val="005767F0"/>
    <w:rsid w:val="00576983"/>
    <w:rsid w:val="00576A77"/>
    <w:rsid w:val="00576C81"/>
    <w:rsid w:val="00576F0E"/>
    <w:rsid w:val="00576FBB"/>
    <w:rsid w:val="005770FB"/>
    <w:rsid w:val="0057712B"/>
    <w:rsid w:val="005771B6"/>
    <w:rsid w:val="00577271"/>
    <w:rsid w:val="0057727E"/>
    <w:rsid w:val="00577282"/>
    <w:rsid w:val="0057749C"/>
    <w:rsid w:val="005774D1"/>
    <w:rsid w:val="005774D4"/>
    <w:rsid w:val="005775A0"/>
    <w:rsid w:val="00577688"/>
    <w:rsid w:val="005776A7"/>
    <w:rsid w:val="00577731"/>
    <w:rsid w:val="00577793"/>
    <w:rsid w:val="005777DE"/>
    <w:rsid w:val="00577807"/>
    <w:rsid w:val="00577878"/>
    <w:rsid w:val="00577BCE"/>
    <w:rsid w:val="00577D51"/>
    <w:rsid w:val="0058003C"/>
    <w:rsid w:val="005800B3"/>
    <w:rsid w:val="005800C0"/>
    <w:rsid w:val="005800E5"/>
    <w:rsid w:val="0058047A"/>
    <w:rsid w:val="005804A0"/>
    <w:rsid w:val="005805BC"/>
    <w:rsid w:val="00580A45"/>
    <w:rsid w:val="00580D06"/>
    <w:rsid w:val="00580D65"/>
    <w:rsid w:val="00580F37"/>
    <w:rsid w:val="005812A2"/>
    <w:rsid w:val="005816CD"/>
    <w:rsid w:val="005816D5"/>
    <w:rsid w:val="005816E6"/>
    <w:rsid w:val="005819DF"/>
    <w:rsid w:val="00581B3B"/>
    <w:rsid w:val="00581C8A"/>
    <w:rsid w:val="00581EF4"/>
    <w:rsid w:val="00581F3F"/>
    <w:rsid w:val="00581F42"/>
    <w:rsid w:val="0058200B"/>
    <w:rsid w:val="00582030"/>
    <w:rsid w:val="00582045"/>
    <w:rsid w:val="005820E2"/>
    <w:rsid w:val="00582159"/>
    <w:rsid w:val="00582638"/>
    <w:rsid w:val="005828E0"/>
    <w:rsid w:val="0058297E"/>
    <w:rsid w:val="00582A55"/>
    <w:rsid w:val="00582ABE"/>
    <w:rsid w:val="00582AFB"/>
    <w:rsid w:val="00582CA5"/>
    <w:rsid w:val="00582DE1"/>
    <w:rsid w:val="00582F3B"/>
    <w:rsid w:val="00583008"/>
    <w:rsid w:val="00583873"/>
    <w:rsid w:val="00583A78"/>
    <w:rsid w:val="00583AC2"/>
    <w:rsid w:val="00583ADE"/>
    <w:rsid w:val="00583BFB"/>
    <w:rsid w:val="00583E5F"/>
    <w:rsid w:val="00583EBE"/>
    <w:rsid w:val="00583F63"/>
    <w:rsid w:val="005841AC"/>
    <w:rsid w:val="005842E0"/>
    <w:rsid w:val="00584305"/>
    <w:rsid w:val="00584399"/>
    <w:rsid w:val="005843A4"/>
    <w:rsid w:val="0058456B"/>
    <w:rsid w:val="00584822"/>
    <w:rsid w:val="0058482C"/>
    <w:rsid w:val="00584EB8"/>
    <w:rsid w:val="00584F59"/>
    <w:rsid w:val="0058528A"/>
    <w:rsid w:val="00585396"/>
    <w:rsid w:val="005853D3"/>
    <w:rsid w:val="005856EB"/>
    <w:rsid w:val="00585752"/>
    <w:rsid w:val="0058577A"/>
    <w:rsid w:val="005857F2"/>
    <w:rsid w:val="00585864"/>
    <w:rsid w:val="00585C0D"/>
    <w:rsid w:val="00585C47"/>
    <w:rsid w:val="00585D14"/>
    <w:rsid w:val="00585F5C"/>
    <w:rsid w:val="0058641C"/>
    <w:rsid w:val="005864EF"/>
    <w:rsid w:val="005865A6"/>
    <w:rsid w:val="00586650"/>
    <w:rsid w:val="0058678A"/>
    <w:rsid w:val="00586BB9"/>
    <w:rsid w:val="00586DAB"/>
    <w:rsid w:val="00586FAA"/>
    <w:rsid w:val="00586FF6"/>
    <w:rsid w:val="0058702A"/>
    <w:rsid w:val="0058717C"/>
    <w:rsid w:val="005871BD"/>
    <w:rsid w:val="005871FB"/>
    <w:rsid w:val="00587245"/>
    <w:rsid w:val="005872F2"/>
    <w:rsid w:val="0058736F"/>
    <w:rsid w:val="005873AA"/>
    <w:rsid w:val="005873DC"/>
    <w:rsid w:val="0058755C"/>
    <w:rsid w:val="00587AB2"/>
    <w:rsid w:val="00587BE8"/>
    <w:rsid w:val="00587E9B"/>
    <w:rsid w:val="005900A1"/>
    <w:rsid w:val="00590113"/>
    <w:rsid w:val="00590541"/>
    <w:rsid w:val="00590788"/>
    <w:rsid w:val="00590AA8"/>
    <w:rsid w:val="00590AC2"/>
    <w:rsid w:val="00590B01"/>
    <w:rsid w:val="00590B8B"/>
    <w:rsid w:val="00590BF9"/>
    <w:rsid w:val="00590CC8"/>
    <w:rsid w:val="00590D25"/>
    <w:rsid w:val="00590ECA"/>
    <w:rsid w:val="00590F47"/>
    <w:rsid w:val="0059116B"/>
    <w:rsid w:val="005913DE"/>
    <w:rsid w:val="00591605"/>
    <w:rsid w:val="00591E0D"/>
    <w:rsid w:val="00591F18"/>
    <w:rsid w:val="00591F5B"/>
    <w:rsid w:val="00592045"/>
    <w:rsid w:val="00592142"/>
    <w:rsid w:val="0059223E"/>
    <w:rsid w:val="005922B0"/>
    <w:rsid w:val="00592321"/>
    <w:rsid w:val="00592345"/>
    <w:rsid w:val="00592594"/>
    <w:rsid w:val="0059260D"/>
    <w:rsid w:val="005926C0"/>
    <w:rsid w:val="005926FC"/>
    <w:rsid w:val="00592937"/>
    <w:rsid w:val="00592A3A"/>
    <w:rsid w:val="00592B09"/>
    <w:rsid w:val="00592C06"/>
    <w:rsid w:val="00592DA5"/>
    <w:rsid w:val="00592DA8"/>
    <w:rsid w:val="00592DB4"/>
    <w:rsid w:val="00592E4E"/>
    <w:rsid w:val="00593087"/>
    <w:rsid w:val="005930F2"/>
    <w:rsid w:val="005933A8"/>
    <w:rsid w:val="0059348D"/>
    <w:rsid w:val="00593581"/>
    <w:rsid w:val="005936A9"/>
    <w:rsid w:val="00593AA5"/>
    <w:rsid w:val="00593C8D"/>
    <w:rsid w:val="00593D40"/>
    <w:rsid w:val="00593DE3"/>
    <w:rsid w:val="00594032"/>
    <w:rsid w:val="0059414E"/>
    <w:rsid w:val="005942E3"/>
    <w:rsid w:val="005945DF"/>
    <w:rsid w:val="0059464C"/>
    <w:rsid w:val="00594811"/>
    <w:rsid w:val="00595027"/>
    <w:rsid w:val="00595127"/>
    <w:rsid w:val="00595379"/>
    <w:rsid w:val="005953A6"/>
    <w:rsid w:val="005955E6"/>
    <w:rsid w:val="005956B5"/>
    <w:rsid w:val="005958F9"/>
    <w:rsid w:val="00595936"/>
    <w:rsid w:val="00595976"/>
    <w:rsid w:val="005959D7"/>
    <w:rsid w:val="00595AD7"/>
    <w:rsid w:val="00595B37"/>
    <w:rsid w:val="00595BA7"/>
    <w:rsid w:val="00595BB2"/>
    <w:rsid w:val="00595DE4"/>
    <w:rsid w:val="00595E22"/>
    <w:rsid w:val="00595FC0"/>
    <w:rsid w:val="0059623C"/>
    <w:rsid w:val="0059628C"/>
    <w:rsid w:val="005963EA"/>
    <w:rsid w:val="0059657D"/>
    <w:rsid w:val="005966FC"/>
    <w:rsid w:val="00596719"/>
    <w:rsid w:val="00596731"/>
    <w:rsid w:val="00596930"/>
    <w:rsid w:val="00596D27"/>
    <w:rsid w:val="00596E4D"/>
    <w:rsid w:val="005971A3"/>
    <w:rsid w:val="0059724D"/>
    <w:rsid w:val="0059786F"/>
    <w:rsid w:val="0059791D"/>
    <w:rsid w:val="00597BDB"/>
    <w:rsid w:val="00597DA9"/>
    <w:rsid w:val="00597E0D"/>
    <w:rsid w:val="005A018B"/>
    <w:rsid w:val="005A0224"/>
    <w:rsid w:val="005A0376"/>
    <w:rsid w:val="005A046F"/>
    <w:rsid w:val="005A04FE"/>
    <w:rsid w:val="005A062D"/>
    <w:rsid w:val="005A0786"/>
    <w:rsid w:val="005A099B"/>
    <w:rsid w:val="005A09D3"/>
    <w:rsid w:val="005A0B02"/>
    <w:rsid w:val="005A0B46"/>
    <w:rsid w:val="005A0BA6"/>
    <w:rsid w:val="005A0D5C"/>
    <w:rsid w:val="005A0EC4"/>
    <w:rsid w:val="005A0FA2"/>
    <w:rsid w:val="005A1201"/>
    <w:rsid w:val="005A13EF"/>
    <w:rsid w:val="005A1497"/>
    <w:rsid w:val="005A15E8"/>
    <w:rsid w:val="005A1834"/>
    <w:rsid w:val="005A1B2E"/>
    <w:rsid w:val="005A1C84"/>
    <w:rsid w:val="005A1CCE"/>
    <w:rsid w:val="005A1DBA"/>
    <w:rsid w:val="005A1FA8"/>
    <w:rsid w:val="005A209A"/>
    <w:rsid w:val="005A2147"/>
    <w:rsid w:val="005A2309"/>
    <w:rsid w:val="005A2508"/>
    <w:rsid w:val="005A2510"/>
    <w:rsid w:val="005A2554"/>
    <w:rsid w:val="005A2558"/>
    <w:rsid w:val="005A262D"/>
    <w:rsid w:val="005A26B8"/>
    <w:rsid w:val="005A2B77"/>
    <w:rsid w:val="005A2C40"/>
    <w:rsid w:val="005A2E28"/>
    <w:rsid w:val="005A301A"/>
    <w:rsid w:val="005A31D3"/>
    <w:rsid w:val="005A3259"/>
    <w:rsid w:val="005A3378"/>
    <w:rsid w:val="005A351F"/>
    <w:rsid w:val="005A35B2"/>
    <w:rsid w:val="005A35EC"/>
    <w:rsid w:val="005A3671"/>
    <w:rsid w:val="005A3777"/>
    <w:rsid w:val="005A39BF"/>
    <w:rsid w:val="005A3A24"/>
    <w:rsid w:val="005A3C59"/>
    <w:rsid w:val="005A3D9F"/>
    <w:rsid w:val="005A3DB8"/>
    <w:rsid w:val="005A3EFA"/>
    <w:rsid w:val="005A3F38"/>
    <w:rsid w:val="005A3FE4"/>
    <w:rsid w:val="005A425F"/>
    <w:rsid w:val="005A42CD"/>
    <w:rsid w:val="005A42E2"/>
    <w:rsid w:val="005A4616"/>
    <w:rsid w:val="005A47A5"/>
    <w:rsid w:val="005A5212"/>
    <w:rsid w:val="005A5234"/>
    <w:rsid w:val="005A533C"/>
    <w:rsid w:val="005A541B"/>
    <w:rsid w:val="005A5694"/>
    <w:rsid w:val="005A5DC4"/>
    <w:rsid w:val="005A5EEA"/>
    <w:rsid w:val="005A5EF2"/>
    <w:rsid w:val="005A5F57"/>
    <w:rsid w:val="005A617C"/>
    <w:rsid w:val="005A63B6"/>
    <w:rsid w:val="005A6476"/>
    <w:rsid w:val="005A65D7"/>
    <w:rsid w:val="005A68C6"/>
    <w:rsid w:val="005A6953"/>
    <w:rsid w:val="005A69C0"/>
    <w:rsid w:val="005A69DD"/>
    <w:rsid w:val="005A6AD1"/>
    <w:rsid w:val="005A6B3B"/>
    <w:rsid w:val="005A6C20"/>
    <w:rsid w:val="005A6F02"/>
    <w:rsid w:val="005A6F0C"/>
    <w:rsid w:val="005A713D"/>
    <w:rsid w:val="005A7741"/>
    <w:rsid w:val="005A77D2"/>
    <w:rsid w:val="005A7B35"/>
    <w:rsid w:val="005A7CE1"/>
    <w:rsid w:val="005A7CF5"/>
    <w:rsid w:val="005A7E32"/>
    <w:rsid w:val="005A7F55"/>
    <w:rsid w:val="005A7F73"/>
    <w:rsid w:val="005B0173"/>
    <w:rsid w:val="005B0439"/>
    <w:rsid w:val="005B053A"/>
    <w:rsid w:val="005B09FE"/>
    <w:rsid w:val="005B0B29"/>
    <w:rsid w:val="005B0BCB"/>
    <w:rsid w:val="005B0C50"/>
    <w:rsid w:val="005B113C"/>
    <w:rsid w:val="005B11B5"/>
    <w:rsid w:val="005B14DC"/>
    <w:rsid w:val="005B14E7"/>
    <w:rsid w:val="005B1529"/>
    <w:rsid w:val="005B163B"/>
    <w:rsid w:val="005B170A"/>
    <w:rsid w:val="005B19C6"/>
    <w:rsid w:val="005B1A28"/>
    <w:rsid w:val="005B1C3C"/>
    <w:rsid w:val="005B1D72"/>
    <w:rsid w:val="005B1EA2"/>
    <w:rsid w:val="005B1F9D"/>
    <w:rsid w:val="005B1FCF"/>
    <w:rsid w:val="005B2087"/>
    <w:rsid w:val="005B20B0"/>
    <w:rsid w:val="005B20FC"/>
    <w:rsid w:val="005B2222"/>
    <w:rsid w:val="005B22DF"/>
    <w:rsid w:val="005B26CB"/>
    <w:rsid w:val="005B27A7"/>
    <w:rsid w:val="005B281D"/>
    <w:rsid w:val="005B28DA"/>
    <w:rsid w:val="005B29D4"/>
    <w:rsid w:val="005B2B2E"/>
    <w:rsid w:val="005B2BDF"/>
    <w:rsid w:val="005B2DD4"/>
    <w:rsid w:val="005B347B"/>
    <w:rsid w:val="005B34AA"/>
    <w:rsid w:val="005B34F4"/>
    <w:rsid w:val="005B3517"/>
    <w:rsid w:val="005B37A1"/>
    <w:rsid w:val="005B3B2D"/>
    <w:rsid w:val="005B3D28"/>
    <w:rsid w:val="005B3DC9"/>
    <w:rsid w:val="005B400E"/>
    <w:rsid w:val="005B40B4"/>
    <w:rsid w:val="005B4307"/>
    <w:rsid w:val="005B4339"/>
    <w:rsid w:val="005B4428"/>
    <w:rsid w:val="005B44C0"/>
    <w:rsid w:val="005B46B3"/>
    <w:rsid w:val="005B48DE"/>
    <w:rsid w:val="005B4986"/>
    <w:rsid w:val="005B4A97"/>
    <w:rsid w:val="005B4D58"/>
    <w:rsid w:val="005B4D76"/>
    <w:rsid w:val="005B534C"/>
    <w:rsid w:val="005B5354"/>
    <w:rsid w:val="005B5390"/>
    <w:rsid w:val="005B541F"/>
    <w:rsid w:val="005B5762"/>
    <w:rsid w:val="005B5895"/>
    <w:rsid w:val="005B58A8"/>
    <w:rsid w:val="005B5A61"/>
    <w:rsid w:val="005B5C8F"/>
    <w:rsid w:val="005B6236"/>
    <w:rsid w:val="005B639E"/>
    <w:rsid w:val="005B63ED"/>
    <w:rsid w:val="005B6452"/>
    <w:rsid w:val="005B649D"/>
    <w:rsid w:val="005B64E4"/>
    <w:rsid w:val="005B677B"/>
    <w:rsid w:val="005B677D"/>
    <w:rsid w:val="005B6810"/>
    <w:rsid w:val="005B69AA"/>
    <w:rsid w:val="005B6A30"/>
    <w:rsid w:val="005B6AF5"/>
    <w:rsid w:val="005B6CBB"/>
    <w:rsid w:val="005B6CE0"/>
    <w:rsid w:val="005B6D88"/>
    <w:rsid w:val="005B6DD2"/>
    <w:rsid w:val="005B6E01"/>
    <w:rsid w:val="005B6F07"/>
    <w:rsid w:val="005B6FAC"/>
    <w:rsid w:val="005B753C"/>
    <w:rsid w:val="005B762B"/>
    <w:rsid w:val="005B77AD"/>
    <w:rsid w:val="005B77B6"/>
    <w:rsid w:val="005B7848"/>
    <w:rsid w:val="005B7952"/>
    <w:rsid w:val="005B7A94"/>
    <w:rsid w:val="005B7B26"/>
    <w:rsid w:val="005B7BFD"/>
    <w:rsid w:val="005B7CB4"/>
    <w:rsid w:val="005B7E45"/>
    <w:rsid w:val="005B7EAF"/>
    <w:rsid w:val="005BBDA4"/>
    <w:rsid w:val="005C0025"/>
    <w:rsid w:val="005C00D7"/>
    <w:rsid w:val="005C0107"/>
    <w:rsid w:val="005C0295"/>
    <w:rsid w:val="005C0411"/>
    <w:rsid w:val="005C0497"/>
    <w:rsid w:val="005C049A"/>
    <w:rsid w:val="005C0825"/>
    <w:rsid w:val="005C0974"/>
    <w:rsid w:val="005C099A"/>
    <w:rsid w:val="005C0E41"/>
    <w:rsid w:val="005C0F38"/>
    <w:rsid w:val="005C1082"/>
    <w:rsid w:val="005C10C1"/>
    <w:rsid w:val="005C13D3"/>
    <w:rsid w:val="005C1583"/>
    <w:rsid w:val="005C160B"/>
    <w:rsid w:val="005C1959"/>
    <w:rsid w:val="005C1B1E"/>
    <w:rsid w:val="005C1B4B"/>
    <w:rsid w:val="005C1D41"/>
    <w:rsid w:val="005C1D8C"/>
    <w:rsid w:val="005C1E38"/>
    <w:rsid w:val="005C1E57"/>
    <w:rsid w:val="005C1E6F"/>
    <w:rsid w:val="005C1F15"/>
    <w:rsid w:val="005C2035"/>
    <w:rsid w:val="005C208E"/>
    <w:rsid w:val="005C21C9"/>
    <w:rsid w:val="005C22BC"/>
    <w:rsid w:val="005C2541"/>
    <w:rsid w:val="005C25D4"/>
    <w:rsid w:val="005C29BE"/>
    <w:rsid w:val="005C2AAB"/>
    <w:rsid w:val="005C2C58"/>
    <w:rsid w:val="005C2E41"/>
    <w:rsid w:val="005C2EA5"/>
    <w:rsid w:val="005C2EC5"/>
    <w:rsid w:val="005C2F72"/>
    <w:rsid w:val="005C3095"/>
    <w:rsid w:val="005C3174"/>
    <w:rsid w:val="005C3317"/>
    <w:rsid w:val="005C3381"/>
    <w:rsid w:val="005C36AC"/>
    <w:rsid w:val="005C379B"/>
    <w:rsid w:val="005C3907"/>
    <w:rsid w:val="005C3921"/>
    <w:rsid w:val="005C394F"/>
    <w:rsid w:val="005C39C1"/>
    <w:rsid w:val="005C39FE"/>
    <w:rsid w:val="005C3AA4"/>
    <w:rsid w:val="005C3BA4"/>
    <w:rsid w:val="005C3D24"/>
    <w:rsid w:val="005C4033"/>
    <w:rsid w:val="005C41AB"/>
    <w:rsid w:val="005C4384"/>
    <w:rsid w:val="005C44D7"/>
    <w:rsid w:val="005C456E"/>
    <w:rsid w:val="005C4795"/>
    <w:rsid w:val="005C47B4"/>
    <w:rsid w:val="005C47C2"/>
    <w:rsid w:val="005C47E7"/>
    <w:rsid w:val="005C4933"/>
    <w:rsid w:val="005C4E06"/>
    <w:rsid w:val="005C4F00"/>
    <w:rsid w:val="005C57BF"/>
    <w:rsid w:val="005C59AA"/>
    <w:rsid w:val="005C59BB"/>
    <w:rsid w:val="005C5AA1"/>
    <w:rsid w:val="005C5D1B"/>
    <w:rsid w:val="005C5E43"/>
    <w:rsid w:val="005C5F7C"/>
    <w:rsid w:val="005C5FE8"/>
    <w:rsid w:val="005C629A"/>
    <w:rsid w:val="005C62F5"/>
    <w:rsid w:val="005C6350"/>
    <w:rsid w:val="005C63EF"/>
    <w:rsid w:val="005C63F0"/>
    <w:rsid w:val="005C64C7"/>
    <w:rsid w:val="005C665A"/>
    <w:rsid w:val="005C677E"/>
    <w:rsid w:val="005C6932"/>
    <w:rsid w:val="005C696D"/>
    <w:rsid w:val="005C6B2B"/>
    <w:rsid w:val="005C6B73"/>
    <w:rsid w:val="005C6C45"/>
    <w:rsid w:val="005C6E21"/>
    <w:rsid w:val="005C7092"/>
    <w:rsid w:val="005C71E9"/>
    <w:rsid w:val="005C7337"/>
    <w:rsid w:val="005C73CD"/>
    <w:rsid w:val="005C7567"/>
    <w:rsid w:val="005C75E7"/>
    <w:rsid w:val="005C766D"/>
    <w:rsid w:val="005C76B5"/>
    <w:rsid w:val="005C770A"/>
    <w:rsid w:val="005C770B"/>
    <w:rsid w:val="005C7786"/>
    <w:rsid w:val="005C7DC2"/>
    <w:rsid w:val="005C7EF4"/>
    <w:rsid w:val="005D007D"/>
    <w:rsid w:val="005D0276"/>
    <w:rsid w:val="005D030F"/>
    <w:rsid w:val="005D03BC"/>
    <w:rsid w:val="005D05E1"/>
    <w:rsid w:val="005D078E"/>
    <w:rsid w:val="005D0879"/>
    <w:rsid w:val="005D08F7"/>
    <w:rsid w:val="005D1020"/>
    <w:rsid w:val="005D113C"/>
    <w:rsid w:val="005D13E0"/>
    <w:rsid w:val="005D15C6"/>
    <w:rsid w:val="005D1703"/>
    <w:rsid w:val="005D1799"/>
    <w:rsid w:val="005D190D"/>
    <w:rsid w:val="005D1936"/>
    <w:rsid w:val="005D19BF"/>
    <w:rsid w:val="005D1B35"/>
    <w:rsid w:val="005D1B41"/>
    <w:rsid w:val="005D1CF5"/>
    <w:rsid w:val="005D1CF8"/>
    <w:rsid w:val="005D1FCA"/>
    <w:rsid w:val="005D223B"/>
    <w:rsid w:val="005D2512"/>
    <w:rsid w:val="005D2597"/>
    <w:rsid w:val="005D2765"/>
    <w:rsid w:val="005D295D"/>
    <w:rsid w:val="005D29D2"/>
    <w:rsid w:val="005D2A65"/>
    <w:rsid w:val="005D2AEC"/>
    <w:rsid w:val="005D2CD7"/>
    <w:rsid w:val="005D2EF9"/>
    <w:rsid w:val="005D2FA6"/>
    <w:rsid w:val="005D2FBE"/>
    <w:rsid w:val="005D347B"/>
    <w:rsid w:val="005D3571"/>
    <w:rsid w:val="005D35C8"/>
    <w:rsid w:val="005D361D"/>
    <w:rsid w:val="005D36E7"/>
    <w:rsid w:val="005D37D2"/>
    <w:rsid w:val="005D389B"/>
    <w:rsid w:val="005D3AB4"/>
    <w:rsid w:val="005D3B12"/>
    <w:rsid w:val="005D3C33"/>
    <w:rsid w:val="005D3D62"/>
    <w:rsid w:val="005D3F3A"/>
    <w:rsid w:val="005D3F3E"/>
    <w:rsid w:val="005D3FF2"/>
    <w:rsid w:val="005D40E4"/>
    <w:rsid w:val="005D42F0"/>
    <w:rsid w:val="005D450A"/>
    <w:rsid w:val="005D4717"/>
    <w:rsid w:val="005D4860"/>
    <w:rsid w:val="005D4B4A"/>
    <w:rsid w:val="005D4CFC"/>
    <w:rsid w:val="005D4D31"/>
    <w:rsid w:val="005D4D7A"/>
    <w:rsid w:val="005D4E65"/>
    <w:rsid w:val="005D4ED0"/>
    <w:rsid w:val="005D5024"/>
    <w:rsid w:val="005D50D1"/>
    <w:rsid w:val="005D52C0"/>
    <w:rsid w:val="005D52FA"/>
    <w:rsid w:val="005D574A"/>
    <w:rsid w:val="005D5B72"/>
    <w:rsid w:val="005D5CD5"/>
    <w:rsid w:val="005D5D01"/>
    <w:rsid w:val="005D5F69"/>
    <w:rsid w:val="005D64F0"/>
    <w:rsid w:val="005D64FF"/>
    <w:rsid w:val="005D6555"/>
    <w:rsid w:val="005D66D8"/>
    <w:rsid w:val="005D68B3"/>
    <w:rsid w:val="005D6CDD"/>
    <w:rsid w:val="005D6D2C"/>
    <w:rsid w:val="005D6E14"/>
    <w:rsid w:val="005D757F"/>
    <w:rsid w:val="005D762E"/>
    <w:rsid w:val="005D76DE"/>
    <w:rsid w:val="005D7700"/>
    <w:rsid w:val="005D77F9"/>
    <w:rsid w:val="005D78AD"/>
    <w:rsid w:val="005D79B3"/>
    <w:rsid w:val="005D7A5E"/>
    <w:rsid w:val="005D7AAB"/>
    <w:rsid w:val="005D7CC3"/>
    <w:rsid w:val="005D7CF9"/>
    <w:rsid w:val="005D7CFB"/>
    <w:rsid w:val="005D7CFF"/>
    <w:rsid w:val="005D7FD7"/>
    <w:rsid w:val="005E0582"/>
    <w:rsid w:val="005E0630"/>
    <w:rsid w:val="005E0805"/>
    <w:rsid w:val="005E0898"/>
    <w:rsid w:val="005E0948"/>
    <w:rsid w:val="005E0B59"/>
    <w:rsid w:val="005E0C7D"/>
    <w:rsid w:val="005E0C8F"/>
    <w:rsid w:val="005E0FFF"/>
    <w:rsid w:val="005E1028"/>
    <w:rsid w:val="005E11FD"/>
    <w:rsid w:val="005E14D1"/>
    <w:rsid w:val="005E1666"/>
    <w:rsid w:val="005E16CF"/>
    <w:rsid w:val="005E17CB"/>
    <w:rsid w:val="005E1BA1"/>
    <w:rsid w:val="005E1BF9"/>
    <w:rsid w:val="005E1DE8"/>
    <w:rsid w:val="005E1E8A"/>
    <w:rsid w:val="005E1F7A"/>
    <w:rsid w:val="005E21CC"/>
    <w:rsid w:val="005E2245"/>
    <w:rsid w:val="005E24D7"/>
    <w:rsid w:val="005E26B8"/>
    <w:rsid w:val="005E28DE"/>
    <w:rsid w:val="005E296F"/>
    <w:rsid w:val="005E2A31"/>
    <w:rsid w:val="005E2A5B"/>
    <w:rsid w:val="005E2C9B"/>
    <w:rsid w:val="005E2CDA"/>
    <w:rsid w:val="005E2D31"/>
    <w:rsid w:val="005E2E1D"/>
    <w:rsid w:val="005E2F4E"/>
    <w:rsid w:val="005E3059"/>
    <w:rsid w:val="005E33CE"/>
    <w:rsid w:val="005E346C"/>
    <w:rsid w:val="005E3510"/>
    <w:rsid w:val="005E3A81"/>
    <w:rsid w:val="005E3ABD"/>
    <w:rsid w:val="005E3DE0"/>
    <w:rsid w:val="005E3E11"/>
    <w:rsid w:val="005E3EE6"/>
    <w:rsid w:val="005E4127"/>
    <w:rsid w:val="005E41F9"/>
    <w:rsid w:val="005E4399"/>
    <w:rsid w:val="005E4492"/>
    <w:rsid w:val="005E492D"/>
    <w:rsid w:val="005E49F2"/>
    <w:rsid w:val="005E4C28"/>
    <w:rsid w:val="005E4C63"/>
    <w:rsid w:val="005E4DE6"/>
    <w:rsid w:val="005E5233"/>
    <w:rsid w:val="005E52FE"/>
    <w:rsid w:val="005E532E"/>
    <w:rsid w:val="005E53C6"/>
    <w:rsid w:val="005E54C0"/>
    <w:rsid w:val="005E56E9"/>
    <w:rsid w:val="005E57C2"/>
    <w:rsid w:val="005E5856"/>
    <w:rsid w:val="005E5A15"/>
    <w:rsid w:val="005E5A25"/>
    <w:rsid w:val="005E5A50"/>
    <w:rsid w:val="005E5B63"/>
    <w:rsid w:val="005E5CB0"/>
    <w:rsid w:val="005E5EEE"/>
    <w:rsid w:val="005E5FED"/>
    <w:rsid w:val="005E644B"/>
    <w:rsid w:val="005E644F"/>
    <w:rsid w:val="005E6463"/>
    <w:rsid w:val="005E64A7"/>
    <w:rsid w:val="005E6655"/>
    <w:rsid w:val="005E6749"/>
    <w:rsid w:val="005E6869"/>
    <w:rsid w:val="005E68DB"/>
    <w:rsid w:val="005E6A49"/>
    <w:rsid w:val="005E6D7E"/>
    <w:rsid w:val="005E6ED1"/>
    <w:rsid w:val="005E6F0F"/>
    <w:rsid w:val="005E6F73"/>
    <w:rsid w:val="005E7012"/>
    <w:rsid w:val="005E708C"/>
    <w:rsid w:val="005E7219"/>
    <w:rsid w:val="005E7236"/>
    <w:rsid w:val="005E7318"/>
    <w:rsid w:val="005E741C"/>
    <w:rsid w:val="005E744E"/>
    <w:rsid w:val="005E760C"/>
    <w:rsid w:val="005E76E0"/>
    <w:rsid w:val="005E7807"/>
    <w:rsid w:val="005E780B"/>
    <w:rsid w:val="005E7A10"/>
    <w:rsid w:val="005E7C26"/>
    <w:rsid w:val="005F00FB"/>
    <w:rsid w:val="005F0163"/>
    <w:rsid w:val="005F0398"/>
    <w:rsid w:val="005F0511"/>
    <w:rsid w:val="005F0699"/>
    <w:rsid w:val="005F083E"/>
    <w:rsid w:val="005F0A4F"/>
    <w:rsid w:val="005F0DA6"/>
    <w:rsid w:val="005F0F33"/>
    <w:rsid w:val="005F122F"/>
    <w:rsid w:val="005F1581"/>
    <w:rsid w:val="005F1594"/>
    <w:rsid w:val="005F179D"/>
    <w:rsid w:val="005F1BC4"/>
    <w:rsid w:val="005F1C9F"/>
    <w:rsid w:val="005F1E09"/>
    <w:rsid w:val="005F1E64"/>
    <w:rsid w:val="005F211B"/>
    <w:rsid w:val="005F22E0"/>
    <w:rsid w:val="005F24F6"/>
    <w:rsid w:val="005F2546"/>
    <w:rsid w:val="005F26B3"/>
    <w:rsid w:val="005F26D8"/>
    <w:rsid w:val="005F273E"/>
    <w:rsid w:val="005F2770"/>
    <w:rsid w:val="005F27C5"/>
    <w:rsid w:val="005F2936"/>
    <w:rsid w:val="005F29AB"/>
    <w:rsid w:val="005F2A00"/>
    <w:rsid w:val="005F2AB8"/>
    <w:rsid w:val="005F2CF3"/>
    <w:rsid w:val="005F2DC9"/>
    <w:rsid w:val="005F2EEB"/>
    <w:rsid w:val="005F2F62"/>
    <w:rsid w:val="005F2FD6"/>
    <w:rsid w:val="005F30F0"/>
    <w:rsid w:val="005F31F2"/>
    <w:rsid w:val="005F32AD"/>
    <w:rsid w:val="005F33E9"/>
    <w:rsid w:val="005F3557"/>
    <w:rsid w:val="005F3748"/>
    <w:rsid w:val="005F3AB3"/>
    <w:rsid w:val="005F4053"/>
    <w:rsid w:val="005F41CD"/>
    <w:rsid w:val="005F4436"/>
    <w:rsid w:val="005F456F"/>
    <w:rsid w:val="005F45A9"/>
    <w:rsid w:val="005F4625"/>
    <w:rsid w:val="005F4695"/>
    <w:rsid w:val="005F4771"/>
    <w:rsid w:val="005F482C"/>
    <w:rsid w:val="005F4ABB"/>
    <w:rsid w:val="005F4AD3"/>
    <w:rsid w:val="005F4BF3"/>
    <w:rsid w:val="005F4C47"/>
    <w:rsid w:val="005F4CA9"/>
    <w:rsid w:val="005F4D5D"/>
    <w:rsid w:val="005F51BD"/>
    <w:rsid w:val="005F5477"/>
    <w:rsid w:val="005F55E4"/>
    <w:rsid w:val="005F56AB"/>
    <w:rsid w:val="005F573F"/>
    <w:rsid w:val="005F577B"/>
    <w:rsid w:val="005F588B"/>
    <w:rsid w:val="005F5953"/>
    <w:rsid w:val="005F59E9"/>
    <w:rsid w:val="005F59FF"/>
    <w:rsid w:val="005F5DFB"/>
    <w:rsid w:val="005F5F5F"/>
    <w:rsid w:val="005F6216"/>
    <w:rsid w:val="005F66E9"/>
    <w:rsid w:val="005F6827"/>
    <w:rsid w:val="005F693B"/>
    <w:rsid w:val="005F6988"/>
    <w:rsid w:val="005F6B39"/>
    <w:rsid w:val="005F6B99"/>
    <w:rsid w:val="005F6C78"/>
    <w:rsid w:val="005F6F41"/>
    <w:rsid w:val="005F726C"/>
    <w:rsid w:val="005F72EA"/>
    <w:rsid w:val="005F76EF"/>
    <w:rsid w:val="005F77C2"/>
    <w:rsid w:val="005F7998"/>
    <w:rsid w:val="005F79A6"/>
    <w:rsid w:val="005F7A05"/>
    <w:rsid w:val="005F7A75"/>
    <w:rsid w:val="005F7B80"/>
    <w:rsid w:val="005F7C32"/>
    <w:rsid w:val="005F7C7A"/>
    <w:rsid w:val="005F7FB5"/>
    <w:rsid w:val="005F7FD7"/>
    <w:rsid w:val="005FEE17"/>
    <w:rsid w:val="00600072"/>
    <w:rsid w:val="00600191"/>
    <w:rsid w:val="00600192"/>
    <w:rsid w:val="00600416"/>
    <w:rsid w:val="00600670"/>
    <w:rsid w:val="0060071B"/>
    <w:rsid w:val="00600731"/>
    <w:rsid w:val="0060085A"/>
    <w:rsid w:val="0060097B"/>
    <w:rsid w:val="00600A55"/>
    <w:rsid w:val="00600BFF"/>
    <w:rsid w:val="00600C18"/>
    <w:rsid w:val="00600E41"/>
    <w:rsid w:val="00600E97"/>
    <w:rsid w:val="00600FA7"/>
    <w:rsid w:val="00600FBB"/>
    <w:rsid w:val="00601211"/>
    <w:rsid w:val="0060126D"/>
    <w:rsid w:val="00601271"/>
    <w:rsid w:val="00601349"/>
    <w:rsid w:val="006016E8"/>
    <w:rsid w:val="00601738"/>
    <w:rsid w:val="00601760"/>
    <w:rsid w:val="00601934"/>
    <w:rsid w:val="006019FE"/>
    <w:rsid w:val="00601BED"/>
    <w:rsid w:val="00601C97"/>
    <w:rsid w:val="00601D1C"/>
    <w:rsid w:val="00601D1D"/>
    <w:rsid w:val="00601F48"/>
    <w:rsid w:val="006021A6"/>
    <w:rsid w:val="006021BC"/>
    <w:rsid w:val="006022B6"/>
    <w:rsid w:val="006023CA"/>
    <w:rsid w:val="006024B8"/>
    <w:rsid w:val="00602780"/>
    <w:rsid w:val="00602B44"/>
    <w:rsid w:val="00602B5A"/>
    <w:rsid w:val="00602D0C"/>
    <w:rsid w:val="00602EC5"/>
    <w:rsid w:val="00602F6E"/>
    <w:rsid w:val="006030B3"/>
    <w:rsid w:val="00603203"/>
    <w:rsid w:val="0060327F"/>
    <w:rsid w:val="0060338C"/>
    <w:rsid w:val="006035A7"/>
    <w:rsid w:val="00603632"/>
    <w:rsid w:val="00603727"/>
    <w:rsid w:val="00603754"/>
    <w:rsid w:val="00603AED"/>
    <w:rsid w:val="00603B30"/>
    <w:rsid w:val="00603DCF"/>
    <w:rsid w:val="00604049"/>
    <w:rsid w:val="00604162"/>
    <w:rsid w:val="0060441A"/>
    <w:rsid w:val="006045D5"/>
    <w:rsid w:val="00604A5F"/>
    <w:rsid w:val="00604B2E"/>
    <w:rsid w:val="00604BE4"/>
    <w:rsid w:val="00604C9E"/>
    <w:rsid w:val="006051A9"/>
    <w:rsid w:val="006051E6"/>
    <w:rsid w:val="00605442"/>
    <w:rsid w:val="00605540"/>
    <w:rsid w:val="0060560B"/>
    <w:rsid w:val="006056CD"/>
    <w:rsid w:val="006059DF"/>
    <w:rsid w:val="00605B0A"/>
    <w:rsid w:val="00605C84"/>
    <w:rsid w:val="00605EDA"/>
    <w:rsid w:val="00605F52"/>
    <w:rsid w:val="00605F8B"/>
    <w:rsid w:val="00606051"/>
    <w:rsid w:val="0060618B"/>
    <w:rsid w:val="006062C8"/>
    <w:rsid w:val="006063E8"/>
    <w:rsid w:val="00606416"/>
    <w:rsid w:val="006065A9"/>
    <w:rsid w:val="0060663F"/>
    <w:rsid w:val="006069ED"/>
    <w:rsid w:val="00606F6D"/>
    <w:rsid w:val="0060712D"/>
    <w:rsid w:val="006074C4"/>
    <w:rsid w:val="00607510"/>
    <w:rsid w:val="0060756B"/>
    <w:rsid w:val="006075B1"/>
    <w:rsid w:val="006075F1"/>
    <w:rsid w:val="006075FB"/>
    <w:rsid w:val="00607639"/>
    <w:rsid w:val="00607651"/>
    <w:rsid w:val="00607B19"/>
    <w:rsid w:val="00607BE0"/>
    <w:rsid w:val="00607EF2"/>
    <w:rsid w:val="00610076"/>
    <w:rsid w:val="006101BE"/>
    <w:rsid w:val="006101EB"/>
    <w:rsid w:val="006103AF"/>
    <w:rsid w:val="006103CC"/>
    <w:rsid w:val="006104B7"/>
    <w:rsid w:val="0061053C"/>
    <w:rsid w:val="006105AB"/>
    <w:rsid w:val="006106EA"/>
    <w:rsid w:val="00610741"/>
    <w:rsid w:val="00610856"/>
    <w:rsid w:val="0061099A"/>
    <w:rsid w:val="0061099E"/>
    <w:rsid w:val="00610BB7"/>
    <w:rsid w:val="00610C1D"/>
    <w:rsid w:val="00610D63"/>
    <w:rsid w:val="00610EDF"/>
    <w:rsid w:val="00610FC9"/>
    <w:rsid w:val="006110C6"/>
    <w:rsid w:val="00611171"/>
    <w:rsid w:val="006113F9"/>
    <w:rsid w:val="0061155B"/>
    <w:rsid w:val="00611712"/>
    <w:rsid w:val="0061177E"/>
    <w:rsid w:val="006117B9"/>
    <w:rsid w:val="00611810"/>
    <w:rsid w:val="00611CAC"/>
    <w:rsid w:val="00611D80"/>
    <w:rsid w:val="00611E0F"/>
    <w:rsid w:val="00611F31"/>
    <w:rsid w:val="00612084"/>
    <w:rsid w:val="00612250"/>
    <w:rsid w:val="006122F2"/>
    <w:rsid w:val="00612412"/>
    <w:rsid w:val="0061255D"/>
    <w:rsid w:val="00612A61"/>
    <w:rsid w:val="00612B14"/>
    <w:rsid w:val="0061302F"/>
    <w:rsid w:val="006130F7"/>
    <w:rsid w:val="006131D3"/>
    <w:rsid w:val="006131F0"/>
    <w:rsid w:val="0061331C"/>
    <w:rsid w:val="00613487"/>
    <w:rsid w:val="0061352B"/>
    <w:rsid w:val="006136C4"/>
    <w:rsid w:val="006137A9"/>
    <w:rsid w:val="00613805"/>
    <w:rsid w:val="00613ADF"/>
    <w:rsid w:val="00613D0F"/>
    <w:rsid w:val="00613DA0"/>
    <w:rsid w:val="00614143"/>
    <w:rsid w:val="0061415F"/>
    <w:rsid w:val="006141A6"/>
    <w:rsid w:val="00614590"/>
    <w:rsid w:val="006146E3"/>
    <w:rsid w:val="0061493D"/>
    <w:rsid w:val="00614BDF"/>
    <w:rsid w:val="00614D7D"/>
    <w:rsid w:val="00614F6B"/>
    <w:rsid w:val="00614F80"/>
    <w:rsid w:val="00615035"/>
    <w:rsid w:val="00615176"/>
    <w:rsid w:val="006151D3"/>
    <w:rsid w:val="00615737"/>
    <w:rsid w:val="0061591F"/>
    <w:rsid w:val="00615B2D"/>
    <w:rsid w:val="00615D69"/>
    <w:rsid w:val="00615F87"/>
    <w:rsid w:val="00616092"/>
    <w:rsid w:val="00616351"/>
    <w:rsid w:val="00616434"/>
    <w:rsid w:val="006165D2"/>
    <w:rsid w:val="006165FE"/>
    <w:rsid w:val="006168A5"/>
    <w:rsid w:val="0061691C"/>
    <w:rsid w:val="00616AAA"/>
    <w:rsid w:val="00617003"/>
    <w:rsid w:val="006172DA"/>
    <w:rsid w:val="0061730E"/>
    <w:rsid w:val="0061733B"/>
    <w:rsid w:val="00617509"/>
    <w:rsid w:val="00617534"/>
    <w:rsid w:val="00617812"/>
    <w:rsid w:val="00617A6C"/>
    <w:rsid w:val="00617ADC"/>
    <w:rsid w:val="00617C36"/>
    <w:rsid w:val="00617C89"/>
    <w:rsid w:val="00617D26"/>
    <w:rsid w:val="00617D36"/>
    <w:rsid w:val="00617D3C"/>
    <w:rsid w:val="00617EE3"/>
    <w:rsid w:val="00617F2E"/>
    <w:rsid w:val="00620062"/>
    <w:rsid w:val="006200E8"/>
    <w:rsid w:val="006200FC"/>
    <w:rsid w:val="0062014E"/>
    <w:rsid w:val="006201C9"/>
    <w:rsid w:val="0062037D"/>
    <w:rsid w:val="006204B9"/>
    <w:rsid w:val="00620513"/>
    <w:rsid w:val="0062054D"/>
    <w:rsid w:val="006206F5"/>
    <w:rsid w:val="006207D0"/>
    <w:rsid w:val="0062080C"/>
    <w:rsid w:val="0062083B"/>
    <w:rsid w:val="00620AB1"/>
    <w:rsid w:val="00620B85"/>
    <w:rsid w:val="00620C55"/>
    <w:rsid w:val="00620C5C"/>
    <w:rsid w:val="00620CB5"/>
    <w:rsid w:val="00620CC2"/>
    <w:rsid w:val="00620D14"/>
    <w:rsid w:val="00620DA0"/>
    <w:rsid w:val="00620F5A"/>
    <w:rsid w:val="00620FED"/>
    <w:rsid w:val="0062102A"/>
    <w:rsid w:val="00621127"/>
    <w:rsid w:val="006211C7"/>
    <w:rsid w:val="0062170E"/>
    <w:rsid w:val="00621886"/>
    <w:rsid w:val="006218C1"/>
    <w:rsid w:val="006219A3"/>
    <w:rsid w:val="006219B7"/>
    <w:rsid w:val="00621B23"/>
    <w:rsid w:val="00621C29"/>
    <w:rsid w:val="00621D79"/>
    <w:rsid w:val="00621E33"/>
    <w:rsid w:val="00621E4A"/>
    <w:rsid w:val="00621EE3"/>
    <w:rsid w:val="00621EF2"/>
    <w:rsid w:val="00622009"/>
    <w:rsid w:val="006220FA"/>
    <w:rsid w:val="006221D5"/>
    <w:rsid w:val="00622382"/>
    <w:rsid w:val="00622387"/>
    <w:rsid w:val="00622516"/>
    <w:rsid w:val="0062274B"/>
    <w:rsid w:val="006228A0"/>
    <w:rsid w:val="00622A31"/>
    <w:rsid w:val="00622B72"/>
    <w:rsid w:val="00622BB3"/>
    <w:rsid w:val="00623118"/>
    <w:rsid w:val="006232DF"/>
    <w:rsid w:val="006233E6"/>
    <w:rsid w:val="006233FB"/>
    <w:rsid w:val="0062354E"/>
    <w:rsid w:val="00623A20"/>
    <w:rsid w:val="00623AB3"/>
    <w:rsid w:val="00623B60"/>
    <w:rsid w:val="00623D46"/>
    <w:rsid w:val="00623E86"/>
    <w:rsid w:val="00623EFF"/>
    <w:rsid w:val="00623F84"/>
    <w:rsid w:val="0062416D"/>
    <w:rsid w:val="00624275"/>
    <w:rsid w:val="006243F1"/>
    <w:rsid w:val="0062462F"/>
    <w:rsid w:val="006247AD"/>
    <w:rsid w:val="006247CD"/>
    <w:rsid w:val="00624DCD"/>
    <w:rsid w:val="00624E2A"/>
    <w:rsid w:val="006250EC"/>
    <w:rsid w:val="006251FF"/>
    <w:rsid w:val="0062536E"/>
    <w:rsid w:val="00625922"/>
    <w:rsid w:val="0062594C"/>
    <w:rsid w:val="00625B52"/>
    <w:rsid w:val="00625BAE"/>
    <w:rsid w:val="00625C76"/>
    <w:rsid w:val="00625F7F"/>
    <w:rsid w:val="006260A9"/>
    <w:rsid w:val="0062645D"/>
    <w:rsid w:val="006267B5"/>
    <w:rsid w:val="0062699D"/>
    <w:rsid w:val="00626C98"/>
    <w:rsid w:val="00626D39"/>
    <w:rsid w:val="00626ED6"/>
    <w:rsid w:val="00627195"/>
    <w:rsid w:val="00627325"/>
    <w:rsid w:val="0062736F"/>
    <w:rsid w:val="00627560"/>
    <w:rsid w:val="00627716"/>
    <w:rsid w:val="00627A66"/>
    <w:rsid w:val="00627D19"/>
    <w:rsid w:val="00627DF8"/>
    <w:rsid w:val="00627EAB"/>
    <w:rsid w:val="00627FFD"/>
    <w:rsid w:val="00630028"/>
    <w:rsid w:val="0063003E"/>
    <w:rsid w:val="0063022C"/>
    <w:rsid w:val="0063048A"/>
    <w:rsid w:val="0063051C"/>
    <w:rsid w:val="00630574"/>
    <w:rsid w:val="006305AD"/>
    <w:rsid w:val="0063090C"/>
    <w:rsid w:val="00630A36"/>
    <w:rsid w:val="00630AD6"/>
    <w:rsid w:val="00630B7F"/>
    <w:rsid w:val="00630C95"/>
    <w:rsid w:val="00630E41"/>
    <w:rsid w:val="00630E7C"/>
    <w:rsid w:val="00631156"/>
    <w:rsid w:val="0063118A"/>
    <w:rsid w:val="00631337"/>
    <w:rsid w:val="006313BF"/>
    <w:rsid w:val="00631876"/>
    <w:rsid w:val="0063193F"/>
    <w:rsid w:val="006319BF"/>
    <w:rsid w:val="006319E1"/>
    <w:rsid w:val="00631CDB"/>
    <w:rsid w:val="00631DBF"/>
    <w:rsid w:val="00631E73"/>
    <w:rsid w:val="00632026"/>
    <w:rsid w:val="006320D3"/>
    <w:rsid w:val="0063210B"/>
    <w:rsid w:val="00632150"/>
    <w:rsid w:val="006322E5"/>
    <w:rsid w:val="0063243E"/>
    <w:rsid w:val="0063296C"/>
    <w:rsid w:val="00632A40"/>
    <w:rsid w:val="00632AB0"/>
    <w:rsid w:val="00632B5A"/>
    <w:rsid w:val="00632BA5"/>
    <w:rsid w:val="00632E27"/>
    <w:rsid w:val="00632F2C"/>
    <w:rsid w:val="00632FEE"/>
    <w:rsid w:val="00633251"/>
    <w:rsid w:val="00633446"/>
    <w:rsid w:val="0063348C"/>
    <w:rsid w:val="00633590"/>
    <w:rsid w:val="0063371A"/>
    <w:rsid w:val="00633902"/>
    <w:rsid w:val="00633A34"/>
    <w:rsid w:val="00633AA7"/>
    <w:rsid w:val="00633B17"/>
    <w:rsid w:val="00633C58"/>
    <w:rsid w:val="00633C5C"/>
    <w:rsid w:val="00633C81"/>
    <w:rsid w:val="00633DF9"/>
    <w:rsid w:val="00633FC3"/>
    <w:rsid w:val="00634132"/>
    <w:rsid w:val="006342A1"/>
    <w:rsid w:val="006342E6"/>
    <w:rsid w:val="0063443B"/>
    <w:rsid w:val="006344FA"/>
    <w:rsid w:val="006345F5"/>
    <w:rsid w:val="00634A9C"/>
    <w:rsid w:val="00634A9F"/>
    <w:rsid w:val="00634AA9"/>
    <w:rsid w:val="00634C62"/>
    <w:rsid w:val="00635102"/>
    <w:rsid w:val="0063525E"/>
    <w:rsid w:val="00635331"/>
    <w:rsid w:val="006353D2"/>
    <w:rsid w:val="0063551E"/>
    <w:rsid w:val="0063561B"/>
    <w:rsid w:val="0063588C"/>
    <w:rsid w:val="00635C3E"/>
    <w:rsid w:val="00635C56"/>
    <w:rsid w:val="00635E65"/>
    <w:rsid w:val="00635FC4"/>
    <w:rsid w:val="00636326"/>
    <w:rsid w:val="0063647D"/>
    <w:rsid w:val="006365F6"/>
    <w:rsid w:val="00636754"/>
    <w:rsid w:val="00636922"/>
    <w:rsid w:val="00636A93"/>
    <w:rsid w:val="00636AE7"/>
    <w:rsid w:val="00636ED1"/>
    <w:rsid w:val="006370E6"/>
    <w:rsid w:val="00637107"/>
    <w:rsid w:val="00637116"/>
    <w:rsid w:val="00637152"/>
    <w:rsid w:val="00637207"/>
    <w:rsid w:val="00637510"/>
    <w:rsid w:val="006377C3"/>
    <w:rsid w:val="006379C7"/>
    <w:rsid w:val="00637A37"/>
    <w:rsid w:val="00637C3A"/>
    <w:rsid w:val="00637E00"/>
    <w:rsid w:val="00637FF9"/>
    <w:rsid w:val="0064000B"/>
    <w:rsid w:val="0064013F"/>
    <w:rsid w:val="006403E4"/>
    <w:rsid w:val="0064042D"/>
    <w:rsid w:val="006405F7"/>
    <w:rsid w:val="00640750"/>
    <w:rsid w:val="006408F4"/>
    <w:rsid w:val="006409FC"/>
    <w:rsid w:val="00640B2E"/>
    <w:rsid w:val="00640B6C"/>
    <w:rsid w:val="00640B91"/>
    <w:rsid w:val="00640C4B"/>
    <w:rsid w:val="00640D07"/>
    <w:rsid w:val="00640E09"/>
    <w:rsid w:val="00640E15"/>
    <w:rsid w:val="006411B2"/>
    <w:rsid w:val="0064128F"/>
    <w:rsid w:val="0064142D"/>
    <w:rsid w:val="0064143F"/>
    <w:rsid w:val="006417DA"/>
    <w:rsid w:val="006418BB"/>
    <w:rsid w:val="00641AEC"/>
    <w:rsid w:val="00641AF8"/>
    <w:rsid w:val="00641B9E"/>
    <w:rsid w:val="00641DFF"/>
    <w:rsid w:val="00641E5E"/>
    <w:rsid w:val="00641F06"/>
    <w:rsid w:val="00642364"/>
    <w:rsid w:val="0064243D"/>
    <w:rsid w:val="0064252E"/>
    <w:rsid w:val="006425D4"/>
    <w:rsid w:val="00642750"/>
    <w:rsid w:val="00642766"/>
    <w:rsid w:val="00642A1F"/>
    <w:rsid w:val="00642AD1"/>
    <w:rsid w:val="00642BF2"/>
    <w:rsid w:val="00642C40"/>
    <w:rsid w:val="00642FB0"/>
    <w:rsid w:val="0064312D"/>
    <w:rsid w:val="006434BF"/>
    <w:rsid w:val="00643632"/>
    <w:rsid w:val="006436F1"/>
    <w:rsid w:val="00643CC5"/>
    <w:rsid w:val="00643DF9"/>
    <w:rsid w:val="006440C9"/>
    <w:rsid w:val="006446B8"/>
    <w:rsid w:val="00644A59"/>
    <w:rsid w:val="00644E23"/>
    <w:rsid w:val="006451BD"/>
    <w:rsid w:val="00645244"/>
    <w:rsid w:val="0064524B"/>
    <w:rsid w:val="006452BF"/>
    <w:rsid w:val="00645358"/>
    <w:rsid w:val="00645463"/>
    <w:rsid w:val="00645689"/>
    <w:rsid w:val="00645780"/>
    <w:rsid w:val="0064578A"/>
    <w:rsid w:val="006457B7"/>
    <w:rsid w:val="006458AF"/>
    <w:rsid w:val="006459AA"/>
    <w:rsid w:val="006459B3"/>
    <w:rsid w:val="00645BE9"/>
    <w:rsid w:val="00645E01"/>
    <w:rsid w:val="00645EBB"/>
    <w:rsid w:val="006461DF"/>
    <w:rsid w:val="006462E2"/>
    <w:rsid w:val="006462EC"/>
    <w:rsid w:val="00646490"/>
    <w:rsid w:val="00646628"/>
    <w:rsid w:val="00646666"/>
    <w:rsid w:val="006467E3"/>
    <w:rsid w:val="00646866"/>
    <w:rsid w:val="006469A4"/>
    <w:rsid w:val="00646C4D"/>
    <w:rsid w:val="00646CE1"/>
    <w:rsid w:val="00646FCF"/>
    <w:rsid w:val="006470A0"/>
    <w:rsid w:val="00647195"/>
    <w:rsid w:val="006471B5"/>
    <w:rsid w:val="006472D4"/>
    <w:rsid w:val="006472E7"/>
    <w:rsid w:val="00647448"/>
    <w:rsid w:val="006474B5"/>
    <w:rsid w:val="006474E9"/>
    <w:rsid w:val="0064754C"/>
    <w:rsid w:val="0064756D"/>
    <w:rsid w:val="006475C7"/>
    <w:rsid w:val="0064776D"/>
    <w:rsid w:val="00647779"/>
    <w:rsid w:val="00647AC1"/>
    <w:rsid w:val="00647C22"/>
    <w:rsid w:val="00647CA1"/>
    <w:rsid w:val="00647D3E"/>
    <w:rsid w:val="00647DAA"/>
    <w:rsid w:val="00647F24"/>
    <w:rsid w:val="00647FFB"/>
    <w:rsid w:val="006500D3"/>
    <w:rsid w:val="006500DC"/>
    <w:rsid w:val="006501B9"/>
    <w:rsid w:val="006503EE"/>
    <w:rsid w:val="0065051D"/>
    <w:rsid w:val="00650747"/>
    <w:rsid w:val="006507ED"/>
    <w:rsid w:val="00650956"/>
    <w:rsid w:val="00650961"/>
    <w:rsid w:val="006509A7"/>
    <w:rsid w:val="00650A27"/>
    <w:rsid w:val="00650A8F"/>
    <w:rsid w:val="00650D5F"/>
    <w:rsid w:val="00650F4C"/>
    <w:rsid w:val="00650F9A"/>
    <w:rsid w:val="0065100D"/>
    <w:rsid w:val="0065105E"/>
    <w:rsid w:val="006510F7"/>
    <w:rsid w:val="00651423"/>
    <w:rsid w:val="00651614"/>
    <w:rsid w:val="00651651"/>
    <w:rsid w:val="006516CC"/>
    <w:rsid w:val="00651877"/>
    <w:rsid w:val="00651C60"/>
    <w:rsid w:val="00651CAB"/>
    <w:rsid w:val="00651DBB"/>
    <w:rsid w:val="00651FCE"/>
    <w:rsid w:val="00651FED"/>
    <w:rsid w:val="006520B6"/>
    <w:rsid w:val="00652242"/>
    <w:rsid w:val="006522C0"/>
    <w:rsid w:val="00652774"/>
    <w:rsid w:val="006527FB"/>
    <w:rsid w:val="00652848"/>
    <w:rsid w:val="0065299D"/>
    <w:rsid w:val="00652A26"/>
    <w:rsid w:val="00652B5B"/>
    <w:rsid w:val="00652B66"/>
    <w:rsid w:val="006530B7"/>
    <w:rsid w:val="006534A8"/>
    <w:rsid w:val="00653626"/>
    <w:rsid w:val="00653A2B"/>
    <w:rsid w:val="00653C57"/>
    <w:rsid w:val="00653CF7"/>
    <w:rsid w:val="00653DE2"/>
    <w:rsid w:val="00653ECC"/>
    <w:rsid w:val="00653F71"/>
    <w:rsid w:val="00653FF6"/>
    <w:rsid w:val="0065412B"/>
    <w:rsid w:val="00654619"/>
    <w:rsid w:val="00654707"/>
    <w:rsid w:val="006548DE"/>
    <w:rsid w:val="00654A4A"/>
    <w:rsid w:val="00654A8E"/>
    <w:rsid w:val="00654C94"/>
    <w:rsid w:val="0065507A"/>
    <w:rsid w:val="00655084"/>
    <w:rsid w:val="006551B5"/>
    <w:rsid w:val="00655388"/>
    <w:rsid w:val="00655399"/>
    <w:rsid w:val="006554B4"/>
    <w:rsid w:val="00655538"/>
    <w:rsid w:val="00655850"/>
    <w:rsid w:val="00655AF2"/>
    <w:rsid w:val="00655D42"/>
    <w:rsid w:val="0065612B"/>
    <w:rsid w:val="00656199"/>
    <w:rsid w:val="006562C2"/>
    <w:rsid w:val="00656404"/>
    <w:rsid w:val="00656431"/>
    <w:rsid w:val="006564FA"/>
    <w:rsid w:val="00656539"/>
    <w:rsid w:val="006568ED"/>
    <w:rsid w:val="006569A5"/>
    <w:rsid w:val="00656C9D"/>
    <w:rsid w:val="00656D1D"/>
    <w:rsid w:val="00656E56"/>
    <w:rsid w:val="00656EE0"/>
    <w:rsid w:val="00657025"/>
    <w:rsid w:val="006572E6"/>
    <w:rsid w:val="0065744D"/>
    <w:rsid w:val="006574B3"/>
    <w:rsid w:val="00657514"/>
    <w:rsid w:val="00657678"/>
    <w:rsid w:val="006576BC"/>
    <w:rsid w:val="00657A81"/>
    <w:rsid w:val="00657C5D"/>
    <w:rsid w:val="00657C86"/>
    <w:rsid w:val="00657F68"/>
    <w:rsid w:val="0065FF09"/>
    <w:rsid w:val="0066023B"/>
    <w:rsid w:val="00660373"/>
    <w:rsid w:val="0066051B"/>
    <w:rsid w:val="00660605"/>
    <w:rsid w:val="00660735"/>
    <w:rsid w:val="0066096F"/>
    <w:rsid w:val="00660998"/>
    <w:rsid w:val="006609F9"/>
    <w:rsid w:val="00660A78"/>
    <w:rsid w:val="00660B04"/>
    <w:rsid w:val="00660B10"/>
    <w:rsid w:val="00660BAE"/>
    <w:rsid w:val="00660BC8"/>
    <w:rsid w:val="00660CAB"/>
    <w:rsid w:val="00661579"/>
    <w:rsid w:val="006615F1"/>
    <w:rsid w:val="006618E2"/>
    <w:rsid w:val="00661A73"/>
    <w:rsid w:val="00661BF4"/>
    <w:rsid w:val="00661C56"/>
    <w:rsid w:val="00661D2A"/>
    <w:rsid w:val="00661D8F"/>
    <w:rsid w:val="00661D9A"/>
    <w:rsid w:val="00661F10"/>
    <w:rsid w:val="00661F67"/>
    <w:rsid w:val="00661F83"/>
    <w:rsid w:val="00661FDB"/>
    <w:rsid w:val="0066207E"/>
    <w:rsid w:val="006620B6"/>
    <w:rsid w:val="0066234D"/>
    <w:rsid w:val="0066239F"/>
    <w:rsid w:val="006625F9"/>
    <w:rsid w:val="006626C2"/>
    <w:rsid w:val="0066274E"/>
    <w:rsid w:val="006627EC"/>
    <w:rsid w:val="00662CDA"/>
    <w:rsid w:val="00662DDF"/>
    <w:rsid w:val="00662FF4"/>
    <w:rsid w:val="0066303F"/>
    <w:rsid w:val="006631DA"/>
    <w:rsid w:val="00663351"/>
    <w:rsid w:val="00663440"/>
    <w:rsid w:val="006634F4"/>
    <w:rsid w:val="00663826"/>
    <w:rsid w:val="0066386B"/>
    <w:rsid w:val="006638E8"/>
    <w:rsid w:val="00663A4D"/>
    <w:rsid w:val="00663CC2"/>
    <w:rsid w:val="00663E89"/>
    <w:rsid w:val="00664338"/>
    <w:rsid w:val="006643E7"/>
    <w:rsid w:val="0066470E"/>
    <w:rsid w:val="006648A1"/>
    <w:rsid w:val="00664A4A"/>
    <w:rsid w:val="00664BF4"/>
    <w:rsid w:val="00664D3A"/>
    <w:rsid w:val="00664EB6"/>
    <w:rsid w:val="006652C7"/>
    <w:rsid w:val="0066540F"/>
    <w:rsid w:val="0066542A"/>
    <w:rsid w:val="006655E3"/>
    <w:rsid w:val="00665781"/>
    <w:rsid w:val="00665B0C"/>
    <w:rsid w:val="00665DCE"/>
    <w:rsid w:val="00665E83"/>
    <w:rsid w:val="00665FB5"/>
    <w:rsid w:val="006660F6"/>
    <w:rsid w:val="00666178"/>
    <w:rsid w:val="00666213"/>
    <w:rsid w:val="0066635A"/>
    <w:rsid w:val="00666394"/>
    <w:rsid w:val="006664C6"/>
    <w:rsid w:val="00666636"/>
    <w:rsid w:val="00666761"/>
    <w:rsid w:val="0066686E"/>
    <w:rsid w:val="006668A6"/>
    <w:rsid w:val="00666A17"/>
    <w:rsid w:val="00666A9D"/>
    <w:rsid w:val="00666ADD"/>
    <w:rsid w:val="00666B59"/>
    <w:rsid w:val="00666B96"/>
    <w:rsid w:val="00666C15"/>
    <w:rsid w:val="00666DB7"/>
    <w:rsid w:val="00666E70"/>
    <w:rsid w:val="00666E99"/>
    <w:rsid w:val="0066722C"/>
    <w:rsid w:val="00667436"/>
    <w:rsid w:val="006675E3"/>
    <w:rsid w:val="00667631"/>
    <w:rsid w:val="00667634"/>
    <w:rsid w:val="006676B9"/>
    <w:rsid w:val="006676E5"/>
    <w:rsid w:val="006679A5"/>
    <w:rsid w:val="00667B47"/>
    <w:rsid w:val="00667C2A"/>
    <w:rsid w:val="00667E92"/>
    <w:rsid w:val="00667EE5"/>
    <w:rsid w:val="0067010A"/>
    <w:rsid w:val="0067037F"/>
    <w:rsid w:val="00670477"/>
    <w:rsid w:val="0067047E"/>
    <w:rsid w:val="0067053D"/>
    <w:rsid w:val="006705A9"/>
    <w:rsid w:val="006705F8"/>
    <w:rsid w:val="006706D9"/>
    <w:rsid w:val="00670A31"/>
    <w:rsid w:val="00670CA9"/>
    <w:rsid w:val="00670CEB"/>
    <w:rsid w:val="00670E74"/>
    <w:rsid w:val="006712CD"/>
    <w:rsid w:val="006712D3"/>
    <w:rsid w:val="0067146A"/>
    <w:rsid w:val="00671646"/>
    <w:rsid w:val="00671699"/>
    <w:rsid w:val="006717FE"/>
    <w:rsid w:val="0067182E"/>
    <w:rsid w:val="00671B8F"/>
    <w:rsid w:val="00671F37"/>
    <w:rsid w:val="00672023"/>
    <w:rsid w:val="00672301"/>
    <w:rsid w:val="0067232E"/>
    <w:rsid w:val="00672343"/>
    <w:rsid w:val="00672387"/>
    <w:rsid w:val="0067253C"/>
    <w:rsid w:val="006725BD"/>
    <w:rsid w:val="00672AAA"/>
    <w:rsid w:val="00672C62"/>
    <w:rsid w:val="00672E48"/>
    <w:rsid w:val="00672F6F"/>
    <w:rsid w:val="006730DF"/>
    <w:rsid w:val="006730FB"/>
    <w:rsid w:val="0067312D"/>
    <w:rsid w:val="006734A1"/>
    <w:rsid w:val="0067356E"/>
    <w:rsid w:val="0067399C"/>
    <w:rsid w:val="00673CE2"/>
    <w:rsid w:val="00673D75"/>
    <w:rsid w:val="00673D8B"/>
    <w:rsid w:val="00673E05"/>
    <w:rsid w:val="0067400A"/>
    <w:rsid w:val="0067407F"/>
    <w:rsid w:val="00674234"/>
    <w:rsid w:val="00674369"/>
    <w:rsid w:val="006747BA"/>
    <w:rsid w:val="00674882"/>
    <w:rsid w:val="00674BF7"/>
    <w:rsid w:val="00674D2A"/>
    <w:rsid w:val="00675060"/>
    <w:rsid w:val="006751FB"/>
    <w:rsid w:val="0067523A"/>
    <w:rsid w:val="00675303"/>
    <w:rsid w:val="006755BA"/>
    <w:rsid w:val="006756C4"/>
    <w:rsid w:val="006759C2"/>
    <w:rsid w:val="00675AAC"/>
    <w:rsid w:val="00675BAD"/>
    <w:rsid w:val="00675D4C"/>
    <w:rsid w:val="00675D92"/>
    <w:rsid w:val="00675DDE"/>
    <w:rsid w:val="00675E6F"/>
    <w:rsid w:val="00675E70"/>
    <w:rsid w:val="00675F21"/>
    <w:rsid w:val="00676042"/>
    <w:rsid w:val="006762FD"/>
    <w:rsid w:val="0067631B"/>
    <w:rsid w:val="006765FB"/>
    <w:rsid w:val="006766AE"/>
    <w:rsid w:val="006766CC"/>
    <w:rsid w:val="00676831"/>
    <w:rsid w:val="00676852"/>
    <w:rsid w:val="0067697F"/>
    <w:rsid w:val="00676CD7"/>
    <w:rsid w:val="00676DFB"/>
    <w:rsid w:val="00676E21"/>
    <w:rsid w:val="0067701E"/>
    <w:rsid w:val="006770C5"/>
    <w:rsid w:val="00677162"/>
    <w:rsid w:val="00677195"/>
    <w:rsid w:val="0067736E"/>
    <w:rsid w:val="006774EC"/>
    <w:rsid w:val="00677A9D"/>
    <w:rsid w:val="00677A9F"/>
    <w:rsid w:val="00677FF2"/>
    <w:rsid w:val="00680102"/>
    <w:rsid w:val="006802A2"/>
    <w:rsid w:val="00680768"/>
    <w:rsid w:val="00680969"/>
    <w:rsid w:val="00680D99"/>
    <w:rsid w:val="00680F03"/>
    <w:rsid w:val="00681C32"/>
    <w:rsid w:val="00681C57"/>
    <w:rsid w:val="00681CA4"/>
    <w:rsid w:val="00682027"/>
    <w:rsid w:val="00682205"/>
    <w:rsid w:val="0068223C"/>
    <w:rsid w:val="006823D4"/>
    <w:rsid w:val="0068250E"/>
    <w:rsid w:val="0068252F"/>
    <w:rsid w:val="00682A3B"/>
    <w:rsid w:val="00682A3F"/>
    <w:rsid w:val="00683546"/>
    <w:rsid w:val="006835B5"/>
    <w:rsid w:val="0068367C"/>
    <w:rsid w:val="00683697"/>
    <w:rsid w:val="006837EA"/>
    <w:rsid w:val="00683816"/>
    <w:rsid w:val="006838A6"/>
    <w:rsid w:val="006838F3"/>
    <w:rsid w:val="0068393D"/>
    <w:rsid w:val="0068397C"/>
    <w:rsid w:val="006839AA"/>
    <w:rsid w:val="00683C12"/>
    <w:rsid w:val="00683C17"/>
    <w:rsid w:val="00683D23"/>
    <w:rsid w:val="00683E05"/>
    <w:rsid w:val="0068407D"/>
    <w:rsid w:val="006840E4"/>
    <w:rsid w:val="00684245"/>
    <w:rsid w:val="00684507"/>
    <w:rsid w:val="00684764"/>
    <w:rsid w:val="006848D4"/>
    <w:rsid w:val="00684B0D"/>
    <w:rsid w:val="00684C5A"/>
    <w:rsid w:val="00685463"/>
    <w:rsid w:val="006856F4"/>
    <w:rsid w:val="00685834"/>
    <w:rsid w:val="006858B2"/>
    <w:rsid w:val="006858D7"/>
    <w:rsid w:val="00685ADA"/>
    <w:rsid w:val="00685B63"/>
    <w:rsid w:val="00685D9C"/>
    <w:rsid w:val="00685E8C"/>
    <w:rsid w:val="00686074"/>
    <w:rsid w:val="006864B9"/>
    <w:rsid w:val="00686754"/>
    <w:rsid w:val="006869B3"/>
    <w:rsid w:val="00686BFF"/>
    <w:rsid w:val="00686D35"/>
    <w:rsid w:val="00686DA5"/>
    <w:rsid w:val="0068707A"/>
    <w:rsid w:val="006870DF"/>
    <w:rsid w:val="006873BB"/>
    <w:rsid w:val="00687547"/>
    <w:rsid w:val="006875DB"/>
    <w:rsid w:val="006876C2"/>
    <w:rsid w:val="006878C0"/>
    <w:rsid w:val="00687907"/>
    <w:rsid w:val="00687991"/>
    <w:rsid w:val="00687A55"/>
    <w:rsid w:val="00687A72"/>
    <w:rsid w:val="00687BF0"/>
    <w:rsid w:val="00687DCC"/>
    <w:rsid w:val="00687E42"/>
    <w:rsid w:val="00687EF7"/>
    <w:rsid w:val="00687F07"/>
    <w:rsid w:val="00687F20"/>
    <w:rsid w:val="00687F37"/>
    <w:rsid w:val="00690096"/>
    <w:rsid w:val="0069011F"/>
    <w:rsid w:val="00690128"/>
    <w:rsid w:val="006901FE"/>
    <w:rsid w:val="00690252"/>
    <w:rsid w:val="006905F0"/>
    <w:rsid w:val="00690678"/>
    <w:rsid w:val="00690691"/>
    <w:rsid w:val="00690C53"/>
    <w:rsid w:val="00690E1C"/>
    <w:rsid w:val="00691044"/>
    <w:rsid w:val="00691109"/>
    <w:rsid w:val="00691136"/>
    <w:rsid w:val="00691227"/>
    <w:rsid w:val="006912AD"/>
    <w:rsid w:val="00691341"/>
    <w:rsid w:val="00691487"/>
    <w:rsid w:val="006915C3"/>
    <w:rsid w:val="00691633"/>
    <w:rsid w:val="006916A2"/>
    <w:rsid w:val="00691782"/>
    <w:rsid w:val="00691950"/>
    <w:rsid w:val="00691966"/>
    <w:rsid w:val="00691A37"/>
    <w:rsid w:val="00691A5B"/>
    <w:rsid w:val="00691D81"/>
    <w:rsid w:val="00691DB3"/>
    <w:rsid w:val="00691E3E"/>
    <w:rsid w:val="006920FB"/>
    <w:rsid w:val="006921E1"/>
    <w:rsid w:val="006925C5"/>
    <w:rsid w:val="0069276B"/>
    <w:rsid w:val="00692901"/>
    <w:rsid w:val="00692906"/>
    <w:rsid w:val="006929DA"/>
    <w:rsid w:val="00692A73"/>
    <w:rsid w:val="00692AC0"/>
    <w:rsid w:val="00692D33"/>
    <w:rsid w:val="006930A4"/>
    <w:rsid w:val="00693127"/>
    <w:rsid w:val="0069324B"/>
    <w:rsid w:val="006933B2"/>
    <w:rsid w:val="00693434"/>
    <w:rsid w:val="00693556"/>
    <w:rsid w:val="00693628"/>
    <w:rsid w:val="00693630"/>
    <w:rsid w:val="006936EB"/>
    <w:rsid w:val="00693AB3"/>
    <w:rsid w:val="00693CE1"/>
    <w:rsid w:val="00693E4A"/>
    <w:rsid w:val="00693E98"/>
    <w:rsid w:val="00693EA0"/>
    <w:rsid w:val="00694029"/>
    <w:rsid w:val="00694312"/>
    <w:rsid w:val="00694516"/>
    <w:rsid w:val="006948B1"/>
    <w:rsid w:val="006949B1"/>
    <w:rsid w:val="00694B6F"/>
    <w:rsid w:val="00694C73"/>
    <w:rsid w:val="00694E1A"/>
    <w:rsid w:val="00694EE0"/>
    <w:rsid w:val="00694F60"/>
    <w:rsid w:val="00694FA8"/>
    <w:rsid w:val="006951C4"/>
    <w:rsid w:val="00695253"/>
    <w:rsid w:val="006955B7"/>
    <w:rsid w:val="00695804"/>
    <w:rsid w:val="006958D6"/>
    <w:rsid w:val="00695A1E"/>
    <w:rsid w:val="00695A33"/>
    <w:rsid w:val="00695BEE"/>
    <w:rsid w:val="00695D90"/>
    <w:rsid w:val="00695E28"/>
    <w:rsid w:val="00696076"/>
    <w:rsid w:val="006960C5"/>
    <w:rsid w:val="00696855"/>
    <w:rsid w:val="006968F3"/>
    <w:rsid w:val="00696959"/>
    <w:rsid w:val="00696B90"/>
    <w:rsid w:val="00696C3C"/>
    <w:rsid w:val="00696DFE"/>
    <w:rsid w:val="00696E18"/>
    <w:rsid w:val="00696EF9"/>
    <w:rsid w:val="00696F43"/>
    <w:rsid w:val="00697157"/>
    <w:rsid w:val="00697328"/>
    <w:rsid w:val="0069764B"/>
    <w:rsid w:val="0069772F"/>
    <w:rsid w:val="00697837"/>
    <w:rsid w:val="006979AD"/>
    <w:rsid w:val="00697AF8"/>
    <w:rsid w:val="00697C95"/>
    <w:rsid w:val="00697FA7"/>
    <w:rsid w:val="00697FD6"/>
    <w:rsid w:val="006A03B2"/>
    <w:rsid w:val="006A0546"/>
    <w:rsid w:val="006A0C29"/>
    <w:rsid w:val="006A0F1D"/>
    <w:rsid w:val="006A1245"/>
    <w:rsid w:val="006A161D"/>
    <w:rsid w:val="006A1B47"/>
    <w:rsid w:val="006A1BBE"/>
    <w:rsid w:val="006A1BD4"/>
    <w:rsid w:val="006A1D8B"/>
    <w:rsid w:val="006A1FD7"/>
    <w:rsid w:val="006A2094"/>
    <w:rsid w:val="006A20EE"/>
    <w:rsid w:val="006A214D"/>
    <w:rsid w:val="006A2344"/>
    <w:rsid w:val="006A23F6"/>
    <w:rsid w:val="006A24BD"/>
    <w:rsid w:val="006A25BB"/>
    <w:rsid w:val="006A2687"/>
    <w:rsid w:val="006A26D5"/>
    <w:rsid w:val="006A27DE"/>
    <w:rsid w:val="006A27E5"/>
    <w:rsid w:val="006A291C"/>
    <w:rsid w:val="006A294C"/>
    <w:rsid w:val="006A2CFC"/>
    <w:rsid w:val="006A2D89"/>
    <w:rsid w:val="006A2DDC"/>
    <w:rsid w:val="006A2E5F"/>
    <w:rsid w:val="006A2F00"/>
    <w:rsid w:val="006A2F4A"/>
    <w:rsid w:val="006A2FFE"/>
    <w:rsid w:val="006A31F5"/>
    <w:rsid w:val="006A3837"/>
    <w:rsid w:val="006A3B04"/>
    <w:rsid w:val="006A3C62"/>
    <w:rsid w:val="006A3FE9"/>
    <w:rsid w:val="006A42E9"/>
    <w:rsid w:val="006A4322"/>
    <w:rsid w:val="006A436A"/>
    <w:rsid w:val="006A43A0"/>
    <w:rsid w:val="006A4447"/>
    <w:rsid w:val="006A446F"/>
    <w:rsid w:val="006A4505"/>
    <w:rsid w:val="006A4777"/>
    <w:rsid w:val="006A47CC"/>
    <w:rsid w:val="006A4822"/>
    <w:rsid w:val="006A48E9"/>
    <w:rsid w:val="006A49B8"/>
    <w:rsid w:val="006A4D8B"/>
    <w:rsid w:val="006A4E07"/>
    <w:rsid w:val="006A4E81"/>
    <w:rsid w:val="006A521E"/>
    <w:rsid w:val="006A53B4"/>
    <w:rsid w:val="006A5409"/>
    <w:rsid w:val="006A55DC"/>
    <w:rsid w:val="006A5846"/>
    <w:rsid w:val="006A5B29"/>
    <w:rsid w:val="006A5B68"/>
    <w:rsid w:val="006A5D0B"/>
    <w:rsid w:val="006A5DA8"/>
    <w:rsid w:val="006A5E10"/>
    <w:rsid w:val="006A5FAB"/>
    <w:rsid w:val="006A5FC2"/>
    <w:rsid w:val="006A629C"/>
    <w:rsid w:val="006A63E5"/>
    <w:rsid w:val="006A66C5"/>
    <w:rsid w:val="006A6786"/>
    <w:rsid w:val="006A6794"/>
    <w:rsid w:val="006A6853"/>
    <w:rsid w:val="006A6949"/>
    <w:rsid w:val="006A69F8"/>
    <w:rsid w:val="006A6D7D"/>
    <w:rsid w:val="006A6EEC"/>
    <w:rsid w:val="006A6FC4"/>
    <w:rsid w:val="006A6FEF"/>
    <w:rsid w:val="006A71A5"/>
    <w:rsid w:val="006A742B"/>
    <w:rsid w:val="006A7476"/>
    <w:rsid w:val="006A74F3"/>
    <w:rsid w:val="006A76CF"/>
    <w:rsid w:val="006A7744"/>
    <w:rsid w:val="006A774F"/>
    <w:rsid w:val="006A7764"/>
    <w:rsid w:val="006A7770"/>
    <w:rsid w:val="006A7B5A"/>
    <w:rsid w:val="006A7B89"/>
    <w:rsid w:val="006A7C96"/>
    <w:rsid w:val="006A7CDE"/>
    <w:rsid w:val="006A7D67"/>
    <w:rsid w:val="006A7F2E"/>
    <w:rsid w:val="006B01DF"/>
    <w:rsid w:val="006B02EB"/>
    <w:rsid w:val="006B0359"/>
    <w:rsid w:val="006B05E2"/>
    <w:rsid w:val="006B05F3"/>
    <w:rsid w:val="006B0686"/>
    <w:rsid w:val="006B06D1"/>
    <w:rsid w:val="006B0A3E"/>
    <w:rsid w:val="006B0A6A"/>
    <w:rsid w:val="006B0BC3"/>
    <w:rsid w:val="006B0C5B"/>
    <w:rsid w:val="006B0C6A"/>
    <w:rsid w:val="006B0C9E"/>
    <w:rsid w:val="006B0F21"/>
    <w:rsid w:val="006B1044"/>
    <w:rsid w:val="006B1057"/>
    <w:rsid w:val="006B10B6"/>
    <w:rsid w:val="006B11D6"/>
    <w:rsid w:val="006B120D"/>
    <w:rsid w:val="006B1377"/>
    <w:rsid w:val="006B1509"/>
    <w:rsid w:val="006B18F4"/>
    <w:rsid w:val="006B1AEE"/>
    <w:rsid w:val="006B1D27"/>
    <w:rsid w:val="006B1EF7"/>
    <w:rsid w:val="006B1F20"/>
    <w:rsid w:val="006B2135"/>
    <w:rsid w:val="006B2391"/>
    <w:rsid w:val="006B2726"/>
    <w:rsid w:val="006B279E"/>
    <w:rsid w:val="006B292B"/>
    <w:rsid w:val="006B2A5D"/>
    <w:rsid w:val="006B2DB0"/>
    <w:rsid w:val="006B2EF1"/>
    <w:rsid w:val="006B308A"/>
    <w:rsid w:val="006B30B9"/>
    <w:rsid w:val="006B32A6"/>
    <w:rsid w:val="006B3316"/>
    <w:rsid w:val="006B38AC"/>
    <w:rsid w:val="006B39F5"/>
    <w:rsid w:val="006B3ACE"/>
    <w:rsid w:val="006B3B3D"/>
    <w:rsid w:val="006B3CF7"/>
    <w:rsid w:val="006B3EF8"/>
    <w:rsid w:val="006B3EFB"/>
    <w:rsid w:val="006B3F4A"/>
    <w:rsid w:val="006B3F60"/>
    <w:rsid w:val="006B40D3"/>
    <w:rsid w:val="006B41BB"/>
    <w:rsid w:val="006B420A"/>
    <w:rsid w:val="006B4222"/>
    <w:rsid w:val="006B42B3"/>
    <w:rsid w:val="006B433A"/>
    <w:rsid w:val="006B4591"/>
    <w:rsid w:val="006B465F"/>
    <w:rsid w:val="006B46EB"/>
    <w:rsid w:val="006B472E"/>
    <w:rsid w:val="006B4755"/>
    <w:rsid w:val="006B4795"/>
    <w:rsid w:val="006B497E"/>
    <w:rsid w:val="006B4A79"/>
    <w:rsid w:val="006B4AC8"/>
    <w:rsid w:val="006B4FF8"/>
    <w:rsid w:val="006B5185"/>
    <w:rsid w:val="006B541A"/>
    <w:rsid w:val="006B5457"/>
    <w:rsid w:val="006B57B2"/>
    <w:rsid w:val="006B58EA"/>
    <w:rsid w:val="006B5A62"/>
    <w:rsid w:val="006B5B8F"/>
    <w:rsid w:val="006B5FC6"/>
    <w:rsid w:val="006B61AC"/>
    <w:rsid w:val="006B621C"/>
    <w:rsid w:val="006B64B0"/>
    <w:rsid w:val="006B6781"/>
    <w:rsid w:val="006B67C4"/>
    <w:rsid w:val="006B68D3"/>
    <w:rsid w:val="006B68F8"/>
    <w:rsid w:val="006B6B48"/>
    <w:rsid w:val="006B6C53"/>
    <w:rsid w:val="006B6DA5"/>
    <w:rsid w:val="006B6E8A"/>
    <w:rsid w:val="006B6F09"/>
    <w:rsid w:val="006B7118"/>
    <w:rsid w:val="006B735D"/>
    <w:rsid w:val="006B7432"/>
    <w:rsid w:val="006B7595"/>
    <w:rsid w:val="006B77F7"/>
    <w:rsid w:val="006B780C"/>
    <w:rsid w:val="006B78CE"/>
    <w:rsid w:val="006B794F"/>
    <w:rsid w:val="006B7B15"/>
    <w:rsid w:val="006B7C2E"/>
    <w:rsid w:val="006B7EED"/>
    <w:rsid w:val="006B7F12"/>
    <w:rsid w:val="006C0018"/>
    <w:rsid w:val="006C0139"/>
    <w:rsid w:val="006C013B"/>
    <w:rsid w:val="006C024C"/>
    <w:rsid w:val="006C0329"/>
    <w:rsid w:val="006C04CA"/>
    <w:rsid w:val="006C04D2"/>
    <w:rsid w:val="006C07E3"/>
    <w:rsid w:val="006C07FE"/>
    <w:rsid w:val="006C08CE"/>
    <w:rsid w:val="006C090B"/>
    <w:rsid w:val="006C0C4F"/>
    <w:rsid w:val="006C0D9A"/>
    <w:rsid w:val="006C0EDB"/>
    <w:rsid w:val="006C0EDC"/>
    <w:rsid w:val="006C1029"/>
    <w:rsid w:val="006C102E"/>
    <w:rsid w:val="006C1066"/>
    <w:rsid w:val="006C109B"/>
    <w:rsid w:val="006C11C7"/>
    <w:rsid w:val="006C14DC"/>
    <w:rsid w:val="006C160D"/>
    <w:rsid w:val="006C16B6"/>
    <w:rsid w:val="006C1791"/>
    <w:rsid w:val="006C180F"/>
    <w:rsid w:val="006C18D4"/>
    <w:rsid w:val="006C196F"/>
    <w:rsid w:val="006C1C9D"/>
    <w:rsid w:val="006C1CD3"/>
    <w:rsid w:val="006C1D68"/>
    <w:rsid w:val="006C20DF"/>
    <w:rsid w:val="006C2145"/>
    <w:rsid w:val="006C2151"/>
    <w:rsid w:val="006C2203"/>
    <w:rsid w:val="006C222C"/>
    <w:rsid w:val="006C225F"/>
    <w:rsid w:val="006C25C9"/>
    <w:rsid w:val="006C2A1B"/>
    <w:rsid w:val="006C2A31"/>
    <w:rsid w:val="006C2BEA"/>
    <w:rsid w:val="006C2DA9"/>
    <w:rsid w:val="006C2DAC"/>
    <w:rsid w:val="006C2E82"/>
    <w:rsid w:val="006C2F7A"/>
    <w:rsid w:val="006C3151"/>
    <w:rsid w:val="006C3167"/>
    <w:rsid w:val="006C3376"/>
    <w:rsid w:val="006C3969"/>
    <w:rsid w:val="006C3B14"/>
    <w:rsid w:val="006C3DCD"/>
    <w:rsid w:val="006C3DF2"/>
    <w:rsid w:val="006C3DF9"/>
    <w:rsid w:val="006C3E90"/>
    <w:rsid w:val="006C3FEC"/>
    <w:rsid w:val="006C4195"/>
    <w:rsid w:val="006C4214"/>
    <w:rsid w:val="006C4249"/>
    <w:rsid w:val="006C443E"/>
    <w:rsid w:val="006C44C6"/>
    <w:rsid w:val="006C45A3"/>
    <w:rsid w:val="006C460C"/>
    <w:rsid w:val="006C480E"/>
    <w:rsid w:val="006C48A6"/>
    <w:rsid w:val="006C4C1C"/>
    <w:rsid w:val="006C4C85"/>
    <w:rsid w:val="006C4C90"/>
    <w:rsid w:val="006C4D67"/>
    <w:rsid w:val="006C4F0A"/>
    <w:rsid w:val="006C5165"/>
    <w:rsid w:val="006C51D0"/>
    <w:rsid w:val="006C52A8"/>
    <w:rsid w:val="006C52AD"/>
    <w:rsid w:val="006C5469"/>
    <w:rsid w:val="006C565C"/>
    <w:rsid w:val="006C56FE"/>
    <w:rsid w:val="006C573B"/>
    <w:rsid w:val="006C57F4"/>
    <w:rsid w:val="006C5856"/>
    <w:rsid w:val="006C58A6"/>
    <w:rsid w:val="006C5BAE"/>
    <w:rsid w:val="006C5F2F"/>
    <w:rsid w:val="006C62BA"/>
    <w:rsid w:val="006C6300"/>
    <w:rsid w:val="006C638B"/>
    <w:rsid w:val="006C63D3"/>
    <w:rsid w:val="006C6566"/>
    <w:rsid w:val="006C65CB"/>
    <w:rsid w:val="006C66B6"/>
    <w:rsid w:val="006C66EA"/>
    <w:rsid w:val="006C6703"/>
    <w:rsid w:val="006C67F4"/>
    <w:rsid w:val="006C686A"/>
    <w:rsid w:val="006C687A"/>
    <w:rsid w:val="006C6B52"/>
    <w:rsid w:val="006C6D2E"/>
    <w:rsid w:val="006C6D46"/>
    <w:rsid w:val="006C6DFC"/>
    <w:rsid w:val="006C6E01"/>
    <w:rsid w:val="006C6E68"/>
    <w:rsid w:val="006C6EF5"/>
    <w:rsid w:val="006C7018"/>
    <w:rsid w:val="006C7171"/>
    <w:rsid w:val="006C71AF"/>
    <w:rsid w:val="006C72B5"/>
    <w:rsid w:val="006C7365"/>
    <w:rsid w:val="006C7499"/>
    <w:rsid w:val="006C74FF"/>
    <w:rsid w:val="006C7590"/>
    <w:rsid w:val="006C7605"/>
    <w:rsid w:val="006C76A6"/>
    <w:rsid w:val="006C76C7"/>
    <w:rsid w:val="006C77DD"/>
    <w:rsid w:val="006C784F"/>
    <w:rsid w:val="006C7A04"/>
    <w:rsid w:val="006C7CC8"/>
    <w:rsid w:val="006C7D84"/>
    <w:rsid w:val="006C7EC5"/>
    <w:rsid w:val="006D006A"/>
    <w:rsid w:val="006D0439"/>
    <w:rsid w:val="006D0495"/>
    <w:rsid w:val="006D04A4"/>
    <w:rsid w:val="006D0545"/>
    <w:rsid w:val="006D065E"/>
    <w:rsid w:val="006D09FF"/>
    <w:rsid w:val="006D0C37"/>
    <w:rsid w:val="006D0CFD"/>
    <w:rsid w:val="006D0D0C"/>
    <w:rsid w:val="006D0D42"/>
    <w:rsid w:val="006D0F1E"/>
    <w:rsid w:val="006D1117"/>
    <w:rsid w:val="006D11B6"/>
    <w:rsid w:val="006D12DD"/>
    <w:rsid w:val="006D15F7"/>
    <w:rsid w:val="006D18F9"/>
    <w:rsid w:val="006D1B2D"/>
    <w:rsid w:val="006D1BCB"/>
    <w:rsid w:val="006D1E80"/>
    <w:rsid w:val="006D1ED0"/>
    <w:rsid w:val="006D2200"/>
    <w:rsid w:val="006D2357"/>
    <w:rsid w:val="006D23E1"/>
    <w:rsid w:val="006D275F"/>
    <w:rsid w:val="006D27C6"/>
    <w:rsid w:val="006D28A5"/>
    <w:rsid w:val="006D291E"/>
    <w:rsid w:val="006D2D63"/>
    <w:rsid w:val="006D2E15"/>
    <w:rsid w:val="006D2E63"/>
    <w:rsid w:val="006D2F92"/>
    <w:rsid w:val="006D3075"/>
    <w:rsid w:val="006D313B"/>
    <w:rsid w:val="006D3260"/>
    <w:rsid w:val="006D33B7"/>
    <w:rsid w:val="006D347F"/>
    <w:rsid w:val="006D3512"/>
    <w:rsid w:val="006D3695"/>
    <w:rsid w:val="006D3757"/>
    <w:rsid w:val="006D3791"/>
    <w:rsid w:val="006D37DD"/>
    <w:rsid w:val="006D38D4"/>
    <w:rsid w:val="006D3967"/>
    <w:rsid w:val="006D3978"/>
    <w:rsid w:val="006D39EC"/>
    <w:rsid w:val="006D3A57"/>
    <w:rsid w:val="006D3EC3"/>
    <w:rsid w:val="006D4431"/>
    <w:rsid w:val="006D45F6"/>
    <w:rsid w:val="006D49EB"/>
    <w:rsid w:val="006D49F6"/>
    <w:rsid w:val="006D4C92"/>
    <w:rsid w:val="006D4C9D"/>
    <w:rsid w:val="006D4DFA"/>
    <w:rsid w:val="006D4EB8"/>
    <w:rsid w:val="006D4F4A"/>
    <w:rsid w:val="006D54D0"/>
    <w:rsid w:val="006D555F"/>
    <w:rsid w:val="006D5568"/>
    <w:rsid w:val="006D5706"/>
    <w:rsid w:val="006D576F"/>
    <w:rsid w:val="006D58BA"/>
    <w:rsid w:val="006D593A"/>
    <w:rsid w:val="006D5AA7"/>
    <w:rsid w:val="006D5ACF"/>
    <w:rsid w:val="006D5BD1"/>
    <w:rsid w:val="006D5BE4"/>
    <w:rsid w:val="006D5D2C"/>
    <w:rsid w:val="006D5DC8"/>
    <w:rsid w:val="006D5EE5"/>
    <w:rsid w:val="006D63C7"/>
    <w:rsid w:val="006D6545"/>
    <w:rsid w:val="006D654E"/>
    <w:rsid w:val="006D6A37"/>
    <w:rsid w:val="006D6D20"/>
    <w:rsid w:val="006D6DF5"/>
    <w:rsid w:val="006D6E10"/>
    <w:rsid w:val="006D6E71"/>
    <w:rsid w:val="006D7035"/>
    <w:rsid w:val="006D72EC"/>
    <w:rsid w:val="006D739C"/>
    <w:rsid w:val="006D7594"/>
    <w:rsid w:val="006D7B39"/>
    <w:rsid w:val="006D7B8B"/>
    <w:rsid w:val="006D7BAE"/>
    <w:rsid w:val="006D7D9F"/>
    <w:rsid w:val="006D7E28"/>
    <w:rsid w:val="006E04BE"/>
    <w:rsid w:val="006E05F2"/>
    <w:rsid w:val="006E06B8"/>
    <w:rsid w:val="006E0984"/>
    <w:rsid w:val="006E0B27"/>
    <w:rsid w:val="006E0B56"/>
    <w:rsid w:val="006E0E5F"/>
    <w:rsid w:val="006E0E91"/>
    <w:rsid w:val="006E0F62"/>
    <w:rsid w:val="006E123C"/>
    <w:rsid w:val="006E14AE"/>
    <w:rsid w:val="006E1634"/>
    <w:rsid w:val="006E17A8"/>
    <w:rsid w:val="006E17CD"/>
    <w:rsid w:val="006E1813"/>
    <w:rsid w:val="006E1F19"/>
    <w:rsid w:val="006E1F35"/>
    <w:rsid w:val="006E1FDD"/>
    <w:rsid w:val="006E21AD"/>
    <w:rsid w:val="006E22A5"/>
    <w:rsid w:val="006E23B6"/>
    <w:rsid w:val="006E242F"/>
    <w:rsid w:val="006E2476"/>
    <w:rsid w:val="006E24B3"/>
    <w:rsid w:val="006E25AB"/>
    <w:rsid w:val="006E2633"/>
    <w:rsid w:val="006E2778"/>
    <w:rsid w:val="006E27C2"/>
    <w:rsid w:val="006E2CE9"/>
    <w:rsid w:val="006E2F7F"/>
    <w:rsid w:val="006E2F84"/>
    <w:rsid w:val="006E2FA6"/>
    <w:rsid w:val="006E30E6"/>
    <w:rsid w:val="006E314C"/>
    <w:rsid w:val="006E3175"/>
    <w:rsid w:val="006E3262"/>
    <w:rsid w:val="006E33D5"/>
    <w:rsid w:val="006E33DF"/>
    <w:rsid w:val="006E343C"/>
    <w:rsid w:val="006E363D"/>
    <w:rsid w:val="006E36F4"/>
    <w:rsid w:val="006E37AC"/>
    <w:rsid w:val="006E38A3"/>
    <w:rsid w:val="006E3A0E"/>
    <w:rsid w:val="006E3A6D"/>
    <w:rsid w:val="006E3B98"/>
    <w:rsid w:val="006E3E0F"/>
    <w:rsid w:val="006E41A2"/>
    <w:rsid w:val="006E4748"/>
    <w:rsid w:val="006E481E"/>
    <w:rsid w:val="006E497A"/>
    <w:rsid w:val="006E4A33"/>
    <w:rsid w:val="006E4ABF"/>
    <w:rsid w:val="006E4B25"/>
    <w:rsid w:val="006E4C00"/>
    <w:rsid w:val="006E4C45"/>
    <w:rsid w:val="006E4D3E"/>
    <w:rsid w:val="006E4DB2"/>
    <w:rsid w:val="006E4EEF"/>
    <w:rsid w:val="006E509A"/>
    <w:rsid w:val="006E543D"/>
    <w:rsid w:val="006E5628"/>
    <w:rsid w:val="006E5747"/>
    <w:rsid w:val="006E57C1"/>
    <w:rsid w:val="006E581B"/>
    <w:rsid w:val="006E58B6"/>
    <w:rsid w:val="006E59E0"/>
    <w:rsid w:val="006E5AB8"/>
    <w:rsid w:val="006E5BFC"/>
    <w:rsid w:val="006E5C40"/>
    <w:rsid w:val="006E5DAB"/>
    <w:rsid w:val="006E5DF9"/>
    <w:rsid w:val="006E5F66"/>
    <w:rsid w:val="006E5FCC"/>
    <w:rsid w:val="006E623B"/>
    <w:rsid w:val="006E63A1"/>
    <w:rsid w:val="006E6403"/>
    <w:rsid w:val="006E6493"/>
    <w:rsid w:val="006E64E3"/>
    <w:rsid w:val="006E6514"/>
    <w:rsid w:val="006E6A03"/>
    <w:rsid w:val="006E6A4D"/>
    <w:rsid w:val="006E6A89"/>
    <w:rsid w:val="006E6A98"/>
    <w:rsid w:val="006E6B79"/>
    <w:rsid w:val="006E6D3D"/>
    <w:rsid w:val="006E6DBA"/>
    <w:rsid w:val="006E704C"/>
    <w:rsid w:val="006E70E4"/>
    <w:rsid w:val="006E71A8"/>
    <w:rsid w:val="006E72EC"/>
    <w:rsid w:val="006E73D2"/>
    <w:rsid w:val="006E7526"/>
    <w:rsid w:val="006E7563"/>
    <w:rsid w:val="006E758A"/>
    <w:rsid w:val="006E7746"/>
    <w:rsid w:val="006E77EF"/>
    <w:rsid w:val="006E787A"/>
    <w:rsid w:val="006E7AF8"/>
    <w:rsid w:val="006E7B0C"/>
    <w:rsid w:val="006E7BDC"/>
    <w:rsid w:val="006E7C85"/>
    <w:rsid w:val="006E7F70"/>
    <w:rsid w:val="006E7FD0"/>
    <w:rsid w:val="006F0235"/>
    <w:rsid w:val="006F0343"/>
    <w:rsid w:val="006F0892"/>
    <w:rsid w:val="006F0CFB"/>
    <w:rsid w:val="006F0D86"/>
    <w:rsid w:val="006F0EBF"/>
    <w:rsid w:val="006F1042"/>
    <w:rsid w:val="006F1485"/>
    <w:rsid w:val="006F1548"/>
    <w:rsid w:val="006F172A"/>
    <w:rsid w:val="006F1997"/>
    <w:rsid w:val="006F1D30"/>
    <w:rsid w:val="006F2191"/>
    <w:rsid w:val="006F2360"/>
    <w:rsid w:val="006F2371"/>
    <w:rsid w:val="006F2530"/>
    <w:rsid w:val="006F2647"/>
    <w:rsid w:val="006F26EF"/>
    <w:rsid w:val="006F2705"/>
    <w:rsid w:val="006F287C"/>
    <w:rsid w:val="006F2946"/>
    <w:rsid w:val="006F2953"/>
    <w:rsid w:val="006F2A04"/>
    <w:rsid w:val="006F2AF3"/>
    <w:rsid w:val="006F2B14"/>
    <w:rsid w:val="006F31DB"/>
    <w:rsid w:val="006F34B5"/>
    <w:rsid w:val="006F35B8"/>
    <w:rsid w:val="006F36BD"/>
    <w:rsid w:val="006F379C"/>
    <w:rsid w:val="006F38EA"/>
    <w:rsid w:val="006F3A2E"/>
    <w:rsid w:val="006F3BAB"/>
    <w:rsid w:val="006F3BB1"/>
    <w:rsid w:val="006F3BEC"/>
    <w:rsid w:val="006F3F10"/>
    <w:rsid w:val="006F4141"/>
    <w:rsid w:val="006F431E"/>
    <w:rsid w:val="006F441B"/>
    <w:rsid w:val="006F452A"/>
    <w:rsid w:val="006F4727"/>
    <w:rsid w:val="006F47A5"/>
    <w:rsid w:val="006F47E4"/>
    <w:rsid w:val="006F4826"/>
    <w:rsid w:val="006F4BB2"/>
    <w:rsid w:val="006F4C0C"/>
    <w:rsid w:val="006F4C2A"/>
    <w:rsid w:val="006F4D0E"/>
    <w:rsid w:val="006F4D3C"/>
    <w:rsid w:val="006F4E5B"/>
    <w:rsid w:val="006F504D"/>
    <w:rsid w:val="006F510D"/>
    <w:rsid w:val="006F5F7F"/>
    <w:rsid w:val="006F600C"/>
    <w:rsid w:val="006F6127"/>
    <w:rsid w:val="006F625C"/>
    <w:rsid w:val="006F64AE"/>
    <w:rsid w:val="006F652C"/>
    <w:rsid w:val="006F66F3"/>
    <w:rsid w:val="006F673F"/>
    <w:rsid w:val="006F6A20"/>
    <w:rsid w:val="006F6DB0"/>
    <w:rsid w:val="006F6DDF"/>
    <w:rsid w:val="006F6E89"/>
    <w:rsid w:val="006F6F22"/>
    <w:rsid w:val="006F721B"/>
    <w:rsid w:val="006F738D"/>
    <w:rsid w:val="006F760E"/>
    <w:rsid w:val="006F765C"/>
    <w:rsid w:val="006F7691"/>
    <w:rsid w:val="006F78F2"/>
    <w:rsid w:val="006F7B33"/>
    <w:rsid w:val="006F7D55"/>
    <w:rsid w:val="006F7FB7"/>
    <w:rsid w:val="00700023"/>
    <w:rsid w:val="007000AF"/>
    <w:rsid w:val="00700135"/>
    <w:rsid w:val="00700282"/>
    <w:rsid w:val="007004EF"/>
    <w:rsid w:val="00700738"/>
    <w:rsid w:val="00700782"/>
    <w:rsid w:val="007007CF"/>
    <w:rsid w:val="007007DA"/>
    <w:rsid w:val="00700C20"/>
    <w:rsid w:val="00700E7F"/>
    <w:rsid w:val="00701387"/>
    <w:rsid w:val="0070180D"/>
    <w:rsid w:val="007018F1"/>
    <w:rsid w:val="007019F5"/>
    <w:rsid w:val="00701A9B"/>
    <w:rsid w:val="00701DF9"/>
    <w:rsid w:val="00702102"/>
    <w:rsid w:val="00702127"/>
    <w:rsid w:val="007021E4"/>
    <w:rsid w:val="00702265"/>
    <w:rsid w:val="0070261A"/>
    <w:rsid w:val="00702784"/>
    <w:rsid w:val="007027EE"/>
    <w:rsid w:val="00702883"/>
    <w:rsid w:val="007028C1"/>
    <w:rsid w:val="007029AC"/>
    <w:rsid w:val="00702C22"/>
    <w:rsid w:val="00702D2D"/>
    <w:rsid w:val="00702D85"/>
    <w:rsid w:val="00702FCA"/>
    <w:rsid w:val="0070305F"/>
    <w:rsid w:val="007030A5"/>
    <w:rsid w:val="00703207"/>
    <w:rsid w:val="0070332F"/>
    <w:rsid w:val="00703409"/>
    <w:rsid w:val="007034B8"/>
    <w:rsid w:val="007035C8"/>
    <w:rsid w:val="00703619"/>
    <w:rsid w:val="007037C1"/>
    <w:rsid w:val="007039A2"/>
    <w:rsid w:val="00703AD4"/>
    <w:rsid w:val="00703C11"/>
    <w:rsid w:val="00703D00"/>
    <w:rsid w:val="00703E4D"/>
    <w:rsid w:val="00703EEE"/>
    <w:rsid w:val="00703F02"/>
    <w:rsid w:val="007042A9"/>
    <w:rsid w:val="00704423"/>
    <w:rsid w:val="007046AD"/>
    <w:rsid w:val="007047CD"/>
    <w:rsid w:val="00704822"/>
    <w:rsid w:val="00704930"/>
    <w:rsid w:val="00704B17"/>
    <w:rsid w:val="00704C07"/>
    <w:rsid w:val="00704EBC"/>
    <w:rsid w:val="00704F1C"/>
    <w:rsid w:val="00705184"/>
    <w:rsid w:val="007053D1"/>
    <w:rsid w:val="0070548E"/>
    <w:rsid w:val="007054B0"/>
    <w:rsid w:val="007054D9"/>
    <w:rsid w:val="007057B7"/>
    <w:rsid w:val="0070588D"/>
    <w:rsid w:val="00705AFD"/>
    <w:rsid w:val="00705C97"/>
    <w:rsid w:val="00705D6F"/>
    <w:rsid w:val="00705DA8"/>
    <w:rsid w:val="00705DB5"/>
    <w:rsid w:val="00706314"/>
    <w:rsid w:val="007063F3"/>
    <w:rsid w:val="00706591"/>
    <w:rsid w:val="007066AF"/>
    <w:rsid w:val="00706820"/>
    <w:rsid w:val="00706945"/>
    <w:rsid w:val="00706A62"/>
    <w:rsid w:val="00706BF6"/>
    <w:rsid w:val="00706C49"/>
    <w:rsid w:val="00706E24"/>
    <w:rsid w:val="00706F75"/>
    <w:rsid w:val="0070709B"/>
    <w:rsid w:val="00707469"/>
    <w:rsid w:val="00707489"/>
    <w:rsid w:val="007075A2"/>
    <w:rsid w:val="007075AA"/>
    <w:rsid w:val="007075CC"/>
    <w:rsid w:val="00707997"/>
    <w:rsid w:val="00707ED5"/>
    <w:rsid w:val="00707FAA"/>
    <w:rsid w:val="007100E2"/>
    <w:rsid w:val="007101C2"/>
    <w:rsid w:val="0071026B"/>
    <w:rsid w:val="0071029B"/>
    <w:rsid w:val="007102B4"/>
    <w:rsid w:val="0071052E"/>
    <w:rsid w:val="00710777"/>
    <w:rsid w:val="007108E9"/>
    <w:rsid w:val="00710945"/>
    <w:rsid w:val="00710A68"/>
    <w:rsid w:val="00710FB5"/>
    <w:rsid w:val="00711065"/>
    <w:rsid w:val="0071107A"/>
    <w:rsid w:val="007110DF"/>
    <w:rsid w:val="00711263"/>
    <w:rsid w:val="007114B5"/>
    <w:rsid w:val="00711655"/>
    <w:rsid w:val="007116AE"/>
    <w:rsid w:val="007116CA"/>
    <w:rsid w:val="007116F6"/>
    <w:rsid w:val="00711762"/>
    <w:rsid w:val="00711826"/>
    <w:rsid w:val="007118D8"/>
    <w:rsid w:val="00711CA6"/>
    <w:rsid w:val="00711CB1"/>
    <w:rsid w:val="00711D13"/>
    <w:rsid w:val="00711FA9"/>
    <w:rsid w:val="00711FC9"/>
    <w:rsid w:val="00711FF5"/>
    <w:rsid w:val="00712339"/>
    <w:rsid w:val="007126D8"/>
    <w:rsid w:val="00712AA3"/>
    <w:rsid w:val="00712B99"/>
    <w:rsid w:val="00712C62"/>
    <w:rsid w:val="00712CBC"/>
    <w:rsid w:val="00712D33"/>
    <w:rsid w:val="00712D72"/>
    <w:rsid w:val="00712D76"/>
    <w:rsid w:val="007130CD"/>
    <w:rsid w:val="0071319F"/>
    <w:rsid w:val="007133AC"/>
    <w:rsid w:val="007133C4"/>
    <w:rsid w:val="00713607"/>
    <w:rsid w:val="007138D8"/>
    <w:rsid w:val="00713912"/>
    <w:rsid w:val="007139E8"/>
    <w:rsid w:val="007139F6"/>
    <w:rsid w:val="00713A14"/>
    <w:rsid w:val="00713A3D"/>
    <w:rsid w:val="00713D82"/>
    <w:rsid w:val="00713F18"/>
    <w:rsid w:val="00713FA9"/>
    <w:rsid w:val="00713FE8"/>
    <w:rsid w:val="007140D9"/>
    <w:rsid w:val="0071423A"/>
    <w:rsid w:val="007144A4"/>
    <w:rsid w:val="007144EE"/>
    <w:rsid w:val="00714568"/>
    <w:rsid w:val="00714648"/>
    <w:rsid w:val="0071465E"/>
    <w:rsid w:val="00714953"/>
    <w:rsid w:val="0071496A"/>
    <w:rsid w:val="00714A3D"/>
    <w:rsid w:val="00714AD7"/>
    <w:rsid w:val="00714B29"/>
    <w:rsid w:val="00714C5C"/>
    <w:rsid w:val="00714D7A"/>
    <w:rsid w:val="0071500F"/>
    <w:rsid w:val="0071507E"/>
    <w:rsid w:val="007150CC"/>
    <w:rsid w:val="007151D5"/>
    <w:rsid w:val="007152C5"/>
    <w:rsid w:val="007154EB"/>
    <w:rsid w:val="007154F6"/>
    <w:rsid w:val="0071551D"/>
    <w:rsid w:val="00715655"/>
    <w:rsid w:val="00715722"/>
    <w:rsid w:val="00715852"/>
    <w:rsid w:val="00715906"/>
    <w:rsid w:val="00715AB9"/>
    <w:rsid w:val="00715B33"/>
    <w:rsid w:val="00715D26"/>
    <w:rsid w:val="00715F21"/>
    <w:rsid w:val="00715F63"/>
    <w:rsid w:val="00715FA6"/>
    <w:rsid w:val="0071605F"/>
    <w:rsid w:val="007160B2"/>
    <w:rsid w:val="007162F3"/>
    <w:rsid w:val="00716350"/>
    <w:rsid w:val="00716588"/>
    <w:rsid w:val="007165BB"/>
    <w:rsid w:val="0071670A"/>
    <w:rsid w:val="0071673D"/>
    <w:rsid w:val="00716809"/>
    <w:rsid w:val="0071680F"/>
    <w:rsid w:val="00716A55"/>
    <w:rsid w:val="00716BE7"/>
    <w:rsid w:val="00716DCF"/>
    <w:rsid w:val="00716E55"/>
    <w:rsid w:val="007170AF"/>
    <w:rsid w:val="00717110"/>
    <w:rsid w:val="00717343"/>
    <w:rsid w:val="0071741D"/>
    <w:rsid w:val="00717435"/>
    <w:rsid w:val="00717675"/>
    <w:rsid w:val="007176BC"/>
    <w:rsid w:val="00717759"/>
    <w:rsid w:val="0071777B"/>
    <w:rsid w:val="00717790"/>
    <w:rsid w:val="00717A6C"/>
    <w:rsid w:val="00717A98"/>
    <w:rsid w:val="00717FF4"/>
    <w:rsid w:val="007202A2"/>
    <w:rsid w:val="0072031F"/>
    <w:rsid w:val="0072072B"/>
    <w:rsid w:val="0072081C"/>
    <w:rsid w:val="00720832"/>
    <w:rsid w:val="00720950"/>
    <w:rsid w:val="00720984"/>
    <w:rsid w:val="007209C0"/>
    <w:rsid w:val="00720AC5"/>
    <w:rsid w:val="00720AE4"/>
    <w:rsid w:val="00721281"/>
    <w:rsid w:val="00721552"/>
    <w:rsid w:val="00721972"/>
    <w:rsid w:val="00721BE9"/>
    <w:rsid w:val="00721D21"/>
    <w:rsid w:val="00721D65"/>
    <w:rsid w:val="00721F75"/>
    <w:rsid w:val="00722037"/>
    <w:rsid w:val="0072221A"/>
    <w:rsid w:val="007225A1"/>
    <w:rsid w:val="007226AC"/>
    <w:rsid w:val="00722875"/>
    <w:rsid w:val="00722B45"/>
    <w:rsid w:val="00722B4D"/>
    <w:rsid w:val="00722BDC"/>
    <w:rsid w:val="00722C95"/>
    <w:rsid w:val="00722E60"/>
    <w:rsid w:val="00722F3A"/>
    <w:rsid w:val="00723228"/>
    <w:rsid w:val="00723785"/>
    <w:rsid w:val="00723AF5"/>
    <w:rsid w:val="00723E96"/>
    <w:rsid w:val="00724088"/>
    <w:rsid w:val="00724136"/>
    <w:rsid w:val="00724316"/>
    <w:rsid w:val="00724442"/>
    <w:rsid w:val="007248ED"/>
    <w:rsid w:val="007249E6"/>
    <w:rsid w:val="00724A0D"/>
    <w:rsid w:val="00724A92"/>
    <w:rsid w:val="00724B99"/>
    <w:rsid w:val="00724D17"/>
    <w:rsid w:val="00724D42"/>
    <w:rsid w:val="00724F2C"/>
    <w:rsid w:val="0072535F"/>
    <w:rsid w:val="00725445"/>
    <w:rsid w:val="007255AB"/>
    <w:rsid w:val="00725715"/>
    <w:rsid w:val="00725895"/>
    <w:rsid w:val="007259E2"/>
    <w:rsid w:val="00725B00"/>
    <w:rsid w:val="00725C4E"/>
    <w:rsid w:val="00725C8C"/>
    <w:rsid w:val="00725DFD"/>
    <w:rsid w:val="00725F2F"/>
    <w:rsid w:val="007260A2"/>
    <w:rsid w:val="0072611F"/>
    <w:rsid w:val="007261EA"/>
    <w:rsid w:val="0072633C"/>
    <w:rsid w:val="007263CA"/>
    <w:rsid w:val="0072683A"/>
    <w:rsid w:val="0072690F"/>
    <w:rsid w:val="0072699E"/>
    <w:rsid w:val="00726B02"/>
    <w:rsid w:val="00726DA8"/>
    <w:rsid w:val="00726E5E"/>
    <w:rsid w:val="00726E7E"/>
    <w:rsid w:val="00726EF8"/>
    <w:rsid w:val="00727083"/>
    <w:rsid w:val="007273DA"/>
    <w:rsid w:val="007275CA"/>
    <w:rsid w:val="007279E2"/>
    <w:rsid w:val="00727A2F"/>
    <w:rsid w:val="00727E50"/>
    <w:rsid w:val="0073002E"/>
    <w:rsid w:val="0073034F"/>
    <w:rsid w:val="007304C2"/>
    <w:rsid w:val="0073052E"/>
    <w:rsid w:val="007305DD"/>
    <w:rsid w:val="007306A2"/>
    <w:rsid w:val="007308A3"/>
    <w:rsid w:val="0073095A"/>
    <w:rsid w:val="007309C6"/>
    <w:rsid w:val="00730A18"/>
    <w:rsid w:val="00730B27"/>
    <w:rsid w:val="00730B8B"/>
    <w:rsid w:val="00730C28"/>
    <w:rsid w:val="00730D09"/>
    <w:rsid w:val="00730D7F"/>
    <w:rsid w:val="00730E43"/>
    <w:rsid w:val="00730F2A"/>
    <w:rsid w:val="00730FCF"/>
    <w:rsid w:val="0073117C"/>
    <w:rsid w:val="007312C1"/>
    <w:rsid w:val="0073152B"/>
    <w:rsid w:val="00731776"/>
    <w:rsid w:val="00731921"/>
    <w:rsid w:val="00731EAC"/>
    <w:rsid w:val="00731ED4"/>
    <w:rsid w:val="0073204B"/>
    <w:rsid w:val="00732083"/>
    <w:rsid w:val="0073259F"/>
    <w:rsid w:val="0073262D"/>
    <w:rsid w:val="0073265E"/>
    <w:rsid w:val="007327F4"/>
    <w:rsid w:val="007329AF"/>
    <w:rsid w:val="00732FC5"/>
    <w:rsid w:val="00733010"/>
    <w:rsid w:val="00733112"/>
    <w:rsid w:val="00733128"/>
    <w:rsid w:val="00733287"/>
    <w:rsid w:val="00733367"/>
    <w:rsid w:val="00733517"/>
    <w:rsid w:val="00733934"/>
    <w:rsid w:val="00733E30"/>
    <w:rsid w:val="007340F7"/>
    <w:rsid w:val="007342C9"/>
    <w:rsid w:val="00734393"/>
    <w:rsid w:val="00734668"/>
    <w:rsid w:val="007347EB"/>
    <w:rsid w:val="007349A9"/>
    <w:rsid w:val="00734E95"/>
    <w:rsid w:val="007350A2"/>
    <w:rsid w:val="00735129"/>
    <w:rsid w:val="0073541C"/>
    <w:rsid w:val="00735644"/>
    <w:rsid w:val="007358BD"/>
    <w:rsid w:val="00735904"/>
    <w:rsid w:val="00735A55"/>
    <w:rsid w:val="00735B88"/>
    <w:rsid w:val="00735FFD"/>
    <w:rsid w:val="007364AF"/>
    <w:rsid w:val="00736659"/>
    <w:rsid w:val="007367A7"/>
    <w:rsid w:val="00736A25"/>
    <w:rsid w:val="00736B10"/>
    <w:rsid w:val="00736C13"/>
    <w:rsid w:val="00736E1E"/>
    <w:rsid w:val="00736E38"/>
    <w:rsid w:val="00736F0E"/>
    <w:rsid w:val="00737041"/>
    <w:rsid w:val="00737109"/>
    <w:rsid w:val="00737204"/>
    <w:rsid w:val="007373A0"/>
    <w:rsid w:val="007373E1"/>
    <w:rsid w:val="007374A5"/>
    <w:rsid w:val="0073753A"/>
    <w:rsid w:val="0073765D"/>
    <w:rsid w:val="007377D6"/>
    <w:rsid w:val="007378A3"/>
    <w:rsid w:val="00737965"/>
    <w:rsid w:val="00737B19"/>
    <w:rsid w:val="00737E65"/>
    <w:rsid w:val="00737F7B"/>
    <w:rsid w:val="00737F92"/>
    <w:rsid w:val="007400CE"/>
    <w:rsid w:val="0074021E"/>
    <w:rsid w:val="007403F1"/>
    <w:rsid w:val="00740502"/>
    <w:rsid w:val="007406B8"/>
    <w:rsid w:val="007406F6"/>
    <w:rsid w:val="00740889"/>
    <w:rsid w:val="00740D51"/>
    <w:rsid w:val="00740D59"/>
    <w:rsid w:val="00740D9D"/>
    <w:rsid w:val="00740DA5"/>
    <w:rsid w:val="00740E1B"/>
    <w:rsid w:val="00740E70"/>
    <w:rsid w:val="00740E80"/>
    <w:rsid w:val="007411F4"/>
    <w:rsid w:val="007412F7"/>
    <w:rsid w:val="00741311"/>
    <w:rsid w:val="00741365"/>
    <w:rsid w:val="0074136F"/>
    <w:rsid w:val="00741381"/>
    <w:rsid w:val="007413B7"/>
    <w:rsid w:val="007414B6"/>
    <w:rsid w:val="00741739"/>
    <w:rsid w:val="00741913"/>
    <w:rsid w:val="00741CEB"/>
    <w:rsid w:val="00741DD1"/>
    <w:rsid w:val="00741EF0"/>
    <w:rsid w:val="00741F3D"/>
    <w:rsid w:val="00742020"/>
    <w:rsid w:val="007421F5"/>
    <w:rsid w:val="00742317"/>
    <w:rsid w:val="0074256C"/>
    <w:rsid w:val="007425A6"/>
    <w:rsid w:val="007425F3"/>
    <w:rsid w:val="007426BE"/>
    <w:rsid w:val="0074279B"/>
    <w:rsid w:val="0074280F"/>
    <w:rsid w:val="007428D0"/>
    <w:rsid w:val="00742AF3"/>
    <w:rsid w:val="00742C62"/>
    <w:rsid w:val="00742C78"/>
    <w:rsid w:val="00742D67"/>
    <w:rsid w:val="00742DCE"/>
    <w:rsid w:val="00742DE1"/>
    <w:rsid w:val="00742E6A"/>
    <w:rsid w:val="007430B6"/>
    <w:rsid w:val="007437AB"/>
    <w:rsid w:val="00743849"/>
    <w:rsid w:val="00743942"/>
    <w:rsid w:val="00743A3E"/>
    <w:rsid w:val="00743B01"/>
    <w:rsid w:val="00743CB7"/>
    <w:rsid w:val="007441AA"/>
    <w:rsid w:val="007441DB"/>
    <w:rsid w:val="00744269"/>
    <w:rsid w:val="007442E5"/>
    <w:rsid w:val="007442F6"/>
    <w:rsid w:val="0074445A"/>
    <w:rsid w:val="00744476"/>
    <w:rsid w:val="007444AC"/>
    <w:rsid w:val="007444BA"/>
    <w:rsid w:val="0074458C"/>
    <w:rsid w:val="007445DB"/>
    <w:rsid w:val="0074484A"/>
    <w:rsid w:val="00744851"/>
    <w:rsid w:val="00744937"/>
    <w:rsid w:val="00744947"/>
    <w:rsid w:val="00744AB6"/>
    <w:rsid w:val="00744BDF"/>
    <w:rsid w:val="00744CC1"/>
    <w:rsid w:val="00744DC4"/>
    <w:rsid w:val="00744DE3"/>
    <w:rsid w:val="00744E9E"/>
    <w:rsid w:val="007450FC"/>
    <w:rsid w:val="0074562B"/>
    <w:rsid w:val="0074569B"/>
    <w:rsid w:val="007456AE"/>
    <w:rsid w:val="00745742"/>
    <w:rsid w:val="00745A9F"/>
    <w:rsid w:val="00745C28"/>
    <w:rsid w:val="00745C90"/>
    <w:rsid w:val="00745CDC"/>
    <w:rsid w:val="00745D60"/>
    <w:rsid w:val="007460D1"/>
    <w:rsid w:val="0074624F"/>
    <w:rsid w:val="00746369"/>
    <w:rsid w:val="007463DF"/>
    <w:rsid w:val="007466CE"/>
    <w:rsid w:val="00746763"/>
    <w:rsid w:val="007467CE"/>
    <w:rsid w:val="0074680D"/>
    <w:rsid w:val="007469B2"/>
    <w:rsid w:val="00746AC3"/>
    <w:rsid w:val="00746B6F"/>
    <w:rsid w:val="00746FE8"/>
    <w:rsid w:val="00747074"/>
    <w:rsid w:val="00747090"/>
    <w:rsid w:val="007471BF"/>
    <w:rsid w:val="0074728A"/>
    <w:rsid w:val="00747359"/>
    <w:rsid w:val="00747459"/>
    <w:rsid w:val="007474EC"/>
    <w:rsid w:val="007477AE"/>
    <w:rsid w:val="00747AAC"/>
    <w:rsid w:val="00747C35"/>
    <w:rsid w:val="00747EFB"/>
    <w:rsid w:val="007500E5"/>
    <w:rsid w:val="007502B3"/>
    <w:rsid w:val="0075041D"/>
    <w:rsid w:val="007504A2"/>
    <w:rsid w:val="00750878"/>
    <w:rsid w:val="007508D8"/>
    <w:rsid w:val="0075090F"/>
    <w:rsid w:val="00750A01"/>
    <w:rsid w:val="00750AE4"/>
    <w:rsid w:val="00750C9F"/>
    <w:rsid w:val="00750CB9"/>
    <w:rsid w:val="00750E79"/>
    <w:rsid w:val="00750F9A"/>
    <w:rsid w:val="00750FE0"/>
    <w:rsid w:val="007510E2"/>
    <w:rsid w:val="00751323"/>
    <w:rsid w:val="007513AA"/>
    <w:rsid w:val="00751676"/>
    <w:rsid w:val="007519F4"/>
    <w:rsid w:val="00751A91"/>
    <w:rsid w:val="00751C92"/>
    <w:rsid w:val="00751D5F"/>
    <w:rsid w:val="00751E53"/>
    <w:rsid w:val="00751F67"/>
    <w:rsid w:val="0075226F"/>
    <w:rsid w:val="0075227C"/>
    <w:rsid w:val="00752314"/>
    <w:rsid w:val="0075232C"/>
    <w:rsid w:val="00752390"/>
    <w:rsid w:val="007523A2"/>
    <w:rsid w:val="007523FA"/>
    <w:rsid w:val="00752473"/>
    <w:rsid w:val="007524F1"/>
    <w:rsid w:val="00752509"/>
    <w:rsid w:val="00752822"/>
    <w:rsid w:val="00752826"/>
    <w:rsid w:val="007528F5"/>
    <w:rsid w:val="00752903"/>
    <w:rsid w:val="007529B0"/>
    <w:rsid w:val="00752B83"/>
    <w:rsid w:val="00752BDE"/>
    <w:rsid w:val="0075326D"/>
    <w:rsid w:val="007532CA"/>
    <w:rsid w:val="007532F6"/>
    <w:rsid w:val="007533BD"/>
    <w:rsid w:val="00753488"/>
    <w:rsid w:val="007534E7"/>
    <w:rsid w:val="00753A20"/>
    <w:rsid w:val="00753A63"/>
    <w:rsid w:val="00753AB6"/>
    <w:rsid w:val="00753CE8"/>
    <w:rsid w:val="00753DAF"/>
    <w:rsid w:val="00753DFE"/>
    <w:rsid w:val="00753EFC"/>
    <w:rsid w:val="0075408D"/>
    <w:rsid w:val="007540AF"/>
    <w:rsid w:val="00754446"/>
    <w:rsid w:val="00754592"/>
    <w:rsid w:val="00754632"/>
    <w:rsid w:val="00754716"/>
    <w:rsid w:val="00754759"/>
    <w:rsid w:val="007547A7"/>
    <w:rsid w:val="00754993"/>
    <w:rsid w:val="00754B92"/>
    <w:rsid w:val="00754C0A"/>
    <w:rsid w:val="00754CD2"/>
    <w:rsid w:val="00754E13"/>
    <w:rsid w:val="00754E24"/>
    <w:rsid w:val="007550DF"/>
    <w:rsid w:val="007556CC"/>
    <w:rsid w:val="007559DE"/>
    <w:rsid w:val="00755A6E"/>
    <w:rsid w:val="00755BAA"/>
    <w:rsid w:val="00755C6E"/>
    <w:rsid w:val="00755CDB"/>
    <w:rsid w:val="00755D8E"/>
    <w:rsid w:val="00755D96"/>
    <w:rsid w:val="00755E8C"/>
    <w:rsid w:val="00755EB9"/>
    <w:rsid w:val="00755EE8"/>
    <w:rsid w:val="00755F95"/>
    <w:rsid w:val="007562F1"/>
    <w:rsid w:val="00756490"/>
    <w:rsid w:val="007564E9"/>
    <w:rsid w:val="00756512"/>
    <w:rsid w:val="00756842"/>
    <w:rsid w:val="00756925"/>
    <w:rsid w:val="00756D7C"/>
    <w:rsid w:val="00756F51"/>
    <w:rsid w:val="0075708E"/>
    <w:rsid w:val="007570AC"/>
    <w:rsid w:val="007572BD"/>
    <w:rsid w:val="007572DA"/>
    <w:rsid w:val="00757319"/>
    <w:rsid w:val="0075734D"/>
    <w:rsid w:val="0075738E"/>
    <w:rsid w:val="007574B3"/>
    <w:rsid w:val="0075779F"/>
    <w:rsid w:val="007577FD"/>
    <w:rsid w:val="00757822"/>
    <w:rsid w:val="0075795C"/>
    <w:rsid w:val="00757ADF"/>
    <w:rsid w:val="00757BC4"/>
    <w:rsid w:val="00757D44"/>
    <w:rsid w:val="00757DD3"/>
    <w:rsid w:val="00757EC5"/>
    <w:rsid w:val="00757ED1"/>
    <w:rsid w:val="00757F1E"/>
    <w:rsid w:val="0076013A"/>
    <w:rsid w:val="0076023D"/>
    <w:rsid w:val="00760372"/>
    <w:rsid w:val="007604A8"/>
    <w:rsid w:val="007604AE"/>
    <w:rsid w:val="00760724"/>
    <w:rsid w:val="00760826"/>
    <w:rsid w:val="00760A30"/>
    <w:rsid w:val="00760B7A"/>
    <w:rsid w:val="00760FBB"/>
    <w:rsid w:val="007611DD"/>
    <w:rsid w:val="0076139D"/>
    <w:rsid w:val="00761413"/>
    <w:rsid w:val="0076159F"/>
    <w:rsid w:val="007619EA"/>
    <w:rsid w:val="00761A86"/>
    <w:rsid w:val="00761CF2"/>
    <w:rsid w:val="00761D3D"/>
    <w:rsid w:val="00761EF5"/>
    <w:rsid w:val="00761F7B"/>
    <w:rsid w:val="007621C9"/>
    <w:rsid w:val="007622B1"/>
    <w:rsid w:val="00762409"/>
    <w:rsid w:val="0076244D"/>
    <w:rsid w:val="00762879"/>
    <w:rsid w:val="00762939"/>
    <w:rsid w:val="00762B0E"/>
    <w:rsid w:val="00762B10"/>
    <w:rsid w:val="00762B45"/>
    <w:rsid w:val="00762CD6"/>
    <w:rsid w:val="00762CDE"/>
    <w:rsid w:val="00762F92"/>
    <w:rsid w:val="00763029"/>
    <w:rsid w:val="0076309D"/>
    <w:rsid w:val="0076310D"/>
    <w:rsid w:val="00763316"/>
    <w:rsid w:val="00763481"/>
    <w:rsid w:val="00763905"/>
    <w:rsid w:val="00763CAE"/>
    <w:rsid w:val="00764178"/>
    <w:rsid w:val="007645B7"/>
    <w:rsid w:val="00764805"/>
    <w:rsid w:val="0076489A"/>
    <w:rsid w:val="00764AF6"/>
    <w:rsid w:val="00764D52"/>
    <w:rsid w:val="00764F3C"/>
    <w:rsid w:val="00764F9D"/>
    <w:rsid w:val="0076503C"/>
    <w:rsid w:val="0076538A"/>
    <w:rsid w:val="007656AD"/>
    <w:rsid w:val="007658CD"/>
    <w:rsid w:val="00765C65"/>
    <w:rsid w:val="00765CD2"/>
    <w:rsid w:val="00765F35"/>
    <w:rsid w:val="00765F3C"/>
    <w:rsid w:val="00765FF4"/>
    <w:rsid w:val="00765FFF"/>
    <w:rsid w:val="007660BE"/>
    <w:rsid w:val="00766107"/>
    <w:rsid w:val="00766231"/>
    <w:rsid w:val="00766368"/>
    <w:rsid w:val="0076641C"/>
    <w:rsid w:val="00766AB8"/>
    <w:rsid w:val="00766BBE"/>
    <w:rsid w:val="00766D3D"/>
    <w:rsid w:val="00766DF1"/>
    <w:rsid w:val="00767094"/>
    <w:rsid w:val="00767521"/>
    <w:rsid w:val="00767569"/>
    <w:rsid w:val="007675EF"/>
    <w:rsid w:val="007676A7"/>
    <w:rsid w:val="00767A08"/>
    <w:rsid w:val="00767BFD"/>
    <w:rsid w:val="00767C40"/>
    <w:rsid w:val="00767CB4"/>
    <w:rsid w:val="00767D1F"/>
    <w:rsid w:val="00767D48"/>
    <w:rsid w:val="00767EC1"/>
    <w:rsid w:val="0077012F"/>
    <w:rsid w:val="007701B2"/>
    <w:rsid w:val="007702F3"/>
    <w:rsid w:val="007703D4"/>
    <w:rsid w:val="00770568"/>
    <w:rsid w:val="00770621"/>
    <w:rsid w:val="007708F4"/>
    <w:rsid w:val="00770E33"/>
    <w:rsid w:val="00770F28"/>
    <w:rsid w:val="00770F43"/>
    <w:rsid w:val="007711F7"/>
    <w:rsid w:val="0077124A"/>
    <w:rsid w:val="00771438"/>
    <w:rsid w:val="007714B6"/>
    <w:rsid w:val="00771931"/>
    <w:rsid w:val="007719E9"/>
    <w:rsid w:val="00771E24"/>
    <w:rsid w:val="00772070"/>
    <w:rsid w:val="0077208A"/>
    <w:rsid w:val="0077216F"/>
    <w:rsid w:val="007722D6"/>
    <w:rsid w:val="00772432"/>
    <w:rsid w:val="0077245D"/>
    <w:rsid w:val="0077245E"/>
    <w:rsid w:val="007726E3"/>
    <w:rsid w:val="00772C3F"/>
    <w:rsid w:val="00772C97"/>
    <w:rsid w:val="007732C9"/>
    <w:rsid w:val="007732D1"/>
    <w:rsid w:val="007734D1"/>
    <w:rsid w:val="00773538"/>
    <w:rsid w:val="0077360B"/>
    <w:rsid w:val="007737FA"/>
    <w:rsid w:val="007738F1"/>
    <w:rsid w:val="007738F3"/>
    <w:rsid w:val="00773A2C"/>
    <w:rsid w:val="007741C7"/>
    <w:rsid w:val="00774305"/>
    <w:rsid w:val="00774390"/>
    <w:rsid w:val="007743C7"/>
    <w:rsid w:val="0077445C"/>
    <w:rsid w:val="007745BD"/>
    <w:rsid w:val="007745CF"/>
    <w:rsid w:val="00774668"/>
    <w:rsid w:val="007746D2"/>
    <w:rsid w:val="00774821"/>
    <w:rsid w:val="007748E7"/>
    <w:rsid w:val="00774A97"/>
    <w:rsid w:val="00774CB6"/>
    <w:rsid w:val="00774D71"/>
    <w:rsid w:val="00774FA6"/>
    <w:rsid w:val="007751ED"/>
    <w:rsid w:val="007755DF"/>
    <w:rsid w:val="007755EA"/>
    <w:rsid w:val="007757B5"/>
    <w:rsid w:val="0077581C"/>
    <w:rsid w:val="00775B5E"/>
    <w:rsid w:val="00775BB5"/>
    <w:rsid w:val="00775C01"/>
    <w:rsid w:val="00775D33"/>
    <w:rsid w:val="00775E94"/>
    <w:rsid w:val="00775F5E"/>
    <w:rsid w:val="00775F68"/>
    <w:rsid w:val="0077632A"/>
    <w:rsid w:val="007768EC"/>
    <w:rsid w:val="007768F6"/>
    <w:rsid w:val="007769DD"/>
    <w:rsid w:val="00776A3D"/>
    <w:rsid w:val="00776CF2"/>
    <w:rsid w:val="00776EE0"/>
    <w:rsid w:val="00776F72"/>
    <w:rsid w:val="0077708A"/>
    <w:rsid w:val="007770E7"/>
    <w:rsid w:val="0077718E"/>
    <w:rsid w:val="0077722C"/>
    <w:rsid w:val="007772A5"/>
    <w:rsid w:val="007772FB"/>
    <w:rsid w:val="0077786F"/>
    <w:rsid w:val="00777B0B"/>
    <w:rsid w:val="00777BB4"/>
    <w:rsid w:val="00777F74"/>
    <w:rsid w:val="00777FCA"/>
    <w:rsid w:val="0078004B"/>
    <w:rsid w:val="0078025B"/>
    <w:rsid w:val="007805B6"/>
    <w:rsid w:val="007807FF"/>
    <w:rsid w:val="007809DB"/>
    <w:rsid w:val="00780A6E"/>
    <w:rsid w:val="00780AA8"/>
    <w:rsid w:val="00780B00"/>
    <w:rsid w:val="00780BF1"/>
    <w:rsid w:val="00780DD5"/>
    <w:rsid w:val="00780F55"/>
    <w:rsid w:val="0078111A"/>
    <w:rsid w:val="0078122B"/>
    <w:rsid w:val="007812C2"/>
    <w:rsid w:val="00781323"/>
    <w:rsid w:val="00781518"/>
    <w:rsid w:val="007815B5"/>
    <w:rsid w:val="007815E6"/>
    <w:rsid w:val="007816D8"/>
    <w:rsid w:val="00781869"/>
    <w:rsid w:val="00781AE8"/>
    <w:rsid w:val="00781E89"/>
    <w:rsid w:val="00781FA8"/>
    <w:rsid w:val="007822BE"/>
    <w:rsid w:val="00782318"/>
    <w:rsid w:val="007823E7"/>
    <w:rsid w:val="0078241B"/>
    <w:rsid w:val="00782452"/>
    <w:rsid w:val="00782461"/>
    <w:rsid w:val="00782488"/>
    <w:rsid w:val="007824AE"/>
    <w:rsid w:val="00782583"/>
    <w:rsid w:val="007825A8"/>
    <w:rsid w:val="007827ED"/>
    <w:rsid w:val="00782840"/>
    <w:rsid w:val="00782979"/>
    <w:rsid w:val="00783104"/>
    <w:rsid w:val="0078317A"/>
    <w:rsid w:val="0078322C"/>
    <w:rsid w:val="00783520"/>
    <w:rsid w:val="00783580"/>
    <w:rsid w:val="00783818"/>
    <w:rsid w:val="00783891"/>
    <w:rsid w:val="00783F09"/>
    <w:rsid w:val="007840BE"/>
    <w:rsid w:val="00784194"/>
    <w:rsid w:val="00784286"/>
    <w:rsid w:val="00784480"/>
    <w:rsid w:val="0078482C"/>
    <w:rsid w:val="00784AD0"/>
    <w:rsid w:val="00784BFE"/>
    <w:rsid w:val="00784C9C"/>
    <w:rsid w:val="00784CFB"/>
    <w:rsid w:val="00784F15"/>
    <w:rsid w:val="00784FAB"/>
    <w:rsid w:val="00785135"/>
    <w:rsid w:val="007851F9"/>
    <w:rsid w:val="00785330"/>
    <w:rsid w:val="00785410"/>
    <w:rsid w:val="00785547"/>
    <w:rsid w:val="007855AE"/>
    <w:rsid w:val="007857F7"/>
    <w:rsid w:val="0078589A"/>
    <w:rsid w:val="00785CCB"/>
    <w:rsid w:val="00785D9F"/>
    <w:rsid w:val="00785DFF"/>
    <w:rsid w:val="00785E49"/>
    <w:rsid w:val="00785FBB"/>
    <w:rsid w:val="0078611B"/>
    <w:rsid w:val="007861F3"/>
    <w:rsid w:val="007862F0"/>
    <w:rsid w:val="00786323"/>
    <w:rsid w:val="0078687C"/>
    <w:rsid w:val="007868C5"/>
    <w:rsid w:val="007868DF"/>
    <w:rsid w:val="00786A8D"/>
    <w:rsid w:val="00786B17"/>
    <w:rsid w:val="00786CEE"/>
    <w:rsid w:val="00786E54"/>
    <w:rsid w:val="00786EE4"/>
    <w:rsid w:val="00787077"/>
    <w:rsid w:val="007870B0"/>
    <w:rsid w:val="00787181"/>
    <w:rsid w:val="00787191"/>
    <w:rsid w:val="00787203"/>
    <w:rsid w:val="00787338"/>
    <w:rsid w:val="00787615"/>
    <w:rsid w:val="007876C1"/>
    <w:rsid w:val="007876FC"/>
    <w:rsid w:val="00787A17"/>
    <w:rsid w:val="00787A4C"/>
    <w:rsid w:val="00787AC6"/>
    <w:rsid w:val="00787C90"/>
    <w:rsid w:val="00787EFE"/>
    <w:rsid w:val="00790022"/>
    <w:rsid w:val="00790024"/>
    <w:rsid w:val="007902FE"/>
    <w:rsid w:val="0079030B"/>
    <w:rsid w:val="0079036B"/>
    <w:rsid w:val="0079037B"/>
    <w:rsid w:val="00790482"/>
    <w:rsid w:val="00790884"/>
    <w:rsid w:val="007908B9"/>
    <w:rsid w:val="0079095F"/>
    <w:rsid w:val="00790A1F"/>
    <w:rsid w:val="00790AF8"/>
    <w:rsid w:val="00790DA7"/>
    <w:rsid w:val="00790E5D"/>
    <w:rsid w:val="007910D1"/>
    <w:rsid w:val="0079117F"/>
    <w:rsid w:val="0079157F"/>
    <w:rsid w:val="00791604"/>
    <w:rsid w:val="00791650"/>
    <w:rsid w:val="0079182C"/>
    <w:rsid w:val="007918E2"/>
    <w:rsid w:val="007919F9"/>
    <w:rsid w:val="00791CB9"/>
    <w:rsid w:val="00791F9A"/>
    <w:rsid w:val="00792010"/>
    <w:rsid w:val="007920AF"/>
    <w:rsid w:val="0079215E"/>
    <w:rsid w:val="00792209"/>
    <w:rsid w:val="007924D4"/>
    <w:rsid w:val="007925E1"/>
    <w:rsid w:val="007926C3"/>
    <w:rsid w:val="00792743"/>
    <w:rsid w:val="00792879"/>
    <w:rsid w:val="00792A58"/>
    <w:rsid w:val="00792ABC"/>
    <w:rsid w:val="00792AD2"/>
    <w:rsid w:val="00792B45"/>
    <w:rsid w:val="00792B81"/>
    <w:rsid w:val="00792BCE"/>
    <w:rsid w:val="00792C9E"/>
    <w:rsid w:val="00792CFC"/>
    <w:rsid w:val="00792E32"/>
    <w:rsid w:val="00792FD5"/>
    <w:rsid w:val="0079300F"/>
    <w:rsid w:val="0079318E"/>
    <w:rsid w:val="00793896"/>
    <w:rsid w:val="00793B7A"/>
    <w:rsid w:val="00793BC4"/>
    <w:rsid w:val="00793C15"/>
    <w:rsid w:val="00793DA2"/>
    <w:rsid w:val="00793F3F"/>
    <w:rsid w:val="007945FA"/>
    <w:rsid w:val="00794F7D"/>
    <w:rsid w:val="00795351"/>
    <w:rsid w:val="00795433"/>
    <w:rsid w:val="0079544C"/>
    <w:rsid w:val="0079546A"/>
    <w:rsid w:val="00795596"/>
    <w:rsid w:val="0079578B"/>
    <w:rsid w:val="00795828"/>
    <w:rsid w:val="00795844"/>
    <w:rsid w:val="00795ACE"/>
    <w:rsid w:val="00795C20"/>
    <w:rsid w:val="00795C51"/>
    <w:rsid w:val="00795C85"/>
    <w:rsid w:val="00795CC0"/>
    <w:rsid w:val="00795D02"/>
    <w:rsid w:val="00795D54"/>
    <w:rsid w:val="00795EB9"/>
    <w:rsid w:val="007960F4"/>
    <w:rsid w:val="00796389"/>
    <w:rsid w:val="00796487"/>
    <w:rsid w:val="007964E4"/>
    <w:rsid w:val="007966D3"/>
    <w:rsid w:val="00796773"/>
    <w:rsid w:val="00796961"/>
    <w:rsid w:val="00796A1D"/>
    <w:rsid w:val="00796ABB"/>
    <w:rsid w:val="00796E02"/>
    <w:rsid w:val="007971A9"/>
    <w:rsid w:val="00797291"/>
    <w:rsid w:val="007973D5"/>
    <w:rsid w:val="007973E3"/>
    <w:rsid w:val="007974F6"/>
    <w:rsid w:val="00797AA3"/>
    <w:rsid w:val="00797CAA"/>
    <w:rsid w:val="00797DD1"/>
    <w:rsid w:val="00797E0E"/>
    <w:rsid w:val="007A01EB"/>
    <w:rsid w:val="007A0383"/>
    <w:rsid w:val="007A04EB"/>
    <w:rsid w:val="007A05D5"/>
    <w:rsid w:val="007A0744"/>
    <w:rsid w:val="007A082B"/>
    <w:rsid w:val="007A0A0B"/>
    <w:rsid w:val="007A103C"/>
    <w:rsid w:val="007A1138"/>
    <w:rsid w:val="007A13E9"/>
    <w:rsid w:val="007A1709"/>
    <w:rsid w:val="007A19AE"/>
    <w:rsid w:val="007A1A81"/>
    <w:rsid w:val="007A1B61"/>
    <w:rsid w:val="007A1C1C"/>
    <w:rsid w:val="007A1F85"/>
    <w:rsid w:val="007A2030"/>
    <w:rsid w:val="007A20BF"/>
    <w:rsid w:val="007A219F"/>
    <w:rsid w:val="007A27A9"/>
    <w:rsid w:val="007A283E"/>
    <w:rsid w:val="007A28FB"/>
    <w:rsid w:val="007A29C9"/>
    <w:rsid w:val="007A2A2D"/>
    <w:rsid w:val="007A2A69"/>
    <w:rsid w:val="007A2AD8"/>
    <w:rsid w:val="007A2B74"/>
    <w:rsid w:val="007A2B91"/>
    <w:rsid w:val="007A2C9B"/>
    <w:rsid w:val="007A2CC9"/>
    <w:rsid w:val="007A2EDC"/>
    <w:rsid w:val="007A2F93"/>
    <w:rsid w:val="007A309D"/>
    <w:rsid w:val="007A33EC"/>
    <w:rsid w:val="007A359A"/>
    <w:rsid w:val="007A36CE"/>
    <w:rsid w:val="007A37B2"/>
    <w:rsid w:val="007A387D"/>
    <w:rsid w:val="007A3921"/>
    <w:rsid w:val="007A394E"/>
    <w:rsid w:val="007A3C99"/>
    <w:rsid w:val="007A3E2A"/>
    <w:rsid w:val="007A3E5F"/>
    <w:rsid w:val="007A419D"/>
    <w:rsid w:val="007A41C0"/>
    <w:rsid w:val="007A426C"/>
    <w:rsid w:val="007A4345"/>
    <w:rsid w:val="007A4727"/>
    <w:rsid w:val="007A474D"/>
    <w:rsid w:val="007A480D"/>
    <w:rsid w:val="007A493B"/>
    <w:rsid w:val="007A4DC0"/>
    <w:rsid w:val="007A4E9D"/>
    <w:rsid w:val="007A4FB3"/>
    <w:rsid w:val="007A5118"/>
    <w:rsid w:val="007A524C"/>
    <w:rsid w:val="007A54D2"/>
    <w:rsid w:val="007A57AC"/>
    <w:rsid w:val="007A5822"/>
    <w:rsid w:val="007A5A1A"/>
    <w:rsid w:val="007A5ACE"/>
    <w:rsid w:val="007A5B25"/>
    <w:rsid w:val="007A5B61"/>
    <w:rsid w:val="007A5CFD"/>
    <w:rsid w:val="007A6017"/>
    <w:rsid w:val="007A601D"/>
    <w:rsid w:val="007A61CA"/>
    <w:rsid w:val="007A61E6"/>
    <w:rsid w:val="007A62BE"/>
    <w:rsid w:val="007A64F1"/>
    <w:rsid w:val="007A658E"/>
    <w:rsid w:val="007A65E0"/>
    <w:rsid w:val="007A66BE"/>
    <w:rsid w:val="007A6747"/>
    <w:rsid w:val="007A6767"/>
    <w:rsid w:val="007A6793"/>
    <w:rsid w:val="007A6D5F"/>
    <w:rsid w:val="007A6F77"/>
    <w:rsid w:val="007A707C"/>
    <w:rsid w:val="007A748D"/>
    <w:rsid w:val="007A75C8"/>
    <w:rsid w:val="007A7685"/>
    <w:rsid w:val="007A768C"/>
    <w:rsid w:val="007A76D7"/>
    <w:rsid w:val="007A77A5"/>
    <w:rsid w:val="007A7935"/>
    <w:rsid w:val="007A796C"/>
    <w:rsid w:val="007A7B2B"/>
    <w:rsid w:val="007A7BB2"/>
    <w:rsid w:val="007B01EA"/>
    <w:rsid w:val="007B01FE"/>
    <w:rsid w:val="007B0273"/>
    <w:rsid w:val="007B03BC"/>
    <w:rsid w:val="007B0576"/>
    <w:rsid w:val="007B062B"/>
    <w:rsid w:val="007B0761"/>
    <w:rsid w:val="007B077D"/>
    <w:rsid w:val="007B08D6"/>
    <w:rsid w:val="007B09C8"/>
    <w:rsid w:val="007B0A94"/>
    <w:rsid w:val="007B0B60"/>
    <w:rsid w:val="007B0BD4"/>
    <w:rsid w:val="007B0D04"/>
    <w:rsid w:val="007B0EAD"/>
    <w:rsid w:val="007B102F"/>
    <w:rsid w:val="007B1119"/>
    <w:rsid w:val="007B1286"/>
    <w:rsid w:val="007B13AE"/>
    <w:rsid w:val="007B14AE"/>
    <w:rsid w:val="007B150B"/>
    <w:rsid w:val="007B1635"/>
    <w:rsid w:val="007B1AC4"/>
    <w:rsid w:val="007B1B96"/>
    <w:rsid w:val="007B1BEF"/>
    <w:rsid w:val="007B1C28"/>
    <w:rsid w:val="007B1CBD"/>
    <w:rsid w:val="007B1CC8"/>
    <w:rsid w:val="007B21F0"/>
    <w:rsid w:val="007B2331"/>
    <w:rsid w:val="007B2475"/>
    <w:rsid w:val="007B249F"/>
    <w:rsid w:val="007B2713"/>
    <w:rsid w:val="007B2797"/>
    <w:rsid w:val="007B2803"/>
    <w:rsid w:val="007B2815"/>
    <w:rsid w:val="007B2879"/>
    <w:rsid w:val="007B28D9"/>
    <w:rsid w:val="007B2B02"/>
    <w:rsid w:val="007B2B21"/>
    <w:rsid w:val="007B2C04"/>
    <w:rsid w:val="007B2DDA"/>
    <w:rsid w:val="007B2ECC"/>
    <w:rsid w:val="007B2F4E"/>
    <w:rsid w:val="007B2F79"/>
    <w:rsid w:val="007B309F"/>
    <w:rsid w:val="007B33AF"/>
    <w:rsid w:val="007B3401"/>
    <w:rsid w:val="007B346E"/>
    <w:rsid w:val="007B34C1"/>
    <w:rsid w:val="007B3527"/>
    <w:rsid w:val="007B355B"/>
    <w:rsid w:val="007B375F"/>
    <w:rsid w:val="007B3765"/>
    <w:rsid w:val="007B37AA"/>
    <w:rsid w:val="007B3A12"/>
    <w:rsid w:val="007B3B69"/>
    <w:rsid w:val="007B3C9B"/>
    <w:rsid w:val="007B3CC4"/>
    <w:rsid w:val="007B43F9"/>
    <w:rsid w:val="007B45B4"/>
    <w:rsid w:val="007B48F9"/>
    <w:rsid w:val="007B49A8"/>
    <w:rsid w:val="007B49F8"/>
    <w:rsid w:val="007B4B0F"/>
    <w:rsid w:val="007B4B69"/>
    <w:rsid w:val="007B4BE2"/>
    <w:rsid w:val="007B4C27"/>
    <w:rsid w:val="007B4D24"/>
    <w:rsid w:val="007B4D2F"/>
    <w:rsid w:val="007B4E23"/>
    <w:rsid w:val="007B507B"/>
    <w:rsid w:val="007B50FB"/>
    <w:rsid w:val="007B51D7"/>
    <w:rsid w:val="007B52B1"/>
    <w:rsid w:val="007B5321"/>
    <w:rsid w:val="007B5388"/>
    <w:rsid w:val="007B54F4"/>
    <w:rsid w:val="007B57BB"/>
    <w:rsid w:val="007B5883"/>
    <w:rsid w:val="007B5CAD"/>
    <w:rsid w:val="007B5D04"/>
    <w:rsid w:val="007B5E20"/>
    <w:rsid w:val="007B5E3C"/>
    <w:rsid w:val="007B5E4E"/>
    <w:rsid w:val="007B5E97"/>
    <w:rsid w:val="007B5F72"/>
    <w:rsid w:val="007B5FED"/>
    <w:rsid w:val="007B60CA"/>
    <w:rsid w:val="007B60D0"/>
    <w:rsid w:val="007B62C9"/>
    <w:rsid w:val="007B632D"/>
    <w:rsid w:val="007B6376"/>
    <w:rsid w:val="007B63BB"/>
    <w:rsid w:val="007B6466"/>
    <w:rsid w:val="007B6486"/>
    <w:rsid w:val="007B6810"/>
    <w:rsid w:val="007B681E"/>
    <w:rsid w:val="007B6900"/>
    <w:rsid w:val="007B6C29"/>
    <w:rsid w:val="007B6C6E"/>
    <w:rsid w:val="007B6C82"/>
    <w:rsid w:val="007B6E9B"/>
    <w:rsid w:val="007B6F59"/>
    <w:rsid w:val="007B7090"/>
    <w:rsid w:val="007B7168"/>
    <w:rsid w:val="007B7289"/>
    <w:rsid w:val="007B72C5"/>
    <w:rsid w:val="007B77EF"/>
    <w:rsid w:val="007B7B4C"/>
    <w:rsid w:val="007B7CD1"/>
    <w:rsid w:val="007B7D64"/>
    <w:rsid w:val="007B7E0D"/>
    <w:rsid w:val="007B7E43"/>
    <w:rsid w:val="007B7F4F"/>
    <w:rsid w:val="007B7F94"/>
    <w:rsid w:val="007C0056"/>
    <w:rsid w:val="007C03BC"/>
    <w:rsid w:val="007C04D0"/>
    <w:rsid w:val="007C0560"/>
    <w:rsid w:val="007C05B9"/>
    <w:rsid w:val="007C0651"/>
    <w:rsid w:val="007C0655"/>
    <w:rsid w:val="007C0781"/>
    <w:rsid w:val="007C09A6"/>
    <w:rsid w:val="007C0B91"/>
    <w:rsid w:val="007C0BA6"/>
    <w:rsid w:val="007C0BF3"/>
    <w:rsid w:val="007C0EB9"/>
    <w:rsid w:val="007C1062"/>
    <w:rsid w:val="007C1107"/>
    <w:rsid w:val="007C127B"/>
    <w:rsid w:val="007C14C6"/>
    <w:rsid w:val="007C15FD"/>
    <w:rsid w:val="007C1683"/>
    <w:rsid w:val="007C1715"/>
    <w:rsid w:val="007C1861"/>
    <w:rsid w:val="007C1DF4"/>
    <w:rsid w:val="007C2076"/>
    <w:rsid w:val="007C20EF"/>
    <w:rsid w:val="007C21CF"/>
    <w:rsid w:val="007C23B3"/>
    <w:rsid w:val="007C247F"/>
    <w:rsid w:val="007C25F5"/>
    <w:rsid w:val="007C2696"/>
    <w:rsid w:val="007C2AC9"/>
    <w:rsid w:val="007C3019"/>
    <w:rsid w:val="007C30B1"/>
    <w:rsid w:val="007C315D"/>
    <w:rsid w:val="007C3377"/>
    <w:rsid w:val="007C340C"/>
    <w:rsid w:val="007C3655"/>
    <w:rsid w:val="007C37DD"/>
    <w:rsid w:val="007C385F"/>
    <w:rsid w:val="007C391A"/>
    <w:rsid w:val="007C391C"/>
    <w:rsid w:val="007C3A6F"/>
    <w:rsid w:val="007C3C4A"/>
    <w:rsid w:val="007C3C8C"/>
    <w:rsid w:val="007C3D4F"/>
    <w:rsid w:val="007C3EEE"/>
    <w:rsid w:val="007C3F2C"/>
    <w:rsid w:val="007C4027"/>
    <w:rsid w:val="007C40C5"/>
    <w:rsid w:val="007C4269"/>
    <w:rsid w:val="007C4425"/>
    <w:rsid w:val="007C454A"/>
    <w:rsid w:val="007C4B02"/>
    <w:rsid w:val="007C4B31"/>
    <w:rsid w:val="007C4C49"/>
    <w:rsid w:val="007C4D4E"/>
    <w:rsid w:val="007C4D6B"/>
    <w:rsid w:val="007C4D75"/>
    <w:rsid w:val="007C4F9C"/>
    <w:rsid w:val="007C5052"/>
    <w:rsid w:val="007C52EC"/>
    <w:rsid w:val="007C5394"/>
    <w:rsid w:val="007C5611"/>
    <w:rsid w:val="007C58E0"/>
    <w:rsid w:val="007C5A12"/>
    <w:rsid w:val="007C5C5B"/>
    <w:rsid w:val="007C5DF2"/>
    <w:rsid w:val="007C5E90"/>
    <w:rsid w:val="007C6053"/>
    <w:rsid w:val="007C61A6"/>
    <w:rsid w:val="007C64D9"/>
    <w:rsid w:val="007C677B"/>
    <w:rsid w:val="007C68FE"/>
    <w:rsid w:val="007C699E"/>
    <w:rsid w:val="007C6BB9"/>
    <w:rsid w:val="007C6C18"/>
    <w:rsid w:val="007C6E45"/>
    <w:rsid w:val="007C6F05"/>
    <w:rsid w:val="007C7057"/>
    <w:rsid w:val="007C7175"/>
    <w:rsid w:val="007C74CD"/>
    <w:rsid w:val="007C765D"/>
    <w:rsid w:val="007C780B"/>
    <w:rsid w:val="007C799B"/>
    <w:rsid w:val="007C7B6A"/>
    <w:rsid w:val="007C7BC1"/>
    <w:rsid w:val="007C7EC2"/>
    <w:rsid w:val="007C7ED3"/>
    <w:rsid w:val="007D026D"/>
    <w:rsid w:val="007D06E2"/>
    <w:rsid w:val="007D0767"/>
    <w:rsid w:val="007D085D"/>
    <w:rsid w:val="007D0C0E"/>
    <w:rsid w:val="007D0C12"/>
    <w:rsid w:val="007D0D7C"/>
    <w:rsid w:val="007D11F3"/>
    <w:rsid w:val="007D1238"/>
    <w:rsid w:val="007D13AC"/>
    <w:rsid w:val="007D1524"/>
    <w:rsid w:val="007D1633"/>
    <w:rsid w:val="007D167A"/>
    <w:rsid w:val="007D1805"/>
    <w:rsid w:val="007D1B60"/>
    <w:rsid w:val="007D1BF3"/>
    <w:rsid w:val="007D1C97"/>
    <w:rsid w:val="007D1EA4"/>
    <w:rsid w:val="007D1EE5"/>
    <w:rsid w:val="007D1F87"/>
    <w:rsid w:val="007D20BD"/>
    <w:rsid w:val="007D2139"/>
    <w:rsid w:val="007D2268"/>
    <w:rsid w:val="007D26D1"/>
    <w:rsid w:val="007D2E6D"/>
    <w:rsid w:val="007D2F77"/>
    <w:rsid w:val="007D3037"/>
    <w:rsid w:val="007D309F"/>
    <w:rsid w:val="007D30ED"/>
    <w:rsid w:val="007D3867"/>
    <w:rsid w:val="007D3905"/>
    <w:rsid w:val="007D394F"/>
    <w:rsid w:val="007D3B73"/>
    <w:rsid w:val="007D3BD2"/>
    <w:rsid w:val="007D3BD8"/>
    <w:rsid w:val="007D3D4E"/>
    <w:rsid w:val="007D3E6C"/>
    <w:rsid w:val="007D4177"/>
    <w:rsid w:val="007D423B"/>
    <w:rsid w:val="007D4321"/>
    <w:rsid w:val="007D4463"/>
    <w:rsid w:val="007D4537"/>
    <w:rsid w:val="007D4967"/>
    <w:rsid w:val="007D49FD"/>
    <w:rsid w:val="007D4A3D"/>
    <w:rsid w:val="007D4EC5"/>
    <w:rsid w:val="007D4F99"/>
    <w:rsid w:val="007D548D"/>
    <w:rsid w:val="007D5501"/>
    <w:rsid w:val="007D5587"/>
    <w:rsid w:val="007D56C2"/>
    <w:rsid w:val="007D5805"/>
    <w:rsid w:val="007D5889"/>
    <w:rsid w:val="007D5985"/>
    <w:rsid w:val="007D5D1F"/>
    <w:rsid w:val="007D5F17"/>
    <w:rsid w:val="007D609B"/>
    <w:rsid w:val="007D6289"/>
    <w:rsid w:val="007D65AA"/>
    <w:rsid w:val="007D65F7"/>
    <w:rsid w:val="007D689C"/>
    <w:rsid w:val="007D6945"/>
    <w:rsid w:val="007D6AD3"/>
    <w:rsid w:val="007D6B51"/>
    <w:rsid w:val="007D6B91"/>
    <w:rsid w:val="007D6BFB"/>
    <w:rsid w:val="007D6C04"/>
    <w:rsid w:val="007D7102"/>
    <w:rsid w:val="007D7145"/>
    <w:rsid w:val="007D71FE"/>
    <w:rsid w:val="007D74D4"/>
    <w:rsid w:val="007D7802"/>
    <w:rsid w:val="007D791D"/>
    <w:rsid w:val="007D7953"/>
    <w:rsid w:val="007D795B"/>
    <w:rsid w:val="007D7A36"/>
    <w:rsid w:val="007D7A8F"/>
    <w:rsid w:val="007D7AC6"/>
    <w:rsid w:val="007D7ACB"/>
    <w:rsid w:val="007D7B1A"/>
    <w:rsid w:val="007D7B43"/>
    <w:rsid w:val="007D7C1C"/>
    <w:rsid w:val="007D7CB3"/>
    <w:rsid w:val="007D7D8C"/>
    <w:rsid w:val="007D7E12"/>
    <w:rsid w:val="007D7F23"/>
    <w:rsid w:val="007D7F69"/>
    <w:rsid w:val="007E0058"/>
    <w:rsid w:val="007E043D"/>
    <w:rsid w:val="007E0478"/>
    <w:rsid w:val="007E0491"/>
    <w:rsid w:val="007E073D"/>
    <w:rsid w:val="007E07DA"/>
    <w:rsid w:val="007E0C94"/>
    <w:rsid w:val="007E0CD3"/>
    <w:rsid w:val="007E0DC9"/>
    <w:rsid w:val="007E0F0C"/>
    <w:rsid w:val="007E0F4D"/>
    <w:rsid w:val="007E0FB7"/>
    <w:rsid w:val="007E10AC"/>
    <w:rsid w:val="007E12D4"/>
    <w:rsid w:val="007E16EE"/>
    <w:rsid w:val="007E1721"/>
    <w:rsid w:val="007E19DB"/>
    <w:rsid w:val="007E19DF"/>
    <w:rsid w:val="007E1ADD"/>
    <w:rsid w:val="007E1B27"/>
    <w:rsid w:val="007E1E92"/>
    <w:rsid w:val="007E2064"/>
    <w:rsid w:val="007E21DC"/>
    <w:rsid w:val="007E21EA"/>
    <w:rsid w:val="007E22E8"/>
    <w:rsid w:val="007E230F"/>
    <w:rsid w:val="007E260F"/>
    <w:rsid w:val="007E2820"/>
    <w:rsid w:val="007E2885"/>
    <w:rsid w:val="007E29E7"/>
    <w:rsid w:val="007E2ABC"/>
    <w:rsid w:val="007E2AFE"/>
    <w:rsid w:val="007E2E99"/>
    <w:rsid w:val="007E3320"/>
    <w:rsid w:val="007E34F4"/>
    <w:rsid w:val="007E354B"/>
    <w:rsid w:val="007E35CB"/>
    <w:rsid w:val="007E381D"/>
    <w:rsid w:val="007E3A9E"/>
    <w:rsid w:val="007E3C10"/>
    <w:rsid w:val="007E3C47"/>
    <w:rsid w:val="007E3C81"/>
    <w:rsid w:val="007E3E9C"/>
    <w:rsid w:val="007E40A4"/>
    <w:rsid w:val="007E4435"/>
    <w:rsid w:val="007E4A05"/>
    <w:rsid w:val="007E4A25"/>
    <w:rsid w:val="007E4A27"/>
    <w:rsid w:val="007E4B05"/>
    <w:rsid w:val="007E4D69"/>
    <w:rsid w:val="007E4E86"/>
    <w:rsid w:val="007E4EBB"/>
    <w:rsid w:val="007E4F20"/>
    <w:rsid w:val="007E4FF9"/>
    <w:rsid w:val="007E50F8"/>
    <w:rsid w:val="007E5139"/>
    <w:rsid w:val="007E5605"/>
    <w:rsid w:val="007E5640"/>
    <w:rsid w:val="007E5A23"/>
    <w:rsid w:val="007E5AC7"/>
    <w:rsid w:val="007E5C17"/>
    <w:rsid w:val="007E5DBA"/>
    <w:rsid w:val="007E5E21"/>
    <w:rsid w:val="007E5FEB"/>
    <w:rsid w:val="007E6061"/>
    <w:rsid w:val="007E618A"/>
    <w:rsid w:val="007E635C"/>
    <w:rsid w:val="007E649D"/>
    <w:rsid w:val="007E65F9"/>
    <w:rsid w:val="007E66A7"/>
    <w:rsid w:val="007E6790"/>
    <w:rsid w:val="007E687A"/>
    <w:rsid w:val="007E69E4"/>
    <w:rsid w:val="007E70DC"/>
    <w:rsid w:val="007E7111"/>
    <w:rsid w:val="007E71FC"/>
    <w:rsid w:val="007E7241"/>
    <w:rsid w:val="007E725C"/>
    <w:rsid w:val="007E7326"/>
    <w:rsid w:val="007E733F"/>
    <w:rsid w:val="007E7397"/>
    <w:rsid w:val="007E75A4"/>
    <w:rsid w:val="007E7704"/>
    <w:rsid w:val="007E775D"/>
    <w:rsid w:val="007E780B"/>
    <w:rsid w:val="007E7CC7"/>
    <w:rsid w:val="007E7D18"/>
    <w:rsid w:val="007E7FA2"/>
    <w:rsid w:val="007F0172"/>
    <w:rsid w:val="007F046C"/>
    <w:rsid w:val="007F086C"/>
    <w:rsid w:val="007F0903"/>
    <w:rsid w:val="007F096B"/>
    <w:rsid w:val="007F09E4"/>
    <w:rsid w:val="007F09F9"/>
    <w:rsid w:val="007F0A66"/>
    <w:rsid w:val="007F0A69"/>
    <w:rsid w:val="007F0B6B"/>
    <w:rsid w:val="007F0DB6"/>
    <w:rsid w:val="007F0F08"/>
    <w:rsid w:val="007F10E6"/>
    <w:rsid w:val="007F11EE"/>
    <w:rsid w:val="007F1275"/>
    <w:rsid w:val="007F12C9"/>
    <w:rsid w:val="007F136B"/>
    <w:rsid w:val="007F1527"/>
    <w:rsid w:val="007F15D2"/>
    <w:rsid w:val="007F1612"/>
    <w:rsid w:val="007F16A8"/>
    <w:rsid w:val="007F16C2"/>
    <w:rsid w:val="007F18FC"/>
    <w:rsid w:val="007F1905"/>
    <w:rsid w:val="007F19F0"/>
    <w:rsid w:val="007F1BDF"/>
    <w:rsid w:val="007F1C45"/>
    <w:rsid w:val="007F1E51"/>
    <w:rsid w:val="007F1F95"/>
    <w:rsid w:val="007F203F"/>
    <w:rsid w:val="007F2068"/>
    <w:rsid w:val="007F228C"/>
    <w:rsid w:val="007F234E"/>
    <w:rsid w:val="007F2552"/>
    <w:rsid w:val="007F2AC5"/>
    <w:rsid w:val="007F2B40"/>
    <w:rsid w:val="007F2C75"/>
    <w:rsid w:val="007F2EC2"/>
    <w:rsid w:val="007F2FE6"/>
    <w:rsid w:val="007F329E"/>
    <w:rsid w:val="007F33FE"/>
    <w:rsid w:val="007F3404"/>
    <w:rsid w:val="007F34F3"/>
    <w:rsid w:val="007F366F"/>
    <w:rsid w:val="007F369B"/>
    <w:rsid w:val="007F36A5"/>
    <w:rsid w:val="007F39E1"/>
    <w:rsid w:val="007F3C0C"/>
    <w:rsid w:val="007F3E9D"/>
    <w:rsid w:val="007F3F4B"/>
    <w:rsid w:val="007F3F9F"/>
    <w:rsid w:val="007F402C"/>
    <w:rsid w:val="007F4485"/>
    <w:rsid w:val="007F46B5"/>
    <w:rsid w:val="007F492D"/>
    <w:rsid w:val="007F4A41"/>
    <w:rsid w:val="007F4A4E"/>
    <w:rsid w:val="007F4A8B"/>
    <w:rsid w:val="007F4D1B"/>
    <w:rsid w:val="007F4D67"/>
    <w:rsid w:val="007F4D7A"/>
    <w:rsid w:val="007F501E"/>
    <w:rsid w:val="007F51AC"/>
    <w:rsid w:val="007F5570"/>
    <w:rsid w:val="007F5B6C"/>
    <w:rsid w:val="007F5B93"/>
    <w:rsid w:val="007F5CD1"/>
    <w:rsid w:val="007F5D8A"/>
    <w:rsid w:val="007F5E32"/>
    <w:rsid w:val="007F5EE0"/>
    <w:rsid w:val="007F60DE"/>
    <w:rsid w:val="007F6149"/>
    <w:rsid w:val="007F618C"/>
    <w:rsid w:val="007F62F9"/>
    <w:rsid w:val="007F6518"/>
    <w:rsid w:val="007F65AA"/>
    <w:rsid w:val="007F668D"/>
    <w:rsid w:val="007F688D"/>
    <w:rsid w:val="007F6B83"/>
    <w:rsid w:val="007F6D16"/>
    <w:rsid w:val="007F6E56"/>
    <w:rsid w:val="007F705E"/>
    <w:rsid w:val="007F71AC"/>
    <w:rsid w:val="007F7241"/>
    <w:rsid w:val="007F75C8"/>
    <w:rsid w:val="007F7835"/>
    <w:rsid w:val="007F7900"/>
    <w:rsid w:val="007F7908"/>
    <w:rsid w:val="007F793E"/>
    <w:rsid w:val="007F796C"/>
    <w:rsid w:val="007F79AF"/>
    <w:rsid w:val="007F79FD"/>
    <w:rsid w:val="007F7D0D"/>
    <w:rsid w:val="007F7D7E"/>
    <w:rsid w:val="008001AF"/>
    <w:rsid w:val="00800316"/>
    <w:rsid w:val="0080033F"/>
    <w:rsid w:val="00800341"/>
    <w:rsid w:val="00800556"/>
    <w:rsid w:val="00800BCA"/>
    <w:rsid w:val="00800BFD"/>
    <w:rsid w:val="00800FD3"/>
    <w:rsid w:val="00801319"/>
    <w:rsid w:val="008013F1"/>
    <w:rsid w:val="0080164C"/>
    <w:rsid w:val="008017C1"/>
    <w:rsid w:val="008017C3"/>
    <w:rsid w:val="00801854"/>
    <w:rsid w:val="0080189E"/>
    <w:rsid w:val="008019B1"/>
    <w:rsid w:val="00801A48"/>
    <w:rsid w:val="00801B7F"/>
    <w:rsid w:val="00801C1D"/>
    <w:rsid w:val="00801CB0"/>
    <w:rsid w:val="00801E01"/>
    <w:rsid w:val="00801F85"/>
    <w:rsid w:val="00801FB4"/>
    <w:rsid w:val="00802283"/>
    <w:rsid w:val="00802325"/>
    <w:rsid w:val="008023F2"/>
    <w:rsid w:val="00802426"/>
    <w:rsid w:val="0080260A"/>
    <w:rsid w:val="00802710"/>
    <w:rsid w:val="0080299C"/>
    <w:rsid w:val="00802B45"/>
    <w:rsid w:val="00802C52"/>
    <w:rsid w:val="00802C66"/>
    <w:rsid w:val="00802E8E"/>
    <w:rsid w:val="00802F49"/>
    <w:rsid w:val="0080300E"/>
    <w:rsid w:val="00803029"/>
    <w:rsid w:val="008033F6"/>
    <w:rsid w:val="00803426"/>
    <w:rsid w:val="00803444"/>
    <w:rsid w:val="00803511"/>
    <w:rsid w:val="00803760"/>
    <w:rsid w:val="00803819"/>
    <w:rsid w:val="008038CF"/>
    <w:rsid w:val="00803A8C"/>
    <w:rsid w:val="00803B70"/>
    <w:rsid w:val="00803D9A"/>
    <w:rsid w:val="008041D0"/>
    <w:rsid w:val="008041DB"/>
    <w:rsid w:val="008044DB"/>
    <w:rsid w:val="008046A4"/>
    <w:rsid w:val="008047BA"/>
    <w:rsid w:val="0080494B"/>
    <w:rsid w:val="00804971"/>
    <w:rsid w:val="00804D3F"/>
    <w:rsid w:val="00804DF5"/>
    <w:rsid w:val="00804E82"/>
    <w:rsid w:val="00804E9A"/>
    <w:rsid w:val="00804F75"/>
    <w:rsid w:val="00805042"/>
    <w:rsid w:val="008050EE"/>
    <w:rsid w:val="00805187"/>
    <w:rsid w:val="008052FC"/>
    <w:rsid w:val="00805353"/>
    <w:rsid w:val="008056BA"/>
    <w:rsid w:val="008056C1"/>
    <w:rsid w:val="0080584F"/>
    <w:rsid w:val="00805854"/>
    <w:rsid w:val="00805A54"/>
    <w:rsid w:val="00805B47"/>
    <w:rsid w:val="00805BCE"/>
    <w:rsid w:val="00805FA4"/>
    <w:rsid w:val="00806208"/>
    <w:rsid w:val="00806406"/>
    <w:rsid w:val="00806880"/>
    <w:rsid w:val="00806D38"/>
    <w:rsid w:val="00806E48"/>
    <w:rsid w:val="00806F44"/>
    <w:rsid w:val="00807066"/>
    <w:rsid w:val="00807944"/>
    <w:rsid w:val="00807954"/>
    <w:rsid w:val="008079E5"/>
    <w:rsid w:val="00807A98"/>
    <w:rsid w:val="00807AE8"/>
    <w:rsid w:val="00807BA5"/>
    <w:rsid w:val="00807C9B"/>
    <w:rsid w:val="00807D1A"/>
    <w:rsid w:val="00807D57"/>
    <w:rsid w:val="008102EB"/>
    <w:rsid w:val="008104D3"/>
    <w:rsid w:val="008105AE"/>
    <w:rsid w:val="008107B8"/>
    <w:rsid w:val="00810B9C"/>
    <w:rsid w:val="00810BAF"/>
    <w:rsid w:val="00810D3E"/>
    <w:rsid w:val="00810D56"/>
    <w:rsid w:val="00810E80"/>
    <w:rsid w:val="00810F85"/>
    <w:rsid w:val="00810FB0"/>
    <w:rsid w:val="00811086"/>
    <w:rsid w:val="0081110C"/>
    <w:rsid w:val="008113BA"/>
    <w:rsid w:val="00811452"/>
    <w:rsid w:val="00811621"/>
    <w:rsid w:val="008116EB"/>
    <w:rsid w:val="008116F3"/>
    <w:rsid w:val="00811768"/>
    <w:rsid w:val="00811A4E"/>
    <w:rsid w:val="00811E9C"/>
    <w:rsid w:val="008120AF"/>
    <w:rsid w:val="008121A6"/>
    <w:rsid w:val="008121DB"/>
    <w:rsid w:val="00812289"/>
    <w:rsid w:val="00812364"/>
    <w:rsid w:val="00812418"/>
    <w:rsid w:val="00812451"/>
    <w:rsid w:val="00812493"/>
    <w:rsid w:val="008125A3"/>
    <w:rsid w:val="0081292B"/>
    <w:rsid w:val="008129C3"/>
    <w:rsid w:val="00812A47"/>
    <w:rsid w:val="00812A88"/>
    <w:rsid w:val="00812B7D"/>
    <w:rsid w:val="00812D0C"/>
    <w:rsid w:val="00812E7D"/>
    <w:rsid w:val="00812FAD"/>
    <w:rsid w:val="00813017"/>
    <w:rsid w:val="008137FF"/>
    <w:rsid w:val="008138B4"/>
    <w:rsid w:val="00813A96"/>
    <w:rsid w:val="00813AAC"/>
    <w:rsid w:val="00813AD7"/>
    <w:rsid w:val="00813B7F"/>
    <w:rsid w:val="00813C97"/>
    <w:rsid w:val="00813CDA"/>
    <w:rsid w:val="00814077"/>
    <w:rsid w:val="0081417A"/>
    <w:rsid w:val="008142AF"/>
    <w:rsid w:val="00814414"/>
    <w:rsid w:val="00814569"/>
    <w:rsid w:val="0081479A"/>
    <w:rsid w:val="00814800"/>
    <w:rsid w:val="008148CB"/>
    <w:rsid w:val="00814973"/>
    <w:rsid w:val="008149DC"/>
    <w:rsid w:val="00814AEC"/>
    <w:rsid w:val="00814B5B"/>
    <w:rsid w:val="00814EE6"/>
    <w:rsid w:val="00815115"/>
    <w:rsid w:val="00815147"/>
    <w:rsid w:val="0081516B"/>
    <w:rsid w:val="008151B5"/>
    <w:rsid w:val="008153D0"/>
    <w:rsid w:val="008153E9"/>
    <w:rsid w:val="00815518"/>
    <w:rsid w:val="00815651"/>
    <w:rsid w:val="00815910"/>
    <w:rsid w:val="00815B1A"/>
    <w:rsid w:val="00815B7B"/>
    <w:rsid w:val="00815C8F"/>
    <w:rsid w:val="00815D55"/>
    <w:rsid w:val="00815DBC"/>
    <w:rsid w:val="0081640D"/>
    <w:rsid w:val="00816518"/>
    <w:rsid w:val="008166F7"/>
    <w:rsid w:val="008167A9"/>
    <w:rsid w:val="008167C8"/>
    <w:rsid w:val="0081681F"/>
    <w:rsid w:val="008169DE"/>
    <w:rsid w:val="00816ABF"/>
    <w:rsid w:val="00816AD1"/>
    <w:rsid w:val="00816CE9"/>
    <w:rsid w:val="00816DEB"/>
    <w:rsid w:val="00816E20"/>
    <w:rsid w:val="00816E57"/>
    <w:rsid w:val="00816F1C"/>
    <w:rsid w:val="008171FB"/>
    <w:rsid w:val="00817369"/>
    <w:rsid w:val="008175AA"/>
    <w:rsid w:val="008175FB"/>
    <w:rsid w:val="008176F6"/>
    <w:rsid w:val="00817746"/>
    <w:rsid w:val="008177DD"/>
    <w:rsid w:val="008178C1"/>
    <w:rsid w:val="008178FA"/>
    <w:rsid w:val="00817A2F"/>
    <w:rsid w:val="00817A60"/>
    <w:rsid w:val="00817BF0"/>
    <w:rsid w:val="00817C0D"/>
    <w:rsid w:val="00817DF9"/>
    <w:rsid w:val="00817FF2"/>
    <w:rsid w:val="00820091"/>
    <w:rsid w:val="0082012C"/>
    <w:rsid w:val="00820334"/>
    <w:rsid w:val="008204B1"/>
    <w:rsid w:val="00820538"/>
    <w:rsid w:val="008205A5"/>
    <w:rsid w:val="00820711"/>
    <w:rsid w:val="00820772"/>
    <w:rsid w:val="008207EA"/>
    <w:rsid w:val="0082087C"/>
    <w:rsid w:val="00820936"/>
    <w:rsid w:val="00820A85"/>
    <w:rsid w:val="00820D7C"/>
    <w:rsid w:val="00820DDC"/>
    <w:rsid w:val="00820E53"/>
    <w:rsid w:val="00821210"/>
    <w:rsid w:val="00821417"/>
    <w:rsid w:val="008215D5"/>
    <w:rsid w:val="0082176D"/>
    <w:rsid w:val="008217F0"/>
    <w:rsid w:val="008218AC"/>
    <w:rsid w:val="00821BAA"/>
    <w:rsid w:val="00821CAB"/>
    <w:rsid w:val="00821ED9"/>
    <w:rsid w:val="00821FC1"/>
    <w:rsid w:val="00822028"/>
    <w:rsid w:val="008220E0"/>
    <w:rsid w:val="00822356"/>
    <w:rsid w:val="008223E0"/>
    <w:rsid w:val="008223E7"/>
    <w:rsid w:val="0082247A"/>
    <w:rsid w:val="0082274F"/>
    <w:rsid w:val="00822861"/>
    <w:rsid w:val="00822BBE"/>
    <w:rsid w:val="00822EB4"/>
    <w:rsid w:val="00822F2C"/>
    <w:rsid w:val="00823098"/>
    <w:rsid w:val="00823145"/>
    <w:rsid w:val="00823187"/>
    <w:rsid w:val="008231A2"/>
    <w:rsid w:val="0082325A"/>
    <w:rsid w:val="00823331"/>
    <w:rsid w:val="008236D3"/>
    <w:rsid w:val="0082378D"/>
    <w:rsid w:val="00823A17"/>
    <w:rsid w:val="00823BCF"/>
    <w:rsid w:val="008240EA"/>
    <w:rsid w:val="00824166"/>
    <w:rsid w:val="008244AF"/>
    <w:rsid w:val="00824583"/>
    <w:rsid w:val="0082459A"/>
    <w:rsid w:val="0082491A"/>
    <w:rsid w:val="00824BEF"/>
    <w:rsid w:val="00824C09"/>
    <w:rsid w:val="00824D4C"/>
    <w:rsid w:val="00824DD0"/>
    <w:rsid w:val="00824F2D"/>
    <w:rsid w:val="00824FA2"/>
    <w:rsid w:val="0082530F"/>
    <w:rsid w:val="00825341"/>
    <w:rsid w:val="008257C9"/>
    <w:rsid w:val="008258D0"/>
    <w:rsid w:val="008259FE"/>
    <w:rsid w:val="00825AE5"/>
    <w:rsid w:val="00825D30"/>
    <w:rsid w:val="00825E4C"/>
    <w:rsid w:val="00825E54"/>
    <w:rsid w:val="00826105"/>
    <w:rsid w:val="00826108"/>
    <w:rsid w:val="0082640C"/>
    <w:rsid w:val="00826570"/>
    <w:rsid w:val="00826823"/>
    <w:rsid w:val="00826875"/>
    <w:rsid w:val="00826D20"/>
    <w:rsid w:val="00826E83"/>
    <w:rsid w:val="00826F40"/>
    <w:rsid w:val="00826FC5"/>
    <w:rsid w:val="00827110"/>
    <w:rsid w:val="00827341"/>
    <w:rsid w:val="0082752C"/>
    <w:rsid w:val="008275F6"/>
    <w:rsid w:val="0082789D"/>
    <w:rsid w:val="00827C66"/>
    <w:rsid w:val="00827CF5"/>
    <w:rsid w:val="00827DC0"/>
    <w:rsid w:val="0083016D"/>
    <w:rsid w:val="0083019E"/>
    <w:rsid w:val="00830229"/>
    <w:rsid w:val="0083043E"/>
    <w:rsid w:val="0083057C"/>
    <w:rsid w:val="00830595"/>
    <w:rsid w:val="0083073C"/>
    <w:rsid w:val="00830A00"/>
    <w:rsid w:val="00830A0A"/>
    <w:rsid w:val="00830BE9"/>
    <w:rsid w:val="00830C54"/>
    <w:rsid w:val="00830D39"/>
    <w:rsid w:val="00830E68"/>
    <w:rsid w:val="00830EA3"/>
    <w:rsid w:val="00830FD3"/>
    <w:rsid w:val="00831091"/>
    <w:rsid w:val="008310AD"/>
    <w:rsid w:val="00831160"/>
    <w:rsid w:val="00831576"/>
    <w:rsid w:val="008315FF"/>
    <w:rsid w:val="008316B1"/>
    <w:rsid w:val="00831C18"/>
    <w:rsid w:val="00831D5A"/>
    <w:rsid w:val="00831E41"/>
    <w:rsid w:val="00831FEB"/>
    <w:rsid w:val="00832076"/>
    <w:rsid w:val="008324F0"/>
    <w:rsid w:val="0083260E"/>
    <w:rsid w:val="00832841"/>
    <w:rsid w:val="00832A1D"/>
    <w:rsid w:val="00832CE7"/>
    <w:rsid w:val="00832E75"/>
    <w:rsid w:val="008330FE"/>
    <w:rsid w:val="0083316D"/>
    <w:rsid w:val="00833284"/>
    <w:rsid w:val="0083329E"/>
    <w:rsid w:val="00833347"/>
    <w:rsid w:val="00833369"/>
    <w:rsid w:val="008333B0"/>
    <w:rsid w:val="008335D9"/>
    <w:rsid w:val="00833678"/>
    <w:rsid w:val="00833B07"/>
    <w:rsid w:val="00833C26"/>
    <w:rsid w:val="00833D86"/>
    <w:rsid w:val="00833EB7"/>
    <w:rsid w:val="00833EF7"/>
    <w:rsid w:val="008340F1"/>
    <w:rsid w:val="00834199"/>
    <w:rsid w:val="008341D1"/>
    <w:rsid w:val="00834400"/>
    <w:rsid w:val="00834631"/>
    <w:rsid w:val="0083479F"/>
    <w:rsid w:val="00834C90"/>
    <w:rsid w:val="00834E24"/>
    <w:rsid w:val="008351BE"/>
    <w:rsid w:val="00835333"/>
    <w:rsid w:val="00835521"/>
    <w:rsid w:val="00835951"/>
    <w:rsid w:val="00835B8A"/>
    <w:rsid w:val="00835C7B"/>
    <w:rsid w:val="00835D68"/>
    <w:rsid w:val="00835EA7"/>
    <w:rsid w:val="00835FAB"/>
    <w:rsid w:val="00836065"/>
    <w:rsid w:val="0083612C"/>
    <w:rsid w:val="00836190"/>
    <w:rsid w:val="0083623D"/>
    <w:rsid w:val="008364B3"/>
    <w:rsid w:val="008364E7"/>
    <w:rsid w:val="008365DB"/>
    <w:rsid w:val="008367A6"/>
    <w:rsid w:val="00836A1D"/>
    <w:rsid w:val="00836CF3"/>
    <w:rsid w:val="00836DA9"/>
    <w:rsid w:val="00836F28"/>
    <w:rsid w:val="00836F46"/>
    <w:rsid w:val="00836F4D"/>
    <w:rsid w:val="008370AA"/>
    <w:rsid w:val="00837310"/>
    <w:rsid w:val="008373D2"/>
    <w:rsid w:val="008375AD"/>
    <w:rsid w:val="00837803"/>
    <w:rsid w:val="008379AD"/>
    <w:rsid w:val="008379C0"/>
    <w:rsid w:val="00837C6C"/>
    <w:rsid w:val="00837CFD"/>
    <w:rsid w:val="00837EC7"/>
    <w:rsid w:val="00837F7E"/>
    <w:rsid w:val="0084011A"/>
    <w:rsid w:val="00840194"/>
    <w:rsid w:val="008403B3"/>
    <w:rsid w:val="008403B9"/>
    <w:rsid w:val="00840460"/>
    <w:rsid w:val="00840877"/>
    <w:rsid w:val="008408C1"/>
    <w:rsid w:val="00840B15"/>
    <w:rsid w:val="00840CC2"/>
    <w:rsid w:val="00840CDB"/>
    <w:rsid w:val="00840F76"/>
    <w:rsid w:val="00840FF5"/>
    <w:rsid w:val="008410A8"/>
    <w:rsid w:val="008413D6"/>
    <w:rsid w:val="00841402"/>
    <w:rsid w:val="00841B62"/>
    <w:rsid w:val="00841CC6"/>
    <w:rsid w:val="00841DD1"/>
    <w:rsid w:val="00841DDD"/>
    <w:rsid w:val="00841F35"/>
    <w:rsid w:val="00841F8F"/>
    <w:rsid w:val="00842564"/>
    <w:rsid w:val="008426B9"/>
    <w:rsid w:val="00842808"/>
    <w:rsid w:val="008429FC"/>
    <w:rsid w:val="00842A9F"/>
    <w:rsid w:val="00842AD0"/>
    <w:rsid w:val="00842F5F"/>
    <w:rsid w:val="0084304F"/>
    <w:rsid w:val="0084314C"/>
    <w:rsid w:val="008434D5"/>
    <w:rsid w:val="008434EB"/>
    <w:rsid w:val="00843531"/>
    <w:rsid w:val="00843564"/>
    <w:rsid w:val="0084364C"/>
    <w:rsid w:val="008436B9"/>
    <w:rsid w:val="00843A62"/>
    <w:rsid w:val="00843BDE"/>
    <w:rsid w:val="00844094"/>
    <w:rsid w:val="008440B2"/>
    <w:rsid w:val="008440DA"/>
    <w:rsid w:val="00844102"/>
    <w:rsid w:val="00844368"/>
    <w:rsid w:val="00844372"/>
    <w:rsid w:val="0084456A"/>
    <w:rsid w:val="0084465B"/>
    <w:rsid w:val="00844676"/>
    <w:rsid w:val="008447F5"/>
    <w:rsid w:val="00844991"/>
    <w:rsid w:val="00844999"/>
    <w:rsid w:val="008449A4"/>
    <w:rsid w:val="00844B0F"/>
    <w:rsid w:val="00844DEE"/>
    <w:rsid w:val="008450C7"/>
    <w:rsid w:val="008453C8"/>
    <w:rsid w:val="00845434"/>
    <w:rsid w:val="008457B5"/>
    <w:rsid w:val="00845823"/>
    <w:rsid w:val="00845BEF"/>
    <w:rsid w:val="00846240"/>
    <w:rsid w:val="0084672D"/>
    <w:rsid w:val="0084691B"/>
    <w:rsid w:val="00846A92"/>
    <w:rsid w:val="00846CD9"/>
    <w:rsid w:val="00846D49"/>
    <w:rsid w:val="008470C2"/>
    <w:rsid w:val="0084728E"/>
    <w:rsid w:val="008472FA"/>
    <w:rsid w:val="0084763A"/>
    <w:rsid w:val="00847740"/>
    <w:rsid w:val="008478E7"/>
    <w:rsid w:val="00847979"/>
    <w:rsid w:val="00847987"/>
    <w:rsid w:val="0084798B"/>
    <w:rsid w:val="00847AD6"/>
    <w:rsid w:val="00847B2B"/>
    <w:rsid w:val="00847F4D"/>
    <w:rsid w:val="0085002A"/>
    <w:rsid w:val="00850102"/>
    <w:rsid w:val="0085016F"/>
    <w:rsid w:val="008501CD"/>
    <w:rsid w:val="008501E8"/>
    <w:rsid w:val="008501FD"/>
    <w:rsid w:val="008503AA"/>
    <w:rsid w:val="0085065E"/>
    <w:rsid w:val="00850783"/>
    <w:rsid w:val="008507B7"/>
    <w:rsid w:val="008508D4"/>
    <w:rsid w:val="0085090B"/>
    <w:rsid w:val="00850A8C"/>
    <w:rsid w:val="00850AA3"/>
    <w:rsid w:val="00850B15"/>
    <w:rsid w:val="00850E7C"/>
    <w:rsid w:val="00850EE5"/>
    <w:rsid w:val="008510E2"/>
    <w:rsid w:val="0085110E"/>
    <w:rsid w:val="008512AE"/>
    <w:rsid w:val="0085171F"/>
    <w:rsid w:val="00851928"/>
    <w:rsid w:val="00851931"/>
    <w:rsid w:val="00851983"/>
    <w:rsid w:val="008519A9"/>
    <w:rsid w:val="008519EC"/>
    <w:rsid w:val="00851BDF"/>
    <w:rsid w:val="00852003"/>
    <w:rsid w:val="00852006"/>
    <w:rsid w:val="00852044"/>
    <w:rsid w:val="00852073"/>
    <w:rsid w:val="0085211F"/>
    <w:rsid w:val="00852298"/>
    <w:rsid w:val="0085234E"/>
    <w:rsid w:val="00852547"/>
    <w:rsid w:val="00852599"/>
    <w:rsid w:val="00852920"/>
    <w:rsid w:val="00852970"/>
    <w:rsid w:val="00852C13"/>
    <w:rsid w:val="00852CC1"/>
    <w:rsid w:val="00852D22"/>
    <w:rsid w:val="00852E60"/>
    <w:rsid w:val="00852EFA"/>
    <w:rsid w:val="0085316D"/>
    <w:rsid w:val="008531C7"/>
    <w:rsid w:val="00853241"/>
    <w:rsid w:val="008532F8"/>
    <w:rsid w:val="008533B1"/>
    <w:rsid w:val="00853660"/>
    <w:rsid w:val="00853781"/>
    <w:rsid w:val="008537BC"/>
    <w:rsid w:val="00853A6D"/>
    <w:rsid w:val="00853B0C"/>
    <w:rsid w:val="00853F56"/>
    <w:rsid w:val="008540C6"/>
    <w:rsid w:val="008541E4"/>
    <w:rsid w:val="008544A0"/>
    <w:rsid w:val="008546E7"/>
    <w:rsid w:val="00854723"/>
    <w:rsid w:val="00854810"/>
    <w:rsid w:val="00854964"/>
    <w:rsid w:val="00854B0A"/>
    <w:rsid w:val="00854BE7"/>
    <w:rsid w:val="00854D24"/>
    <w:rsid w:val="00854E24"/>
    <w:rsid w:val="00854E3D"/>
    <w:rsid w:val="00854FAE"/>
    <w:rsid w:val="00854FD2"/>
    <w:rsid w:val="00854FE0"/>
    <w:rsid w:val="008551CD"/>
    <w:rsid w:val="008558F1"/>
    <w:rsid w:val="00855AA9"/>
    <w:rsid w:val="00855B1C"/>
    <w:rsid w:val="00855D3C"/>
    <w:rsid w:val="00855E3E"/>
    <w:rsid w:val="00855E64"/>
    <w:rsid w:val="00855F01"/>
    <w:rsid w:val="0085614A"/>
    <w:rsid w:val="008565D3"/>
    <w:rsid w:val="00856731"/>
    <w:rsid w:val="008567B3"/>
    <w:rsid w:val="008568C6"/>
    <w:rsid w:val="00856988"/>
    <w:rsid w:val="00856A6E"/>
    <w:rsid w:val="00856E94"/>
    <w:rsid w:val="00856EA8"/>
    <w:rsid w:val="00857283"/>
    <w:rsid w:val="00857287"/>
    <w:rsid w:val="00857314"/>
    <w:rsid w:val="008576C4"/>
    <w:rsid w:val="00857A0C"/>
    <w:rsid w:val="00857BA5"/>
    <w:rsid w:val="00857DB3"/>
    <w:rsid w:val="00857E18"/>
    <w:rsid w:val="00857E65"/>
    <w:rsid w:val="00857E9F"/>
    <w:rsid w:val="00857FC2"/>
    <w:rsid w:val="008601C5"/>
    <w:rsid w:val="0086026D"/>
    <w:rsid w:val="0086053F"/>
    <w:rsid w:val="0086058B"/>
    <w:rsid w:val="008605D0"/>
    <w:rsid w:val="0086077C"/>
    <w:rsid w:val="00860970"/>
    <w:rsid w:val="00860976"/>
    <w:rsid w:val="0086099A"/>
    <w:rsid w:val="00860B18"/>
    <w:rsid w:val="00860B61"/>
    <w:rsid w:val="00860C51"/>
    <w:rsid w:val="00860DBF"/>
    <w:rsid w:val="00860FBB"/>
    <w:rsid w:val="008612C7"/>
    <w:rsid w:val="008614BE"/>
    <w:rsid w:val="00861A2A"/>
    <w:rsid w:val="00861A3C"/>
    <w:rsid w:val="00861BAB"/>
    <w:rsid w:val="00861F2A"/>
    <w:rsid w:val="00862087"/>
    <w:rsid w:val="008621B3"/>
    <w:rsid w:val="0086249C"/>
    <w:rsid w:val="0086258A"/>
    <w:rsid w:val="008627B3"/>
    <w:rsid w:val="0086297A"/>
    <w:rsid w:val="00862A0A"/>
    <w:rsid w:val="00862B4F"/>
    <w:rsid w:val="00862C08"/>
    <w:rsid w:val="00862C2E"/>
    <w:rsid w:val="00862ED5"/>
    <w:rsid w:val="008631BE"/>
    <w:rsid w:val="00863348"/>
    <w:rsid w:val="008635AD"/>
    <w:rsid w:val="0086380F"/>
    <w:rsid w:val="00863A4C"/>
    <w:rsid w:val="00863AE2"/>
    <w:rsid w:val="00863D67"/>
    <w:rsid w:val="00863DEA"/>
    <w:rsid w:val="00863E77"/>
    <w:rsid w:val="00863EC2"/>
    <w:rsid w:val="00863F81"/>
    <w:rsid w:val="00863F9A"/>
    <w:rsid w:val="00863FC2"/>
    <w:rsid w:val="00863FDE"/>
    <w:rsid w:val="00864061"/>
    <w:rsid w:val="00864126"/>
    <w:rsid w:val="00864406"/>
    <w:rsid w:val="00864618"/>
    <w:rsid w:val="00864889"/>
    <w:rsid w:val="00864BFF"/>
    <w:rsid w:val="0086519C"/>
    <w:rsid w:val="008652A9"/>
    <w:rsid w:val="00865424"/>
    <w:rsid w:val="00865528"/>
    <w:rsid w:val="00865548"/>
    <w:rsid w:val="0086596D"/>
    <w:rsid w:val="008659F8"/>
    <w:rsid w:val="00865A75"/>
    <w:rsid w:val="00865B25"/>
    <w:rsid w:val="00865BA1"/>
    <w:rsid w:val="00865C4C"/>
    <w:rsid w:val="00865C8E"/>
    <w:rsid w:val="00865CFE"/>
    <w:rsid w:val="00865D8F"/>
    <w:rsid w:val="00865F66"/>
    <w:rsid w:val="008660BE"/>
    <w:rsid w:val="008660F1"/>
    <w:rsid w:val="00866164"/>
    <w:rsid w:val="008662E3"/>
    <w:rsid w:val="00866544"/>
    <w:rsid w:val="00866AE2"/>
    <w:rsid w:val="00866E55"/>
    <w:rsid w:val="00866F2A"/>
    <w:rsid w:val="00866FD2"/>
    <w:rsid w:val="0086710D"/>
    <w:rsid w:val="008672AE"/>
    <w:rsid w:val="00867518"/>
    <w:rsid w:val="0086777A"/>
    <w:rsid w:val="00867A4A"/>
    <w:rsid w:val="00867C89"/>
    <w:rsid w:val="00867ED7"/>
    <w:rsid w:val="008702A9"/>
    <w:rsid w:val="008704E4"/>
    <w:rsid w:val="00870594"/>
    <w:rsid w:val="00870769"/>
    <w:rsid w:val="008707B1"/>
    <w:rsid w:val="00871113"/>
    <w:rsid w:val="0087121F"/>
    <w:rsid w:val="00871273"/>
    <w:rsid w:val="0087169D"/>
    <w:rsid w:val="00871845"/>
    <w:rsid w:val="008718CC"/>
    <w:rsid w:val="0087198B"/>
    <w:rsid w:val="00871B8A"/>
    <w:rsid w:val="00871DFE"/>
    <w:rsid w:val="00871F08"/>
    <w:rsid w:val="00871FA9"/>
    <w:rsid w:val="00872200"/>
    <w:rsid w:val="0087221B"/>
    <w:rsid w:val="0087229E"/>
    <w:rsid w:val="0087238B"/>
    <w:rsid w:val="008724BD"/>
    <w:rsid w:val="00872513"/>
    <w:rsid w:val="00872676"/>
    <w:rsid w:val="00872681"/>
    <w:rsid w:val="00872828"/>
    <w:rsid w:val="00872955"/>
    <w:rsid w:val="0087299D"/>
    <w:rsid w:val="00872C0F"/>
    <w:rsid w:val="00872E3E"/>
    <w:rsid w:val="00873245"/>
    <w:rsid w:val="008732B9"/>
    <w:rsid w:val="0087336C"/>
    <w:rsid w:val="00873512"/>
    <w:rsid w:val="008738A1"/>
    <w:rsid w:val="0087396C"/>
    <w:rsid w:val="00873C0F"/>
    <w:rsid w:val="00873E88"/>
    <w:rsid w:val="0087455D"/>
    <w:rsid w:val="008745CF"/>
    <w:rsid w:val="00874735"/>
    <w:rsid w:val="00874C9F"/>
    <w:rsid w:val="00874CAE"/>
    <w:rsid w:val="00874DAF"/>
    <w:rsid w:val="00874DEB"/>
    <w:rsid w:val="00874FF4"/>
    <w:rsid w:val="008751CD"/>
    <w:rsid w:val="00875289"/>
    <w:rsid w:val="008752E5"/>
    <w:rsid w:val="008752FC"/>
    <w:rsid w:val="008753A5"/>
    <w:rsid w:val="00875452"/>
    <w:rsid w:val="0087545B"/>
    <w:rsid w:val="0087557C"/>
    <w:rsid w:val="008755B5"/>
    <w:rsid w:val="0087566A"/>
    <w:rsid w:val="008758D2"/>
    <w:rsid w:val="00875973"/>
    <w:rsid w:val="008759F1"/>
    <w:rsid w:val="00875A02"/>
    <w:rsid w:val="00875AAD"/>
    <w:rsid w:val="00875B34"/>
    <w:rsid w:val="00876062"/>
    <w:rsid w:val="008761D7"/>
    <w:rsid w:val="008765C5"/>
    <w:rsid w:val="00876654"/>
    <w:rsid w:val="00876805"/>
    <w:rsid w:val="00876A93"/>
    <w:rsid w:val="00876ADF"/>
    <w:rsid w:val="00876C78"/>
    <w:rsid w:val="00876C93"/>
    <w:rsid w:val="00876F82"/>
    <w:rsid w:val="00876FD8"/>
    <w:rsid w:val="00877120"/>
    <w:rsid w:val="00877200"/>
    <w:rsid w:val="00877215"/>
    <w:rsid w:val="00877487"/>
    <w:rsid w:val="008774AC"/>
    <w:rsid w:val="0087761B"/>
    <w:rsid w:val="0087772E"/>
    <w:rsid w:val="00877923"/>
    <w:rsid w:val="0087798A"/>
    <w:rsid w:val="00877ADA"/>
    <w:rsid w:val="00877B5F"/>
    <w:rsid w:val="00877B61"/>
    <w:rsid w:val="00877E04"/>
    <w:rsid w:val="008801D6"/>
    <w:rsid w:val="00880263"/>
    <w:rsid w:val="00880650"/>
    <w:rsid w:val="008806D2"/>
    <w:rsid w:val="008806F5"/>
    <w:rsid w:val="008807E9"/>
    <w:rsid w:val="0088089B"/>
    <w:rsid w:val="008808E8"/>
    <w:rsid w:val="00880942"/>
    <w:rsid w:val="00880D22"/>
    <w:rsid w:val="00880DE8"/>
    <w:rsid w:val="00880F99"/>
    <w:rsid w:val="0088162E"/>
    <w:rsid w:val="0088167B"/>
    <w:rsid w:val="0088191C"/>
    <w:rsid w:val="0088193B"/>
    <w:rsid w:val="008819B2"/>
    <w:rsid w:val="00881A00"/>
    <w:rsid w:val="00881A27"/>
    <w:rsid w:val="00881CD8"/>
    <w:rsid w:val="00881E7D"/>
    <w:rsid w:val="00881FF5"/>
    <w:rsid w:val="00882251"/>
    <w:rsid w:val="0088238C"/>
    <w:rsid w:val="008825D8"/>
    <w:rsid w:val="00882852"/>
    <w:rsid w:val="00882A49"/>
    <w:rsid w:val="00882D8C"/>
    <w:rsid w:val="00882E5D"/>
    <w:rsid w:val="00882E9F"/>
    <w:rsid w:val="00883133"/>
    <w:rsid w:val="008832EE"/>
    <w:rsid w:val="00883672"/>
    <w:rsid w:val="008839DB"/>
    <w:rsid w:val="00883A47"/>
    <w:rsid w:val="00883EA0"/>
    <w:rsid w:val="00883F66"/>
    <w:rsid w:val="00884295"/>
    <w:rsid w:val="0088457A"/>
    <w:rsid w:val="008846A9"/>
    <w:rsid w:val="00884AA9"/>
    <w:rsid w:val="00884D36"/>
    <w:rsid w:val="00884F83"/>
    <w:rsid w:val="00885089"/>
    <w:rsid w:val="00885424"/>
    <w:rsid w:val="008854D8"/>
    <w:rsid w:val="008854FD"/>
    <w:rsid w:val="00885529"/>
    <w:rsid w:val="00885669"/>
    <w:rsid w:val="00885758"/>
    <w:rsid w:val="008857F0"/>
    <w:rsid w:val="00885C19"/>
    <w:rsid w:val="00885C76"/>
    <w:rsid w:val="00885CA4"/>
    <w:rsid w:val="00885E68"/>
    <w:rsid w:val="00885F2F"/>
    <w:rsid w:val="00885F67"/>
    <w:rsid w:val="008860CA"/>
    <w:rsid w:val="0088641E"/>
    <w:rsid w:val="0088646D"/>
    <w:rsid w:val="008865A1"/>
    <w:rsid w:val="00886A15"/>
    <w:rsid w:val="00886B2C"/>
    <w:rsid w:val="00886C4B"/>
    <w:rsid w:val="00886FCF"/>
    <w:rsid w:val="00887020"/>
    <w:rsid w:val="0088709E"/>
    <w:rsid w:val="0088713B"/>
    <w:rsid w:val="008871C2"/>
    <w:rsid w:val="0088753D"/>
    <w:rsid w:val="008875AB"/>
    <w:rsid w:val="008875B2"/>
    <w:rsid w:val="00887646"/>
    <w:rsid w:val="0088792F"/>
    <w:rsid w:val="00887AD9"/>
    <w:rsid w:val="00887D41"/>
    <w:rsid w:val="00887FB9"/>
    <w:rsid w:val="008902BD"/>
    <w:rsid w:val="0089049D"/>
    <w:rsid w:val="0089056A"/>
    <w:rsid w:val="008907C6"/>
    <w:rsid w:val="00890A01"/>
    <w:rsid w:val="00890AF3"/>
    <w:rsid w:val="00890BD7"/>
    <w:rsid w:val="00890C67"/>
    <w:rsid w:val="00890D3D"/>
    <w:rsid w:val="00890D6C"/>
    <w:rsid w:val="00890E99"/>
    <w:rsid w:val="00890F00"/>
    <w:rsid w:val="008910E9"/>
    <w:rsid w:val="008911A6"/>
    <w:rsid w:val="008912A0"/>
    <w:rsid w:val="008913C0"/>
    <w:rsid w:val="008917A8"/>
    <w:rsid w:val="008917CD"/>
    <w:rsid w:val="00891935"/>
    <w:rsid w:val="00891A6E"/>
    <w:rsid w:val="00891D62"/>
    <w:rsid w:val="00891E68"/>
    <w:rsid w:val="008921F0"/>
    <w:rsid w:val="0089239F"/>
    <w:rsid w:val="008924A0"/>
    <w:rsid w:val="008926AB"/>
    <w:rsid w:val="008926F2"/>
    <w:rsid w:val="008927F3"/>
    <w:rsid w:val="00892825"/>
    <w:rsid w:val="00892884"/>
    <w:rsid w:val="008928D1"/>
    <w:rsid w:val="0089299C"/>
    <w:rsid w:val="00892EA7"/>
    <w:rsid w:val="0089324C"/>
    <w:rsid w:val="008932A9"/>
    <w:rsid w:val="008933BF"/>
    <w:rsid w:val="008934DC"/>
    <w:rsid w:val="00893586"/>
    <w:rsid w:val="008935A0"/>
    <w:rsid w:val="008937AA"/>
    <w:rsid w:val="00893A23"/>
    <w:rsid w:val="00893AC5"/>
    <w:rsid w:val="00893BD7"/>
    <w:rsid w:val="00893D7E"/>
    <w:rsid w:val="00893F3D"/>
    <w:rsid w:val="00894076"/>
    <w:rsid w:val="0089407A"/>
    <w:rsid w:val="008941B7"/>
    <w:rsid w:val="008941B9"/>
    <w:rsid w:val="00894300"/>
    <w:rsid w:val="008945FF"/>
    <w:rsid w:val="008947DE"/>
    <w:rsid w:val="0089492A"/>
    <w:rsid w:val="008949F8"/>
    <w:rsid w:val="00894B29"/>
    <w:rsid w:val="00894B6F"/>
    <w:rsid w:val="00894BB8"/>
    <w:rsid w:val="00894F45"/>
    <w:rsid w:val="00894F4D"/>
    <w:rsid w:val="00895049"/>
    <w:rsid w:val="008951FB"/>
    <w:rsid w:val="00895225"/>
    <w:rsid w:val="008953A9"/>
    <w:rsid w:val="008954A8"/>
    <w:rsid w:val="0089559A"/>
    <w:rsid w:val="008955BC"/>
    <w:rsid w:val="008955CB"/>
    <w:rsid w:val="008958EE"/>
    <w:rsid w:val="00895AF2"/>
    <w:rsid w:val="00895D92"/>
    <w:rsid w:val="00895DB8"/>
    <w:rsid w:val="008960F8"/>
    <w:rsid w:val="00896112"/>
    <w:rsid w:val="008962BC"/>
    <w:rsid w:val="0089648C"/>
    <w:rsid w:val="0089648D"/>
    <w:rsid w:val="008964E3"/>
    <w:rsid w:val="00896503"/>
    <w:rsid w:val="00896647"/>
    <w:rsid w:val="0089665F"/>
    <w:rsid w:val="00896858"/>
    <w:rsid w:val="00896866"/>
    <w:rsid w:val="008968EB"/>
    <w:rsid w:val="00896989"/>
    <w:rsid w:val="00896CD0"/>
    <w:rsid w:val="00897144"/>
    <w:rsid w:val="008972BA"/>
    <w:rsid w:val="008972CA"/>
    <w:rsid w:val="008973DF"/>
    <w:rsid w:val="008974B3"/>
    <w:rsid w:val="00897507"/>
    <w:rsid w:val="00897617"/>
    <w:rsid w:val="00897648"/>
    <w:rsid w:val="00897666"/>
    <w:rsid w:val="00897689"/>
    <w:rsid w:val="008979FF"/>
    <w:rsid w:val="00897A65"/>
    <w:rsid w:val="00897B18"/>
    <w:rsid w:val="00897DFC"/>
    <w:rsid w:val="00897E33"/>
    <w:rsid w:val="00897FEE"/>
    <w:rsid w:val="008A01C9"/>
    <w:rsid w:val="008A01DD"/>
    <w:rsid w:val="008A02EA"/>
    <w:rsid w:val="008A03BB"/>
    <w:rsid w:val="008A0911"/>
    <w:rsid w:val="008A0964"/>
    <w:rsid w:val="008A09DC"/>
    <w:rsid w:val="008A0A32"/>
    <w:rsid w:val="008A0A50"/>
    <w:rsid w:val="008A0DB3"/>
    <w:rsid w:val="008A0DE0"/>
    <w:rsid w:val="008A0DE6"/>
    <w:rsid w:val="008A0F71"/>
    <w:rsid w:val="008A0F8D"/>
    <w:rsid w:val="008A0FE3"/>
    <w:rsid w:val="008A11A3"/>
    <w:rsid w:val="008A11F8"/>
    <w:rsid w:val="008A147C"/>
    <w:rsid w:val="008A1570"/>
    <w:rsid w:val="008A16EB"/>
    <w:rsid w:val="008A1748"/>
    <w:rsid w:val="008A17FC"/>
    <w:rsid w:val="008A19BB"/>
    <w:rsid w:val="008A1A30"/>
    <w:rsid w:val="008A1B0A"/>
    <w:rsid w:val="008A1B51"/>
    <w:rsid w:val="008A1BBB"/>
    <w:rsid w:val="008A1C72"/>
    <w:rsid w:val="008A1C98"/>
    <w:rsid w:val="008A1CFF"/>
    <w:rsid w:val="008A1D72"/>
    <w:rsid w:val="008A1E46"/>
    <w:rsid w:val="008A1F3D"/>
    <w:rsid w:val="008A202E"/>
    <w:rsid w:val="008A206E"/>
    <w:rsid w:val="008A21EA"/>
    <w:rsid w:val="008A2558"/>
    <w:rsid w:val="008A2598"/>
    <w:rsid w:val="008A2658"/>
    <w:rsid w:val="008A2AFA"/>
    <w:rsid w:val="008A2BA9"/>
    <w:rsid w:val="008A2E19"/>
    <w:rsid w:val="008A321B"/>
    <w:rsid w:val="008A3290"/>
    <w:rsid w:val="008A32E7"/>
    <w:rsid w:val="008A332E"/>
    <w:rsid w:val="008A3386"/>
    <w:rsid w:val="008A3397"/>
    <w:rsid w:val="008A3576"/>
    <w:rsid w:val="008A3A56"/>
    <w:rsid w:val="008A3B20"/>
    <w:rsid w:val="008A3E1D"/>
    <w:rsid w:val="008A405E"/>
    <w:rsid w:val="008A41E5"/>
    <w:rsid w:val="008A4297"/>
    <w:rsid w:val="008A43FD"/>
    <w:rsid w:val="008A459C"/>
    <w:rsid w:val="008A45DA"/>
    <w:rsid w:val="008A46AE"/>
    <w:rsid w:val="008A48A8"/>
    <w:rsid w:val="008A4958"/>
    <w:rsid w:val="008A4B64"/>
    <w:rsid w:val="008A4DD1"/>
    <w:rsid w:val="008A4E64"/>
    <w:rsid w:val="008A51A2"/>
    <w:rsid w:val="008A51C6"/>
    <w:rsid w:val="008A51D2"/>
    <w:rsid w:val="008A5333"/>
    <w:rsid w:val="008A55FA"/>
    <w:rsid w:val="008A56A2"/>
    <w:rsid w:val="008A57A0"/>
    <w:rsid w:val="008A5890"/>
    <w:rsid w:val="008A58FD"/>
    <w:rsid w:val="008A5A38"/>
    <w:rsid w:val="008A5A5C"/>
    <w:rsid w:val="008A5BF3"/>
    <w:rsid w:val="008A5F4A"/>
    <w:rsid w:val="008A60EB"/>
    <w:rsid w:val="008A617A"/>
    <w:rsid w:val="008A6284"/>
    <w:rsid w:val="008A6578"/>
    <w:rsid w:val="008A6969"/>
    <w:rsid w:val="008A69F3"/>
    <w:rsid w:val="008A69FC"/>
    <w:rsid w:val="008A6A63"/>
    <w:rsid w:val="008A6A7E"/>
    <w:rsid w:val="008A6C1B"/>
    <w:rsid w:val="008A6DF9"/>
    <w:rsid w:val="008A7066"/>
    <w:rsid w:val="008A70BC"/>
    <w:rsid w:val="008A72EB"/>
    <w:rsid w:val="008A753D"/>
    <w:rsid w:val="008A75F9"/>
    <w:rsid w:val="008A767D"/>
    <w:rsid w:val="008A7803"/>
    <w:rsid w:val="008A7A10"/>
    <w:rsid w:val="008A7A28"/>
    <w:rsid w:val="008A7B2A"/>
    <w:rsid w:val="008A7CAD"/>
    <w:rsid w:val="008A7DDC"/>
    <w:rsid w:val="008A7F8B"/>
    <w:rsid w:val="008A7FA6"/>
    <w:rsid w:val="008A7FB1"/>
    <w:rsid w:val="008B0049"/>
    <w:rsid w:val="008B028C"/>
    <w:rsid w:val="008B059D"/>
    <w:rsid w:val="008B05BC"/>
    <w:rsid w:val="008B05D3"/>
    <w:rsid w:val="008B05F0"/>
    <w:rsid w:val="008B0A89"/>
    <w:rsid w:val="008B0BB8"/>
    <w:rsid w:val="008B0C07"/>
    <w:rsid w:val="008B0C9E"/>
    <w:rsid w:val="008B0CDC"/>
    <w:rsid w:val="008B0DD4"/>
    <w:rsid w:val="008B0DDA"/>
    <w:rsid w:val="008B0F14"/>
    <w:rsid w:val="008B0F47"/>
    <w:rsid w:val="008B10E1"/>
    <w:rsid w:val="008B1210"/>
    <w:rsid w:val="008B1225"/>
    <w:rsid w:val="008B1354"/>
    <w:rsid w:val="008B138C"/>
    <w:rsid w:val="008B139B"/>
    <w:rsid w:val="008B1580"/>
    <w:rsid w:val="008B15F0"/>
    <w:rsid w:val="008B1674"/>
    <w:rsid w:val="008B1796"/>
    <w:rsid w:val="008B1B80"/>
    <w:rsid w:val="008B1BA0"/>
    <w:rsid w:val="008B1BB0"/>
    <w:rsid w:val="008B1D0B"/>
    <w:rsid w:val="008B1D14"/>
    <w:rsid w:val="008B1D55"/>
    <w:rsid w:val="008B1E1B"/>
    <w:rsid w:val="008B1F1D"/>
    <w:rsid w:val="008B20D3"/>
    <w:rsid w:val="008B2183"/>
    <w:rsid w:val="008B21D1"/>
    <w:rsid w:val="008B2264"/>
    <w:rsid w:val="008B2275"/>
    <w:rsid w:val="008B24B8"/>
    <w:rsid w:val="008B267F"/>
    <w:rsid w:val="008B26C4"/>
    <w:rsid w:val="008B2721"/>
    <w:rsid w:val="008B2817"/>
    <w:rsid w:val="008B2840"/>
    <w:rsid w:val="008B2A41"/>
    <w:rsid w:val="008B2C16"/>
    <w:rsid w:val="008B2C73"/>
    <w:rsid w:val="008B2CC3"/>
    <w:rsid w:val="008B2D62"/>
    <w:rsid w:val="008B2DE9"/>
    <w:rsid w:val="008B2E4B"/>
    <w:rsid w:val="008B2EB2"/>
    <w:rsid w:val="008B2EF5"/>
    <w:rsid w:val="008B312C"/>
    <w:rsid w:val="008B342D"/>
    <w:rsid w:val="008B34D9"/>
    <w:rsid w:val="008B3623"/>
    <w:rsid w:val="008B36AD"/>
    <w:rsid w:val="008B377B"/>
    <w:rsid w:val="008B3967"/>
    <w:rsid w:val="008B3B93"/>
    <w:rsid w:val="008B3C7E"/>
    <w:rsid w:val="008B3E73"/>
    <w:rsid w:val="008B3E9C"/>
    <w:rsid w:val="008B412A"/>
    <w:rsid w:val="008B4148"/>
    <w:rsid w:val="008B425A"/>
    <w:rsid w:val="008B42DB"/>
    <w:rsid w:val="008B443A"/>
    <w:rsid w:val="008B443C"/>
    <w:rsid w:val="008B4475"/>
    <w:rsid w:val="008B4561"/>
    <w:rsid w:val="008B4573"/>
    <w:rsid w:val="008B4677"/>
    <w:rsid w:val="008B46D1"/>
    <w:rsid w:val="008B46FF"/>
    <w:rsid w:val="008B4899"/>
    <w:rsid w:val="008B4BB4"/>
    <w:rsid w:val="008B4C82"/>
    <w:rsid w:val="008B4D77"/>
    <w:rsid w:val="008B4EDD"/>
    <w:rsid w:val="008B5200"/>
    <w:rsid w:val="008B5297"/>
    <w:rsid w:val="008B5433"/>
    <w:rsid w:val="008B54B7"/>
    <w:rsid w:val="008B55C3"/>
    <w:rsid w:val="008B560B"/>
    <w:rsid w:val="008B5650"/>
    <w:rsid w:val="008B56D3"/>
    <w:rsid w:val="008B57CE"/>
    <w:rsid w:val="008B584C"/>
    <w:rsid w:val="008B5989"/>
    <w:rsid w:val="008B5992"/>
    <w:rsid w:val="008B5B2A"/>
    <w:rsid w:val="008B5EB3"/>
    <w:rsid w:val="008B5F47"/>
    <w:rsid w:val="008B6254"/>
    <w:rsid w:val="008B64A7"/>
    <w:rsid w:val="008B64D0"/>
    <w:rsid w:val="008B684C"/>
    <w:rsid w:val="008B6A9C"/>
    <w:rsid w:val="008B6A9F"/>
    <w:rsid w:val="008B6E4C"/>
    <w:rsid w:val="008B6E5D"/>
    <w:rsid w:val="008B6E85"/>
    <w:rsid w:val="008B7104"/>
    <w:rsid w:val="008B7196"/>
    <w:rsid w:val="008B7218"/>
    <w:rsid w:val="008B726A"/>
    <w:rsid w:val="008B7843"/>
    <w:rsid w:val="008B79FB"/>
    <w:rsid w:val="008B7AF1"/>
    <w:rsid w:val="008B7CB8"/>
    <w:rsid w:val="008C0035"/>
    <w:rsid w:val="008C0224"/>
    <w:rsid w:val="008C028F"/>
    <w:rsid w:val="008C0420"/>
    <w:rsid w:val="008C0688"/>
    <w:rsid w:val="008C071A"/>
    <w:rsid w:val="008C0979"/>
    <w:rsid w:val="008C0D11"/>
    <w:rsid w:val="008C0FD4"/>
    <w:rsid w:val="008C100E"/>
    <w:rsid w:val="008C1168"/>
    <w:rsid w:val="008C14EB"/>
    <w:rsid w:val="008C1648"/>
    <w:rsid w:val="008C1676"/>
    <w:rsid w:val="008C1926"/>
    <w:rsid w:val="008C1A4C"/>
    <w:rsid w:val="008C1A75"/>
    <w:rsid w:val="008C1C17"/>
    <w:rsid w:val="008C1D3F"/>
    <w:rsid w:val="008C1FF3"/>
    <w:rsid w:val="008C2080"/>
    <w:rsid w:val="008C211E"/>
    <w:rsid w:val="008C212E"/>
    <w:rsid w:val="008C21F0"/>
    <w:rsid w:val="008C2217"/>
    <w:rsid w:val="008C2662"/>
    <w:rsid w:val="008C2BE9"/>
    <w:rsid w:val="008C2C03"/>
    <w:rsid w:val="008C2C66"/>
    <w:rsid w:val="008C2CF6"/>
    <w:rsid w:val="008C3180"/>
    <w:rsid w:val="008C328E"/>
    <w:rsid w:val="008C3475"/>
    <w:rsid w:val="008C3619"/>
    <w:rsid w:val="008C3657"/>
    <w:rsid w:val="008C3ADF"/>
    <w:rsid w:val="008C3B05"/>
    <w:rsid w:val="008C3B88"/>
    <w:rsid w:val="008C3D3E"/>
    <w:rsid w:val="008C3DFC"/>
    <w:rsid w:val="008C3EA9"/>
    <w:rsid w:val="008C3EB9"/>
    <w:rsid w:val="008C4355"/>
    <w:rsid w:val="008C4428"/>
    <w:rsid w:val="008C474C"/>
    <w:rsid w:val="008C474F"/>
    <w:rsid w:val="008C4D7A"/>
    <w:rsid w:val="008C4FF5"/>
    <w:rsid w:val="008C5253"/>
    <w:rsid w:val="008C5284"/>
    <w:rsid w:val="008C5369"/>
    <w:rsid w:val="008C542B"/>
    <w:rsid w:val="008C5471"/>
    <w:rsid w:val="008C55B4"/>
    <w:rsid w:val="008C5839"/>
    <w:rsid w:val="008C5A9B"/>
    <w:rsid w:val="008C5C8C"/>
    <w:rsid w:val="008C5FBF"/>
    <w:rsid w:val="008C6057"/>
    <w:rsid w:val="008C6122"/>
    <w:rsid w:val="008C62C5"/>
    <w:rsid w:val="008C6449"/>
    <w:rsid w:val="008C64CB"/>
    <w:rsid w:val="008C64DB"/>
    <w:rsid w:val="008C68D4"/>
    <w:rsid w:val="008C6952"/>
    <w:rsid w:val="008C6B0D"/>
    <w:rsid w:val="008C6B78"/>
    <w:rsid w:val="008C6C42"/>
    <w:rsid w:val="008C7052"/>
    <w:rsid w:val="008C7089"/>
    <w:rsid w:val="008C731B"/>
    <w:rsid w:val="008C73A8"/>
    <w:rsid w:val="008C785B"/>
    <w:rsid w:val="008C787F"/>
    <w:rsid w:val="008C7CBC"/>
    <w:rsid w:val="008D0107"/>
    <w:rsid w:val="008D0124"/>
    <w:rsid w:val="008D023D"/>
    <w:rsid w:val="008D04EF"/>
    <w:rsid w:val="008D05CB"/>
    <w:rsid w:val="008D0832"/>
    <w:rsid w:val="008D08D6"/>
    <w:rsid w:val="008D0912"/>
    <w:rsid w:val="008D0A93"/>
    <w:rsid w:val="008D0CBB"/>
    <w:rsid w:val="008D0D4E"/>
    <w:rsid w:val="008D0E87"/>
    <w:rsid w:val="008D1099"/>
    <w:rsid w:val="008D11AD"/>
    <w:rsid w:val="008D1339"/>
    <w:rsid w:val="008D1390"/>
    <w:rsid w:val="008D173C"/>
    <w:rsid w:val="008D19EC"/>
    <w:rsid w:val="008D1F88"/>
    <w:rsid w:val="008D2011"/>
    <w:rsid w:val="008D2177"/>
    <w:rsid w:val="008D240C"/>
    <w:rsid w:val="008D2693"/>
    <w:rsid w:val="008D282C"/>
    <w:rsid w:val="008D2CEA"/>
    <w:rsid w:val="008D2D2D"/>
    <w:rsid w:val="008D2DC2"/>
    <w:rsid w:val="008D2F1C"/>
    <w:rsid w:val="008D3076"/>
    <w:rsid w:val="008D30EB"/>
    <w:rsid w:val="008D34FD"/>
    <w:rsid w:val="008D3790"/>
    <w:rsid w:val="008D38C7"/>
    <w:rsid w:val="008D3BF7"/>
    <w:rsid w:val="008D3F52"/>
    <w:rsid w:val="008D41BE"/>
    <w:rsid w:val="008D42E4"/>
    <w:rsid w:val="008D464C"/>
    <w:rsid w:val="008D4650"/>
    <w:rsid w:val="008D4692"/>
    <w:rsid w:val="008D4722"/>
    <w:rsid w:val="008D484B"/>
    <w:rsid w:val="008D49FD"/>
    <w:rsid w:val="008D4BB1"/>
    <w:rsid w:val="008D4EA0"/>
    <w:rsid w:val="008D4F25"/>
    <w:rsid w:val="008D504E"/>
    <w:rsid w:val="008D50AA"/>
    <w:rsid w:val="008D51CC"/>
    <w:rsid w:val="008D51EB"/>
    <w:rsid w:val="008D54C1"/>
    <w:rsid w:val="008D55A4"/>
    <w:rsid w:val="008D57DB"/>
    <w:rsid w:val="008D5A0A"/>
    <w:rsid w:val="008D5BE0"/>
    <w:rsid w:val="008D5D97"/>
    <w:rsid w:val="008D5E56"/>
    <w:rsid w:val="008D5F16"/>
    <w:rsid w:val="008D607E"/>
    <w:rsid w:val="008D6164"/>
    <w:rsid w:val="008D628E"/>
    <w:rsid w:val="008D6523"/>
    <w:rsid w:val="008D659A"/>
    <w:rsid w:val="008D6A19"/>
    <w:rsid w:val="008D6C84"/>
    <w:rsid w:val="008D6D10"/>
    <w:rsid w:val="008D729A"/>
    <w:rsid w:val="008D73E9"/>
    <w:rsid w:val="008D7489"/>
    <w:rsid w:val="008D75B7"/>
    <w:rsid w:val="008D76ED"/>
    <w:rsid w:val="008D7796"/>
    <w:rsid w:val="008D79C9"/>
    <w:rsid w:val="008D7A0C"/>
    <w:rsid w:val="008D7A0F"/>
    <w:rsid w:val="008D7CDD"/>
    <w:rsid w:val="008D7D60"/>
    <w:rsid w:val="008E022C"/>
    <w:rsid w:val="008E0357"/>
    <w:rsid w:val="008E0392"/>
    <w:rsid w:val="008E039A"/>
    <w:rsid w:val="008E0428"/>
    <w:rsid w:val="008E0656"/>
    <w:rsid w:val="008E07D7"/>
    <w:rsid w:val="008E0A9E"/>
    <w:rsid w:val="008E0ACC"/>
    <w:rsid w:val="008E1084"/>
    <w:rsid w:val="008E12B6"/>
    <w:rsid w:val="008E168A"/>
    <w:rsid w:val="008E1901"/>
    <w:rsid w:val="008E197A"/>
    <w:rsid w:val="008E19F3"/>
    <w:rsid w:val="008E1F13"/>
    <w:rsid w:val="008E1F85"/>
    <w:rsid w:val="008E2259"/>
    <w:rsid w:val="008E2391"/>
    <w:rsid w:val="008E243B"/>
    <w:rsid w:val="008E2699"/>
    <w:rsid w:val="008E27B4"/>
    <w:rsid w:val="008E28FC"/>
    <w:rsid w:val="008E2A7C"/>
    <w:rsid w:val="008E2A8D"/>
    <w:rsid w:val="008E2C5A"/>
    <w:rsid w:val="008E2C68"/>
    <w:rsid w:val="008E2DCC"/>
    <w:rsid w:val="008E2E9D"/>
    <w:rsid w:val="008E32A3"/>
    <w:rsid w:val="008E36B7"/>
    <w:rsid w:val="008E36EC"/>
    <w:rsid w:val="008E382D"/>
    <w:rsid w:val="008E3860"/>
    <w:rsid w:val="008E3863"/>
    <w:rsid w:val="008E3A6A"/>
    <w:rsid w:val="008E3B8F"/>
    <w:rsid w:val="008E3C63"/>
    <w:rsid w:val="008E3DAF"/>
    <w:rsid w:val="008E3EBF"/>
    <w:rsid w:val="008E3EE2"/>
    <w:rsid w:val="008E4337"/>
    <w:rsid w:val="008E4349"/>
    <w:rsid w:val="008E43F5"/>
    <w:rsid w:val="008E45AB"/>
    <w:rsid w:val="008E46C1"/>
    <w:rsid w:val="008E4A1F"/>
    <w:rsid w:val="008E4A58"/>
    <w:rsid w:val="008E4A5E"/>
    <w:rsid w:val="008E4A74"/>
    <w:rsid w:val="008E4C26"/>
    <w:rsid w:val="008E4FCF"/>
    <w:rsid w:val="008E4FF2"/>
    <w:rsid w:val="008E53E0"/>
    <w:rsid w:val="008E5420"/>
    <w:rsid w:val="008E579E"/>
    <w:rsid w:val="008E57DC"/>
    <w:rsid w:val="008E58B4"/>
    <w:rsid w:val="008E58E6"/>
    <w:rsid w:val="008E5A2E"/>
    <w:rsid w:val="008E5CE3"/>
    <w:rsid w:val="008E6166"/>
    <w:rsid w:val="008E62C4"/>
    <w:rsid w:val="008E62C5"/>
    <w:rsid w:val="008E6306"/>
    <w:rsid w:val="008E656A"/>
    <w:rsid w:val="008E670C"/>
    <w:rsid w:val="008E67AF"/>
    <w:rsid w:val="008E6A22"/>
    <w:rsid w:val="008E6ACD"/>
    <w:rsid w:val="008E6B54"/>
    <w:rsid w:val="008E712F"/>
    <w:rsid w:val="008E72B1"/>
    <w:rsid w:val="008E7456"/>
    <w:rsid w:val="008E74DA"/>
    <w:rsid w:val="008E76C9"/>
    <w:rsid w:val="008E76E6"/>
    <w:rsid w:val="008E77E5"/>
    <w:rsid w:val="008E7912"/>
    <w:rsid w:val="008E7A9D"/>
    <w:rsid w:val="008E7EBE"/>
    <w:rsid w:val="008F0057"/>
    <w:rsid w:val="008F0186"/>
    <w:rsid w:val="008F02A5"/>
    <w:rsid w:val="008F0390"/>
    <w:rsid w:val="008F0468"/>
    <w:rsid w:val="008F04B6"/>
    <w:rsid w:val="008F04D3"/>
    <w:rsid w:val="008F0578"/>
    <w:rsid w:val="008F05CF"/>
    <w:rsid w:val="008F0797"/>
    <w:rsid w:val="008F0A26"/>
    <w:rsid w:val="008F0A83"/>
    <w:rsid w:val="008F0BA5"/>
    <w:rsid w:val="008F0BFB"/>
    <w:rsid w:val="008F0BFF"/>
    <w:rsid w:val="008F0DF0"/>
    <w:rsid w:val="008F0DFB"/>
    <w:rsid w:val="008F0ED9"/>
    <w:rsid w:val="008F0FAE"/>
    <w:rsid w:val="008F10C0"/>
    <w:rsid w:val="008F1189"/>
    <w:rsid w:val="008F1194"/>
    <w:rsid w:val="008F11C2"/>
    <w:rsid w:val="008F120A"/>
    <w:rsid w:val="008F12C0"/>
    <w:rsid w:val="008F1493"/>
    <w:rsid w:val="008F15B6"/>
    <w:rsid w:val="008F167C"/>
    <w:rsid w:val="008F18A1"/>
    <w:rsid w:val="008F18AB"/>
    <w:rsid w:val="008F18FE"/>
    <w:rsid w:val="008F1940"/>
    <w:rsid w:val="008F1DAB"/>
    <w:rsid w:val="008F1E10"/>
    <w:rsid w:val="008F1E1E"/>
    <w:rsid w:val="008F1FC3"/>
    <w:rsid w:val="008F22B1"/>
    <w:rsid w:val="008F2722"/>
    <w:rsid w:val="008F273A"/>
    <w:rsid w:val="008F2781"/>
    <w:rsid w:val="008F2D69"/>
    <w:rsid w:val="008F31D0"/>
    <w:rsid w:val="008F3319"/>
    <w:rsid w:val="008F356F"/>
    <w:rsid w:val="008F368C"/>
    <w:rsid w:val="008F37E3"/>
    <w:rsid w:val="008F3BAD"/>
    <w:rsid w:val="008F3BF1"/>
    <w:rsid w:val="008F3ECA"/>
    <w:rsid w:val="008F3F67"/>
    <w:rsid w:val="008F40ED"/>
    <w:rsid w:val="008F423E"/>
    <w:rsid w:val="008F4506"/>
    <w:rsid w:val="008F4533"/>
    <w:rsid w:val="008F4725"/>
    <w:rsid w:val="008F4792"/>
    <w:rsid w:val="008F4903"/>
    <w:rsid w:val="008F491D"/>
    <w:rsid w:val="008F49DD"/>
    <w:rsid w:val="008F4B6F"/>
    <w:rsid w:val="008F4BCB"/>
    <w:rsid w:val="008F4C3D"/>
    <w:rsid w:val="008F4E1B"/>
    <w:rsid w:val="008F4E72"/>
    <w:rsid w:val="008F4EE5"/>
    <w:rsid w:val="008F5141"/>
    <w:rsid w:val="008F5296"/>
    <w:rsid w:val="008F52AA"/>
    <w:rsid w:val="008F5382"/>
    <w:rsid w:val="008F5635"/>
    <w:rsid w:val="008F57A4"/>
    <w:rsid w:val="008F5B01"/>
    <w:rsid w:val="008F5FA6"/>
    <w:rsid w:val="008F5FC9"/>
    <w:rsid w:val="008F5FDE"/>
    <w:rsid w:val="008F6226"/>
    <w:rsid w:val="008F631C"/>
    <w:rsid w:val="008F64BD"/>
    <w:rsid w:val="008F6B3F"/>
    <w:rsid w:val="008F6B77"/>
    <w:rsid w:val="008F6FB5"/>
    <w:rsid w:val="008F7153"/>
    <w:rsid w:val="008F73E4"/>
    <w:rsid w:val="008F7452"/>
    <w:rsid w:val="008F772E"/>
    <w:rsid w:val="008F77B3"/>
    <w:rsid w:val="008F780B"/>
    <w:rsid w:val="008F7927"/>
    <w:rsid w:val="008F797B"/>
    <w:rsid w:val="008F79B6"/>
    <w:rsid w:val="008F7A56"/>
    <w:rsid w:val="008F7A9C"/>
    <w:rsid w:val="008F7DEA"/>
    <w:rsid w:val="008F7F64"/>
    <w:rsid w:val="00900196"/>
    <w:rsid w:val="009002DF"/>
    <w:rsid w:val="0090046B"/>
    <w:rsid w:val="00900503"/>
    <w:rsid w:val="00900806"/>
    <w:rsid w:val="009010B2"/>
    <w:rsid w:val="009010DD"/>
    <w:rsid w:val="009011B4"/>
    <w:rsid w:val="00901581"/>
    <w:rsid w:val="009015DF"/>
    <w:rsid w:val="009016AE"/>
    <w:rsid w:val="0090189D"/>
    <w:rsid w:val="00901CE6"/>
    <w:rsid w:val="00901F2A"/>
    <w:rsid w:val="0090200B"/>
    <w:rsid w:val="0090215F"/>
    <w:rsid w:val="009023E2"/>
    <w:rsid w:val="00902671"/>
    <w:rsid w:val="00902675"/>
    <w:rsid w:val="00902768"/>
    <w:rsid w:val="009027DB"/>
    <w:rsid w:val="00902A26"/>
    <w:rsid w:val="00902B24"/>
    <w:rsid w:val="00902B27"/>
    <w:rsid w:val="00902BDC"/>
    <w:rsid w:val="00902CA6"/>
    <w:rsid w:val="00902CD9"/>
    <w:rsid w:val="00902E0E"/>
    <w:rsid w:val="00902EC8"/>
    <w:rsid w:val="00902F67"/>
    <w:rsid w:val="00903009"/>
    <w:rsid w:val="00903023"/>
    <w:rsid w:val="00903180"/>
    <w:rsid w:val="009031FB"/>
    <w:rsid w:val="0090323D"/>
    <w:rsid w:val="009032DE"/>
    <w:rsid w:val="009033C4"/>
    <w:rsid w:val="0090343A"/>
    <w:rsid w:val="009035B5"/>
    <w:rsid w:val="0090375B"/>
    <w:rsid w:val="00903790"/>
    <w:rsid w:val="0090399F"/>
    <w:rsid w:val="00903AD5"/>
    <w:rsid w:val="00903C19"/>
    <w:rsid w:val="00903D38"/>
    <w:rsid w:val="00903E6E"/>
    <w:rsid w:val="00904179"/>
    <w:rsid w:val="009041D6"/>
    <w:rsid w:val="00904438"/>
    <w:rsid w:val="009045AE"/>
    <w:rsid w:val="0090464A"/>
    <w:rsid w:val="009048C4"/>
    <w:rsid w:val="00904B3A"/>
    <w:rsid w:val="00904BE8"/>
    <w:rsid w:val="00904E5C"/>
    <w:rsid w:val="0090539E"/>
    <w:rsid w:val="009053B2"/>
    <w:rsid w:val="00905579"/>
    <w:rsid w:val="009055D7"/>
    <w:rsid w:val="00905E2C"/>
    <w:rsid w:val="0090606F"/>
    <w:rsid w:val="009063CC"/>
    <w:rsid w:val="00906446"/>
    <w:rsid w:val="0090683F"/>
    <w:rsid w:val="009068B2"/>
    <w:rsid w:val="00906A87"/>
    <w:rsid w:val="00906ABA"/>
    <w:rsid w:val="00906B35"/>
    <w:rsid w:val="00906BFB"/>
    <w:rsid w:val="00906E44"/>
    <w:rsid w:val="00907142"/>
    <w:rsid w:val="009071CB"/>
    <w:rsid w:val="009072E3"/>
    <w:rsid w:val="0090748E"/>
    <w:rsid w:val="00907AF8"/>
    <w:rsid w:val="00907E9A"/>
    <w:rsid w:val="00907F9C"/>
    <w:rsid w:val="009100A4"/>
    <w:rsid w:val="009100F0"/>
    <w:rsid w:val="009100F6"/>
    <w:rsid w:val="00910105"/>
    <w:rsid w:val="00910308"/>
    <w:rsid w:val="00910334"/>
    <w:rsid w:val="009103D6"/>
    <w:rsid w:val="00910910"/>
    <w:rsid w:val="00910927"/>
    <w:rsid w:val="009109A5"/>
    <w:rsid w:val="00910AB2"/>
    <w:rsid w:val="00910C00"/>
    <w:rsid w:val="00910DF3"/>
    <w:rsid w:val="00910FCA"/>
    <w:rsid w:val="009111AF"/>
    <w:rsid w:val="0091131D"/>
    <w:rsid w:val="0091136F"/>
    <w:rsid w:val="009113BF"/>
    <w:rsid w:val="0091169A"/>
    <w:rsid w:val="00911AF4"/>
    <w:rsid w:val="00911B95"/>
    <w:rsid w:val="00911C2E"/>
    <w:rsid w:val="00911C4B"/>
    <w:rsid w:val="00911C58"/>
    <w:rsid w:val="00911D27"/>
    <w:rsid w:val="0091201F"/>
    <w:rsid w:val="009120D6"/>
    <w:rsid w:val="00912162"/>
    <w:rsid w:val="00912317"/>
    <w:rsid w:val="0091255B"/>
    <w:rsid w:val="0091299A"/>
    <w:rsid w:val="00912A45"/>
    <w:rsid w:val="00912AB3"/>
    <w:rsid w:val="00912AF0"/>
    <w:rsid w:val="00912BF6"/>
    <w:rsid w:val="00912FEB"/>
    <w:rsid w:val="00913051"/>
    <w:rsid w:val="009130C7"/>
    <w:rsid w:val="0091320B"/>
    <w:rsid w:val="00913215"/>
    <w:rsid w:val="0091334C"/>
    <w:rsid w:val="0091382A"/>
    <w:rsid w:val="00913D09"/>
    <w:rsid w:val="00913F33"/>
    <w:rsid w:val="00914028"/>
    <w:rsid w:val="0091411D"/>
    <w:rsid w:val="0091414B"/>
    <w:rsid w:val="0091414E"/>
    <w:rsid w:val="0091416E"/>
    <w:rsid w:val="0091436D"/>
    <w:rsid w:val="0091453C"/>
    <w:rsid w:val="0091468C"/>
    <w:rsid w:val="00914732"/>
    <w:rsid w:val="00914764"/>
    <w:rsid w:val="00914874"/>
    <w:rsid w:val="00914C43"/>
    <w:rsid w:val="0091500F"/>
    <w:rsid w:val="009151E4"/>
    <w:rsid w:val="0091539C"/>
    <w:rsid w:val="009153BB"/>
    <w:rsid w:val="0091563E"/>
    <w:rsid w:val="00915670"/>
    <w:rsid w:val="00915892"/>
    <w:rsid w:val="00915899"/>
    <w:rsid w:val="009159DB"/>
    <w:rsid w:val="00915B76"/>
    <w:rsid w:val="00915C37"/>
    <w:rsid w:val="00915E5F"/>
    <w:rsid w:val="00915EB5"/>
    <w:rsid w:val="00915FCF"/>
    <w:rsid w:val="00916097"/>
    <w:rsid w:val="00916315"/>
    <w:rsid w:val="009163CE"/>
    <w:rsid w:val="009163E2"/>
    <w:rsid w:val="0091685D"/>
    <w:rsid w:val="009169A7"/>
    <w:rsid w:val="009169E4"/>
    <w:rsid w:val="00916A46"/>
    <w:rsid w:val="00916CA7"/>
    <w:rsid w:val="00916CE6"/>
    <w:rsid w:val="00916D2C"/>
    <w:rsid w:val="00916F0E"/>
    <w:rsid w:val="00917029"/>
    <w:rsid w:val="00917414"/>
    <w:rsid w:val="009175B6"/>
    <w:rsid w:val="009177B0"/>
    <w:rsid w:val="00917822"/>
    <w:rsid w:val="00917940"/>
    <w:rsid w:val="00917B11"/>
    <w:rsid w:val="00917BA1"/>
    <w:rsid w:val="00917EB2"/>
    <w:rsid w:val="00920222"/>
    <w:rsid w:val="0092043A"/>
    <w:rsid w:val="00920620"/>
    <w:rsid w:val="0092070F"/>
    <w:rsid w:val="00920768"/>
    <w:rsid w:val="009207C2"/>
    <w:rsid w:val="00920A58"/>
    <w:rsid w:val="00920AAC"/>
    <w:rsid w:val="00920CC2"/>
    <w:rsid w:val="00920D7F"/>
    <w:rsid w:val="00920EBA"/>
    <w:rsid w:val="00920F66"/>
    <w:rsid w:val="00920FCE"/>
    <w:rsid w:val="0092113E"/>
    <w:rsid w:val="00921288"/>
    <w:rsid w:val="00921389"/>
    <w:rsid w:val="0092138D"/>
    <w:rsid w:val="0092164C"/>
    <w:rsid w:val="00921737"/>
    <w:rsid w:val="009217DF"/>
    <w:rsid w:val="009218DE"/>
    <w:rsid w:val="00921992"/>
    <w:rsid w:val="009219AE"/>
    <w:rsid w:val="00921BF4"/>
    <w:rsid w:val="00921C5D"/>
    <w:rsid w:val="00921D00"/>
    <w:rsid w:val="00921D54"/>
    <w:rsid w:val="00922472"/>
    <w:rsid w:val="0092247B"/>
    <w:rsid w:val="00922559"/>
    <w:rsid w:val="00922718"/>
    <w:rsid w:val="009228C9"/>
    <w:rsid w:val="009229B2"/>
    <w:rsid w:val="009229C1"/>
    <w:rsid w:val="009229D7"/>
    <w:rsid w:val="00922AD7"/>
    <w:rsid w:val="00922AEA"/>
    <w:rsid w:val="00922BA8"/>
    <w:rsid w:val="00922BE5"/>
    <w:rsid w:val="00922CCA"/>
    <w:rsid w:val="00922E9B"/>
    <w:rsid w:val="00922FA6"/>
    <w:rsid w:val="009235B5"/>
    <w:rsid w:val="0092377E"/>
    <w:rsid w:val="00923788"/>
    <w:rsid w:val="009238C0"/>
    <w:rsid w:val="00923CC1"/>
    <w:rsid w:val="00923CD2"/>
    <w:rsid w:val="00923F0C"/>
    <w:rsid w:val="00923FB5"/>
    <w:rsid w:val="00923FF8"/>
    <w:rsid w:val="00924108"/>
    <w:rsid w:val="0092413F"/>
    <w:rsid w:val="009241DA"/>
    <w:rsid w:val="00924221"/>
    <w:rsid w:val="009243FE"/>
    <w:rsid w:val="00924436"/>
    <w:rsid w:val="009244CE"/>
    <w:rsid w:val="0092484F"/>
    <w:rsid w:val="0092485F"/>
    <w:rsid w:val="009249A5"/>
    <w:rsid w:val="00924AD6"/>
    <w:rsid w:val="00924D99"/>
    <w:rsid w:val="00925029"/>
    <w:rsid w:val="009250B8"/>
    <w:rsid w:val="009251C7"/>
    <w:rsid w:val="00925228"/>
    <w:rsid w:val="00925386"/>
    <w:rsid w:val="00925505"/>
    <w:rsid w:val="00925528"/>
    <w:rsid w:val="00925538"/>
    <w:rsid w:val="009255E5"/>
    <w:rsid w:val="0092577B"/>
    <w:rsid w:val="00925890"/>
    <w:rsid w:val="00925A1E"/>
    <w:rsid w:val="00925A3E"/>
    <w:rsid w:val="00925A75"/>
    <w:rsid w:val="00925AC9"/>
    <w:rsid w:val="00925AD0"/>
    <w:rsid w:val="00925BAA"/>
    <w:rsid w:val="00925C2F"/>
    <w:rsid w:val="00925EBE"/>
    <w:rsid w:val="00925EE3"/>
    <w:rsid w:val="00925EF3"/>
    <w:rsid w:val="00925F34"/>
    <w:rsid w:val="00926049"/>
    <w:rsid w:val="009262AB"/>
    <w:rsid w:val="00926667"/>
    <w:rsid w:val="009267C1"/>
    <w:rsid w:val="00926921"/>
    <w:rsid w:val="0092692D"/>
    <w:rsid w:val="00926A02"/>
    <w:rsid w:val="00926AEE"/>
    <w:rsid w:val="00926D60"/>
    <w:rsid w:val="00926F9F"/>
    <w:rsid w:val="009270FC"/>
    <w:rsid w:val="00927227"/>
    <w:rsid w:val="009272D3"/>
    <w:rsid w:val="009274DE"/>
    <w:rsid w:val="00927814"/>
    <w:rsid w:val="0092787F"/>
    <w:rsid w:val="0092796F"/>
    <w:rsid w:val="00927ED2"/>
    <w:rsid w:val="00927FBC"/>
    <w:rsid w:val="0093003B"/>
    <w:rsid w:val="00930297"/>
    <w:rsid w:val="009302A8"/>
    <w:rsid w:val="0093060D"/>
    <w:rsid w:val="00930929"/>
    <w:rsid w:val="00930EC0"/>
    <w:rsid w:val="00931315"/>
    <w:rsid w:val="00931407"/>
    <w:rsid w:val="009314CC"/>
    <w:rsid w:val="0093157C"/>
    <w:rsid w:val="00931714"/>
    <w:rsid w:val="00931781"/>
    <w:rsid w:val="009317B9"/>
    <w:rsid w:val="009317DD"/>
    <w:rsid w:val="009317F7"/>
    <w:rsid w:val="00931B2E"/>
    <w:rsid w:val="00931CBE"/>
    <w:rsid w:val="00931E56"/>
    <w:rsid w:val="00932090"/>
    <w:rsid w:val="00932154"/>
    <w:rsid w:val="009323E3"/>
    <w:rsid w:val="009323E8"/>
    <w:rsid w:val="00932665"/>
    <w:rsid w:val="00932733"/>
    <w:rsid w:val="00932753"/>
    <w:rsid w:val="009327EF"/>
    <w:rsid w:val="009328FC"/>
    <w:rsid w:val="00932D0D"/>
    <w:rsid w:val="00932D16"/>
    <w:rsid w:val="00932EFE"/>
    <w:rsid w:val="00933328"/>
    <w:rsid w:val="00933349"/>
    <w:rsid w:val="00933404"/>
    <w:rsid w:val="009338F9"/>
    <w:rsid w:val="00933995"/>
    <w:rsid w:val="009339FF"/>
    <w:rsid w:val="00933B3E"/>
    <w:rsid w:val="00933BE4"/>
    <w:rsid w:val="00933C3C"/>
    <w:rsid w:val="00933CAC"/>
    <w:rsid w:val="00933D7D"/>
    <w:rsid w:val="00933DF3"/>
    <w:rsid w:val="00933EFA"/>
    <w:rsid w:val="0093431C"/>
    <w:rsid w:val="00934469"/>
    <w:rsid w:val="0093466A"/>
    <w:rsid w:val="009347CD"/>
    <w:rsid w:val="009347E4"/>
    <w:rsid w:val="00934849"/>
    <w:rsid w:val="00934AA9"/>
    <w:rsid w:val="00934DD4"/>
    <w:rsid w:val="00934E86"/>
    <w:rsid w:val="00935113"/>
    <w:rsid w:val="00935177"/>
    <w:rsid w:val="009357BA"/>
    <w:rsid w:val="00935ACF"/>
    <w:rsid w:val="00935E32"/>
    <w:rsid w:val="00935E62"/>
    <w:rsid w:val="00935EC3"/>
    <w:rsid w:val="00936070"/>
    <w:rsid w:val="009360C5"/>
    <w:rsid w:val="00936516"/>
    <w:rsid w:val="009368C9"/>
    <w:rsid w:val="00936922"/>
    <w:rsid w:val="009369B1"/>
    <w:rsid w:val="00936BA4"/>
    <w:rsid w:val="00936E1B"/>
    <w:rsid w:val="0093703D"/>
    <w:rsid w:val="009371BD"/>
    <w:rsid w:val="009371FE"/>
    <w:rsid w:val="00937359"/>
    <w:rsid w:val="009373D4"/>
    <w:rsid w:val="00937599"/>
    <w:rsid w:val="009376BA"/>
    <w:rsid w:val="0093789F"/>
    <w:rsid w:val="00937956"/>
    <w:rsid w:val="00937B20"/>
    <w:rsid w:val="00937FD3"/>
    <w:rsid w:val="0094001F"/>
    <w:rsid w:val="0094028F"/>
    <w:rsid w:val="009402FB"/>
    <w:rsid w:val="0094035A"/>
    <w:rsid w:val="009403D2"/>
    <w:rsid w:val="009404E1"/>
    <w:rsid w:val="00940791"/>
    <w:rsid w:val="009409A2"/>
    <w:rsid w:val="00940D60"/>
    <w:rsid w:val="0094103C"/>
    <w:rsid w:val="00941164"/>
    <w:rsid w:val="009412A4"/>
    <w:rsid w:val="0094163E"/>
    <w:rsid w:val="009418CC"/>
    <w:rsid w:val="0094199D"/>
    <w:rsid w:val="00941A75"/>
    <w:rsid w:val="00941AA3"/>
    <w:rsid w:val="00941BAD"/>
    <w:rsid w:val="00941F91"/>
    <w:rsid w:val="009422B9"/>
    <w:rsid w:val="0094235A"/>
    <w:rsid w:val="00942534"/>
    <w:rsid w:val="00942652"/>
    <w:rsid w:val="0094267A"/>
    <w:rsid w:val="00942AEF"/>
    <w:rsid w:val="00942B95"/>
    <w:rsid w:val="00942C65"/>
    <w:rsid w:val="00942D86"/>
    <w:rsid w:val="00942DA7"/>
    <w:rsid w:val="009431D9"/>
    <w:rsid w:val="009431DD"/>
    <w:rsid w:val="0094346B"/>
    <w:rsid w:val="009437A6"/>
    <w:rsid w:val="009438BB"/>
    <w:rsid w:val="00943A2E"/>
    <w:rsid w:val="00943B3D"/>
    <w:rsid w:val="00943B5B"/>
    <w:rsid w:val="00943CDB"/>
    <w:rsid w:val="00943DB1"/>
    <w:rsid w:val="00943E5C"/>
    <w:rsid w:val="00943FCD"/>
    <w:rsid w:val="0094413B"/>
    <w:rsid w:val="0094437E"/>
    <w:rsid w:val="00944389"/>
    <w:rsid w:val="00944443"/>
    <w:rsid w:val="009445DB"/>
    <w:rsid w:val="00944664"/>
    <w:rsid w:val="00944692"/>
    <w:rsid w:val="009446C0"/>
    <w:rsid w:val="00944875"/>
    <w:rsid w:val="00944D7B"/>
    <w:rsid w:val="00944D7D"/>
    <w:rsid w:val="00944E5C"/>
    <w:rsid w:val="0094500A"/>
    <w:rsid w:val="009454FB"/>
    <w:rsid w:val="009456DA"/>
    <w:rsid w:val="009458BD"/>
    <w:rsid w:val="0094594A"/>
    <w:rsid w:val="00945999"/>
    <w:rsid w:val="00945CA0"/>
    <w:rsid w:val="00945F26"/>
    <w:rsid w:val="009460EF"/>
    <w:rsid w:val="009461BA"/>
    <w:rsid w:val="009462AE"/>
    <w:rsid w:val="00946524"/>
    <w:rsid w:val="00946B63"/>
    <w:rsid w:val="00946E1D"/>
    <w:rsid w:val="00947010"/>
    <w:rsid w:val="0094722D"/>
    <w:rsid w:val="00947277"/>
    <w:rsid w:val="0094748B"/>
    <w:rsid w:val="009474A0"/>
    <w:rsid w:val="00947814"/>
    <w:rsid w:val="009478D7"/>
    <w:rsid w:val="00947B02"/>
    <w:rsid w:val="00947B0D"/>
    <w:rsid w:val="00947CCF"/>
    <w:rsid w:val="00947CDD"/>
    <w:rsid w:val="00947F81"/>
    <w:rsid w:val="00950178"/>
    <w:rsid w:val="009501CC"/>
    <w:rsid w:val="009501E6"/>
    <w:rsid w:val="009503F4"/>
    <w:rsid w:val="00950431"/>
    <w:rsid w:val="009505B7"/>
    <w:rsid w:val="00950650"/>
    <w:rsid w:val="009506B3"/>
    <w:rsid w:val="009507A5"/>
    <w:rsid w:val="00950842"/>
    <w:rsid w:val="0095094F"/>
    <w:rsid w:val="00950A54"/>
    <w:rsid w:val="00950D28"/>
    <w:rsid w:val="0095117D"/>
    <w:rsid w:val="00951355"/>
    <w:rsid w:val="00951398"/>
    <w:rsid w:val="009513CE"/>
    <w:rsid w:val="00951401"/>
    <w:rsid w:val="0095193C"/>
    <w:rsid w:val="00951CDE"/>
    <w:rsid w:val="00951F8F"/>
    <w:rsid w:val="00952038"/>
    <w:rsid w:val="009524EB"/>
    <w:rsid w:val="0095250A"/>
    <w:rsid w:val="0095266C"/>
    <w:rsid w:val="009526A1"/>
    <w:rsid w:val="0095286E"/>
    <w:rsid w:val="009529F5"/>
    <w:rsid w:val="00952A55"/>
    <w:rsid w:val="00952B7A"/>
    <w:rsid w:val="00952E64"/>
    <w:rsid w:val="00952F8A"/>
    <w:rsid w:val="00953128"/>
    <w:rsid w:val="00953431"/>
    <w:rsid w:val="00953435"/>
    <w:rsid w:val="0095394C"/>
    <w:rsid w:val="00953D85"/>
    <w:rsid w:val="00953ED1"/>
    <w:rsid w:val="00953F80"/>
    <w:rsid w:val="009541C7"/>
    <w:rsid w:val="00954281"/>
    <w:rsid w:val="0095484C"/>
    <w:rsid w:val="00954862"/>
    <w:rsid w:val="00954999"/>
    <w:rsid w:val="009549FA"/>
    <w:rsid w:val="00954CD0"/>
    <w:rsid w:val="009553CD"/>
    <w:rsid w:val="009554B1"/>
    <w:rsid w:val="009554DB"/>
    <w:rsid w:val="00955500"/>
    <w:rsid w:val="00955667"/>
    <w:rsid w:val="0095566B"/>
    <w:rsid w:val="00955750"/>
    <w:rsid w:val="0095598E"/>
    <w:rsid w:val="00955A49"/>
    <w:rsid w:val="00955DDF"/>
    <w:rsid w:val="00955EF5"/>
    <w:rsid w:val="00955F95"/>
    <w:rsid w:val="009560A1"/>
    <w:rsid w:val="00956297"/>
    <w:rsid w:val="00956382"/>
    <w:rsid w:val="0095659A"/>
    <w:rsid w:val="0095659E"/>
    <w:rsid w:val="00956A55"/>
    <w:rsid w:val="00956C8C"/>
    <w:rsid w:val="00956DFA"/>
    <w:rsid w:val="00956F7C"/>
    <w:rsid w:val="00957152"/>
    <w:rsid w:val="009571DA"/>
    <w:rsid w:val="00957340"/>
    <w:rsid w:val="00957432"/>
    <w:rsid w:val="00957514"/>
    <w:rsid w:val="0095779E"/>
    <w:rsid w:val="009577C5"/>
    <w:rsid w:val="00957AB9"/>
    <w:rsid w:val="00957B59"/>
    <w:rsid w:val="00957C9A"/>
    <w:rsid w:val="00957D8B"/>
    <w:rsid w:val="009602A3"/>
    <w:rsid w:val="009602D8"/>
    <w:rsid w:val="009603E8"/>
    <w:rsid w:val="0096064B"/>
    <w:rsid w:val="0096079B"/>
    <w:rsid w:val="00960801"/>
    <w:rsid w:val="009608BA"/>
    <w:rsid w:val="0096093B"/>
    <w:rsid w:val="00960941"/>
    <w:rsid w:val="00960EB1"/>
    <w:rsid w:val="00960F2E"/>
    <w:rsid w:val="00961081"/>
    <w:rsid w:val="00961178"/>
    <w:rsid w:val="00961210"/>
    <w:rsid w:val="00961484"/>
    <w:rsid w:val="009617D0"/>
    <w:rsid w:val="00961839"/>
    <w:rsid w:val="00961C25"/>
    <w:rsid w:val="00961ECC"/>
    <w:rsid w:val="0096201D"/>
    <w:rsid w:val="009621B1"/>
    <w:rsid w:val="009622AB"/>
    <w:rsid w:val="009622CE"/>
    <w:rsid w:val="00962667"/>
    <w:rsid w:val="00962668"/>
    <w:rsid w:val="00962723"/>
    <w:rsid w:val="009627A4"/>
    <w:rsid w:val="009627F7"/>
    <w:rsid w:val="00962AAA"/>
    <w:rsid w:val="00962C47"/>
    <w:rsid w:val="00962C63"/>
    <w:rsid w:val="00962ECA"/>
    <w:rsid w:val="009630C8"/>
    <w:rsid w:val="009630FC"/>
    <w:rsid w:val="009633F2"/>
    <w:rsid w:val="00963568"/>
    <w:rsid w:val="0096362D"/>
    <w:rsid w:val="00963918"/>
    <w:rsid w:val="009639C9"/>
    <w:rsid w:val="00963A01"/>
    <w:rsid w:val="00963A33"/>
    <w:rsid w:val="00963C0D"/>
    <w:rsid w:val="00963CB8"/>
    <w:rsid w:val="00963D51"/>
    <w:rsid w:val="00963D5E"/>
    <w:rsid w:val="00963FDA"/>
    <w:rsid w:val="00964027"/>
    <w:rsid w:val="009641DA"/>
    <w:rsid w:val="009647BC"/>
    <w:rsid w:val="00964851"/>
    <w:rsid w:val="009649D2"/>
    <w:rsid w:val="00964A04"/>
    <w:rsid w:val="00964BA8"/>
    <w:rsid w:val="00964CC6"/>
    <w:rsid w:val="00964D50"/>
    <w:rsid w:val="00964EDB"/>
    <w:rsid w:val="0096513E"/>
    <w:rsid w:val="00965236"/>
    <w:rsid w:val="0096530A"/>
    <w:rsid w:val="00965335"/>
    <w:rsid w:val="00965469"/>
    <w:rsid w:val="00965BC4"/>
    <w:rsid w:val="009662F0"/>
    <w:rsid w:val="00966482"/>
    <w:rsid w:val="0096648C"/>
    <w:rsid w:val="00966517"/>
    <w:rsid w:val="00966547"/>
    <w:rsid w:val="009667A3"/>
    <w:rsid w:val="00966A23"/>
    <w:rsid w:val="00966B11"/>
    <w:rsid w:val="00966C16"/>
    <w:rsid w:val="00966C90"/>
    <w:rsid w:val="00966D41"/>
    <w:rsid w:val="00966E2E"/>
    <w:rsid w:val="00967047"/>
    <w:rsid w:val="00967057"/>
    <w:rsid w:val="0096716D"/>
    <w:rsid w:val="009672F3"/>
    <w:rsid w:val="0096737C"/>
    <w:rsid w:val="0096751B"/>
    <w:rsid w:val="009676CD"/>
    <w:rsid w:val="009676D2"/>
    <w:rsid w:val="0096774A"/>
    <w:rsid w:val="00967AAC"/>
    <w:rsid w:val="00967CFD"/>
    <w:rsid w:val="00967D88"/>
    <w:rsid w:val="00967F9F"/>
    <w:rsid w:val="00967FB1"/>
    <w:rsid w:val="0097013C"/>
    <w:rsid w:val="009704B0"/>
    <w:rsid w:val="009705B6"/>
    <w:rsid w:val="009706B2"/>
    <w:rsid w:val="00970709"/>
    <w:rsid w:val="00970773"/>
    <w:rsid w:val="0097094A"/>
    <w:rsid w:val="00970BB0"/>
    <w:rsid w:val="00970EAD"/>
    <w:rsid w:val="0097118F"/>
    <w:rsid w:val="009711AF"/>
    <w:rsid w:val="0097163C"/>
    <w:rsid w:val="00971668"/>
    <w:rsid w:val="00971B17"/>
    <w:rsid w:val="00972036"/>
    <w:rsid w:val="00972142"/>
    <w:rsid w:val="00972172"/>
    <w:rsid w:val="00972178"/>
    <w:rsid w:val="009722C9"/>
    <w:rsid w:val="0097230C"/>
    <w:rsid w:val="00972360"/>
    <w:rsid w:val="009728CF"/>
    <w:rsid w:val="00972983"/>
    <w:rsid w:val="00972B4D"/>
    <w:rsid w:val="009730D9"/>
    <w:rsid w:val="0097316F"/>
    <w:rsid w:val="009735CE"/>
    <w:rsid w:val="0097376C"/>
    <w:rsid w:val="00973943"/>
    <w:rsid w:val="00973999"/>
    <w:rsid w:val="00973A4B"/>
    <w:rsid w:val="00973D88"/>
    <w:rsid w:val="00973F0E"/>
    <w:rsid w:val="009740E9"/>
    <w:rsid w:val="00974217"/>
    <w:rsid w:val="0097429D"/>
    <w:rsid w:val="00974403"/>
    <w:rsid w:val="00974886"/>
    <w:rsid w:val="00974CD5"/>
    <w:rsid w:val="00974E1E"/>
    <w:rsid w:val="00974E80"/>
    <w:rsid w:val="00974F9A"/>
    <w:rsid w:val="0097506A"/>
    <w:rsid w:val="009750D1"/>
    <w:rsid w:val="0097527E"/>
    <w:rsid w:val="0097535B"/>
    <w:rsid w:val="009755B7"/>
    <w:rsid w:val="00975641"/>
    <w:rsid w:val="00975AF9"/>
    <w:rsid w:val="009760AB"/>
    <w:rsid w:val="00976156"/>
    <w:rsid w:val="00976525"/>
    <w:rsid w:val="009768D6"/>
    <w:rsid w:val="0097696C"/>
    <w:rsid w:val="009769D8"/>
    <w:rsid w:val="00976BD2"/>
    <w:rsid w:val="00976D2F"/>
    <w:rsid w:val="0097717D"/>
    <w:rsid w:val="00977352"/>
    <w:rsid w:val="009773B5"/>
    <w:rsid w:val="00977669"/>
    <w:rsid w:val="00977821"/>
    <w:rsid w:val="00977A13"/>
    <w:rsid w:val="00977ABE"/>
    <w:rsid w:val="00977AFA"/>
    <w:rsid w:val="00977B43"/>
    <w:rsid w:val="00977BF5"/>
    <w:rsid w:val="00977F16"/>
    <w:rsid w:val="00977F5A"/>
    <w:rsid w:val="00980032"/>
    <w:rsid w:val="009804D9"/>
    <w:rsid w:val="00980823"/>
    <w:rsid w:val="00980AC4"/>
    <w:rsid w:val="00980B03"/>
    <w:rsid w:val="00980D44"/>
    <w:rsid w:val="00980E75"/>
    <w:rsid w:val="009811A9"/>
    <w:rsid w:val="009811CC"/>
    <w:rsid w:val="00981250"/>
    <w:rsid w:val="0098144F"/>
    <w:rsid w:val="009814A2"/>
    <w:rsid w:val="00981594"/>
    <w:rsid w:val="00981601"/>
    <w:rsid w:val="00981628"/>
    <w:rsid w:val="00981865"/>
    <w:rsid w:val="009819DD"/>
    <w:rsid w:val="00981A3D"/>
    <w:rsid w:val="00981D32"/>
    <w:rsid w:val="00981D65"/>
    <w:rsid w:val="00981DBA"/>
    <w:rsid w:val="00981E11"/>
    <w:rsid w:val="00981F66"/>
    <w:rsid w:val="00982066"/>
    <w:rsid w:val="00982361"/>
    <w:rsid w:val="00982688"/>
    <w:rsid w:val="00982771"/>
    <w:rsid w:val="00982A86"/>
    <w:rsid w:val="00982AA5"/>
    <w:rsid w:val="00982AE2"/>
    <w:rsid w:val="00982B05"/>
    <w:rsid w:val="00982B31"/>
    <w:rsid w:val="00982E48"/>
    <w:rsid w:val="0098341A"/>
    <w:rsid w:val="0098348A"/>
    <w:rsid w:val="00983518"/>
    <w:rsid w:val="00983554"/>
    <w:rsid w:val="00983627"/>
    <w:rsid w:val="00983690"/>
    <w:rsid w:val="00983798"/>
    <w:rsid w:val="00983CDE"/>
    <w:rsid w:val="00983D8F"/>
    <w:rsid w:val="00983E5A"/>
    <w:rsid w:val="00983F19"/>
    <w:rsid w:val="00983F24"/>
    <w:rsid w:val="009841A5"/>
    <w:rsid w:val="00984236"/>
    <w:rsid w:val="009848D0"/>
    <w:rsid w:val="0098494B"/>
    <w:rsid w:val="00984952"/>
    <w:rsid w:val="00984A68"/>
    <w:rsid w:val="00984A76"/>
    <w:rsid w:val="00984C9C"/>
    <w:rsid w:val="00984FFA"/>
    <w:rsid w:val="00985186"/>
    <w:rsid w:val="00985211"/>
    <w:rsid w:val="00985314"/>
    <w:rsid w:val="00985C21"/>
    <w:rsid w:val="00985E79"/>
    <w:rsid w:val="00985F45"/>
    <w:rsid w:val="00986120"/>
    <w:rsid w:val="00986188"/>
    <w:rsid w:val="0098622D"/>
    <w:rsid w:val="00986367"/>
    <w:rsid w:val="009867FD"/>
    <w:rsid w:val="00986A3A"/>
    <w:rsid w:val="00986A66"/>
    <w:rsid w:val="00986B67"/>
    <w:rsid w:val="00986BB8"/>
    <w:rsid w:val="00986D8B"/>
    <w:rsid w:val="0098733C"/>
    <w:rsid w:val="00987572"/>
    <w:rsid w:val="009875BA"/>
    <w:rsid w:val="00987616"/>
    <w:rsid w:val="00987654"/>
    <w:rsid w:val="00987745"/>
    <w:rsid w:val="00987853"/>
    <w:rsid w:val="009879D0"/>
    <w:rsid w:val="00987A64"/>
    <w:rsid w:val="00987A6C"/>
    <w:rsid w:val="00987A9D"/>
    <w:rsid w:val="00987E01"/>
    <w:rsid w:val="009902DA"/>
    <w:rsid w:val="00990399"/>
    <w:rsid w:val="009903F3"/>
    <w:rsid w:val="00990E6D"/>
    <w:rsid w:val="00990F60"/>
    <w:rsid w:val="0099103D"/>
    <w:rsid w:val="009912D0"/>
    <w:rsid w:val="009913A9"/>
    <w:rsid w:val="00991605"/>
    <w:rsid w:val="00991618"/>
    <w:rsid w:val="00991794"/>
    <w:rsid w:val="00991876"/>
    <w:rsid w:val="009918D9"/>
    <w:rsid w:val="009919D3"/>
    <w:rsid w:val="00991A97"/>
    <w:rsid w:val="00991BDD"/>
    <w:rsid w:val="00991D33"/>
    <w:rsid w:val="00991EE9"/>
    <w:rsid w:val="00991FBF"/>
    <w:rsid w:val="009920D4"/>
    <w:rsid w:val="0099212B"/>
    <w:rsid w:val="00992142"/>
    <w:rsid w:val="009921CA"/>
    <w:rsid w:val="00992398"/>
    <w:rsid w:val="0099244B"/>
    <w:rsid w:val="009925C7"/>
    <w:rsid w:val="009926EB"/>
    <w:rsid w:val="00992827"/>
    <w:rsid w:val="0099285E"/>
    <w:rsid w:val="00992937"/>
    <w:rsid w:val="009929DF"/>
    <w:rsid w:val="00992A78"/>
    <w:rsid w:val="00992AAA"/>
    <w:rsid w:val="00992AEA"/>
    <w:rsid w:val="00992CFD"/>
    <w:rsid w:val="00993019"/>
    <w:rsid w:val="00993131"/>
    <w:rsid w:val="00993212"/>
    <w:rsid w:val="0099329E"/>
    <w:rsid w:val="00993483"/>
    <w:rsid w:val="009934B0"/>
    <w:rsid w:val="0099359C"/>
    <w:rsid w:val="009935AF"/>
    <w:rsid w:val="00993730"/>
    <w:rsid w:val="00993D04"/>
    <w:rsid w:val="00993DE0"/>
    <w:rsid w:val="00994220"/>
    <w:rsid w:val="009942D6"/>
    <w:rsid w:val="0099432F"/>
    <w:rsid w:val="0099465C"/>
    <w:rsid w:val="009949A3"/>
    <w:rsid w:val="00994C02"/>
    <w:rsid w:val="00994D93"/>
    <w:rsid w:val="00994ECD"/>
    <w:rsid w:val="00995124"/>
    <w:rsid w:val="00995200"/>
    <w:rsid w:val="00995290"/>
    <w:rsid w:val="009952EB"/>
    <w:rsid w:val="0099530E"/>
    <w:rsid w:val="00995487"/>
    <w:rsid w:val="0099550A"/>
    <w:rsid w:val="009955A6"/>
    <w:rsid w:val="00995856"/>
    <w:rsid w:val="00995866"/>
    <w:rsid w:val="009958C0"/>
    <w:rsid w:val="00995AE2"/>
    <w:rsid w:val="00995C5C"/>
    <w:rsid w:val="00995CD5"/>
    <w:rsid w:val="00995D43"/>
    <w:rsid w:val="00995D4F"/>
    <w:rsid w:val="00995FD6"/>
    <w:rsid w:val="0099643A"/>
    <w:rsid w:val="009964E7"/>
    <w:rsid w:val="00996569"/>
    <w:rsid w:val="00996703"/>
    <w:rsid w:val="00996D6E"/>
    <w:rsid w:val="00997087"/>
    <w:rsid w:val="009970A0"/>
    <w:rsid w:val="0099776D"/>
    <w:rsid w:val="00997B26"/>
    <w:rsid w:val="00997B4C"/>
    <w:rsid w:val="00997E2B"/>
    <w:rsid w:val="0099DC07"/>
    <w:rsid w:val="009A017B"/>
    <w:rsid w:val="009A02EE"/>
    <w:rsid w:val="009A0334"/>
    <w:rsid w:val="009A033B"/>
    <w:rsid w:val="009A0394"/>
    <w:rsid w:val="009A04A1"/>
    <w:rsid w:val="009A05CE"/>
    <w:rsid w:val="009A0776"/>
    <w:rsid w:val="009A0BB4"/>
    <w:rsid w:val="009A0BF0"/>
    <w:rsid w:val="009A0BF2"/>
    <w:rsid w:val="009A1408"/>
    <w:rsid w:val="009A146A"/>
    <w:rsid w:val="009A1488"/>
    <w:rsid w:val="009A1495"/>
    <w:rsid w:val="009A151B"/>
    <w:rsid w:val="009A180F"/>
    <w:rsid w:val="009A18B8"/>
    <w:rsid w:val="009A1ADF"/>
    <w:rsid w:val="009A1C03"/>
    <w:rsid w:val="009A1DFA"/>
    <w:rsid w:val="009A1E07"/>
    <w:rsid w:val="009A1E7C"/>
    <w:rsid w:val="009A20E5"/>
    <w:rsid w:val="009A255C"/>
    <w:rsid w:val="009A2641"/>
    <w:rsid w:val="009A289B"/>
    <w:rsid w:val="009A293C"/>
    <w:rsid w:val="009A2AD5"/>
    <w:rsid w:val="009A2B66"/>
    <w:rsid w:val="009A2C2B"/>
    <w:rsid w:val="009A2E04"/>
    <w:rsid w:val="009A32D7"/>
    <w:rsid w:val="009A3374"/>
    <w:rsid w:val="009A3386"/>
    <w:rsid w:val="009A34EA"/>
    <w:rsid w:val="009A35C4"/>
    <w:rsid w:val="009A398A"/>
    <w:rsid w:val="009A3CF3"/>
    <w:rsid w:val="009A3DE0"/>
    <w:rsid w:val="009A3E70"/>
    <w:rsid w:val="009A3E9C"/>
    <w:rsid w:val="009A3FF7"/>
    <w:rsid w:val="009A401F"/>
    <w:rsid w:val="009A4254"/>
    <w:rsid w:val="009A4356"/>
    <w:rsid w:val="009A436C"/>
    <w:rsid w:val="009A43A0"/>
    <w:rsid w:val="009A4821"/>
    <w:rsid w:val="009A4A79"/>
    <w:rsid w:val="009A4E41"/>
    <w:rsid w:val="009A4F8E"/>
    <w:rsid w:val="009A4F94"/>
    <w:rsid w:val="009A501E"/>
    <w:rsid w:val="009A5025"/>
    <w:rsid w:val="009A5123"/>
    <w:rsid w:val="009A539C"/>
    <w:rsid w:val="009A582F"/>
    <w:rsid w:val="009A5888"/>
    <w:rsid w:val="009A5A7A"/>
    <w:rsid w:val="009A5C11"/>
    <w:rsid w:val="009A5E7C"/>
    <w:rsid w:val="009A6103"/>
    <w:rsid w:val="009A6165"/>
    <w:rsid w:val="009A623A"/>
    <w:rsid w:val="009A6323"/>
    <w:rsid w:val="009A649D"/>
    <w:rsid w:val="009A6579"/>
    <w:rsid w:val="009A66D3"/>
    <w:rsid w:val="009A672C"/>
    <w:rsid w:val="009A68AF"/>
    <w:rsid w:val="009A69C2"/>
    <w:rsid w:val="009A6A41"/>
    <w:rsid w:val="009A6A7C"/>
    <w:rsid w:val="009A6B85"/>
    <w:rsid w:val="009A6CED"/>
    <w:rsid w:val="009A6E95"/>
    <w:rsid w:val="009A6EA4"/>
    <w:rsid w:val="009A7060"/>
    <w:rsid w:val="009A70AF"/>
    <w:rsid w:val="009A718C"/>
    <w:rsid w:val="009A7244"/>
    <w:rsid w:val="009A7398"/>
    <w:rsid w:val="009A7594"/>
    <w:rsid w:val="009A766F"/>
    <w:rsid w:val="009A77E1"/>
    <w:rsid w:val="009A780B"/>
    <w:rsid w:val="009A795D"/>
    <w:rsid w:val="009A7A63"/>
    <w:rsid w:val="009A7DDE"/>
    <w:rsid w:val="009A7E88"/>
    <w:rsid w:val="009A7F54"/>
    <w:rsid w:val="009AED98"/>
    <w:rsid w:val="009B0121"/>
    <w:rsid w:val="009B03FE"/>
    <w:rsid w:val="009B060E"/>
    <w:rsid w:val="009B06AE"/>
    <w:rsid w:val="009B0727"/>
    <w:rsid w:val="009B0760"/>
    <w:rsid w:val="009B079E"/>
    <w:rsid w:val="009B099C"/>
    <w:rsid w:val="009B0D9A"/>
    <w:rsid w:val="009B0E7A"/>
    <w:rsid w:val="009B0EF7"/>
    <w:rsid w:val="009B135E"/>
    <w:rsid w:val="009B164D"/>
    <w:rsid w:val="009B1967"/>
    <w:rsid w:val="009B1DC3"/>
    <w:rsid w:val="009B1E0A"/>
    <w:rsid w:val="009B1E23"/>
    <w:rsid w:val="009B1E7F"/>
    <w:rsid w:val="009B2304"/>
    <w:rsid w:val="009B239A"/>
    <w:rsid w:val="009B2476"/>
    <w:rsid w:val="009B24FD"/>
    <w:rsid w:val="009B25F5"/>
    <w:rsid w:val="009B26C1"/>
    <w:rsid w:val="009B26E0"/>
    <w:rsid w:val="009B27FF"/>
    <w:rsid w:val="009B29BC"/>
    <w:rsid w:val="009B2B29"/>
    <w:rsid w:val="009B2B59"/>
    <w:rsid w:val="009B2BFF"/>
    <w:rsid w:val="009B2C79"/>
    <w:rsid w:val="009B3319"/>
    <w:rsid w:val="009B33C3"/>
    <w:rsid w:val="009B346F"/>
    <w:rsid w:val="009B34B0"/>
    <w:rsid w:val="009B351E"/>
    <w:rsid w:val="009B362C"/>
    <w:rsid w:val="009B376C"/>
    <w:rsid w:val="009B3DFD"/>
    <w:rsid w:val="009B3F0F"/>
    <w:rsid w:val="009B3F38"/>
    <w:rsid w:val="009B427E"/>
    <w:rsid w:val="009B42FF"/>
    <w:rsid w:val="009B43B9"/>
    <w:rsid w:val="009B43E8"/>
    <w:rsid w:val="009B44B7"/>
    <w:rsid w:val="009B44E3"/>
    <w:rsid w:val="009B45D3"/>
    <w:rsid w:val="009B46B2"/>
    <w:rsid w:val="009B47CA"/>
    <w:rsid w:val="009B486C"/>
    <w:rsid w:val="009B48D4"/>
    <w:rsid w:val="009B4A15"/>
    <w:rsid w:val="009B4B17"/>
    <w:rsid w:val="009B4B36"/>
    <w:rsid w:val="009B4B5C"/>
    <w:rsid w:val="009B4DAA"/>
    <w:rsid w:val="009B4EC6"/>
    <w:rsid w:val="009B4EC9"/>
    <w:rsid w:val="009B4F34"/>
    <w:rsid w:val="009B4F69"/>
    <w:rsid w:val="009B532B"/>
    <w:rsid w:val="009B533F"/>
    <w:rsid w:val="009B54A0"/>
    <w:rsid w:val="009B5948"/>
    <w:rsid w:val="009B5A4E"/>
    <w:rsid w:val="009B5A5B"/>
    <w:rsid w:val="009B5B79"/>
    <w:rsid w:val="009B5CD2"/>
    <w:rsid w:val="009B5CEF"/>
    <w:rsid w:val="009B5D7A"/>
    <w:rsid w:val="009B5E15"/>
    <w:rsid w:val="009B5E1B"/>
    <w:rsid w:val="009B5E48"/>
    <w:rsid w:val="009B5F0E"/>
    <w:rsid w:val="009B604F"/>
    <w:rsid w:val="009B6266"/>
    <w:rsid w:val="009B6368"/>
    <w:rsid w:val="009B66BA"/>
    <w:rsid w:val="009B66DA"/>
    <w:rsid w:val="009B6805"/>
    <w:rsid w:val="009B6883"/>
    <w:rsid w:val="009B6B20"/>
    <w:rsid w:val="009B6D44"/>
    <w:rsid w:val="009B6D47"/>
    <w:rsid w:val="009B6F9D"/>
    <w:rsid w:val="009B7219"/>
    <w:rsid w:val="009B72E4"/>
    <w:rsid w:val="009B731D"/>
    <w:rsid w:val="009B737E"/>
    <w:rsid w:val="009B7560"/>
    <w:rsid w:val="009B75AD"/>
    <w:rsid w:val="009B7635"/>
    <w:rsid w:val="009B7636"/>
    <w:rsid w:val="009B7727"/>
    <w:rsid w:val="009B7756"/>
    <w:rsid w:val="009B77E9"/>
    <w:rsid w:val="009B785A"/>
    <w:rsid w:val="009B7994"/>
    <w:rsid w:val="009B7B1E"/>
    <w:rsid w:val="009B7BB1"/>
    <w:rsid w:val="009B7EFB"/>
    <w:rsid w:val="009B7FC5"/>
    <w:rsid w:val="009C00E3"/>
    <w:rsid w:val="009C00E6"/>
    <w:rsid w:val="009C01F0"/>
    <w:rsid w:val="009C02AF"/>
    <w:rsid w:val="009C02B8"/>
    <w:rsid w:val="009C0401"/>
    <w:rsid w:val="009C0589"/>
    <w:rsid w:val="009C078B"/>
    <w:rsid w:val="009C0BF6"/>
    <w:rsid w:val="009C0C87"/>
    <w:rsid w:val="009C0C9C"/>
    <w:rsid w:val="009C0CFE"/>
    <w:rsid w:val="009C0D1D"/>
    <w:rsid w:val="009C1407"/>
    <w:rsid w:val="009C1795"/>
    <w:rsid w:val="009C1860"/>
    <w:rsid w:val="009C1B68"/>
    <w:rsid w:val="009C1D52"/>
    <w:rsid w:val="009C1E5F"/>
    <w:rsid w:val="009C1EAA"/>
    <w:rsid w:val="009C219E"/>
    <w:rsid w:val="009C272C"/>
    <w:rsid w:val="009C2834"/>
    <w:rsid w:val="009C29B1"/>
    <w:rsid w:val="009C2ACD"/>
    <w:rsid w:val="009C2B43"/>
    <w:rsid w:val="009C2B6D"/>
    <w:rsid w:val="009C2D43"/>
    <w:rsid w:val="009C2DF5"/>
    <w:rsid w:val="009C2F80"/>
    <w:rsid w:val="009C305E"/>
    <w:rsid w:val="009C30AD"/>
    <w:rsid w:val="009C311E"/>
    <w:rsid w:val="009C3202"/>
    <w:rsid w:val="009C3212"/>
    <w:rsid w:val="009C33E1"/>
    <w:rsid w:val="009C3404"/>
    <w:rsid w:val="009C38C2"/>
    <w:rsid w:val="009C3E19"/>
    <w:rsid w:val="009C3E31"/>
    <w:rsid w:val="009C4080"/>
    <w:rsid w:val="009C4172"/>
    <w:rsid w:val="009C4206"/>
    <w:rsid w:val="009C422F"/>
    <w:rsid w:val="009C42FE"/>
    <w:rsid w:val="009C43C0"/>
    <w:rsid w:val="009C44B7"/>
    <w:rsid w:val="009C4574"/>
    <w:rsid w:val="009C45BA"/>
    <w:rsid w:val="009C4643"/>
    <w:rsid w:val="009C4684"/>
    <w:rsid w:val="009C49C2"/>
    <w:rsid w:val="009C4EE5"/>
    <w:rsid w:val="009C4FE9"/>
    <w:rsid w:val="009C50A0"/>
    <w:rsid w:val="009C512F"/>
    <w:rsid w:val="009C532F"/>
    <w:rsid w:val="009C541B"/>
    <w:rsid w:val="009C5566"/>
    <w:rsid w:val="009C55B9"/>
    <w:rsid w:val="009C55BB"/>
    <w:rsid w:val="009C57C3"/>
    <w:rsid w:val="009C5C50"/>
    <w:rsid w:val="009C5C64"/>
    <w:rsid w:val="009C5CA3"/>
    <w:rsid w:val="009C5D0B"/>
    <w:rsid w:val="009C5D94"/>
    <w:rsid w:val="009C5DC9"/>
    <w:rsid w:val="009C5E52"/>
    <w:rsid w:val="009C5E67"/>
    <w:rsid w:val="009C6031"/>
    <w:rsid w:val="009C6205"/>
    <w:rsid w:val="009C6467"/>
    <w:rsid w:val="009C6631"/>
    <w:rsid w:val="009C6647"/>
    <w:rsid w:val="009C6716"/>
    <w:rsid w:val="009C6769"/>
    <w:rsid w:val="009C6810"/>
    <w:rsid w:val="009C69DD"/>
    <w:rsid w:val="009C6B82"/>
    <w:rsid w:val="009C6B9D"/>
    <w:rsid w:val="009C6CE3"/>
    <w:rsid w:val="009C6E49"/>
    <w:rsid w:val="009C6F9F"/>
    <w:rsid w:val="009C7322"/>
    <w:rsid w:val="009C7423"/>
    <w:rsid w:val="009C7462"/>
    <w:rsid w:val="009C7519"/>
    <w:rsid w:val="009C75EC"/>
    <w:rsid w:val="009C77E4"/>
    <w:rsid w:val="009C7A61"/>
    <w:rsid w:val="009C7BA7"/>
    <w:rsid w:val="009D0210"/>
    <w:rsid w:val="009D022A"/>
    <w:rsid w:val="009D05A0"/>
    <w:rsid w:val="009D06C0"/>
    <w:rsid w:val="009D0869"/>
    <w:rsid w:val="009D0920"/>
    <w:rsid w:val="009D0B1D"/>
    <w:rsid w:val="009D0B29"/>
    <w:rsid w:val="009D0C91"/>
    <w:rsid w:val="009D0E4C"/>
    <w:rsid w:val="009D0FBF"/>
    <w:rsid w:val="009D10B1"/>
    <w:rsid w:val="009D1135"/>
    <w:rsid w:val="009D1193"/>
    <w:rsid w:val="009D123B"/>
    <w:rsid w:val="009D1517"/>
    <w:rsid w:val="009D15C0"/>
    <w:rsid w:val="009D16F5"/>
    <w:rsid w:val="009D1736"/>
    <w:rsid w:val="009D17F4"/>
    <w:rsid w:val="009D1905"/>
    <w:rsid w:val="009D194C"/>
    <w:rsid w:val="009D1C2A"/>
    <w:rsid w:val="009D1EC9"/>
    <w:rsid w:val="009D1ECE"/>
    <w:rsid w:val="009D2203"/>
    <w:rsid w:val="009D2437"/>
    <w:rsid w:val="009D25F9"/>
    <w:rsid w:val="009D2774"/>
    <w:rsid w:val="009D2A95"/>
    <w:rsid w:val="009D2C02"/>
    <w:rsid w:val="009D2DB1"/>
    <w:rsid w:val="009D2F53"/>
    <w:rsid w:val="009D3033"/>
    <w:rsid w:val="009D30A9"/>
    <w:rsid w:val="009D34E9"/>
    <w:rsid w:val="009D360E"/>
    <w:rsid w:val="009D362B"/>
    <w:rsid w:val="009D36B1"/>
    <w:rsid w:val="009D3710"/>
    <w:rsid w:val="009D3B20"/>
    <w:rsid w:val="009D3BA4"/>
    <w:rsid w:val="009D3EE1"/>
    <w:rsid w:val="009D4226"/>
    <w:rsid w:val="009D42D8"/>
    <w:rsid w:val="009D42FD"/>
    <w:rsid w:val="009D44A1"/>
    <w:rsid w:val="009D454A"/>
    <w:rsid w:val="009D4561"/>
    <w:rsid w:val="009D4586"/>
    <w:rsid w:val="009D4708"/>
    <w:rsid w:val="009D4A41"/>
    <w:rsid w:val="009D4C51"/>
    <w:rsid w:val="009D4C77"/>
    <w:rsid w:val="009D4D71"/>
    <w:rsid w:val="009D4E4D"/>
    <w:rsid w:val="009D5089"/>
    <w:rsid w:val="009D515D"/>
    <w:rsid w:val="009D52E6"/>
    <w:rsid w:val="009D5824"/>
    <w:rsid w:val="009D5A30"/>
    <w:rsid w:val="009D5DC1"/>
    <w:rsid w:val="009D61CE"/>
    <w:rsid w:val="009D61DE"/>
    <w:rsid w:val="009D6271"/>
    <w:rsid w:val="009D630F"/>
    <w:rsid w:val="009D63DD"/>
    <w:rsid w:val="009D66F9"/>
    <w:rsid w:val="009D6718"/>
    <w:rsid w:val="009D69A3"/>
    <w:rsid w:val="009D6A87"/>
    <w:rsid w:val="009D7067"/>
    <w:rsid w:val="009D7189"/>
    <w:rsid w:val="009D73CD"/>
    <w:rsid w:val="009D7510"/>
    <w:rsid w:val="009D762E"/>
    <w:rsid w:val="009D7696"/>
    <w:rsid w:val="009D769B"/>
    <w:rsid w:val="009D772E"/>
    <w:rsid w:val="009D77C7"/>
    <w:rsid w:val="009D77CD"/>
    <w:rsid w:val="009D7A69"/>
    <w:rsid w:val="009D7BDB"/>
    <w:rsid w:val="009D7C4E"/>
    <w:rsid w:val="009D7E49"/>
    <w:rsid w:val="009D7FA2"/>
    <w:rsid w:val="009E01F0"/>
    <w:rsid w:val="009E0A52"/>
    <w:rsid w:val="009E0A6D"/>
    <w:rsid w:val="009E1525"/>
    <w:rsid w:val="009E19D6"/>
    <w:rsid w:val="009E24C1"/>
    <w:rsid w:val="009E2593"/>
    <w:rsid w:val="009E25B7"/>
    <w:rsid w:val="009E2631"/>
    <w:rsid w:val="009E26F2"/>
    <w:rsid w:val="009E27DC"/>
    <w:rsid w:val="009E28E2"/>
    <w:rsid w:val="009E298C"/>
    <w:rsid w:val="009E2B79"/>
    <w:rsid w:val="009E2B81"/>
    <w:rsid w:val="009E32AD"/>
    <w:rsid w:val="009E3388"/>
    <w:rsid w:val="009E33B7"/>
    <w:rsid w:val="009E3453"/>
    <w:rsid w:val="009E354F"/>
    <w:rsid w:val="009E362C"/>
    <w:rsid w:val="009E3913"/>
    <w:rsid w:val="009E3C35"/>
    <w:rsid w:val="009E3E67"/>
    <w:rsid w:val="009E40E1"/>
    <w:rsid w:val="009E4389"/>
    <w:rsid w:val="009E45A3"/>
    <w:rsid w:val="009E46D8"/>
    <w:rsid w:val="009E4854"/>
    <w:rsid w:val="009E49DB"/>
    <w:rsid w:val="009E4AE0"/>
    <w:rsid w:val="009E4D46"/>
    <w:rsid w:val="009E4D77"/>
    <w:rsid w:val="009E4E06"/>
    <w:rsid w:val="009E4F38"/>
    <w:rsid w:val="009E4F5C"/>
    <w:rsid w:val="009E5196"/>
    <w:rsid w:val="009E51CE"/>
    <w:rsid w:val="009E52D2"/>
    <w:rsid w:val="009E543E"/>
    <w:rsid w:val="009E54C4"/>
    <w:rsid w:val="009E5531"/>
    <w:rsid w:val="009E55CB"/>
    <w:rsid w:val="009E57CC"/>
    <w:rsid w:val="009E584E"/>
    <w:rsid w:val="009E5897"/>
    <w:rsid w:val="009E5D82"/>
    <w:rsid w:val="009E5ECF"/>
    <w:rsid w:val="009E5F71"/>
    <w:rsid w:val="009E61F8"/>
    <w:rsid w:val="009E620A"/>
    <w:rsid w:val="009E6212"/>
    <w:rsid w:val="009E65D4"/>
    <w:rsid w:val="009E6B06"/>
    <w:rsid w:val="009E6FD2"/>
    <w:rsid w:val="009E7026"/>
    <w:rsid w:val="009E7197"/>
    <w:rsid w:val="009E71F4"/>
    <w:rsid w:val="009E72B8"/>
    <w:rsid w:val="009E734D"/>
    <w:rsid w:val="009E73C0"/>
    <w:rsid w:val="009E77BC"/>
    <w:rsid w:val="009E797D"/>
    <w:rsid w:val="009E798E"/>
    <w:rsid w:val="009E7B1A"/>
    <w:rsid w:val="009E7E12"/>
    <w:rsid w:val="009F05D1"/>
    <w:rsid w:val="009F05E3"/>
    <w:rsid w:val="009F065C"/>
    <w:rsid w:val="009F0667"/>
    <w:rsid w:val="009F07C7"/>
    <w:rsid w:val="009F08D8"/>
    <w:rsid w:val="009F0A35"/>
    <w:rsid w:val="009F0C6B"/>
    <w:rsid w:val="009F0EAA"/>
    <w:rsid w:val="009F1013"/>
    <w:rsid w:val="009F10AB"/>
    <w:rsid w:val="009F120A"/>
    <w:rsid w:val="009F12A0"/>
    <w:rsid w:val="009F13E5"/>
    <w:rsid w:val="009F13F8"/>
    <w:rsid w:val="009F145C"/>
    <w:rsid w:val="009F1545"/>
    <w:rsid w:val="009F1585"/>
    <w:rsid w:val="009F1991"/>
    <w:rsid w:val="009F19AC"/>
    <w:rsid w:val="009F23A3"/>
    <w:rsid w:val="009F24A4"/>
    <w:rsid w:val="009F25C8"/>
    <w:rsid w:val="009F267C"/>
    <w:rsid w:val="009F2845"/>
    <w:rsid w:val="009F2912"/>
    <w:rsid w:val="009F2A66"/>
    <w:rsid w:val="009F2B7F"/>
    <w:rsid w:val="009F2CA9"/>
    <w:rsid w:val="009F2D8A"/>
    <w:rsid w:val="009F2F17"/>
    <w:rsid w:val="009F2F36"/>
    <w:rsid w:val="009F320F"/>
    <w:rsid w:val="009F32C1"/>
    <w:rsid w:val="009F3310"/>
    <w:rsid w:val="009F38A2"/>
    <w:rsid w:val="009F3E97"/>
    <w:rsid w:val="009F3E9E"/>
    <w:rsid w:val="009F42AB"/>
    <w:rsid w:val="009F4555"/>
    <w:rsid w:val="009F470F"/>
    <w:rsid w:val="009F4878"/>
    <w:rsid w:val="009F49AC"/>
    <w:rsid w:val="009F49CA"/>
    <w:rsid w:val="009F49E2"/>
    <w:rsid w:val="009F4A0E"/>
    <w:rsid w:val="009F4F49"/>
    <w:rsid w:val="009F51BA"/>
    <w:rsid w:val="009F5265"/>
    <w:rsid w:val="009F52FC"/>
    <w:rsid w:val="009F5696"/>
    <w:rsid w:val="009F57E6"/>
    <w:rsid w:val="009F585A"/>
    <w:rsid w:val="009F5960"/>
    <w:rsid w:val="009F5964"/>
    <w:rsid w:val="009F5A1C"/>
    <w:rsid w:val="009F5A9B"/>
    <w:rsid w:val="009F5B65"/>
    <w:rsid w:val="009F5E00"/>
    <w:rsid w:val="009F5E34"/>
    <w:rsid w:val="009F5F0A"/>
    <w:rsid w:val="009F623F"/>
    <w:rsid w:val="009F65C8"/>
    <w:rsid w:val="009F66A2"/>
    <w:rsid w:val="009F66E2"/>
    <w:rsid w:val="009F67E7"/>
    <w:rsid w:val="009F6B47"/>
    <w:rsid w:val="009F6BA2"/>
    <w:rsid w:val="009F6C1A"/>
    <w:rsid w:val="009F6D7B"/>
    <w:rsid w:val="009F7040"/>
    <w:rsid w:val="009F7453"/>
    <w:rsid w:val="009F7461"/>
    <w:rsid w:val="009F74CA"/>
    <w:rsid w:val="009F78CB"/>
    <w:rsid w:val="009F78F0"/>
    <w:rsid w:val="009F79DC"/>
    <w:rsid w:val="009F7AB1"/>
    <w:rsid w:val="009F7C60"/>
    <w:rsid w:val="009F7C6D"/>
    <w:rsid w:val="009F7D88"/>
    <w:rsid w:val="009F7E76"/>
    <w:rsid w:val="00A001B1"/>
    <w:rsid w:val="00A003C9"/>
    <w:rsid w:val="00A007C7"/>
    <w:rsid w:val="00A00A06"/>
    <w:rsid w:val="00A00A80"/>
    <w:rsid w:val="00A00CC8"/>
    <w:rsid w:val="00A00EEA"/>
    <w:rsid w:val="00A0101F"/>
    <w:rsid w:val="00A017E4"/>
    <w:rsid w:val="00A018C1"/>
    <w:rsid w:val="00A018D1"/>
    <w:rsid w:val="00A018FE"/>
    <w:rsid w:val="00A01970"/>
    <w:rsid w:val="00A01CD0"/>
    <w:rsid w:val="00A01F58"/>
    <w:rsid w:val="00A02041"/>
    <w:rsid w:val="00A02671"/>
    <w:rsid w:val="00A02F82"/>
    <w:rsid w:val="00A03042"/>
    <w:rsid w:val="00A0309C"/>
    <w:rsid w:val="00A03137"/>
    <w:rsid w:val="00A034D3"/>
    <w:rsid w:val="00A0353A"/>
    <w:rsid w:val="00A0360A"/>
    <w:rsid w:val="00A037B4"/>
    <w:rsid w:val="00A03841"/>
    <w:rsid w:val="00A0390D"/>
    <w:rsid w:val="00A039C4"/>
    <w:rsid w:val="00A03BDA"/>
    <w:rsid w:val="00A03D2F"/>
    <w:rsid w:val="00A03D7C"/>
    <w:rsid w:val="00A03E2E"/>
    <w:rsid w:val="00A03F5C"/>
    <w:rsid w:val="00A0442C"/>
    <w:rsid w:val="00A0448E"/>
    <w:rsid w:val="00A045BA"/>
    <w:rsid w:val="00A045D2"/>
    <w:rsid w:val="00A048E9"/>
    <w:rsid w:val="00A049D7"/>
    <w:rsid w:val="00A04A37"/>
    <w:rsid w:val="00A04B84"/>
    <w:rsid w:val="00A04E32"/>
    <w:rsid w:val="00A054D3"/>
    <w:rsid w:val="00A05556"/>
    <w:rsid w:val="00A055B4"/>
    <w:rsid w:val="00A056B3"/>
    <w:rsid w:val="00A05951"/>
    <w:rsid w:val="00A05960"/>
    <w:rsid w:val="00A0599B"/>
    <w:rsid w:val="00A05A72"/>
    <w:rsid w:val="00A05B3E"/>
    <w:rsid w:val="00A05C7A"/>
    <w:rsid w:val="00A05C7B"/>
    <w:rsid w:val="00A05E70"/>
    <w:rsid w:val="00A05EA4"/>
    <w:rsid w:val="00A068D3"/>
    <w:rsid w:val="00A069C1"/>
    <w:rsid w:val="00A06E61"/>
    <w:rsid w:val="00A06E62"/>
    <w:rsid w:val="00A06F20"/>
    <w:rsid w:val="00A06F2B"/>
    <w:rsid w:val="00A071FF"/>
    <w:rsid w:val="00A07207"/>
    <w:rsid w:val="00A073A4"/>
    <w:rsid w:val="00A0788C"/>
    <w:rsid w:val="00A079CA"/>
    <w:rsid w:val="00A07AE3"/>
    <w:rsid w:val="00A07B81"/>
    <w:rsid w:val="00A07E33"/>
    <w:rsid w:val="00A10095"/>
    <w:rsid w:val="00A10329"/>
    <w:rsid w:val="00A103A7"/>
    <w:rsid w:val="00A104C9"/>
    <w:rsid w:val="00A105EA"/>
    <w:rsid w:val="00A10690"/>
    <w:rsid w:val="00A10991"/>
    <w:rsid w:val="00A10A73"/>
    <w:rsid w:val="00A10E75"/>
    <w:rsid w:val="00A110F2"/>
    <w:rsid w:val="00A111FF"/>
    <w:rsid w:val="00A114AB"/>
    <w:rsid w:val="00A11584"/>
    <w:rsid w:val="00A1181C"/>
    <w:rsid w:val="00A1197F"/>
    <w:rsid w:val="00A11B90"/>
    <w:rsid w:val="00A11B98"/>
    <w:rsid w:val="00A11C01"/>
    <w:rsid w:val="00A11DB0"/>
    <w:rsid w:val="00A12079"/>
    <w:rsid w:val="00A121BD"/>
    <w:rsid w:val="00A12374"/>
    <w:rsid w:val="00A125A9"/>
    <w:rsid w:val="00A12735"/>
    <w:rsid w:val="00A1274E"/>
    <w:rsid w:val="00A12875"/>
    <w:rsid w:val="00A128A1"/>
    <w:rsid w:val="00A12C49"/>
    <w:rsid w:val="00A12CBB"/>
    <w:rsid w:val="00A12E4E"/>
    <w:rsid w:val="00A12FB0"/>
    <w:rsid w:val="00A130C6"/>
    <w:rsid w:val="00A130FD"/>
    <w:rsid w:val="00A13205"/>
    <w:rsid w:val="00A1334D"/>
    <w:rsid w:val="00A13511"/>
    <w:rsid w:val="00A1378C"/>
    <w:rsid w:val="00A13803"/>
    <w:rsid w:val="00A13AC8"/>
    <w:rsid w:val="00A13D28"/>
    <w:rsid w:val="00A13EEF"/>
    <w:rsid w:val="00A13F47"/>
    <w:rsid w:val="00A13FB0"/>
    <w:rsid w:val="00A14107"/>
    <w:rsid w:val="00A14314"/>
    <w:rsid w:val="00A1438D"/>
    <w:rsid w:val="00A144AA"/>
    <w:rsid w:val="00A1455A"/>
    <w:rsid w:val="00A149B5"/>
    <w:rsid w:val="00A14C80"/>
    <w:rsid w:val="00A14D07"/>
    <w:rsid w:val="00A14DC2"/>
    <w:rsid w:val="00A14FA4"/>
    <w:rsid w:val="00A15078"/>
    <w:rsid w:val="00A15516"/>
    <w:rsid w:val="00A15546"/>
    <w:rsid w:val="00A155D4"/>
    <w:rsid w:val="00A157B7"/>
    <w:rsid w:val="00A158B5"/>
    <w:rsid w:val="00A158C0"/>
    <w:rsid w:val="00A158F7"/>
    <w:rsid w:val="00A15CA7"/>
    <w:rsid w:val="00A15D9E"/>
    <w:rsid w:val="00A15DC8"/>
    <w:rsid w:val="00A15EC7"/>
    <w:rsid w:val="00A15EEF"/>
    <w:rsid w:val="00A16018"/>
    <w:rsid w:val="00A164AE"/>
    <w:rsid w:val="00A16554"/>
    <w:rsid w:val="00A167AA"/>
    <w:rsid w:val="00A16AAD"/>
    <w:rsid w:val="00A16DA5"/>
    <w:rsid w:val="00A16DE9"/>
    <w:rsid w:val="00A16EE5"/>
    <w:rsid w:val="00A16F1E"/>
    <w:rsid w:val="00A1715C"/>
    <w:rsid w:val="00A171F3"/>
    <w:rsid w:val="00A17204"/>
    <w:rsid w:val="00A17269"/>
    <w:rsid w:val="00A172D9"/>
    <w:rsid w:val="00A174D2"/>
    <w:rsid w:val="00A176B9"/>
    <w:rsid w:val="00A178BE"/>
    <w:rsid w:val="00A178CA"/>
    <w:rsid w:val="00A17B41"/>
    <w:rsid w:val="00A17CE5"/>
    <w:rsid w:val="00A17EBB"/>
    <w:rsid w:val="00A17F3D"/>
    <w:rsid w:val="00A17F89"/>
    <w:rsid w:val="00A17FF3"/>
    <w:rsid w:val="00A20092"/>
    <w:rsid w:val="00A2014C"/>
    <w:rsid w:val="00A20255"/>
    <w:rsid w:val="00A2044E"/>
    <w:rsid w:val="00A204BF"/>
    <w:rsid w:val="00A20941"/>
    <w:rsid w:val="00A20C29"/>
    <w:rsid w:val="00A20CB3"/>
    <w:rsid w:val="00A20DBC"/>
    <w:rsid w:val="00A210A3"/>
    <w:rsid w:val="00A214AF"/>
    <w:rsid w:val="00A217DE"/>
    <w:rsid w:val="00A2183E"/>
    <w:rsid w:val="00A2186C"/>
    <w:rsid w:val="00A21A66"/>
    <w:rsid w:val="00A21B34"/>
    <w:rsid w:val="00A21C15"/>
    <w:rsid w:val="00A21CAF"/>
    <w:rsid w:val="00A22020"/>
    <w:rsid w:val="00A2223A"/>
    <w:rsid w:val="00A225D9"/>
    <w:rsid w:val="00A22645"/>
    <w:rsid w:val="00A22726"/>
    <w:rsid w:val="00A228A9"/>
    <w:rsid w:val="00A22A84"/>
    <w:rsid w:val="00A22D74"/>
    <w:rsid w:val="00A22D87"/>
    <w:rsid w:val="00A22DCE"/>
    <w:rsid w:val="00A22EE9"/>
    <w:rsid w:val="00A232F8"/>
    <w:rsid w:val="00A237BC"/>
    <w:rsid w:val="00A23981"/>
    <w:rsid w:val="00A239A4"/>
    <w:rsid w:val="00A239CF"/>
    <w:rsid w:val="00A23C81"/>
    <w:rsid w:val="00A23E26"/>
    <w:rsid w:val="00A23F05"/>
    <w:rsid w:val="00A23FE4"/>
    <w:rsid w:val="00A241A0"/>
    <w:rsid w:val="00A244FE"/>
    <w:rsid w:val="00A24541"/>
    <w:rsid w:val="00A249AD"/>
    <w:rsid w:val="00A24B12"/>
    <w:rsid w:val="00A24E3B"/>
    <w:rsid w:val="00A24F0F"/>
    <w:rsid w:val="00A24F94"/>
    <w:rsid w:val="00A24FBA"/>
    <w:rsid w:val="00A24FEE"/>
    <w:rsid w:val="00A250A3"/>
    <w:rsid w:val="00A250AC"/>
    <w:rsid w:val="00A2512D"/>
    <w:rsid w:val="00A25186"/>
    <w:rsid w:val="00A252A1"/>
    <w:rsid w:val="00A25695"/>
    <w:rsid w:val="00A2581E"/>
    <w:rsid w:val="00A25871"/>
    <w:rsid w:val="00A258E1"/>
    <w:rsid w:val="00A25A54"/>
    <w:rsid w:val="00A25B22"/>
    <w:rsid w:val="00A25BB7"/>
    <w:rsid w:val="00A25C0E"/>
    <w:rsid w:val="00A25EA7"/>
    <w:rsid w:val="00A25FD4"/>
    <w:rsid w:val="00A26028"/>
    <w:rsid w:val="00A2621C"/>
    <w:rsid w:val="00A26281"/>
    <w:rsid w:val="00A264AF"/>
    <w:rsid w:val="00A26507"/>
    <w:rsid w:val="00A2683B"/>
    <w:rsid w:val="00A26A18"/>
    <w:rsid w:val="00A26AC8"/>
    <w:rsid w:val="00A26DD2"/>
    <w:rsid w:val="00A2712F"/>
    <w:rsid w:val="00A271E6"/>
    <w:rsid w:val="00A2723E"/>
    <w:rsid w:val="00A27400"/>
    <w:rsid w:val="00A276FC"/>
    <w:rsid w:val="00A27926"/>
    <w:rsid w:val="00A27C8F"/>
    <w:rsid w:val="00A27D3F"/>
    <w:rsid w:val="00A27EAA"/>
    <w:rsid w:val="00A27ED8"/>
    <w:rsid w:val="00A30369"/>
    <w:rsid w:val="00A30475"/>
    <w:rsid w:val="00A3054C"/>
    <w:rsid w:val="00A3079F"/>
    <w:rsid w:val="00A307D8"/>
    <w:rsid w:val="00A30A70"/>
    <w:rsid w:val="00A30A8D"/>
    <w:rsid w:val="00A30BCE"/>
    <w:rsid w:val="00A30D4A"/>
    <w:rsid w:val="00A310FD"/>
    <w:rsid w:val="00A3129A"/>
    <w:rsid w:val="00A312C1"/>
    <w:rsid w:val="00A31616"/>
    <w:rsid w:val="00A316CA"/>
    <w:rsid w:val="00A319A0"/>
    <w:rsid w:val="00A31AB6"/>
    <w:rsid w:val="00A31BF3"/>
    <w:rsid w:val="00A31D21"/>
    <w:rsid w:val="00A31D38"/>
    <w:rsid w:val="00A320B8"/>
    <w:rsid w:val="00A320BD"/>
    <w:rsid w:val="00A3213A"/>
    <w:rsid w:val="00A32162"/>
    <w:rsid w:val="00A3227C"/>
    <w:rsid w:val="00A3232A"/>
    <w:rsid w:val="00A3251D"/>
    <w:rsid w:val="00A3257B"/>
    <w:rsid w:val="00A327B8"/>
    <w:rsid w:val="00A328E7"/>
    <w:rsid w:val="00A329A8"/>
    <w:rsid w:val="00A32A4F"/>
    <w:rsid w:val="00A32A74"/>
    <w:rsid w:val="00A32ACC"/>
    <w:rsid w:val="00A32B16"/>
    <w:rsid w:val="00A32B27"/>
    <w:rsid w:val="00A32C1C"/>
    <w:rsid w:val="00A32C2A"/>
    <w:rsid w:val="00A32D49"/>
    <w:rsid w:val="00A32E34"/>
    <w:rsid w:val="00A32EDC"/>
    <w:rsid w:val="00A32F25"/>
    <w:rsid w:val="00A33371"/>
    <w:rsid w:val="00A33625"/>
    <w:rsid w:val="00A33672"/>
    <w:rsid w:val="00A33701"/>
    <w:rsid w:val="00A33737"/>
    <w:rsid w:val="00A33804"/>
    <w:rsid w:val="00A3403B"/>
    <w:rsid w:val="00A3407F"/>
    <w:rsid w:val="00A34161"/>
    <w:rsid w:val="00A3454F"/>
    <w:rsid w:val="00A34646"/>
    <w:rsid w:val="00A34700"/>
    <w:rsid w:val="00A34989"/>
    <w:rsid w:val="00A34EE7"/>
    <w:rsid w:val="00A34F0E"/>
    <w:rsid w:val="00A35260"/>
    <w:rsid w:val="00A35353"/>
    <w:rsid w:val="00A35482"/>
    <w:rsid w:val="00A35817"/>
    <w:rsid w:val="00A358A0"/>
    <w:rsid w:val="00A35A6C"/>
    <w:rsid w:val="00A35B25"/>
    <w:rsid w:val="00A35BAC"/>
    <w:rsid w:val="00A35C91"/>
    <w:rsid w:val="00A3602B"/>
    <w:rsid w:val="00A36271"/>
    <w:rsid w:val="00A362CD"/>
    <w:rsid w:val="00A3635F"/>
    <w:rsid w:val="00A365A3"/>
    <w:rsid w:val="00A3673F"/>
    <w:rsid w:val="00A367F3"/>
    <w:rsid w:val="00A36822"/>
    <w:rsid w:val="00A36882"/>
    <w:rsid w:val="00A36C24"/>
    <w:rsid w:val="00A36C54"/>
    <w:rsid w:val="00A36CEF"/>
    <w:rsid w:val="00A36F6E"/>
    <w:rsid w:val="00A3717D"/>
    <w:rsid w:val="00A372D2"/>
    <w:rsid w:val="00A37362"/>
    <w:rsid w:val="00A3738B"/>
    <w:rsid w:val="00A37466"/>
    <w:rsid w:val="00A377BB"/>
    <w:rsid w:val="00A378B3"/>
    <w:rsid w:val="00A37C9F"/>
    <w:rsid w:val="00A37CA4"/>
    <w:rsid w:val="00A37E4F"/>
    <w:rsid w:val="00A37E5E"/>
    <w:rsid w:val="00A37F35"/>
    <w:rsid w:val="00A4009A"/>
    <w:rsid w:val="00A400CA"/>
    <w:rsid w:val="00A400F1"/>
    <w:rsid w:val="00A40642"/>
    <w:rsid w:val="00A406B6"/>
    <w:rsid w:val="00A4094A"/>
    <w:rsid w:val="00A40BB6"/>
    <w:rsid w:val="00A40BC1"/>
    <w:rsid w:val="00A40C46"/>
    <w:rsid w:val="00A40C68"/>
    <w:rsid w:val="00A40CC4"/>
    <w:rsid w:val="00A40EBB"/>
    <w:rsid w:val="00A40EC3"/>
    <w:rsid w:val="00A40F8B"/>
    <w:rsid w:val="00A41044"/>
    <w:rsid w:val="00A410CD"/>
    <w:rsid w:val="00A411AB"/>
    <w:rsid w:val="00A41218"/>
    <w:rsid w:val="00A41431"/>
    <w:rsid w:val="00A41709"/>
    <w:rsid w:val="00A4186F"/>
    <w:rsid w:val="00A41F3C"/>
    <w:rsid w:val="00A41F4E"/>
    <w:rsid w:val="00A42299"/>
    <w:rsid w:val="00A423AC"/>
    <w:rsid w:val="00A427B6"/>
    <w:rsid w:val="00A4289C"/>
    <w:rsid w:val="00A428B6"/>
    <w:rsid w:val="00A42A1F"/>
    <w:rsid w:val="00A42A58"/>
    <w:rsid w:val="00A42C84"/>
    <w:rsid w:val="00A4301D"/>
    <w:rsid w:val="00A43416"/>
    <w:rsid w:val="00A436B6"/>
    <w:rsid w:val="00A43BB9"/>
    <w:rsid w:val="00A43E8F"/>
    <w:rsid w:val="00A43F62"/>
    <w:rsid w:val="00A44319"/>
    <w:rsid w:val="00A4433B"/>
    <w:rsid w:val="00A4461D"/>
    <w:rsid w:val="00A446D4"/>
    <w:rsid w:val="00A446E0"/>
    <w:rsid w:val="00A4479B"/>
    <w:rsid w:val="00A449E0"/>
    <w:rsid w:val="00A44A3C"/>
    <w:rsid w:val="00A44BDE"/>
    <w:rsid w:val="00A44D72"/>
    <w:rsid w:val="00A44E48"/>
    <w:rsid w:val="00A450B7"/>
    <w:rsid w:val="00A45228"/>
    <w:rsid w:val="00A455E8"/>
    <w:rsid w:val="00A4599F"/>
    <w:rsid w:val="00A459D7"/>
    <w:rsid w:val="00A45CE8"/>
    <w:rsid w:val="00A45F4C"/>
    <w:rsid w:val="00A462E0"/>
    <w:rsid w:val="00A46391"/>
    <w:rsid w:val="00A46419"/>
    <w:rsid w:val="00A46450"/>
    <w:rsid w:val="00A4657F"/>
    <w:rsid w:val="00A46741"/>
    <w:rsid w:val="00A46793"/>
    <w:rsid w:val="00A469DC"/>
    <w:rsid w:val="00A46B4C"/>
    <w:rsid w:val="00A46B54"/>
    <w:rsid w:val="00A46B72"/>
    <w:rsid w:val="00A46C52"/>
    <w:rsid w:val="00A46D10"/>
    <w:rsid w:val="00A46DC5"/>
    <w:rsid w:val="00A47514"/>
    <w:rsid w:val="00A475FC"/>
    <w:rsid w:val="00A476B5"/>
    <w:rsid w:val="00A4799A"/>
    <w:rsid w:val="00A47BF4"/>
    <w:rsid w:val="00A47D24"/>
    <w:rsid w:val="00A47E9F"/>
    <w:rsid w:val="00A47EC4"/>
    <w:rsid w:val="00A502A8"/>
    <w:rsid w:val="00A502B4"/>
    <w:rsid w:val="00A504F5"/>
    <w:rsid w:val="00A50784"/>
    <w:rsid w:val="00A50848"/>
    <w:rsid w:val="00A5096A"/>
    <w:rsid w:val="00A5099B"/>
    <w:rsid w:val="00A50D47"/>
    <w:rsid w:val="00A50F58"/>
    <w:rsid w:val="00A50FED"/>
    <w:rsid w:val="00A51518"/>
    <w:rsid w:val="00A51612"/>
    <w:rsid w:val="00A516D0"/>
    <w:rsid w:val="00A517F8"/>
    <w:rsid w:val="00A51910"/>
    <w:rsid w:val="00A51997"/>
    <w:rsid w:val="00A51A34"/>
    <w:rsid w:val="00A51A71"/>
    <w:rsid w:val="00A51AA4"/>
    <w:rsid w:val="00A51B0B"/>
    <w:rsid w:val="00A51BFF"/>
    <w:rsid w:val="00A51E57"/>
    <w:rsid w:val="00A51EAD"/>
    <w:rsid w:val="00A51F20"/>
    <w:rsid w:val="00A52212"/>
    <w:rsid w:val="00A5227F"/>
    <w:rsid w:val="00A5285D"/>
    <w:rsid w:val="00A52B6C"/>
    <w:rsid w:val="00A52C01"/>
    <w:rsid w:val="00A52C4D"/>
    <w:rsid w:val="00A52FF3"/>
    <w:rsid w:val="00A53320"/>
    <w:rsid w:val="00A53357"/>
    <w:rsid w:val="00A53658"/>
    <w:rsid w:val="00A53669"/>
    <w:rsid w:val="00A537C2"/>
    <w:rsid w:val="00A53951"/>
    <w:rsid w:val="00A53A44"/>
    <w:rsid w:val="00A53E8C"/>
    <w:rsid w:val="00A53F82"/>
    <w:rsid w:val="00A53FFA"/>
    <w:rsid w:val="00A54127"/>
    <w:rsid w:val="00A54166"/>
    <w:rsid w:val="00A5457D"/>
    <w:rsid w:val="00A547CB"/>
    <w:rsid w:val="00A54813"/>
    <w:rsid w:val="00A54AB9"/>
    <w:rsid w:val="00A54C5E"/>
    <w:rsid w:val="00A54DD3"/>
    <w:rsid w:val="00A54E47"/>
    <w:rsid w:val="00A55166"/>
    <w:rsid w:val="00A55391"/>
    <w:rsid w:val="00A5548A"/>
    <w:rsid w:val="00A55690"/>
    <w:rsid w:val="00A558DF"/>
    <w:rsid w:val="00A55930"/>
    <w:rsid w:val="00A55B07"/>
    <w:rsid w:val="00A55F8C"/>
    <w:rsid w:val="00A565C5"/>
    <w:rsid w:val="00A56648"/>
    <w:rsid w:val="00A56736"/>
    <w:rsid w:val="00A56A8E"/>
    <w:rsid w:val="00A56DD9"/>
    <w:rsid w:val="00A57196"/>
    <w:rsid w:val="00A572EC"/>
    <w:rsid w:val="00A5747C"/>
    <w:rsid w:val="00A577CC"/>
    <w:rsid w:val="00A5788F"/>
    <w:rsid w:val="00A57967"/>
    <w:rsid w:val="00A57C1C"/>
    <w:rsid w:val="00A57EA5"/>
    <w:rsid w:val="00A601D3"/>
    <w:rsid w:val="00A603BD"/>
    <w:rsid w:val="00A604E4"/>
    <w:rsid w:val="00A6057C"/>
    <w:rsid w:val="00A60740"/>
    <w:rsid w:val="00A6080A"/>
    <w:rsid w:val="00A60910"/>
    <w:rsid w:val="00A609E9"/>
    <w:rsid w:val="00A60C06"/>
    <w:rsid w:val="00A60C79"/>
    <w:rsid w:val="00A60CCD"/>
    <w:rsid w:val="00A60E8F"/>
    <w:rsid w:val="00A610B9"/>
    <w:rsid w:val="00A61156"/>
    <w:rsid w:val="00A61194"/>
    <w:rsid w:val="00A61350"/>
    <w:rsid w:val="00A615EB"/>
    <w:rsid w:val="00A6167F"/>
    <w:rsid w:val="00A6169C"/>
    <w:rsid w:val="00A616E4"/>
    <w:rsid w:val="00A6177C"/>
    <w:rsid w:val="00A61837"/>
    <w:rsid w:val="00A6184D"/>
    <w:rsid w:val="00A618F2"/>
    <w:rsid w:val="00A61B6A"/>
    <w:rsid w:val="00A61F70"/>
    <w:rsid w:val="00A61FA5"/>
    <w:rsid w:val="00A62041"/>
    <w:rsid w:val="00A62520"/>
    <w:rsid w:val="00A62605"/>
    <w:rsid w:val="00A6261F"/>
    <w:rsid w:val="00A628B3"/>
    <w:rsid w:val="00A62999"/>
    <w:rsid w:val="00A62B57"/>
    <w:rsid w:val="00A62C66"/>
    <w:rsid w:val="00A62D8C"/>
    <w:rsid w:val="00A62E74"/>
    <w:rsid w:val="00A62EDD"/>
    <w:rsid w:val="00A6311C"/>
    <w:rsid w:val="00A63318"/>
    <w:rsid w:val="00A63519"/>
    <w:rsid w:val="00A635F8"/>
    <w:rsid w:val="00A637AD"/>
    <w:rsid w:val="00A63866"/>
    <w:rsid w:val="00A639D0"/>
    <w:rsid w:val="00A63A71"/>
    <w:rsid w:val="00A63ACB"/>
    <w:rsid w:val="00A63B0B"/>
    <w:rsid w:val="00A63BD2"/>
    <w:rsid w:val="00A63FD5"/>
    <w:rsid w:val="00A63FE4"/>
    <w:rsid w:val="00A6424D"/>
    <w:rsid w:val="00A64667"/>
    <w:rsid w:val="00A646B4"/>
    <w:rsid w:val="00A647B6"/>
    <w:rsid w:val="00A64A6A"/>
    <w:rsid w:val="00A64AC7"/>
    <w:rsid w:val="00A64AFA"/>
    <w:rsid w:val="00A64DAE"/>
    <w:rsid w:val="00A651F6"/>
    <w:rsid w:val="00A651FE"/>
    <w:rsid w:val="00A652BF"/>
    <w:rsid w:val="00A654EC"/>
    <w:rsid w:val="00A65678"/>
    <w:rsid w:val="00A6585C"/>
    <w:rsid w:val="00A65A3F"/>
    <w:rsid w:val="00A65EAA"/>
    <w:rsid w:val="00A6614C"/>
    <w:rsid w:val="00A66240"/>
    <w:rsid w:val="00A66286"/>
    <w:rsid w:val="00A6672C"/>
    <w:rsid w:val="00A669D4"/>
    <w:rsid w:val="00A66C8D"/>
    <w:rsid w:val="00A66CD5"/>
    <w:rsid w:val="00A66DA5"/>
    <w:rsid w:val="00A66E5E"/>
    <w:rsid w:val="00A66F0E"/>
    <w:rsid w:val="00A67062"/>
    <w:rsid w:val="00A6734C"/>
    <w:rsid w:val="00A67383"/>
    <w:rsid w:val="00A67454"/>
    <w:rsid w:val="00A676A1"/>
    <w:rsid w:val="00A6777F"/>
    <w:rsid w:val="00A67857"/>
    <w:rsid w:val="00A67AD6"/>
    <w:rsid w:val="00A67CB4"/>
    <w:rsid w:val="00A67EBE"/>
    <w:rsid w:val="00A70195"/>
    <w:rsid w:val="00A701B6"/>
    <w:rsid w:val="00A703F6"/>
    <w:rsid w:val="00A70492"/>
    <w:rsid w:val="00A70504"/>
    <w:rsid w:val="00A7071D"/>
    <w:rsid w:val="00A709B1"/>
    <w:rsid w:val="00A70BE5"/>
    <w:rsid w:val="00A70CB3"/>
    <w:rsid w:val="00A70DD1"/>
    <w:rsid w:val="00A70E92"/>
    <w:rsid w:val="00A70E95"/>
    <w:rsid w:val="00A70EA8"/>
    <w:rsid w:val="00A7103C"/>
    <w:rsid w:val="00A7124A"/>
    <w:rsid w:val="00A71265"/>
    <w:rsid w:val="00A7140C"/>
    <w:rsid w:val="00A714F1"/>
    <w:rsid w:val="00A716CA"/>
    <w:rsid w:val="00A71711"/>
    <w:rsid w:val="00A71931"/>
    <w:rsid w:val="00A71A47"/>
    <w:rsid w:val="00A71A9A"/>
    <w:rsid w:val="00A71B1D"/>
    <w:rsid w:val="00A71BB3"/>
    <w:rsid w:val="00A71ED2"/>
    <w:rsid w:val="00A71F54"/>
    <w:rsid w:val="00A71F5F"/>
    <w:rsid w:val="00A721AB"/>
    <w:rsid w:val="00A723A2"/>
    <w:rsid w:val="00A72584"/>
    <w:rsid w:val="00A72590"/>
    <w:rsid w:val="00A72A53"/>
    <w:rsid w:val="00A72B5F"/>
    <w:rsid w:val="00A72DA2"/>
    <w:rsid w:val="00A72DA5"/>
    <w:rsid w:val="00A72E78"/>
    <w:rsid w:val="00A72ECE"/>
    <w:rsid w:val="00A72F09"/>
    <w:rsid w:val="00A73048"/>
    <w:rsid w:val="00A7307C"/>
    <w:rsid w:val="00A734C0"/>
    <w:rsid w:val="00A73550"/>
    <w:rsid w:val="00A736A6"/>
    <w:rsid w:val="00A736FF"/>
    <w:rsid w:val="00A737A0"/>
    <w:rsid w:val="00A737BC"/>
    <w:rsid w:val="00A738AB"/>
    <w:rsid w:val="00A7397B"/>
    <w:rsid w:val="00A73AFF"/>
    <w:rsid w:val="00A73B98"/>
    <w:rsid w:val="00A73C36"/>
    <w:rsid w:val="00A73C65"/>
    <w:rsid w:val="00A73CBE"/>
    <w:rsid w:val="00A73F20"/>
    <w:rsid w:val="00A74221"/>
    <w:rsid w:val="00A743BF"/>
    <w:rsid w:val="00A7496B"/>
    <w:rsid w:val="00A74C50"/>
    <w:rsid w:val="00A74C6A"/>
    <w:rsid w:val="00A74EA1"/>
    <w:rsid w:val="00A74F70"/>
    <w:rsid w:val="00A751E3"/>
    <w:rsid w:val="00A751EB"/>
    <w:rsid w:val="00A753C1"/>
    <w:rsid w:val="00A754CB"/>
    <w:rsid w:val="00A756A8"/>
    <w:rsid w:val="00A75AC4"/>
    <w:rsid w:val="00A75D6F"/>
    <w:rsid w:val="00A75FD0"/>
    <w:rsid w:val="00A76039"/>
    <w:rsid w:val="00A76161"/>
    <w:rsid w:val="00A761C1"/>
    <w:rsid w:val="00A7625A"/>
    <w:rsid w:val="00A762CC"/>
    <w:rsid w:val="00A762FF"/>
    <w:rsid w:val="00A763BD"/>
    <w:rsid w:val="00A76482"/>
    <w:rsid w:val="00A76613"/>
    <w:rsid w:val="00A76739"/>
    <w:rsid w:val="00A76809"/>
    <w:rsid w:val="00A76AF6"/>
    <w:rsid w:val="00A76B77"/>
    <w:rsid w:val="00A76CBA"/>
    <w:rsid w:val="00A76F8D"/>
    <w:rsid w:val="00A76F9A"/>
    <w:rsid w:val="00A7705A"/>
    <w:rsid w:val="00A7716B"/>
    <w:rsid w:val="00A7725E"/>
    <w:rsid w:val="00A77319"/>
    <w:rsid w:val="00A7731B"/>
    <w:rsid w:val="00A775A4"/>
    <w:rsid w:val="00A775BD"/>
    <w:rsid w:val="00A7760C"/>
    <w:rsid w:val="00A776F1"/>
    <w:rsid w:val="00A7775C"/>
    <w:rsid w:val="00A777ED"/>
    <w:rsid w:val="00A77B3C"/>
    <w:rsid w:val="00A77FC2"/>
    <w:rsid w:val="00A80134"/>
    <w:rsid w:val="00A80181"/>
    <w:rsid w:val="00A80283"/>
    <w:rsid w:val="00A802C5"/>
    <w:rsid w:val="00A80524"/>
    <w:rsid w:val="00A8059F"/>
    <w:rsid w:val="00A80B0F"/>
    <w:rsid w:val="00A80CEB"/>
    <w:rsid w:val="00A80F92"/>
    <w:rsid w:val="00A80FF5"/>
    <w:rsid w:val="00A81299"/>
    <w:rsid w:val="00A813AC"/>
    <w:rsid w:val="00A813C2"/>
    <w:rsid w:val="00A8156C"/>
    <w:rsid w:val="00A815F0"/>
    <w:rsid w:val="00A81670"/>
    <w:rsid w:val="00A81692"/>
    <w:rsid w:val="00A81708"/>
    <w:rsid w:val="00A81D39"/>
    <w:rsid w:val="00A81D94"/>
    <w:rsid w:val="00A81F27"/>
    <w:rsid w:val="00A81FF4"/>
    <w:rsid w:val="00A8213D"/>
    <w:rsid w:val="00A82227"/>
    <w:rsid w:val="00A82291"/>
    <w:rsid w:val="00A82299"/>
    <w:rsid w:val="00A8257F"/>
    <w:rsid w:val="00A82921"/>
    <w:rsid w:val="00A829C6"/>
    <w:rsid w:val="00A82E77"/>
    <w:rsid w:val="00A832F0"/>
    <w:rsid w:val="00A83331"/>
    <w:rsid w:val="00A83371"/>
    <w:rsid w:val="00A8349C"/>
    <w:rsid w:val="00A834AA"/>
    <w:rsid w:val="00A83870"/>
    <w:rsid w:val="00A83969"/>
    <w:rsid w:val="00A84498"/>
    <w:rsid w:val="00A84616"/>
    <w:rsid w:val="00A847E1"/>
    <w:rsid w:val="00A84891"/>
    <w:rsid w:val="00A8495C"/>
    <w:rsid w:val="00A849A5"/>
    <w:rsid w:val="00A84C33"/>
    <w:rsid w:val="00A84C7A"/>
    <w:rsid w:val="00A84C97"/>
    <w:rsid w:val="00A85245"/>
    <w:rsid w:val="00A853C3"/>
    <w:rsid w:val="00A853DC"/>
    <w:rsid w:val="00A853F2"/>
    <w:rsid w:val="00A853F6"/>
    <w:rsid w:val="00A85472"/>
    <w:rsid w:val="00A85594"/>
    <w:rsid w:val="00A855B1"/>
    <w:rsid w:val="00A8568B"/>
    <w:rsid w:val="00A85806"/>
    <w:rsid w:val="00A858F2"/>
    <w:rsid w:val="00A8593F"/>
    <w:rsid w:val="00A85982"/>
    <w:rsid w:val="00A859C3"/>
    <w:rsid w:val="00A85C20"/>
    <w:rsid w:val="00A85DFD"/>
    <w:rsid w:val="00A85E5C"/>
    <w:rsid w:val="00A86058"/>
    <w:rsid w:val="00A86081"/>
    <w:rsid w:val="00A862A1"/>
    <w:rsid w:val="00A863E1"/>
    <w:rsid w:val="00A866CD"/>
    <w:rsid w:val="00A86716"/>
    <w:rsid w:val="00A8679E"/>
    <w:rsid w:val="00A86985"/>
    <w:rsid w:val="00A869AC"/>
    <w:rsid w:val="00A869CF"/>
    <w:rsid w:val="00A86A07"/>
    <w:rsid w:val="00A86A4A"/>
    <w:rsid w:val="00A86CCE"/>
    <w:rsid w:val="00A86D2F"/>
    <w:rsid w:val="00A86F30"/>
    <w:rsid w:val="00A86F68"/>
    <w:rsid w:val="00A870DE"/>
    <w:rsid w:val="00A871E9"/>
    <w:rsid w:val="00A87273"/>
    <w:rsid w:val="00A872A2"/>
    <w:rsid w:val="00A873B1"/>
    <w:rsid w:val="00A87401"/>
    <w:rsid w:val="00A87403"/>
    <w:rsid w:val="00A875E3"/>
    <w:rsid w:val="00A87730"/>
    <w:rsid w:val="00A879AA"/>
    <w:rsid w:val="00A87ACE"/>
    <w:rsid w:val="00A87B06"/>
    <w:rsid w:val="00A87C0A"/>
    <w:rsid w:val="00A87CD6"/>
    <w:rsid w:val="00A87FEF"/>
    <w:rsid w:val="00A8D7FF"/>
    <w:rsid w:val="00A9005F"/>
    <w:rsid w:val="00A9030A"/>
    <w:rsid w:val="00A90380"/>
    <w:rsid w:val="00A90576"/>
    <w:rsid w:val="00A906FF"/>
    <w:rsid w:val="00A9075B"/>
    <w:rsid w:val="00A90A42"/>
    <w:rsid w:val="00A90A9D"/>
    <w:rsid w:val="00A90BC6"/>
    <w:rsid w:val="00A90BD5"/>
    <w:rsid w:val="00A90BED"/>
    <w:rsid w:val="00A90C92"/>
    <w:rsid w:val="00A90EB5"/>
    <w:rsid w:val="00A90F41"/>
    <w:rsid w:val="00A911B7"/>
    <w:rsid w:val="00A912BF"/>
    <w:rsid w:val="00A91475"/>
    <w:rsid w:val="00A91565"/>
    <w:rsid w:val="00A91858"/>
    <w:rsid w:val="00A91C09"/>
    <w:rsid w:val="00A91D63"/>
    <w:rsid w:val="00A91EB0"/>
    <w:rsid w:val="00A920FC"/>
    <w:rsid w:val="00A921F9"/>
    <w:rsid w:val="00A924EC"/>
    <w:rsid w:val="00A92703"/>
    <w:rsid w:val="00A927FC"/>
    <w:rsid w:val="00A92870"/>
    <w:rsid w:val="00A92AF2"/>
    <w:rsid w:val="00A92C71"/>
    <w:rsid w:val="00A92EE0"/>
    <w:rsid w:val="00A9312F"/>
    <w:rsid w:val="00A933C2"/>
    <w:rsid w:val="00A93562"/>
    <w:rsid w:val="00A93684"/>
    <w:rsid w:val="00A9398F"/>
    <w:rsid w:val="00A93ABE"/>
    <w:rsid w:val="00A93EAE"/>
    <w:rsid w:val="00A93EB6"/>
    <w:rsid w:val="00A93FB7"/>
    <w:rsid w:val="00A940AE"/>
    <w:rsid w:val="00A94150"/>
    <w:rsid w:val="00A9425F"/>
    <w:rsid w:val="00A943B2"/>
    <w:rsid w:val="00A943CA"/>
    <w:rsid w:val="00A9452F"/>
    <w:rsid w:val="00A94721"/>
    <w:rsid w:val="00A947D9"/>
    <w:rsid w:val="00A94A7F"/>
    <w:rsid w:val="00A951B0"/>
    <w:rsid w:val="00A953BD"/>
    <w:rsid w:val="00A953F4"/>
    <w:rsid w:val="00A95482"/>
    <w:rsid w:val="00A95491"/>
    <w:rsid w:val="00A9575B"/>
    <w:rsid w:val="00A95763"/>
    <w:rsid w:val="00A958EF"/>
    <w:rsid w:val="00A95CE6"/>
    <w:rsid w:val="00A95F2C"/>
    <w:rsid w:val="00A95FC8"/>
    <w:rsid w:val="00A96023"/>
    <w:rsid w:val="00A9602E"/>
    <w:rsid w:val="00A960FD"/>
    <w:rsid w:val="00A96186"/>
    <w:rsid w:val="00A962CC"/>
    <w:rsid w:val="00A96576"/>
    <w:rsid w:val="00A965CC"/>
    <w:rsid w:val="00A966A2"/>
    <w:rsid w:val="00A9677B"/>
    <w:rsid w:val="00A9696C"/>
    <w:rsid w:val="00A969F7"/>
    <w:rsid w:val="00A96B3C"/>
    <w:rsid w:val="00A96C9D"/>
    <w:rsid w:val="00A96D2B"/>
    <w:rsid w:val="00A96D5E"/>
    <w:rsid w:val="00A97479"/>
    <w:rsid w:val="00A974A0"/>
    <w:rsid w:val="00A97573"/>
    <w:rsid w:val="00A976B3"/>
    <w:rsid w:val="00A97B52"/>
    <w:rsid w:val="00A97CBD"/>
    <w:rsid w:val="00AA0222"/>
    <w:rsid w:val="00AA07BC"/>
    <w:rsid w:val="00AA0843"/>
    <w:rsid w:val="00AA0B49"/>
    <w:rsid w:val="00AA0DFB"/>
    <w:rsid w:val="00AA1081"/>
    <w:rsid w:val="00AA11AD"/>
    <w:rsid w:val="00AA13E3"/>
    <w:rsid w:val="00AA1475"/>
    <w:rsid w:val="00AA1487"/>
    <w:rsid w:val="00AA15B3"/>
    <w:rsid w:val="00AA1859"/>
    <w:rsid w:val="00AA1921"/>
    <w:rsid w:val="00AA1982"/>
    <w:rsid w:val="00AA1A13"/>
    <w:rsid w:val="00AA1A49"/>
    <w:rsid w:val="00AA1A50"/>
    <w:rsid w:val="00AA1B4C"/>
    <w:rsid w:val="00AA1BA3"/>
    <w:rsid w:val="00AA1DA4"/>
    <w:rsid w:val="00AA1E06"/>
    <w:rsid w:val="00AA1E0B"/>
    <w:rsid w:val="00AA1F07"/>
    <w:rsid w:val="00AA1FAB"/>
    <w:rsid w:val="00AA2036"/>
    <w:rsid w:val="00AA21BE"/>
    <w:rsid w:val="00AA2C7E"/>
    <w:rsid w:val="00AA2DED"/>
    <w:rsid w:val="00AA2E81"/>
    <w:rsid w:val="00AA2EBC"/>
    <w:rsid w:val="00AA2F49"/>
    <w:rsid w:val="00AA308E"/>
    <w:rsid w:val="00AA32DF"/>
    <w:rsid w:val="00AA3301"/>
    <w:rsid w:val="00AA3320"/>
    <w:rsid w:val="00AA33DA"/>
    <w:rsid w:val="00AA3680"/>
    <w:rsid w:val="00AA37F7"/>
    <w:rsid w:val="00AA394C"/>
    <w:rsid w:val="00AA3F1C"/>
    <w:rsid w:val="00AA3FBB"/>
    <w:rsid w:val="00AA406C"/>
    <w:rsid w:val="00AA4152"/>
    <w:rsid w:val="00AA4545"/>
    <w:rsid w:val="00AA4665"/>
    <w:rsid w:val="00AA4BB9"/>
    <w:rsid w:val="00AA4BCD"/>
    <w:rsid w:val="00AA4BE7"/>
    <w:rsid w:val="00AA4E6A"/>
    <w:rsid w:val="00AA4FE1"/>
    <w:rsid w:val="00AA508B"/>
    <w:rsid w:val="00AA52D7"/>
    <w:rsid w:val="00AA58A8"/>
    <w:rsid w:val="00AA58C9"/>
    <w:rsid w:val="00AA5977"/>
    <w:rsid w:val="00AA5F28"/>
    <w:rsid w:val="00AA5FBD"/>
    <w:rsid w:val="00AA5FDB"/>
    <w:rsid w:val="00AA60D1"/>
    <w:rsid w:val="00AA6349"/>
    <w:rsid w:val="00AA65CB"/>
    <w:rsid w:val="00AA674A"/>
    <w:rsid w:val="00AA6D28"/>
    <w:rsid w:val="00AA6F35"/>
    <w:rsid w:val="00AA6FBF"/>
    <w:rsid w:val="00AA7027"/>
    <w:rsid w:val="00AA7060"/>
    <w:rsid w:val="00AA723A"/>
    <w:rsid w:val="00AA726A"/>
    <w:rsid w:val="00AA72B3"/>
    <w:rsid w:val="00AA72BA"/>
    <w:rsid w:val="00AA74AB"/>
    <w:rsid w:val="00AA75BB"/>
    <w:rsid w:val="00AA75D2"/>
    <w:rsid w:val="00AA782B"/>
    <w:rsid w:val="00AA789C"/>
    <w:rsid w:val="00AA7948"/>
    <w:rsid w:val="00AA7B90"/>
    <w:rsid w:val="00AA7C32"/>
    <w:rsid w:val="00AA7DAE"/>
    <w:rsid w:val="00AA7E47"/>
    <w:rsid w:val="00AA7ECC"/>
    <w:rsid w:val="00AA7F70"/>
    <w:rsid w:val="00AB00DB"/>
    <w:rsid w:val="00AB012B"/>
    <w:rsid w:val="00AB01AA"/>
    <w:rsid w:val="00AB07A4"/>
    <w:rsid w:val="00AB08CC"/>
    <w:rsid w:val="00AB08DD"/>
    <w:rsid w:val="00AB09EB"/>
    <w:rsid w:val="00AB0A55"/>
    <w:rsid w:val="00AB0AC3"/>
    <w:rsid w:val="00AB0C4C"/>
    <w:rsid w:val="00AB0D0A"/>
    <w:rsid w:val="00AB0DB0"/>
    <w:rsid w:val="00AB0DC4"/>
    <w:rsid w:val="00AB0DD5"/>
    <w:rsid w:val="00AB10AF"/>
    <w:rsid w:val="00AB113B"/>
    <w:rsid w:val="00AB14CC"/>
    <w:rsid w:val="00AB1599"/>
    <w:rsid w:val="00AB15BD"/>
    <w:rsid w:val="00AB1754"/>
    <w:rsid w:val="00AB1798"/>
    <w:rsid w:val="00AB181B"/>
    <w:rsid w:val="00AB19DB"/>
    <w:rsid w:val="00AB1D38"/>
    <w:rsid w:val="00AB1E31"/>
    <w:rsid w:val="00AB1EE1"/>
    <w:rsid w:val="00AB209D"/>
    <w:rsid w:val="00AB2419"/>
    <w:rsid w:val="00AB2457"/>
    <w:rsid w:val="00AB271C"/>
    <w:rsid w:val="00AB27B1"/>
    <w:rsid w:val="00AB28FA"/>
    <w:rsid w:val="00AB2B52"/>
    <w:rsid w:val="00AB2B7E"/>
    <w:rsid w:val="00AB2C3A"/>
    <w:rsid w:val="00AB2E20"/>
    <w:rsid w:val="00AB2E64"/>
    <w:rsid w:val="00AB2E76"/>
    <w:rsid w:val="00AB2F3A"/>
    <w:rsid w:val="00AB2F77"/>
    <w:rsid w:val="00AB3184"/>
    <w:rsid w:val="00AB31B4"/>
    <w:rsid w:val="00AB3257"/>
    <w:rsid w:val="00AB32E7"/>
    <w:rsid w:val="00AB332A"/>
    <w:rsid w:val="00AB33C9"/>
    <w:rsid w:val="00AB34B6"/>
    <w:rsid w:val="00AB3574"/>
    <w:rsid w:val="00AB3954"/>
    <w:rsid w:val="00AB3A72"/>
    <w:rsid w:val="00AB3AB3"/>
    <w:rsid w:val="00AB3ACC"/>
    <w:rsid w:val="00AB3C62"/>
    <w:rsid w:val="00AB3CAE"/>
    <w:rsid w:val="00AB3D03"/>
    <w:rsid w:val="00AB3E61"/>
    <w:rsid w:val="00AB40E9"/>
    <w:rsid w:val="00AB40EF"/>
    <w:rsid w:val="00AB4198"/>
    <w:rsid w:val="00AB41E0"/>
    <w:rsid w:val="00AB4204"/>
    <w:rsid w:val="00AB4559"/>
    <w:rsid w:val="00AB456D"/>
    <w:rsid w:val="00AB461E"/>
    <w:rsid w:val="00AB46C3"/>
    <w:rsid w:val="00AB46F7"/>
    <w:rsid w:val="00AB4A27"/>
    <w:rsid w:val="00AB4AFD"/>
    <w:rsid w:val="00AB4B2D"/>
    <w:rsid w:val="00AB4B9D"/>
    <w:rsid w:val="00AB4BDA"/>
    <w:rsid w:val="00AB4D75"/>
    <w:rsid w:val="00AB4FC4"/>
    <w:rsid w:val="00AB4FE6"/>
    <w:rsid w:val="00AB51D2"/>
    <w:rsid w:val="00AB5484"/>
    <w:rsid w:val="00AB560C"/>
    <w:rsid w:val="00AB5859"/>
    <w:rsid w:val="00AB5B0C"/>
    <w:rsid w:val="00AB622F"/>
    <w:rsid w:val="00AB635C"/>
    <w:rsid w:val="00AB6397"/>
    <w:rsid w:val="00AB6615"/>
    <w:rsid w:val="00AB66A4"/>
    <w:rsid w:val="00AB66C6"/>
    <w:rsid w:val="00AB6946"/>
    <w:rsid w:val="00AB6A39"/>
    <w:rsid w:val="00AB6D8A"/>
    <w:rsid w:val="00AB706F"/>
    <w:rsid w:val="00AB70F7"/>
    <w:rsid w:val="00AB715A"/>
    <w:rsid w:val="00AB72CF"/>
    <w:rsid w:val="00AB73CC"/>
    <w:rsid w:val="00AB756B"/>
    <w:rsid w:val="00AB75F8"/>
    <w:rsid w:val="00AB7665"/>
    <w:rsid w:val="00AB7787"/>
    <w:rsid w:val="00AB783E"/>
    <w:rsid w:val="00AB799C"/>
    <w:rsid w:val="00AB7A13"/>
    <w:rsid w:val="00AB7ACA"/>
    <w:rsid w:val="00AB7C69"/>
    <w:rsid w:val="00AB7C7A"/>
    <w:rsid w:val="00AB7E8C"/>
    <w:rsid w:val="00AB7F69"/>
    <w:rsid w:val="00AB7FE9"/>
    <w:rsid w:val="00AC0271"/>
    <w:rsid w:val="00AC05ED"/>
    <w:rsid w:val="00AC0630"/>
    <w:rsid w:val="00AC0699"/>
    <w:rsid w:val="00AC0ADB"/>
    <w:rsid w:val="00AC0EE5"/>
    <w:rsid w:val="00AC1078"/>
    <w:rsid w:val="00AC113E"/>
    <w:rsid w:val="00AC1275"/>
    <w:rsid w:val="00AC1288"/>
    <w:rsid w:val="00AC12AE"/>
    <w:rsid w:val="00AC12E3"/>
    <w:rsid w:val="00AC1496"/>
    <w:rsid w:val="00AC14D2"/>
    <w:rsid w:val="00AC154F"/>
    <w:rsid w:val="00AC16E2"/>
    <w:rsid w:val="00AC1868"/>
    <w:rsid w:val="00AC1907"/>
    <w:rsid w:val="00AC1D21"/>
    <w:rsid w:val="00AC1D67"/>
    <w:rsid w:val="00AC2270"/>
    <w:rsid w:val="00AC22E5"/>
    <w:rsid w:val="00AC2489"/>
    <w:rsid w:val="00AC248E"/>
    <w:rsid w:val="00AC25C0"/>
    <w:rsid w:val="00AC27BA"/>
    <w:rsid w:val="00AC2838"/>
    <w:rsid w:val="00AC2F7A"/>
    <w:rsid w:val="00AC312E"/>
    <w:rsid w:val="00AC3214"/>
    <w:rsid w:val="00AC33C7"/>
    <w:rsid w:val="00AC34E0"/>
    <w:rsid w:val="00AC3833"/>
    <w:rsid w:val="00AC388B"/>
    <w:rsid w:val="00AC390C"/>
    <w:rsid w:val="00AC3965"/>
    <w:rsid w:val="00AC3B09"/>
    <w:rsid w:val="00AC3B69"/>
    <w:rsid w:val="00AC3DB1"/>
    <w:rsid w:val="00AC3E58"/>
    <w:rsid w:val="00AC3EFA"/>
    <w:rsid w:val="00AC3F54"/>
    <w:rsid w:val="00AC40A4"/>
    <w:rsid w:val="00AC42B8"/>
    <w:rsid w:val="00AC4312"/>
    <w:rsid w:val="00AC4535"/>
    <w:rsid w:val="00AC4560"/>
    <w:rsid w:val="00AC4579"/>
    <w:rsid w:val="00AC471C"/>
    <w:rsid w:val="00AC4B22"/>
    <w:rsid w:val="00AC4BD5"/>
    <w:rsid w:val="00AC4E67"/>
    <w:rsid w:val="00AC512D"/>
    <w:rsid w:val="00AC5534"/>
    <w:rsid w:val="00AC55C9"/>
    <w:rsid w:val="00AC58AF"/>
    <w:rsid w:val="00AC5942"/>
    <w:rsid w:val="00AC59A2"/>
    <w:rsid w:val="00AC5A79"/>
    <w:rsid w:val="00AC5A93"/>
    <w:rsid w:val="00AC5B57"/>
    <w:rsid w:val="00AC5B78"/>
    <w:rsid w:val="00AC5D9C"/>
    <w:rsid w:val="00AC5E5E"/>
    <w:rsid w:val="00AC5E77"/>
    <w:rsid w:val="00AC632C"/>
    <w:rsid w:val="00AC6350"/>
    <w:rsid w:val="00AC6450"/>
    <w:rsid w:val="00AC64F2"/>
    <w:rsid w:val="00AC6720"/>
    <w:rsid w:val="00AC69F3"/>
    <w:rsid w:val="00AC69FB"/>
    <w:rsid w:val="00AC6A0A"/>
    <w:rsid w:val="00AC6B54"/>
    <w:rsid w:val="00AC6E16"/>
    <w:rsid w:val="00AC7087"/>
    <w:rsid w:val="00AC7357"/>
    <w:rsid w:val="00AC754D"/>
    <w:rsid w:val="00AC76A8"/>
    <w:rsid w:val="00AC7909"/>
    <w:rsid w:val="00AC7B75"/>
    <w:rsid w:val="00AC7ECD"/>
    <w:rsid w:val="00AD0091"/>
    <w:rsid w:val="00AD01C5"/>
    <w:rsid w:val="00AD066A"/>
    <w:rsid w:val="00AD0766"/>
    <w:rsid w:val="00AD07E9"/>
    <w:rsid w:val="00AD083F"/>
    <w:rsid w:val="00AD0A75"/>
    <w:rsid w:val="00AD0AC5"/>
    <w:rsid w:val="00AD0B41"/>
    <w:rsid w:val="00AD0BDA"/>
    <w:rsid w:val="00AD0E2D"/>
    <w:rsid w:val="00AD1038"/>
    <w:rsid w:val="00AD1062"/>
    <w:rsid w:val="00AD110F"/>
    <w:rsid w:val="00AD1499"/>
    <w:rsid w:val="00AD158D"/>
    <w:rsid w:val="00AD16AD"/>
    <w:rsid w:val="00AD16C6"/>
    <w:rsid w:val="00AD179E"/>
    <w:rsid w:val="00AD18E6"/>
    <w:rsid w:val="00AD1943"/>
    <w:rsid w:val="00AD19D3"/>
    <w:rsid w:val="00AD1E04"/>
    <w:rsid w:val="00AD1F83"/>
    <w:rsid w:val="00AD2170"/>
    <w:rsid w:val="00AD275A"/>
    <w:rsid w:val="00AD2B23"/>
    <w:rsid w:val="00AD2BF7"/>
    <w:rsid w:val="00AD2F39"/>
    <w:rsid w:val="00AD3000"/>
    <w:rsid w:val="00AD30E5"/>
    <w:rsid w:val="00AD330A"/>
    <w:rsid w:val="00AD33C0"/>
    <w:rsid w:val="00AD3416"/>
    <w:rsid w:val="00AD3620"/>
    <w:rsid w:val="00AD36D7"/>
    <w:rsid w:val="00AD36F1"/>
    <w:rsid w:val="00AD39B2"/>
    <w:rsid w:val="00AD3D6D"/>
    <w:rsid w:val="00AD3D9C"/>
    <w:rsid w:val="00AD3E0F"/>
    <w:rsid w:val="00AD3F02"/>
    <w:rsid w:val="00AD4235"/>
    <w:rsid w:val="00AD42E1"/>
    <w:rsid w:val="00AD4395"/>
    <w:rsid w:val="00AD43DB"/>
    <w:rsid w:val="00AD43E0"/>
    <w:rsid w:val="00AD4411"/>
    <w:rsid w:val="00AD4536"/>
    <w:rsid w:val="00AD46DF"/>
    <w:rsid w:val="00AD4867"/>
    <w:rsid w:val="00AD48F5"/>
    <w:rsid w:val="00AD4C61"/>
    <w:rsid w:val="00AD4E2F"/>
    <w:rsid w:val="00AD506A"/>
    <w:rsid w:val="00AD55CE"/>
    <w:rsid w:val="00AD55E7"/>
    <w:rsid w:val="00AD599D"/>
    <w:rsid w:val="00AD5A57"/>
    <w:rsid w:val="00AD5CB8"/>
    <w:rsid w:val="00AD5CB9"/>
    <w:rsid w:val="00AD5CD4"/>
    <w:rsid w:val="00AD5DB0"/>
    <w:rsid w:val="00AD5EC8"/>
    <w:rsid w:val="00AD5F68"/>
    <w:rsid w:val="00AD5FDE"/>
    <w:rsid w:val="00AD6100"/>
    <w:rsid w:val="00AD61C5"/>
    <w:rsid w:val="00AD6599"/>
    <w:rsid w:val="00AD6649"/>
    <w:rsid w:val="00AD66C9"/>
    <w:rsid w:val="00AD67B0"/>
    <w:rsid w:val="00AD69BC"/>
    <w:rsid w:val="00AD69FA"/>
    <w:rsid w:val="00AD6A48"/>
    <w:rsid w:val="00AD6B58"/>
    <w:rsid w:val="00AD6CC5"/>
    <w:rsid w:val="00AD6D50"/>
    <w:rsid w:val="00AD6EA3"/>
    <w:rsid w:val="00AD7240"/>
    <w:rsid w:val="00AD737E"/>
    <w:rsid w:val="00AD73EC"/>
    <w:rsid w:val="00AD74E9"/>
    <w:rsid w:val="00AD7F00"/>
    <w:rsid w:val="00AE02CB"/>
    <w:rsid w:val="00AE036E"/>
    <w:rsid w:val="00AE042E"/>
    <w:rsid w:val="00AE0559"/>
    <w:rsid w:val="00AE05E1"/>
    <w:rsid w:val="00AE0612"/>
    <w:rsid w:val="00AE07AD"/>
    <w:rsid w:val="00AE0A20"/>
    <w:rsid w:val="00AE0AEB"/>
    <w:rsid w:val="00AE0B0F"/>
    <w:rsid w:val="00AE0D47"/>
    <w:rsid w:val="00AE0D97"/>
    <w:rsid w:val="00AE0E7C"/>
    <w:rsid w:val="00AE0ED0"/>
    <w:rsid w:val="00AE0EF6"/>
    <w:rsid w:val="00AE0F73"/>
    <w:rsid w:val="00AE104F"/>
    <w:rsid w:val="00AE13F7"/>
    <w:rsid w:val="00AE14DD"/>
    <w:rsid w:val="00AE151D"/>
    <w:rsid w:val="00AE153C"/>
    <w:rsid w:val="00AE157E"/>
    <w:rsid w:val="00AE1A8E"/>
    <w:rsid w:val="00AE1B9E"/>
    <w:rsid w:val="00AE1CEF"/>
    <w:rsid w:val="00AE1EF5"/>
    <w:rsid w:val="00AE1F52"/>
    <w:rsid w:val="00AE1F90"/>
    <w:rsid w:val="00AE1FD4"/>
    <w:rsid w:val="00AE1FFC"/>
    <w:rsid w:val="00AE2050"/>
    <w:rsid w:val="00AE211C"/>
    <w:rsid w:val="00AE21C4"/>
    <w:rsid w:val="00AE22BA"/>
    <w:rsid w:val="00AE2368"/>
    <w:rsid w:val="00AE2377"/>
    <w:rsid w:val="00AE23CA"/>
    <w:rsid w:val="00AE29ED"/>
    <w:rsid w:val="00AE2A0C"/>
    <w:rsid w:val="00AE2F73"/>
    <w:rsid w:val="00AE30D0"/>
    <w:rsid w:val="00AE30FE"/>
    <w:rsid w:val="00AE336F"/>
    <w:rsid w:val="00AE3876"/>
    <w:rsid w:val="00AE3B5F"/>
    <w:rsid w:val="00AE3CFD"/>
    <w:rsid w:val="00AE3D8A"/>
    <w:rsid w:val="00AE3DD7"/>
    <w:rsid w:val="00AE3FAD"/>
    <w:rsid w:val="00AE4060"/>
    <w:rsid w:val="00AE4142"/>
    <w:rsid w:val="00AE437A"/>
    <w:rsid w:val="00AE4381"/>
    <w:rsid w:val="00AE4422"/>
    <w:rsid w:val="00AE4706"/>
    <w:rsid w:val="00AE47D3"/>
    <w:rsid w:val="00AE4A00"/>
    <w:rsid w:val="00AE4CF5"/>
    <w:rsid w:val="00AE4D0E"/>
    <w:rsid w:val="00AE4DE7"/>
    <w:rsid w:val="00AE4F86"/>
    <w:rsid w:val="00AE4F99"/>
    <w:rsid w:val="00AE52AF"/>
    <w:rsid w:val="00AE53F4"/>
    <w:rsid w:val="00AE5582"/>
    <w:rsid w:val="00AE55D2"/>
    <w:rsid w:val="00AE573C"/>
    <w:rsid w:val="00AE58F8"/>
    <w:rsid w:val="00AE5A40"/>
    <w:rsid w:val="00AE5E82"/>
    <w:rsid w:val="00AE5F8D"/>
    <w:rsid w:val="00AE61BE"/>
    <w:rsid w:val="00AE61EE"/>
    <w:rsid w:val="00AE64D8"/>
    <w:rsid w:val="00AE65F0"/>
    <w:rsid w:val="00AE66DF"/>
    <w:rsid w:val="00AE68E5"/>
    <w:rsid w:val="00AE6CDE"/>
    <w:rsid w:val="00AE6EC2"/>
    <w:rsid w:val="00AE7106"/>
    <w:rsid w:val="00AE7178"/>
    <w:rsid w:val="00AE73FC"/>
    <w:rsid w:val="00AE7560"/>
    <w:rsid w:val="00AE7893"/>
    <w:rsid w:val="00AE795F"/>
    <w:rsid w:val="00AE7A12"/>
    <w:rsid w:val="00AE7C62"/>
    <w:rsid w:val="00AE7C71"/>
    <w:rsid w:val="00AE7CAF"/>
    <w:rsid w:val="00AE7F6E"/>
    <w:rsid w:val="00AE7F8C"/>
    <w:rsid w:val="00AE7FFE"/>
    <w:rsid w:val="00AF00BD"/>
    <w:rsid w:val="00AF0119"/>
    <w:rsid w:val="00AF011F"/>
    <w:rsid w:val="00AF0233"/>
    <w:rsid w:val="00AF0332"/>
    <w:rsid w:val="00AF03F8"/>
    <w:rsid w:val="00AF060D"/>
    <w:rsid w:val="00AF06CB"/>
    <w:rsid w:val="00AF0755"/>
    <w:rsid w:val="00AF0877"/>
    <w:rsid w:val="00AF09DE"/>
    <w:rsid w:val="00AF0B8C"/>
    <w:rsid w:val="00AF0D7F"/>
    <w:rsid w:val="00AF0F6C"/>
    <w:rsid w:val="00AF10FE"/>
    <w:rsid w:val="00AF13B6"/>
    <w:rsid w:val="00AF1606"/>
    <w:rsid w:val="00AF164F"/>
    <w:rsid w:val="00AF1650"/>
    <w:rsid w:val="00AF16E2"/>
    <w:rsid w:val="00AF191F"/>
    <w:rsid w:val="00AF1AD7"/>
    <w:rsid w:val="00AF1B84"/>
    <w:rsid w:val="00AF2123"/>
    <w:rsid w:val="00AF219D"/>
    <w:rsid w:val="00AF23B3"/>
    <w:rsid w:val="00AF2B02"/>
    <w:rsid w:val="00AF2C72"/>
    <w:rsid w:val="00AF2DEF"/>
    <w:rsid w:val="00AF318E"/>
    <w:rsid w:val="00AF3231"/>
    <w:rsid w:val="00AF3395"/>
    <w:rsid w:val="00AF3619"/>
    <w:rsid w:val="00AF368E"/>
    <w:rsid w:val="00AF36FF"/>
    <w:rsid w:val="00AF37BE"/>
    <w:rsid w:val="00AF3849"/>
    <w:rsid w:val="00AF3A59"/>
    <w:rsid w:val="00AF3A61"/>
    <w:rsid w:val="00AF3ADF"/>
    <w:rsid w:val="00AF3B9E"/>
    <w:rsid w:val="00AF3C3D"/>
    <w:rsid w:val="00AF3D7E"/>
    <w:rsid w:val="00AF3DF7"/>
    <w:rsid w:val="00AF3EC9"/>
    <w:rsid w:val="00AF3F3B"/>
    <w:rsid w:val="00AF4174"/>
    <w:rsid w:val="00AF43F7"/>
    <w:rsid w:val="00AF45AB"/>
    <w:rsid w:val="00AF46E2"/>
    <w:rsid w:val="00AF4745"/>
    <w:rsid w:val="00AF4916"/>
    <w:rsid w:val="00AF492A"/>
    <w:rsid w:val="00AF4974"/>
    <w:rsid w:val="00AF4A5D"/>
    <w:rsid w:val="00AF4B23"/>
    <w:rsid w:val="00AF4D16"/>
    <w:rsid w:val="00AF4F74"/>
    <w:rsid w:val="00AF4F91"/>
    <w:rsid w:val="00AF52F9"/>
    <w:rsid w:val="00AF534F"/>
    <w:rsid w:val="00AF53F5"/>
    <w:rsid w:val="00AF5442"/>
    <w:rsid w:val="00AF56A4"/>
    <w:rsid w:val="00AF56D0"/>
    <w:rsid w:val="00AF586F"/>
    <w:rsid w:val="00AF5872"/>
    <w:rsid w:val="00AF5A05"/>
    <w:rsid w:val="00AF5A65"/>
    <w:rsid w:val="00AF5B4A"/>
    <w:rsid w:val="00AF5BDC"/>
    <w:rsid w:val="00AF5C30"/>
    <w:rsid w:val="00AF5C6F"/>
    <w:rsid w:val="00AF5EB8"/>
    <w:rsid w:val="00AF6215"/>
    <w:rsid w:val="00AF633E"/>
    <w:rsid w:val="00AF635F"/>
    <w:rsid w:val="00AF63F7"/>
    <w:rsid w:val="00AF6467"/>
    <w:rsid w:val="00AF6470"/>
    <w:rsid w:val="00AF6486"/>
    <w:rsid w:val="00AF6557"/>
    <w:rsid w:val="00AF6579"/>
    <w:rsid w:val="00AF65A3"/>
    <w:rsid w:val="00AF6A6F"/>
    <w:rsid w:val="00AF6B08"/>
    <w:rsid w:val="00AF6FE7"/>
    <w:rsid w:val="00AF728A"/>
    <w:rsid w:val="00AF75FF"/>
    <w:rsid w:val="00AF7682"/>
    <w:rsid w:val="00AF76C8"/>
    <w:rsid w:val="00AF7701"/>
    <w:rsid w:val="00AF7A3E"/>
    <w:rsid w:val="00AF7A95"/>
    <w:rsid w:val="00AF7ACD"/>
    <w:rsid w:val="00AF7DF8"/>
    <w:rsid w:val="00AF7EE3"/>
    <w:rsid w:val="00AF7F07"/>
    <w:rsid w:val="00B002EA"/>
    <w:rsid w:val="00B00411"/>
    <w:rsid w:val="00B00698"/>
    <w:rsid w:val="00B00768"/>
    <w:rsid w:val="00B007DD"/>
    <w:rsid w:val="00B00916"/>
    <w:rsid w:val="00B0092A"/>
    <w:rsid w:val="00B00A11"/>
    <w:rsid w:val="00B00BA3"/>
    <w:rsid w:val="00B00C79"/>
    <w:rsid w:val="00B00CD8"/>
    <w:rsid w:val="00B00DFB"/>
    <w:rsid w:val="00B00E6C"/>
    <w:rsid w:val="00B0105E"/>
    <w:rsid w:val="00B011AC"/>
    <w:rsid w:val="00B011AF"/>
    <w:rsid w:val="00B011B1"/>
    <w:rsid w:val="00B012AF"/>
    <w:rsid w:val="00B012F0"/>
    <w:rsid w:val="00B01714"/>
    <w:rsid w:val="00B01AE5"/>
    <w:rsid w:val="00B01B84"/>
    <w:rsid w:val="00B01E99"/>
    <w:rsid w:val="00B01EC0"/>
    <w:rsid w:val="00B01FA9"/>
    <w:rsid w:val="00B02161"/>
    <w:rsid w:val="00B021B2"/>
    <w:rsid w:val="00B022E3"/>
    <w:rsid w:val="00B02302"/>
    <w:rsid w:val="00B0235E"/>
    <w:rsid w:val="00B025A8"/>
    <w:rsid w:val="00B02E20"/>
    <w:rsid w:val="00B02E23"/>
    <w:rsid w:val="00B02E86"/>
    <w:rsid w:val="00B02EF2"/>
    <w:rsid w:val="00B02FAB"/>
    <w:rsid w:val="00B030B5"/>
    <w:rsid w:val="00B0332D"/>
    <w:rsid w:val="00B0339B"/>
    <w:rsid w:val="00B03428"/>
    <w:rsid w:val="00B034EB"/>
    <w:rsid w:val="00B03595"/>
    <w:rsid w:val="00B03598"/>
    <w:rsid w:val="00B035CC"/>
    <w:rsid w:val="00B0383A"/>
    <w:rsid w:val="00B0394F"/>
    <w:rsid w:val="00B03A5A"/>
    <w:rsid w:val="00B03A96"/>
    <w:rsid w:val="00B04507"/>
    <w:rsid w:val="00B046DF"/>
    <w:rsid w:val="00B04D08"/>
    <w:rsid w:val="00B04E0A"/>
    <w:rsid w:val="00B05287"/>
    <w:rsid w:val="00B05380"/>
    <w:rsid w:val="00B05486"/>
    <w:rsid w:val="00B056A2"/>
    <w:rsid w:val="00B059ED"/>
    <w:rsid w:val="00B05B59"/>
    <w:rsid w:val="00B05D17"/>
    <w:rsid w:val="00B05E8D"/>
    <w:rsid w:val="00B05FEF"/>
    <w:rsid w:val="00B05FF1"/>
    <w:rsid w:val="00B0637E"/>
    <w:rsid w:val="00B063F4"/>
    <w:rsid w:val="00B0643B"/>
    <w:rsid w:val="00B06512"/>
    <w:rsid w:val="00B06606"/>
    <w:rsid w:val="00B0663E"/>
    <w:rsid w:val="00B068D9"/>
    <w:rsid w:val="00B06960"/>
    <w:rsid w:val="00B06AB4"/>
    <w:rsid w:val="00B06CA5"/>
    <w:rsid w:val="00B06E3A"/>
    <w:rsid w:val="00B06E83"/>
    <w:rsid w:val="00B06EF6"/>
    <w:rsid w:val="00B06F90"/>
    <w:rsid w:val="00B06FC3"/>
    <w:rsid w:val="00B0706D"/>
    <w:rsid w:val="00B07085"/>
    <w:rsid w:val="00B0734E"/>
    <w:rsid w:val="00B07433"/>
    <w:rsid w:val="00B07571"/>
    <w:rsid w:val="00B07654"/>
    <w:rsid w:val="00B0771B"/>
    <w:rsid w:val="00B07B28"/>
    <w:rsid w:val="00B07C48"/>
    <w:rsid w:val="00B07D6B"/>
    <w:rsid w:val="00B10124"/>
    <w:rsid w:val="00B10223"/>
    <w:rsid w:val="00B10286"/>
    <w:rsid w:val="00B1037A"/>
    <w:rsid w:val="00B103CA"/>
    <w:rsid w:val="00B10524"/>
    <w:rsid w:val="00B10614"/>
    <w:rsid w:val="00B106B4"/>
    <w:rsid w:val="00B1076D"/>
    <w:rsid w:val="00B10770"/>
    <w:rsid w:val="00B10789"/>
    <w:rsid w:val="00B109C8"/>
    <w:rsid w:val="00B109DF"/>
    <w:rsid w:val="00B10A6F"/>
    <w:rsid w:val="00B11048"/>
    <w:rsid w:val="00B114C3"/>
    <w:rsid w:val="00B114CB"/>
    <w:rsid w:val="00B117E2"/>
    <w:rsid w:val="00B11DA4"/>
    <w:rsid w:val="00B11E84"/>
    <w:rsid w:val="00B11EB8"/>
    <w:rsid w:val="00B11F0E"/>
    <w:rsid w:val="00B11F19"/>
    <w:rsid w:val="00B120A9"/>
    <w:rsid w:val="00B120C7"/>
    <w:rsid w:val="00B12209"/>
    <w:rsid w:val="00B12299"/>
    <w:rsid w:val="00B1230F"/>
    <w:rsid w:val="00B125FF"/>
    <w:rsid w:val="00B12638"/>
    <w:rsid w:val="00B127F9"/>
    <w:rsid w:val="00B12875"/>
    <w:rsid w:val="00B12A59"/>
    <w:rsid w:val="00B12BAF"/>
    <w:rsid w:val="00B12BF8"/>
    <w:rsid w:val="00B12E3C"/>
    <w:rsid w:val="00B1311B"/>
    <w:rsid w:val="00B133AF"/>
    <w:rsid w:val="00B13464"/>
    <w:rsid w:val="00B13A5A"/>
    <w:rsid w:val="00B13EBA"/>
    <w:rsid w:val="00B14087"/>
    <w:rsid w:val="00B140E6"/>
    <w:rsid w:val="00B143D5"/>
    <w:rsid w:val="00B144D4"/>
    <w:rsid w:val="00B1494C"/>
    <w:rsid w:val="00B14998"/>
    <w:rsid w:val="00B14A0B"/>
    <w:rsid w:val="00B14A4D"/>
    <w:rsid w:val="00B15221"/>
    <w:rsid w:val="00B152B9"/>
    <w:rsid w:val="00B152CD"/>
    <w:rsid w:val="00B152E3"/>
    <w:rsid w:val="00B15713"/>
    <w:rsid w:val="00B15802"/>
    <w:rsid w:val="00B15947"/>
    <w:rsid w:val="00B15AD2"/>
    <w:rsid w:val="00B15D36"/>
    <w:rsid w:val="00B15ED4"/>
    <w:rsid w:val="00B15F8F"/>
    <w:rsid w:val="00B16020"/>
    <w:rsid w:val="00B1622C"/>
    <w:rsid w:val="00B1629C"/>
    <w:rsid w:val="00B1634C"/>
    <w:rsid w:val="00B165B1"/>
    <w:rsid w:val="00B165E0"/>
    <w:rsid w:val="00B16908"/>
    <w:rsid w:val="00B16A3B"/>
    <w:rsid w:val="00B16C73"/>
    <w:rsid w:val="00B16DCB"/>
    <w:rsid w:val="00B16F6D"/>
    <w:rsid w:val="00B1706D"/>
    <w:rsid w:val="00B17288"/>
    <w:rsid w:val="00B17369"/>
    <w:rsid w:val="00B173EB"/>
    <w:rsid w:val="00B175F9"/>
    <w:rsid w:val="00B179E3"/>
    <w:rsid w:val="00B17CEC"/>
    <w:rsid w:val="00B17D42"/>
    <w:rsid w:val="00B17DF0"/>
    <w:rsid w:val="00B20374"/>
    <w:rsid w:val="00B204E4"/>
    <w:rsid w:val="00B2057D"/>
    <w:rsid w:val="00B20712"/>
    <w:rsid w:val="00B2073E"/>
    <w:rsid w:val="00B213A9"/>
    <w:rsid w:val="00B2152C"/>
    <w:rsid w:val="00B215ED"/>
    <w:rsid w:val="00B21A77"/>
    <w:rsid w:val="00B21B3E"/>
    <w:rsid w:val="00B21B82"/>
    <w:rsid w:val="00B21F6B"/>
    <w:rsid w:val="00B222AD"/>
    <w:rsid w:val="00B224B1"/>
    <w:rsid w:val="00B225B9"/>
    <w:rsid w:val="00B22666"/>
    <w:rsid w:val="00B2269C"/>
    <w:rsid w:val="00B22740"/>
    <w:rsid w:val="00B2279D"/>
    <w:rsid w:val="00B22958"/>
    <w:rsid w:val="00B22A34"/>
    <w:rsid w:val="00B22AEC"/>
    <w:rsid w:val="00B22BE3"/>
    <w:rsid w:val="00B22E06"/>
    <w:rsid w:val="00B23097"/>
    <w:rsid w:val="00B232AF"/>
    <w:rsid w:val="00B232D0"/>
    <w:rsid w:val="00B233C0"/>
    <w:rsid w:val="00B23410"/>
    <w:rsid w:val="00B23417"/>
    <w:rsid w:val="00B23442"/>
    <w:rsid w:val="00B2348A"/>
    <w:rsid w:val="00B23683"/>
    <w:rsid w:val="00B23A1C"/>
    <w:rsid w:val="00B23AB8"/>
    <w:rsid w:val="00B23C87"/>
    <w:rsid w:val="00B23CE0"/>
    <w:rsid w:val="00B23D24"/>
    <w:rsid w:val="00B23DB0"/>
    <w:rsid w:val="00B23E36"/>
    <w:rsid w:val="00B240F8"/>
    <w:rsid w:val="00B24198"/>
    <w:rsid w:val="00B24686"/>
    <w:rsid w:val="00B24687"/>
    <w:rsid w:val="00B24732"/>
    <w:rsid w:val="00B24A1C"/>
    <w:rsid w:val="00B24A6E"/>
    <w:rsid w:val="00B24D13"/>
    <w:rsid w:val="00B25027"/>
    <w:rsid w:val="00B2504A"/>
    <w:rsid w:val="00B25156"/>
    <w:rsid w:val="00B25926"/>
    <w:rsid w:val="00B25954"/>
    <w:rsid w:val="00B25BF5"/>
    <w:rsid w:val="00B25C9D"/>
    <w:rsid w:val="00B25CF3"/>
    <w:rsid w:val="00B25D2E"/>
    <w:rsid w:val="00B25F3B"/>
    <w:rsid w:val="00B26031"/>
    <w:rsid w:val="00B26108"/>
    <w:rsid w:val="00B26248"/>
    <w:rsid w:val="00B265C3"/>
    <w:rsid w:val="00B2672E"/>
    <w:rsid w:val="00B26742"/>
    <w:rsid w:val="00B26802"/>
    <w:rsid w:val="00B26878"/>
    <w:rsid w:val="00B268F6"/>
    <w:rsid w:val="00B26A01"/>
    <w:rsid w:val="00B26A43"/>
    <w:rsid w:val="00B27106"/>
    <w:rsid w:val="00B27197"/>
    <w:rsid w:val="00B27276"/>
    <w:rsid w:val="00B27282"/>
    <w:rsid w:val="00B27357"/>
    <w:rsid w:val="00B27464"/>
    <w:rsid w:val="00B2751B"/>
    <w:rsid w:val="00B27550"/>
    <w:rsid w:val="00B27598"/>
    <w:rsid w:val="00B2766F"/>
    <w:rsid w:val="00B276CB"/>
    <w:rsid w:val="00B279EB"/>
    <w:rsid w:val="00B27BB0"/>
    <w:rsid w:val="00B27F0F"/>
    <w:rsid w:val="00B300E6"/>
    <w:rsid w:val="00B30143"/>
    <w:rsid w:val="00B30238"/>
    <w:rsid w:val="00B3026E"/>
    <w:rsid w:val="00B302C4"/>
    <w:rsid w:val="00B3033C"/>
    <w:rsid w:val="00B303EA"/>
    <w:rsid w:val="00B30430"/>
    <w:rsid w:val="00B30474"/>
    <w:rsid w:val="00B30588"/>
    <w:rsid w:val="00B3065D"/>
    <w:rsid w:val="00B307D7"/>
    <w:rsid w:val="00B30807"/>
    <w:rsid w:val="00B30B6E"/>
    <w:rsid w:val="00B30C41"/>
    <w:rsid w:val="00B30D4A"/>
    <w:rsid w:val="00B30F75"/>
    <w:rsid w:val="00B30F94"/>
    <w:rsid w:val="00B31221"/>
    <w:rsid w:val="00B313D7"/>
    <w:rsid w:val="00B3156C"/>
    <w:rsid w:val="00B316BB"/>
    <w:rsid w:val="00B31966"/>
    <w:rsid w:val="00B319F5"/>
    <w:rsid w:val="00B31AF4"/>
    <w:rsid w:val="00B31E30"/>
    <w:rsid w:val="00B31E5E"/>
    <w:rsid w:val="00B31F68"/>
    <w:rsid w:val="00B32257"/>
    <w:rsid w:val="00B3247E"/>
    <w:rsid w:val="00B3270A"/>
    <w:rsid w:val="00B32750"/>
    <w:rsid w:val="00B32855"/>
    <w:rsid w:val="00B328CD"/>
    <w:rsid w:val="00B329F2"/>
    <w:rsid w:val="00B32A28"/>
    <w:rsid w:val="00B33232"/>
    <w:rsid w:val="00B33742"/>
    <w:rsid w:val="00B337F1"/>
    <w:rsid w:val="00B33866"/>
    <w:rsid w:val="00B33C03"/>
    <w:rsid w:val="00B340D9"/>
    <w:rsid w:val="00B3435D"/>
    <w:rsid w:val="00B3436F"/>
    <w:rsid w:val="00B34418"/>
    <w:rsid w:val="00B34456"/>
    <w:rsid w:val="00B3452A"/>
    <w:rsid w:val="00B34545"/>
    <w:rsid w:val="00B34626"/>
    <w:rsid w:val="00B34648"/>
    <w:rsid w:val="00B34663"/>
    <w:rsid w:val="00B34817"/>
    <w:rsid w:val="00B3493A"/>
    <w:rsid w:val="00B34A55"/>
    <w:rsid w:val="00B34B31"/>
    <w:rsid w:val="00B34E49"/>
    <w:rsid w:val="00B34E78"/>
    <w:rsid w:val="00B34F44"/>
    <w:rsid w:val="00B34F64"/>
    <w:rsid w:val="00B35246"/>
    <w:rsid w:val="00B3528F"/>
    <w:rsid w:val="00B35394"/>
    <w:rsid w:val="00B35403"/>
    <w:rsid w:val="00B35602"/>
    <w:rsid w:val="00B357F6"/>
    <w:rsid w:val="00B3584A"/>
    <w:rsid w:val="00B35A4C"/>
    <w:rsid w:val="00B35B58"/>
    <w:rsid w:val="00B35C00"/>
    <w:rsid w:val="00B35E10"/>
    <w:rsid w:val="00B35E8B"/>
    <w:rsid w:val="00B35FDE"/>
    <w:rsid w:val="00B362CF"/>
    <w:rsid w:val="00B36312"/>
    <w:rsid w:val="00B36595"/>
    <w:rsid w:val="00B36687"/>
    <w:rsid w:val="00B367FD"/>
    <w:rsid w:val="00B368C6"/>
    <w:rsid w:val="00B36A35"/>
    <w:rsid w:val="00B36BD6"/>
    <w:rsid w:val="00B36D91"/>
    <w:rsid w:val="00B36F44"/>
    <w:rsid w:val="00B37077"/>
    <w:rsid w:val="00B37078"/>
    <w:rsid w:val="00B371A8"/>
    <w:rsid w:val="00B37381"/>
    <w:rsid w:val="00B375B6"/>
    <w:rsid w:val="00B375D8"/>
    <w:rsid w:val="00B3773D"/>
    <w:rsid w:val="00B37854"/>
    <w:rsid w:val="00B37859"/>
    <w:rsid w:val="00B378C9"/>
    <w:rsid w:val="00B378DF"/>
    <w:rsid w:val="00B37B34"/>
    <w:rsid w:val="00B37B7D"/>
    <w:rsid w:val="00B37BEE"/>
    <w:rsid w:val="00B37C82"/>
    <w:rsid w:val="00B37EE6"/>
    <w:rsid w:val="00B40165"/>
    <w:rsid w:val="00B402E7"/>
    <w:rsid w:val="00B406D2"/>
    <w:rsid w:val="00B407FB"/>
    <w:rsid w:val="00B408D7"/>
    <w:rsid w:val="00B408FE"/>
    <w:rsid w:val="00B416A9"/>
    <w:rsid w:val="00B41845"/>
    <w:rsid w:val="00B41AC4"/>
    <w:rsid w:val="00B41D4A"/>
    <w:rsid w:val="00B41F41"/>
    <w:rsid w:val="00B41FA2"/>
    <w:rsid w:val="00B42093"/>
    <w:rsid w:val="00B42304"/>
    <w:rsid w:val="00B42312"/>
    <w:rsid w:val="00B42484"/>
    <w:rsid w:val="00B424BF"/>
    <w:rsid w:val="00B42507"/>
    <w:rsid w:val="00B4265F"/>
    <w:rsid w:val="00B42735"/>
    <w:rsid w:val="00B4274F"/>
    <w:rsid w:val="00B42D16"/>
    <w:rsid w:val="00B42DAD"/>
    <w:rsid w:val="00B42DBD"/>
    <w:rsid w:val="00B42DD3"/>
    <w:rsid w:val="00B42DE9"/>
    <w:rsid w:val="00B43038"/>
    <w:rsid w:val="00B4316C"/>
    <w:rsid w:val="00B433A4"/>
    <w:rsid w:val="00B434F1"/>
    <w:rsid w:val="00B437E4"/>
    <w:rsid w:val="00B4386F"/>
    <w:rsid w:val="00B4391B"/>
    <w:rsid w:val="00B43927"/>
    <w:rsid w:val="00B43BA0"/>
    <w:rsid w:val="00B43BDF"/>
    <w:rsid w:val="00B43C27"/>
    <w:rsid w:val="00B43C3E"/>
    <w:rsid w:val="00B43F19"/>
    <w:rsid w:val="00B43F3C"/>
    <w:rsid w:val="00B43FE2"/>
    <w:rsid w:val="00B44186"/>
    <w:rsid w:val="00B4444A"/>
    <w:rsid w:val="00B449EB"/>
    <w:rsid w:val="00B44A52"/>
    <w:rsid w:val="00B44B74"/>
    <w:rsid w:val="00B44D43"/>
    <w:rsid w:val="00B45097"/>
    <w:rsid w:val="00B45295"/>
    <w:rsid w:val="00B452BB"/>
    <w:rsid w:val="00B4531B"/>
    <w:rsid w:val="00B45767"/>
    <w:rsid w:val="00B45922"/>
    <w:rsid w:val="00B45B14"/>
    <w:rsid w:val="00B45D29"/>
    <w:rsid w:val="00B45E08"/>
    <w:rsid w:val="00B45E8E"/>
    <w:rsid w:val="00B45EC5"/>
    <w:rsid w:val="00B46534"/>
    <w:rsid w:val="00B466C6"/>
    <w:rsid w:val="00B46979"/>
    <w:rsid w:val="00B46B52"/>
    <w:rsid w:val="00B46B69"/>
    <w:rsid w:val="00B46C07"/>
    <w:rsid w:val="00B47336"/>
    <w:rsid w:val="00B473A8"/>
    <w:rsid w:val="00B4757D"/>
    <w:rsid w:val="00B478E6"/>
    <w:rsid w:val="00B4796C"/>
    <w:rsid w:val="00B4797C"/>
    <w:rsid w:val="00B47C98"/>
    <w:rsid w:val="00B47D27"/>
    <w:rsid w:val="00B5000F"/>
    <w:rsid w:val="00B503B7"/>
    <w:rsid w:val="00B5041C"/>
    <w:rsid w:val="00B5042C"/>
    <w:rsid w:val="00B50458"/>
    <w:rsid w:val="00B505E2"/>
    <w:rsid w:val="00B506AE"/>
    <w:rsid w:val="00B5096E"/>
    <w:rsid w:val="00B50F1B"/>
    <w:rsid w:val="00B510B4"/>
    <w:rsid w:val="00B51274"/>
    <w:rsid w:val="00B51286"/>
    <w:rsid w:val="00B513D9"/>
    <w:rsid w:val="00B517EE"/>
    <w:rsid w:val="00B51872"/>
    <w:rsid w:val="00B519B2"/>
    <w:rsid w:val="00B51E8B"/>
    <w:rsid w:val="00B51F5C"/>
    <w:rsid w:val="00B521D1"/>
    <w:rsid w:val="00B522B8"/>
    <w:rsid w:val="00B5230B"/>
    <w:rsid w:val="00B5258C"/>
    <w:rsid w:val="00B52644"/>
    <w:rsid w:val="00B5267C"/>
    <w:rsid w:val="00B52770"/>
    <w:rsid w:val="00B52838"/>
    <w:rsid w:val="00B52A27"/>
    <w:rsid w:val="00B52BA3"/>
    <w:rsid w:val="00B52BBF"/>
    <w:rsid w:val="00B52BC3"/>
    <w:rsid w:val="00B52C66"/>
    <w:rsid w:val="00B52CEC"/>
    <w:rsid w:val="00B52DCA"/>
    <w:rsid w:val="00B52E32"/>
    <w:rsid w:val="00B52F38"/>
    <w:rsid w:val="00B53047"/>
    <w:rsid w:val="00B53061"/>
    <w:rsid w:val="00B5306B"/>
    <w:rsid w:val="00B53086"/>
    <w:rsid w:val="00B5338E"/>
    <w:rsid w:val="00B53790"/>
    <w:rsid w:val="00B537D2"/>
    <w:rsid w:val="00B5380E"/>
    <w:rsid w:val="00B5385C"/>
    <w:rsid w:val="00B53939"/>
    <w:rsid w:val="00B53B4C"/>
    <w:rsid w:val="00B54096"/>
    <w:rsid w:val="00B540A0"/>
    <w:rsid w:val="00B54250"/>
    <w:rsid w:val="00B54301"/>
    <w:rsid w:val="00B54371"/>
    <w:rsid w:val="00B544CA"/>
    <w:rsid w:val="00B544F2"/>
    <w:rsid w:val="00B5461E"/>
    <w:rsid w:val="00B546E7"/>
    <w:rsid w:val="00B547B2"/>
    <w:rsid w:val="00B547CB"/>
    <w:rsid w:val="00B5485D"/>
    <w:rsid w:val="00B54B7B"/>
    <w:rsid w:val="00B54C1A"/>
    <w:rsid w:val="00B54E42"/>
    <w:rsid w:val="00B55010"/>
    <w:rsid w:val="00B55456"/>
    <w:rsid w:val="00B5561F"/>
    <w:rsid w:val="00B556AC"/>
    <w:rsid w:val="00B556F6"/>
    <w:rsid w:val="00B5580E"/>
    <w:rsid w:val="00B558D7"/>
    <w:rsid w:val="00B55AD2"/>
    <w:rsid w:val="00B55C5D"/>
    <w:rsid w:val="00B55D6F"/>
    <w:rsid w:val="00B55DCD"/>
    <w:rsid w:val="00B55F0E"/>
    <w:rsid w:val="00B55FC6"/>
    <w:rsid w:val="00B565E5"/>
    <w:rsid w:val="00B56A8B"/>
    <w:rsid w:val="00B56E49"/>
    <w:rsid w:val="00B5701F"/>
    <w:rsid w:val="00B57039"/>
    <w:rsid w:val="00B57250"/>
    <w:rsid w:val="00B5731C"/>
    <w:rsid w:val="00B5741F"/>
    <w:rsid w:val="00B574EF"/>
    <w:rsid w:val="00B5784C"/>
    <w:rsid w:val="00B57ABD"/>
    <w:rsid w:val="00B57D0B"/>
    <w:rsid w:val="00B57D17"/>
    <w:rsid w:val="00B57F5C"/>
    <w:rsid w:val="00B57FAD"/>
    <w:rsid w:val="00B60023"/>
    <w:rsid w:val="00B6022B"/>
    <w:rsid w:val="00B60354"/>
    <w:rsid w:val="00B607D5"/>
    <w:rsid w:val="00B609A0"/>
    <w:rsid w:val="00B60A1A"/>
    <w:rsid w:val="00B60B4F"/>
    <w:rsid w:val="00B60CB2"/>
    <w:rsid w:val="00B60CF9"/>
    <w:rsid w:val="00B60E33"/>
    <w:rsid w:val="00B60EF0"/>
    <w:rsid w:val="00B6122A"/>
    <w:rsid w:val="00B6123F"/>
    <w:rsid w:val="00B61554"/>
    <w:rsid w:val="00B615B9"/>
    <w:rsid w:val="00B616EC"/>
    <w:rsid w:val="00B619B4"/>
    <w:rsid w:val="00B61AAD"/>
    <w:rsid w:val="00B61C21"/>
    <w:rsid w:val="00B61D0F"/>
    <w:rsid w:val="00B61D84"/>
    <w:rsid w:val="00B61F07"/>
    <w:rsid w:val="00B61FB0"/>
    <w:rsid w:val="00B620DB"/>
    <w:rsid w:val="00B625D6"/>
    <w:rsid w:val="00B62768"/>
    <w:rsid w:val="00B627F7"/>
    <w:rsid w:val="00B628D6"/>
    <w:rsid w:val="00B62AFD"/>
    <w:rsid w:val="00B62BAC"/>
    <w:rsid w:val="00B62FC0"/>
    <w:rsid w:val="00B62FDC"/>
    <w:rsid w:val="00B6316F"/>
    <w:rsid w:val="00B6368E"/>
    <w:rsid w:val="00B63773"/>
    <w:rsid w:val="00B63BE9"/>
    <w:rsid w:val="00B63CB7"/>
    <w:rsid w:val="00B63D6B"/>
    <w:rsid w:val="00B63DDE"/>
    <w:rsid w:val="00B63EEB"/>
    <w:rsid w:val="00B6413A"/>
    <w:rsid w:val="00B64295"/>
    <w:rsid w:val="00B6435A"/>
    <w:rsid w:val="00B646DF"/>
    <w:rsid w:val="00B64711"/>
    <w:rsid w:val="00B64871"/>
    <w:rsid w:val="00B6489F"/>
    <w:rsid w:val="00B64B12"/>
    <w:rsid w:val="00B64B34"/>
    <w:rsid w:val="00B64D27"/>
    <w:rsid w:val="00B64E33"/>
    <w:rsid w:val="00B64F12"/>
    <w:rsid w:val="00B6505A"/>
    <w:rsid w:val="00B6527B"/>
    <w:rsid w:val="00B652E7"/>
    <w:rsid w:val="00B654A2"/>
    <w:rsid w:val="00B655B0"/>
    <w:rsid w:val="00B656AE"/>
    <w:rsid w:val="00B65857"/>
    <w:rsid w:val="00B65974"/>
    <w:rsid w:val="00B65BA2"/>
    <w:rsid w:val="00B65BBE"/>
    <w:rsid w:val="00B65C4F"/>
    <w:rsid w:val="00B65C93"/>
    <w:rsid w:val="00B65DF1"/>
    <w:rsid w:val="00B65E40"/>
    <w:rsid w:val="00B65F8D"/>
    <w:rsid w:val="00B66064"/>
    <w:rsid w:val="00B66138"/>
    <w:rsid w:val="00B6614A"/>
    <w:rsid w:val="00B6697A"/>
    <w:rsid w:val="00B66B1E"/>
    <w:rsid w:val="00B66F4C"/>
    <w:rsid w:val="00B6711D"/>
    <w:rsid w:val="00B6716C"/>
    <w:rsid w:val="00B671D7"/>
    <w:rsid w:val="00B67495"/>
    <w:rsid w:val="00B674AD"/>
    <w:rsid w:val="00B6762E"/>
    <w:rsid w:val="00B678A6"/>
    <w:rsid w:val="00B678CB"/>
    <w:rsid w:val="00B67A3E"/>
    <w:rsid w:val="00B6E8BD"/>
    <w:rsid w:val="00B70027"/>
    <w:rsid w:val="00B7002F"/>
    <w:rsid w:val="00B700D4"/>
    <w:rsid w:val="00B7016D"/>
    <w:rsid w:val="00B70271"/>
    <w:rsid w:val="00B7051A"/>
    <w:rsid w:val="00B70646"/>
    <w:rsid w:val="00B706EA"/>
    <w:rsid w:val="00B70A76"/>
    <w:rsid w:val="00B70AF9"/>
    <w:rsid w:val="00B7117B"/>
    <w:rsid w:val="00B712D6"/>
    <w:rsid w:val="00B713FD"/>
    <w:rsid w:val="00B715BA"/>
    <w:rsid w:val="00B716D5"/>
    <w:rsid w:val="00B716D6"/>
    <w:rsid w:val="00B7170F"/>
    <w:rsid w:val="00B7183F"/>
    <w:rsid w:val="00B71852"/>
    <w:rsid w:val="00B71882"/>
    <w:rsid w:val="00B71E97"/>
    <w:rsid w:val="00B71F81"/>
    <w:rsid w:val="00B7221A"/>
    <w:rsid w:val="00B72414"/>
    <w:rsid w:val="00B725AF"/>
    <w:rsid w:val="00B725F6"/>
    <w:rsid w:val="00B72726"/>
    <w:rsid w:val="00B727D4"/>
    <w:rsid w:val="00B72959"/>
    <w:rsid w:val="00B72C05"/>
    <w:rsid w:val="00B73089"/>
    <w:rsid w:val="00B73286"/>
    <w:rsid w:val="00B7378E"/>
    <w:rsid w:val="00B737A6"/>
    <w:rsid w:val="00B737C2"/>
    <w:rsid w:val="00B73814"/>
    <w:rsid w:val="00B73AB8"/>
    <w:rsid w:val="00B73D1D"/>
    <w:rsid w:val="00B73FCA"/>
    <w:rsid w:val="00B74205"/>
    <w:rsid w:val="00B744AB"/>
    <w:rsid w:val="00B744E1"/>
    <w:rsid w:val="00B7451E"/>
    <w:rsid w:val="00B74942"/>
    <w:rsid w:val="00B74976"/>
    <w:rsid w:val="00B74982"/>
    <w:rsid w:val="00B74BC1"/>
    <w:rsid w:val="00B74BFA"/>
    <w:rsid w:val="00B74FF1"/>
    <w:rsid w:val="00B7517F"/>
    <w:rsid w:val="00B7535D"/>
    <w:rsid w:val="00B7549E"/>
    <w:rsid w:val="00B755F7"/>
    <w:rsid w:val="00B758F9"/>
    <w:rsid w:val="00B75ABF"/>
    <w:rsid w:val="00B75B34"/>
    <w:rsid w:val="00B75DA9"/>
    <w:rsid w:val="00B75E09"/>
    <w:rsid w:val="00B75E80"/>
    <w:rsid w:val="00B75E85"/>
    <w:rsid w:val="00B75F32"/>
    <w:rsid w:val="00B75F57"/>
    <w:rsid w:val="00B75FF1"/>
    <w:rsid w:val="00B76298"/>
    <w:rsid w:val="00B76333"/>
    <w:rsid w:val="00B7636E"/>
    <w:rsid w:val="00B7680E"/>
    <w:rsid w:val="00B76A1B"/>
    <w:rsid w:val="00B76B67"/>
    <w:rsid w:val="00B76DC5"/>
    <w:rsid w:val="00B76DD3"/>
    <w:rsid w:val="00B771FC"/>
    <w:rsid w:val="00B77395"/>
    <w:rsid w:val="00B773F6"/>
    <w:rsid w:val="00B77680"/>
    <w:rsid w:val="00B7776B"/>
    <w:rsid w:val="00B77802"/>
    <w:rsid w:val="00B77880"/>
    <w:rsid w:val="00B77D38"/>
    <w:rsid w:val="00B77E85"/>
    <w:rsid w:val="00B77F35"/>
    <w:rsid w:val="00B80087"/>
    <w:rsid w:val="00B8009E"/>
    <w:rsid w:val="00B80188"/>
    <w:rsid w:val="00B8035B"/>
    <w:rsid w:val="00B803A8"/>
    <w:rsid w:val="00B8075C"/>
    <w:rsid w:val="00B80827"/>
    <w:rsid w:val="00B80888"/>
    <w:rsid w:val="00B8090C"/>
    <w:rsid w:val="00B809E8"/>
    <w:rsid w:val="00B80C12"/>
    <w:rsid w:val="00B80CA7"/>
    <w:rsid w:val="00B80CAD"/>
    <w:rsid w:val="00B80E37"/>
    <w:rsid w:val="00B80F85"/>
    <w:rsid w:val="00B81066"/>
    <w:rsid w:val="00B81111"/>
    <w:rsid w:val="00B81185"/>
    <w:rsid w:val="00B8124C"/>
    <w:rsid w:val="00B813D0"/>
    <w:rsid w:val="00B813DC"/>
    <w:rsid w:val="00B8154E"/>
    <w:rsid w:val="00B816B1"/>
    <w:rsid w:val="00B816C2"/>
    <w:rsid w:val="00B816CE"/>
    <w:rsid w:val="00B817AF"/>
    <w:rsid w:val="00B817B0"/>
    <w:rsid w:val="00B81AF8"/>
    <w:rsid w:val="00B81C6E"/>
    <w:rsid w:val="00B81C76"/>
    <w:rsid w:val="00B81F59"/>
    <w:rsid w:val="00B81FF4"/>
    <w:rsid w:val="00B821CD"/>
    <w:rsid w:val="00B8245F"/>
    <w:rsid w:val="00B8249E"/>
    <w:rsid w:val="00B8257D"/>
    <w:rsid w:val="00B82634"/>
    <w:rsid w:val="00B827FF"/>
    <w:rsid w:val="00B82AFA"/>
    <w:rsid w:val="00B82E6C"/>
    <w:rsid w:val="00B82E79"/>
    <w:rsid w:val="00B83010"/>
    <w:rsid w:val="00B83199"/>
    <w:rsid w:val="00B833B6"/>
    <w:rsid w:val="00B8349C"/>
    <w:rsid w:val="00B835AD"/>
    <w:rsid w:val="00B8371A"/>
    <w:rsid w:val="00B8374A"/>
    <w:rsid w:val="00B83800"/>
    <w:rsid w:val="00B838E2"/>
    <w:rsid w:val="00B83AAB"/>
    <w:rsid w:val="00B83AEB"/>
    <w:rsid w:val="00B83B79"/>
    <w:rsid w:val="00B83C2F"/>
    <w:rsid w:val="00B83F1C"/>
    <w:rsid w:val="00B83F49"/>
    <w:rsid w:val="00B8407E"/>
    <w:rsid w:val="00B842EF"/>
    <w:rsid w:val="00B84358"/>
    <w:rsid w:val="00B8437E"/>
    <w:rsid w:val="00B8445D"/>
    <w:rsid w:val="00B844DB"/>
    <w:rsid w:val="00B844F8"/>
    <w:rsid w:val="00B8467A"/>
    <w:rsid w:val="00B846E1"/>
    <w:rsid w:val="00B84DE5"/>
    <w:rsid w:val="00B8519B"/>
    <w:rsid w:val="00B851B0"/>
    <w:rsid w:val="00B85333"/>
    <w:rsid w:val="00B85562"/>
    <w:rsid w:val="00B85673"/>
    <w:rsid w:val="00B856AE"/>
    <w:rsid w:val="00B85B27"/>
    <w:rsid w:val="00B85BA8"/>
    <w:rsid w:val="00B85C7D"/>
    <w:rsid w:val="00B85DB0"/>
    <w:rsid w:val="00B86209"/>
    <w:rsid w:val="00B8625D"/>
    <w:rsid w:val="00B862A1"/>
    <w:rsid w:val="00B864F5"/>
    <w:rsid w:val="00B8671B"/>
    <w:rsid w:val="00B86792"/>
    <w:rsid w:val="00B86955"/>
    <w:rsid w:val="00B86992"/>
    <w:rsid w:val="00B869F8"/>
    <w:rsid w:val="00B86A0D"/>
    <w:rsid w:val="00B86B68"/>
    <w:rsid w:val="00B86B6A"/>
    <w:rsid w:val="00B86ED5"/>
    <w:rsid w:val="00B875A0"/>
    <w:rsid w:val="00B87616"/>
    <w:rsid w:val="00B87650"/>
    <w:rsid w:val="00B87741"/>
    <w:rsid w:val="00B87804"/>
    <w:rsid w:val="00B87A52"/>
    <w:rsid w:val="00B87B2C"/>
    <w:rsid w:val="00B87BA8"/>
    <w:rsid w:val="00B87EDF"/>
    <w:rsid w:val="00B87F35"/>
    <w:rsid w:val="00B87FA7"/>
    <w:rsid w:val="00B87FA9"/>
    <w:rsid w:val="00B8B25D"/>
    <w:rsid w:val="00B9000E"/>
    <w:rsid w:val="00B900E5"/>
    <w:rsid w:val="00B9010E"/>
    <w:rsid w:val="00B90309"/>
    <w:rsid w:val="00B903A2"/>
    <w:rsid w:val="00B9061C"/>
    <w:rsid w:val="00B908F4"/>
    <w:rsid w:val="00B908FC"/>
    <w:rsid w:val="00B90A67"/>
    <w:rsid w:val="00B90A97"/>
    <w:rsid w:val="00B90BB0"/>
    <w:rsid w:val="00B90BD3"/>
    <w:rsid w:val="00B90C1E"/>
    <w:rsid w:val="00B90DA3"/>
    <w:rsid w:val="00B90DBE"/>
    <w:rsid w:val="00B90F13"/>
    <w:rsid w:val="00B919CF"/>
    <w:rsid w:val="00B91D78"/>
    <w:rsid w:val="00B922BF"/>
    <w:rsid w:val="00B924DE"/>
    <w:rsid w:val="00B925E8"/>
    <w:rsid w:val="00B92812"/>
    <w:rsid w:val="00B9284C"/>
    <w:rsid w:val="00B92B0A"/>
    <w:rsid w:val="00B92BA4"/>
    <w:rsid w:val="00B93040"/>
    <w:rsid w:val="00B9314D"/>
    <w:rsid w:val="00B931DB"/>
    <w:rsid w:val="00B93348"/>
    <w:rsid w:val="00B93351"/>
    <w:rsid w:val="00B933FD"/>
    <w:rsid w:val="00B9344F"/>
    <w:rsid w:val="00B934EE"/>
    <w:rsid w:val="00B935E5"/>
    <w:rsid w:val="00B93763"/>
    <w:rsid w:val="00B9391D"/>
    <w:rsid w:val="00B93A75"/>
    <w:rsid w:val="00B93BD9"/>
    <w:rsid w:val="00B93C18"/>
    <w:rsid w:val="00B93D83"/>
    <w:rsid w:val="00B93FAF"/>
    <w:rsid w:val="00B94052"/>
    <w:rsid w:val="00B94054"/>
    <w:rsid w:val="00B9414D"/>
    <w:rsid w:val="00B94181"/>
    <w:rsid w:val="00B942E3"/>
    <w:rsid w:val="00B9431A"/>
    <w:rsid w:val="00B94452"/>
    <w:rsid w:val="00B944A8"/>
    <w:rsid w:val="00B947C6"/>
    <w:rsid w:val="00B94B6E"/>
    <w:rsid w:val="00B94C54"/>
    <w:rsid w:val="00B94CCB"/>
    <w:rsid w:val="00B951A9"/>
    <w:rsid w:val="00B951F3"/>
    <w:rsid w:val="00B953BD"/>
    <w:rsid w:val="00B954DD"/>
    <w:rsid w:val="00B956FA"/>
    <w:rsid w:val="00B957C8"/>
    <w:rsid w:val="00B9584D"/>
    <w:rsid w:val="00B958E0"/>
    <w:rsid w:val="00B959B8"/>
    <w:rsid w:val="00B95AEA"/>
    <w:rsid w:val="00B95C2F"/>
    <w:rsid w:val="00B95EAB"/>
    <w:rsid w:val="00B95F00"/>
    <w:rsid w:val="00B95F47"/>
    <w:rsid w:val="00B95F7B"/>
    <w:rsid w:val="00B96479"/>
    <w:rsid w:val="00B967BB"/>
    <w:rsid w:val="00B96AC7"/>
    <w:rsid w:val="00B96BE4"/>
    <w:rsid w:val="00B96C33"/>
    <w:rsid w:val="00B96D05"/>
    <w:rsid w:val="00B96D0C"/>
    <w:rsid w:val="00B96DBD"/>
    <w:rsid w:val="00B97199"/>
    <w:rsid w:val="00B97270"/>
    <w:rsid w:val="00B9744A"/>
    <w:rsid w:val="00B975AD"/>
    <w:rsid w:val="00B97605"/>
    <w:rsid w:val="00B97682"/>
    <w:rsid w:val="00B97727"/>
    <w:rsid w:val="00B977AB"/>
    <w:rsid w:val="00B978E5"/>
    <w:rsid w:val="00B97A09"/>
    <w:rsid w:val="00B97A7C"/>
    <w:rsid w:val="00B97B38"/>
    <w:rsid w:val="00B97B53"/>
    <w:rsid w:val="00B97D13"/>
    <w:rsid w:val="00B97D37"/>
    <w:rsid w:val="00B97D76"/>
    <w:rsid w:val="00B97FF8"/>
    <w:rsid w:val="00BA0250"/>
    <w:rsid w:val="00BA0324"/>
    <w:rsid w:val="00BA040F"/>
    <w:rsid w:val="00BA0635"/>
    <w:rsid w:val="00BA068C"/>
    <w:rsid w:val="00BA0704"/>
    <w:rsid w:val="00BA07DF"/>
    <w:rsid w:val="00BA0ABE"/>
    <w:rsid w:val="00BA0AC1"/>
    <w:rsid w:val="00BA0C1F"/>
    <w:rsid w:val="00BA0D22"/>
    <w:rsid w:val="00BA0D51"/>
    <w:rsid w:val="00BA0D89"/>
    <w:rsid w:val="00BA0F4B"/>
    <w:rsid w:val="00BA102D"/>
    <w:rsid w:val="00BA112C"/>
    <w:rsid w:val="00BA14EB"/>
    <w:rsid w:val="00BA1674"/>
    <w:rsid w:val="00BA1854"/>
    <w:rsid w:val="00BA1969"/>
    <w:rsid w:val="00BA1AE7"/>
    <w:rsid w:val="00BA1B1D"/>
    <w:rsid w:val="00BA1DA3"/>
    <w:rsid w:val="00BA1EA9"/>
    <w:rsid w:val="00BA2007"/>
    <w:rsid w:val="00BA2219"/>
    <w:rsid w:val="00BA224C"/>
    <w:rsid w:val="00BA229C"/>
    <w:rsid w:val="00BA2470"/>
    <w:rsid w:val="00BA262B"/>
    <w:rsid w:val="00BA26CD"/>
    <w:rsid w:val="00BA2997"/>
    <w:rsid w:val="00BA29A7"/>
    <w:rsid w:val="00BA2B86"/>
    <w:rsid w:val="00BA2C0B"/>
    <w:rsid w:val="00BA2C94"/>
    <w:rsid w:val="00BA2CED"/>
    <w:rsid w:val="00BA2EED"/>
    <w:rsid w:val="00BA30C5"/>
    <w:rsid w:val="00BA3121"/>
    <w:rsid w:val="00BA32C9"/>
    <w:rsid w:val="00BA345A"/>
    <w:rsid w:val="00BA358B"/>
    <w:rsid w:val="00BA37E0"/>
    <w:rsid w:val="00BA3AFA"/>
    <w:rsid w:val="00BA3B7D"/>
    <w:rsid w:val="00BA3B8C"/>
    <w:rsid w:val="00BA3BE7"/>
    <w:rsid w:val="00BA4371"/>
    <w:rsid w:val="00BA453C"/>
    <w:rsid w:val="00BA46BD"/>
    <w:rsid w:val="00BA4C2A"/>
    <w:rsid w:val="00BA5218"/>
    <w:rsid w:val="00BA5375"/>
    <w:rsid w:val="00BA54C3"/>
    <w:rsid w:val="00BA5733"/>
    <w:rsid w:val="00BA5E67"/>
    <w:rsid w:val="00BA5F13"/>
    <w:rsid w:val="00BA627C"/>
    <w:rsid w:val="00BA64EB"/>
    <w:rsid w:val="00BA65BC"/>
    <w:rsid w:val="00BA6735"/>
    <w:rsid w:val="00BA6777"/>
    <w:rsid w:val="00BA67E2"/>
    <w:rsid w:val="00BA6806"/>
    <w:rsid w:val="00BA69F7"/>
    <w:rsid w:val="00BA6BAD"/>
    <w:rsid w:val="00BA6C89"/>
    <w:rsid w:val="00BA6C8C"/>
    <w:rsid w:val="00BA6F64"/>
    <w:rsid w:val="00BA6F74"/>
    <w:rsid w:val="00BA6FE9"/>
    <w:rsid w:val="00BA72D0"/>
    <w:rsid w:val="00BA75F7"/>
    <w:rsid w:val="00BA7883"/>
    <w:rsid w:val="00BA7A5F"/>
    <w:rsid w:val="00BA7A82"/>
    <w:rsid w:val="00BA7E8C"/>
    <w:rsid w:val="00BA7E94"/>
    <w:rsid w:val="00BB01E4"/>
    <w:rsid w:val="00BB042A"/>
    <w:rsid w:val="00BB05FD"/>
    <w:rsid w:val="00BB0741"/>
    <w:rsid w:val="00BB095A"/>
    <w:rsid w:val="00BB0D7A"/>
    <w:rsid w:val="00BB0DF4"/>
    <w:rsid w:val="00BB1170"/>
    <w:rsid w:val="00BB1221"/>
    <w:rsid w:val="00BB13A4"/>
    <w:rsid w:val="00BB14B0"/>
    <w:rsid w:val="00BB15D1"/>
    <w:rsid w:val="00BB1A17"/>
    <w:rsid w:val="00BB1D14"/>
    <w:rsid w:val="00BB1D92"/>
    <w:rsid w:val="00BB1E6F"/>
    <w:rsid w:val="00BB1F0A"/>
    <w:rsid w:val="00BB1F43"/>
    <w:rsid w:val="00BB2203"/>
    <w:rsid w:val="00BB2270"/>
    <w:rsid w:val="00BB25A9"/>
    <w:rsid w:val="00BB25DF"/>
    <w:rsid w:val="00BB2656"/>
    <w:rsid w:val="00BB28F7"/>
    <w:rsid w:val="00BB2A35"/>
    <w:rsid w:val="00BB2A8C"/>
    <w:rsid w:val="00BB2C69"/>
    <w:rsid w:val="00BB2F5A"/>
    <w:rsid w:val="00BB2F81"/>
    <w:rsid w:val="00BB2FD5"/>
    <w:rsid w:val="00BB3210"/>
    <w:rsid w:val="00BB393C"/>
    <w:rsid w:val="00BB3A26"/>
    <w:rsid w:val="00BB3B76"/>
    <w:rsid w:val="00BB3D22"/>
    <w:rsid w:val="00BB3D5A"/>
    <w:rsid w:val="00BB3DFF"/>
    <w:rsid w:val="00BB42E8"/>
    <w:rsid w:val="00BB44C0"/>
    <w:rsid w:val="00BB44E9"/>
    <w:rsid w:val="00BB45A4"/>
    <w:rsid w:val="00BB470A"/>
    <w:rsid w:val="00BB486A"/>
    <w:rsid w:val="00BB4BDA"/>
    <w:rsid w:val="00BB4BFD"/>
    <w:rsid w:val="00BB4D47"/>
    <w:rsid w:val="00BB4D7F"/>
    <w:rsid w:val="00BB5020"/>
    <w:rsid w:val="00BB5120"/>
    <w:rsid w:val="00BB5574"/>
    <w:rsid w:val="00BB56C4"/>
    <w:rsid w:val="00BB5789"/>
    <w:rsid w:val="00BB5871"/>
    <w:rsid w:val="00BB5968"/>
    <w:rsid w:val="00BB5D31"/>
    <w:rsid w:val="00BB5D55"/>
    <w:rsid w:val="00BB5E6C"/>
    <w:rsid w:val="00BB5E7C"/>
    <w:rsid w:val="00BB5EEF"/>
    <w:rsid w:val="00BB6090"/>
    <w:rsid w:val="00BB60C3"/>
    <w:rsid w:val="00BB611D"/>
    <w:rsid w:val="00BB6174"/>
    <w:rsid w:val="00BB61C5"/>
    <w:rsid w:val="00BB6313"/>
    <w:rsid w:val="00BB640C"/>
    <w:rsid w:val="00BB65E5"/>
    <w:rsid w:val="00BB65EF"/>
    <w:rsid w:val="00BB6642"/>
    <w:rsid w:val="00BB6924"/>
    <w:rsid w:val="00BB6A44"/>
    <w:rsid w:val="00BB6AD2"/>
    <w:rsid w:val="00BB6B61"/>
    <w:rsid w:val="00BB6BA1"/>
    <w:rsid w:val="00BB6C55"/>
    <w:rsid w:val="00BB6DAD"/>
    <w:rsid w:val="00BB6E93"/>
    <w:rsid w:val="00BB6F65"/>
    <w:rsid w:val="00BB6F68"/>
    <w:rsid w:val="00BB7470"/>
    <w:rsid w:val="00BB74EF"/>
    <w:rsid w:val="00BB78FB"/>
    <w:rsid w:val="00BB7CC9"/>
    <w:rsid w:val="00BB7DE0"/>
    <w:rsid w:val="00BB7FD6"/>
    <w:rsid w:val="00BB7FEF"/>
    <w:rsid w:val="00BC0079"/>
    <w:rsid w:val="00BC01EF"/>
    <w:rsid w:val="00BC03E4"/>
    <w:rsid w:val="00BC03F5"/>
    <w:rsid w:val="00BC0419"/>
    <w:rsid w:val="00BC0803"/>
    <w:rsid w:val="00BC0876"/>
    <w:rsid w:val="00BC0A56"/>
    <w:rsid w:val="00BC0B38"/>
    <w:rsid w:val="00BC0CFE"/>
    <w:rsid w:val="00BC0FC2"/>
    <w:rsid w:val="00BC1216"/>
    <w:rsid w:val="00BC1296"/>
    <w:rsid w:val="00BC12EB"/>
    <w:rsid w:val="00BC144C"/>
    <w:rsid w:val="00BC14EF"/>
    <w:rsid w:val="00BC1628"/>
    <w:rsid w:val="00BC1653"/>
    <w:rsid w:val="00BC1A71"/>
    <w:rsid w:val="00BC1CE1"/>
    <w:rsid w:val="00BC1F15"/>
    <w:rsid w:val="00BC2074"/>
    <w:rsid w:val="00BC2575"/>
    <w:rsid w:val="00BC283A"/>
    <w:rsid w:val="00BC2A5C"/>
    <w:rsid w:val="00BC2CD5"/>
    <w:rsid w:val="00BC2D2C"/>
    <w:rsid w:val="00BC2D40"/>
    <w:rsid w:val="00BC2D4A"/>
    <w:rsid w:val="00BC2D6F"/>
    <w:rsid w:val="00BC2DCE"/>
    <w:rsid w:val="00BC2E3A"/>
    <w:rsid w:val="00BC2ED9"/>
    <w:rsid w:val="00BC2FD7"/>
    <w:rsid w:val="00BC3387"/>
    <w:rsid w:val="00BC3434"/>
    <w:rsid w:val="00BC349C"/>
    <w:rsid w:val="00BC34C7"/>
    <w:rsid w:val="00BC3575"/>
    <w:rsid w:val="00BC369B"/>
    <w:rsid w:val="00BC3729"/>
    <w:rsid w:val="00BC37E1"/>
    <w:rsid w:val="00BC384E"/>
    <w:rsid w:val="00BC3D7C"/>
    <w:rsid w:val="00BC3DA7"/>
    <w:rsid w:val="00BC3F9E"/>
    <w:rsid w:val="00BC41DE"/>
    <w:rsid w:val="00BC44E2"/>
    <w:rsid w:val="00BC44EC"/>
    <w:rsid w:val="00BC46FA"/>
    <w:rsid w:val="00BC4A95"/>
    <w:rsid w:val="00BC4D90"/>
    <w:rsid w:val="00BC4E13"/>
    <w:rsid w:val="00BC4EA6"/>
    <w:rsid w:val="00BC4FDD"/>
    <w:rsid w:val="00BC5015"/>
    <w:rsid w:val="00BC5241"/>
    <w:rsid w:val="00BC53C7"/>
    <w:rsid w:val="00BC56E3"/>
    <w:rsid w:val="00BC5816"/>
    <w:rsid w:val="00BC59F5"/>
    <w:rsid w:val="00BC5A64"/>
    <w:rsid w:val="00BC5B92"/>
    <w:rsid w:val="00BC5CA1"/>
    <w:rsid w:val="00BC5FCE"/>
    <w:rsid w:val="00BC5FFD"/>
    <w:rsid w:val="00BC6061"/>
    <w:rsid w:val="00BC61CA"/>
    <w:rsid w:val="00BC61D6"/>
    <w:rsid w:val="00BC6217"/>
    <w:rsid w:val="00BC622C"/>
    <w:rsid w:val="00BC6231"/>
    <w:rsid w:val="00BC62BF"/>
    <w:rsid w:val="00BC66CE"/>
    <w:rsid w:val="00BC676A"/>
    <w:rsid w:val="00BC69EC"/>
    <w:rsid w:val="00BC6A48"/>
    <w:rsid w:val="00BC6A6B"/>
    <w:rsid w:val="00BC6C27"/>
    <w:rsid w:val="00BC6FCF"/>
    <w:rsid w:val="00BC70C6"/>
    <w:rsid w:val="00BC7303"/>
    <w:rsid w:val="00BC743E"/>
    <w:rsid w:val="00BC748D"/>
    <w:rsid w:val="00BC7693"/>
    <w:rsid w:val="00BC786D"/>
    <w:rsid w:val="00BC7912"/>
    <w:rsid w:val="00BC7A2D"/>
    <w:rsid w:val="00BC7A87"/>
    <w:rsid w:val="00BC7BD1"/>
    <w:rsid w:val="00BC7C0E"/>
    <w:rsid w:val="00BC7C75"/>
    <w:rsid w:val="00BC7F5E"/>
    <w:rsid w:val="00BD00CF"/>
    <w:rsid w:val="00BD017F"/>
    <w:rsid w:val="00BD0274"/>
    <w:rsid w:val="00BD02E4"/>
    <w:rsid w:val="00BD03FA"/>
    <w:rsid w:val="00BD05E1"/>
    <w:rsid w:val="00BD0659"/>
    <w:rsid w:val="00BD06F0"/>
    <w:rsid w:val="00BD0813"/>
    <w:rsid w:val="00BD089D"/>
    <w:rsid w:val="00BD095D"/>
    <w:rsid w:val="00BD10CE"/>
    <w:rsid w:val="00BD1388"/>
    <w:rsid w:val="00BD13F4"/>
    <w:rsid w:val="00BD1551"/>
    <w:rsid w:val="00BD15B6"/>
    <w:rsid w:val="00BD18A1"/>
    <w:rsid w:val="00BD195D"/>
    <w:rsid w:val="00BD19DE"/>
    <w:rsid w:val="00BD1AD4"/>
    <w:rsid w:val="00BD1BC9"/>
    <w:rsid w:val="00BD1F64"/>
    <w:rsid w:val="00BD1F99"/>
    <w:rsid w:val="00BD218C"/>
    <w:rsid w:val="00BD241B"/>
    <w:rsid w:val="00BD241F"/>
    <w:rsid w:val="00BD2714"/>
    <w:rsid w:val="00BD2BAB"/>
    <w:rsid w:val="00BD2DFD"/>
    <w:rsid w:val="00BD3636"/>
    <w:rsid w:val="00BD3706"/>
    <w:rsid w:val="00BD373F"/>
    <w:rsid w:val="00BD3851"/>
    <w:rsid w:val="00BD3886"/>
    <w:rsid w:val="00BD39D7"/>
    <w:rsid w:val="00BD3BE4"/>
    <w:rsid w:val="00BD3D42"/>
    <w:rsid w:val="00BD3EDA"/>
    <w:rsid w:val="00BD3FE7"/>
    <w:rsid w:val="00BD403D"/>
    <w:rsid w:val="00BD41C7"/>
    <w:rsid w:val="00BD4426"/>
    <w:rsid w:val="00BD464D"/>
    <w:rsid w:val="00BD4795"/>
    <w:rsid w:val="00BD49A6"/>
    <w:rsid w:val="00BD4CF4"/>
    <w:rsid w:val="00BD4D7D"/>
    <w:rsid w:val="00BD50C8"/>
    <w:rsid w:val="00BD514A"/>
    <w:rsid w:val="00BD518F"/>
    <w:rsid w:val="00BD5201"/>
    <w:rsid w:val="00BD5410"/>
    <w:rsid w:val="00BD570F"/>
    <w:rsid w:val="00BD585A"/>
    <w:rsid w:val="00BD59DF"/>
    <w:rsid w:val="00BD5A95"/>
    <w:rsid w:val="00BD5B57"/>
    <w:rsid w:val="00BD5BBF"/>
    <w:rsid w:val="00BD5C05"/>
    <w:rsid w:val="00BD5C2F"/>
    <w:rsid w:val="00BD5F1B"/>
    <w:rsid w:val="00BD6117"/>
    <w:rsid w:val="00BD66C4"/>
    <w:rsid w:val="00BD678A"/>
    <w:rsid w:val="00BD67F0"/>
    <w:rsid w:val="00BD6858"/>
    <w:rsid w:val="00BD6AAE"/>
    <w:rsid w:val="00BD6B61"/>
    <w:rsid w:val="00BD6BF4"/>
    <w:rsid w:val="00BD6C24"/>
    <w:rsid w:val="00BD6D5D"/>
    <w:rsid w:val="00BD6D6A"/>
    <w:rsid w:val="00BD6DE4"/>
    <w:rsid w:val="00BD6DF4"/>
    <w:rsid w:val="00BD6F4D"/>
    <w:rsid w:val="00BD6FAA"/>
    <w:rsid w:val="00BD6FC6"/>
    <w:rsid w:val="00BD7002"/>
    <w:rsid w:val="00BD7114"/>
    <w:rsid w:val="00BD723E"/>
    <w:rsid w:val="00BD743A"/>
    <w:rsid w:val="00BD748F"/>
    <w:rsid w:val="00BD7865"/>
    <w:rsid w:val="00BD78B2"/>
    <w:rsid w:val="00BD79CF"/>
    <w:rsid w:val="00BD7D9A"/>
    <w:rsid w:val="00BD7EAC"/>
    <w:rsid w:val="00BD7F14"/>
    <w:rsid w:val="00BD7FD1"/>
    <w:rsid w:val="00BE012B"/>
    <w:rsid w:val="00BE0298"/>
    <w:rsid w:val="00BE0551"/>
    <w:rsid w:val="00BE059E"/>
    <w:rsid w:val="00BE05B1"/>
    <w:rsid w:val="00BE07CA"/>
    <w:rsid w:val="00BE083B"/>
    <w:rsid w:val="00BE0899"/>
    <w:rsid w:val="00BE0938"/>
    <w:rsid w:val="00BE0AFD"/>
    <w:rsid w:val="00BE0C07"/>
    <w:rsid w:val="00BE0CB8"/>
    <w:rsid w:val="00BE0DD7"/>
    <w:rsid w:val="00BE0E0D"/>
    <w:rsid w:val="00BE0F55"/>
    <w:rsid w:val="00BE10D4"/>
    <w:rsid w:val="00BE111F"/>
    <w:rsid w:val="00BE14BE"/>
    <w:rsid w:val="00BE1660"/>
    <w:rsid w:val="00BE16BE"/>
    <w:rsid w:val="00BE16E8"/>
    <w:rsid w:val="00BE18B4"/>
    <w:rsid w:val="00BE2080"/>
    <w:rsid w:val="00BE2176"/>
    <w:rsid w:val="00BE24B5"/>
    <w:rsid w:val="00BE2797"/>
    <w:rsid w:val="00BE2B22"/>
    <w:rsid w:val="00BE2C07"/>
    <w:rsid w:val="00BE2C5E"/>
    <w:rsid w:val="00BE2DCB"/>
    <w:rsid w:val="00BE2FE3"/>
    <w:rsid w:val="00BE304F"/>
    <w:rsid w:val="00BE3138"/>
    <w:rsid w:val="00BE31C5"/>
    <w:rsid w:val="00BE3270"/>
    <w:rsid w:val="00BE377A"/>
    <w:rsid w:val="00BE3BA2"/>
    <w:rsid w:val="00BE3C7B"/>
    <w:rsid w:val="00BE3E90"/>
    <w:rsid w:val="00BE3ED9"/>
    <w:rsid w:val="00BE4212"/>
    <w:rsid w:val="00BE4214"/>
    <w:rsid w:val="00BE4339"/>
    <w:rsid w:val="00BE4431"/>
    <w:rsid w:val="00BE45EA"/>
    <w:rsid w:val="00BE46F5"/>
    <w:rsid w:val="00BE49B3"/>
    <w:rsid w:val="00BE4A74"/>
    <w:rsid w:val="00BE4A7A"/>
    <w:rsid w:val="00BE4B1F"/>
    <w:rsid w:val="00BE4C30"/>
    <w:rsid w:val="00BE4FE1"/>
    <w:rsid w:val="00BE5191"/>
    <w:rsid w:val="00BE5196"/>
    <w:rsid w:val="00BE5236"/>
    <w:rsid w:val="00BE52D0"/>
    <w:rsid w:val="00BE52D1"/>
    <w:rsid w:val="00BE52E4"/>
    <w:rsid w:val="00BE5420"/>
    <w:rsid w:val="00BE54E7"/>
    <w:rsid w:val="00BE5674"/>
    <w:rsid w:val="00BE58EE"/>
    <w:rsid w:val="00BE598B"/>
    <w:rsid w:val="00BE5ADA"/>
    <w:rsid w:val="00BE5B8A"/>
    <w:rsid w:val="00BE5E34"/>
    <w:rsid w:val="00BE5EEB"/>
    <w:rsid w:val="00BE6095"/>
    <w:rsid w:val="00BE6123"/>
    <w:rsid w:val="00BE6312"/>
    <w:rsid w:val="00BE63E0"/>
    <w:rsid w:val="00BE6C54"/>
    <w:rsid w:val="00BE6F89"/>
    <w:rsid w:val="00BE7382"/>
    <w:rsid w:val="00BE738D"/>
    <w:rsid w:val="00BE7435"/>
    <w:rsid w:val="00BE7724"/>
    <w:rsid w:val="00BE787F"/>
    <w:rsid w:val="00BE798D"/>
    <w:rsid w:val="00BE7B13"/>
    <w:rsid w:val="00BE7B20"/>
    <w:rsid w:val="00BE7BC0"/>
    <w:rsid w:val="00BE7C8F"/>
    <w:rsid w:val="00BE7D3E"/>
    <w:rsid w:val="00BE7E35"/>
    <w:rsid w:val="00BE7EF2"/>
    <w:rsid w:val="00BF00BF"/>
    <w:rsid w:val="00BF01C6"/>
    <w:rsid w:val="00BF0305"/>
    <w:rsid w:val="00BF032C"/>
    <w:rsid w:val="00BF0390"/>
    <w:rsid w:val="00BF0743"/>
    <w:rsid w:val="00BF080D"/>
    <w:rsid w:val="00BF0872"/>
    <w:rsid w:val="00BF08BF"/>
    <w:rsid w:val="00BF0E11"/>
    <w:rsid w:val="00BF0EA4"/>
    <w:rsid w:val="00BF115C"/>
    <w:rsid w:val="00BF12E8"/>
    <w:rsid w:val="00BF1936"/>
    <w:rsid w:val="00BF19E7"/>
    <w:rsid w:val="00BF19EB"/>
    <w:rsid w:val="00BF1CBB"/>
    <w:rsid w:val="00BF21D8"/>
    <w:rsid w:val="00BF21EE"/>
    <w:rsid w:val="00BF2234"/>
    <w:rsid w:val="00BF2272"/>
    <w:rsid w:val="00BF2342"/>
    <w:rsid w:val="00BF27B7"/>
    <w:rsid w:val="00BF29C9"/>
    <w:rsid w:val="00BF2BBD"/>
    <w:rsid w:val="00BF2C6C"/>
    <w:rsid w:val="00BF2E02"/>
    <w:rsid w:val="00BF2E42"/>
    <w:rsid w:val="00BF2EA6"/>
    <w:rsid w:val="00BF2EF7"/>
    <w:rsid w:val="00BF30F7"/>
    <w:rsid w:val="00BF311D"/>
    <w:rsid w:val="00BF3182"/>
    <w:rsid w:val="00BF3429"/>
    <w:rsid w:val="00BF34D5"/>
    <w:rsid w:val="00BF34D7"/>
    <w:rsid w:val="00BF36CF"/>
    <w:rsid w:val="00BF374B"/>
    <w:rsid w:val="00BF3994"/>
    <w:rsid w:val="00BF39E7"/>
    <w:rsid w:val="00BF3AE4"/>
    <w:rsid w:val="00BF3BC0"/>
    <w:rsid w:val="00BF3C2D"/>
    <w:rsid w:val="00BF3F5B"/>
    <w:rsid w:val="00BF3FD4"/>
    <w:rsid w:val="00BF4101"/>
    <w:rsid w:val="00BF4222"/>
    <w:rsid w:val="00BF42CD"/>
    <w:rsid w:val="00BF43D7"/>
    <w:rsid w:val="00BF43E0"/>
    <w:rsid w:val="00BF44E7"/>
    <w:rsid w:val="00BF45AE"/>
    <w:rsid w:val="00BF470D"/>
    <w:rsid w:val="00BF4AC6"/>
    <w:rsid w:val="00BF4BE7"/>
    <w:rsid w:val="00BF4C33"/>
    <w:rsid w:val="00BF4DD1"/>
    <w:rsid w:val="00BF505D"/>
    <w:rsid w:val="00BF574B"/>
    <w:rsid w:val="00BF576B"/>
    <w:rsid w:val="00BF57E3"/>
    <w:rsid w:val="00BF57FD"/>
    <w:rsid w:val="00BF5955"/>
    <w:rsid w:val="00BF5BCB"/>
    <w:rsid w:val="00BF5CCB"/>
    <w:rsid w:val="00BF5E95"/>
    <w:rsid w:val="00BF62D2"/>
    <w:rsid w:val="00BF6400"/>
    <w:rsid w:val="00BF6512"/>
    <w:rsid w:val="00BF6A9A"/>
    <w:rsid w:val="00BF6AF4"/>
    <w:rsid w:val="00BF6BAB"/>
    <w:rsid w:val="00BF6C06"/>
    <w:rsid w:val="00BF6C33"/>
    <w:rsid w:val="00BF6C3F"/>
    <w:rsid w:val="00BF6C5E"/>
    <w:rsid w:val="00BF6E12"/>
    <w:rsid w:val="00BF6F7E"/>
    <w:rsid w:val="00BF70E6"/>
    <w:rsid w:val="00BF7484"/>
    <w:rsid w:val="00BF7540"/>
    <w:rsid w:val="00BF78E6"/>
    <w:rsid w:val="00BF7B0B"/>
    <w:rsid w:val="00BF7D2A"/>
    <w:rsid w:val="00C00273"/>
    <w:rsid w:val="00C00293"/>
    <w:rsid w:val="00C002F5"/>
    <w:rsid w:val="00C00428"/>
    <w:rsid w:val="00C006FD"/>
    <w:rsid w:val="00C0096F"/>
    <w:rsid w:val="00C00F32"/>
    <w:rsid w:val="00C01315"/>
    <w:rsid w:val="00C0181A"/>
    <w:rsid w:val="00C018B2"/>
    <w:rsid w:val="00C01A46"/>
    <w:rsid w:val="00C01C1F"/>
    <w:rsid w:val="00C01CB7"/>
    <w:rsid w:val="00C01E60"/>
    <w:rsid w:val="00C02163"/>
    <w:rsid w:val="00C02339"/>
    <w:rsid w:val="00C0245F"/>
    <w:rsid w:val="00C024FF"/>
    <w:rsid w:val="00C02566"/>
    <w:rsid w:val="00C02635"/>
    <w:rsid w:val="00C026E1"/>
    <w:rsid w:val="00C027F0"/>
    <w:rsid w:val="00C028E2"/>
    <w:rsid w:val="00C029A7"/>
    <w:rsid w:val="00C03027"/>
    <w:rsid w:val="00C03068"/>
    <w:rsid w:val="00C03306"/>
    <w:rsid w:val="00C03392"/>
    <w:rsid w:val="00C03553"/>
    <w:rsid w:val="00C03636"/>
    <w:rsid w:val="00C0395B"/>
    <w:rsid w:val="00C03AD4"/>
    <w:rsid w:val="00C03B99"/>
    <w:rsid w:val="00C03CB5"/>
    <w:rsid w:val="00C03FA0"/>
    <w:rsid w:val="00C0409C"/>
    <w:rsid w:val="00C0427F"/>
    <w:rsid w:val="00C0447D"/>
    <w:rsid w:val="00C0449A"/>
    <w:rsid w:val="00C04582"/>
    <w:rsid w:val="00C045AB"/>
    <w:rsid w:val="00C046ED"/>
    <w:rsid w:val="00C046F8"/>
    <w:rsid w:val="00C047FD"/>
    <w:rsid w:val="00C0482C"/>
    <w:rsid w:val="00C0484D"/>
    <w:rsid w:val="00C04B50"/>
    <w:rsid w:val="00C04C17"/>
    <w:rsid w:val="00C04DD5"/>
    <w:rsid w:val="00C04ECE"/>
    <w:rsid w:val="00C05091"/>
    <w:rsid w:val="00C05108"/>
    <w:rsid w:val="00C05360"/>
    <w:rsid w:val="00C05378"/>
    <w:rsid w:val="00C05418"/>
    <w:rsid w:val="00C0546A"/>
    <w:rsid w:val="00C05780"/>
    <w:rsid w:val="00C058BA"/>
    <w:rsid w:val="00C058D7"/>
    <w:rsid w:val="00C05905"/>
    <w:rsid w:val="00C05A7F"/>
    <w:rsid w:val="00C05AF2"/>
    <w:rsid w:val="00C05E95"/>
    <w:rsid w:val="00C0623E"/>
    <w:rsid w:val="00C06270"/>
    <w:rsid w:val="00C06767"/>
    <w:rsid w:val="00C069F0"/>
    <w:rsid w:val="00C06B4F"/>
    <w:rsid w:val="00C06F69"/>
    <w:rsid w:val="00C07029"/>
    <w:rsid w:val="00C07133"/>
    <w:rsid w:val="00C07212"/>
    <w:rsid w:val="00C07374"/>
    <w:rsid w:val="00C073A8"/>
    <w:rsid w:val="00C07464"/>
    <w:rsid w:val="00C074F1"/>
    <w:rsid w:val="00C07733"/>
    <w:rsid w:val="00C077A6"/>
    <w:rsid w:val="00C0797B"/>
    <w:rsid w:val="00C07ACD"/>
    <w:rsid w:val="00C07D8C"/>
    <w:rsid w:val="00C07DD6"/>
    <w:rsid w:val="00C07E8B"/>
    <w:rsid w:val="00C10047"/>
    <w:rsid w:val="00C102B5"/>
    <w:rsid w:val="00C10378"/>
    <w:rsid w:val="00C105D5"/>
    <w:rsid w:val="00C10637"/>
    <w:rsid w:val="00C10748"/>
    <w:rsid w:val="00C10781"/>
    <w:rsid w:val="00C10901"/>
    <w:rsid w:val="00C10912"/>
    <w:rsid w:val="00C10997"/>
    <w:rsid w:val="00C10A73"/>
    <w:rsid w:val="00C10E02"/>
    <w:rsid w:val="00C10F0C"/>
    <w:rsid w:val="00C11002"/>
    <w:rsid w:val="00C112B2"/>
    <w:rsid w:val="00C11345"/>
    <w:rsid w:val="00C1154B"/>
    <w:rsid w:val="00C1171C"/>
    <w:rsid w:val="00C1174A"/>
    <w:rsid w:val="00C1190E"/>
    <w:rsid w:val="00C11ADF"/>
    <w:rsid w:val="00C11E07"/>
    <w:rsid w:val="00C11E38"/>
    <w:rsid w:val="00C11E72"/>
    <w:rsid w:val="00C1209F"/>
    <w:rsid w:val="00C120BB"/>
    <w:rsid w:val="00C122A0"/>
    <w:rsid w:val="00C12365"/>
    <w:rsid w:val="00C123A1"/>
    <w:rsid w:val="00C124F2"/>
    <w:rsid w:val="00C12668"/>
    <w:rsid w:val="00C12AD0"/>
    <w:rsid w:val="00C12C64"/>
    <w:rsid w:val="00C12F1E"/>
    <w:rsid w:val="00C130DA"/>
    <w:rsid w:val="00C131BA"/>
    <w:rsid w:val="00C135C0"/>
    <w:rsid w:val="00C13600"/>
    <w:rsid w:val="00C139A5"/>
    <w:rsid w:val="00C13AFD"/>
    <w:rsid w:val="00C13DC7"/>
    <w:rsid w:val="00C13FCF"/>
    <w:rsid w:val="00C13FEE"/>
    <w:rsid w:val="00C14296"/>
    <w:rsid w:val="00C143B4"/>
    <w:rsid w:val="00C143FE"/>
    <w:rsid w:val="00C1462A"/>
    <w:rsid w:val="00C14709"/>
    <w:rsid w:val="00C148C1"/>
    <w:rsid w:val="00C14C4B"/>
    <w:rsid w:val="00C14C96"/>
    <w:rsid w:val="00C1507B"/>
    <w:rsid w:val="00C150DE"/>
    <w:rsid w:val="00C151D8"/>
    <w:rsid w:val="00C15219"/>
    <w:rsid w:val="00C15279"/>
    <w:rsid w:val="00C15429"/>
    <w:rsid w:val="00C154E0"/>
    <w:rsid w:val="00C15684"/>
    <w:rsid w:val="00C15821"/>
    <w:rsid w:val="00C15A44"/>
    <w:rsid w:val="00C15D59"/>
    <w:rsid w:val="00C15E37"/>
    <w:rsid w:val="00C15E57"/>
    <w:rsid w:val="00C16060"/>
    <w:rsid w:val="00C16121"/>
    <w:rsid w:val="00C16387"/>
    <w:rsid w:val="00C16407"/>
    <w:rsid w:val="00C1657D"/>
    <w:rsid w:val="00C16653"/>
    <w:rsid w:val="00C16760"/>
    <w:rsid w:val="00C1677E"/>
    <w:rsid w:val="00C16BCB"/>
    <w:rsid w:val="00C16D1B"/>
    <w:rsid w:val="00C16E0A"/>
    <w:rsid w:val="00C16E50"/>
    <w:rsid w:val="00C16F06"/>
    <w:rsid w:val="00C173ED"/>
    <w:rsid w:val="00C175EF"/>
    <w:rsid w:val="00C17702"/>
    <w:rsid w:val="00C177F0"/>
    <w:rsid w:val="00C1794C"/>
    <w:rsid w:val="00C179B7"/>
    <w:rsid w:val="00C17B07"/>
    <w:rsid w:val="00C2016B"/>
    <w:rsid w:val="00C20189"/>
    <w:rsid w:val="00C202CA"/>
    <w:rsid w:val="00C203A3"/>
    <w:rsid w:val="00C2065B"/>
    <w:rsid w:val="00C20A4A"/>
    <w:rsid w:val="00C20B23"/>
    <w:rsid w:val="00C20BFD"/>
    <w:rsid w:val="00C20CAC"/>
    <w:rsid w:val="00C20DB8"/>
    <w:rsid w:val="00C20E06"/>
    <w:rsid w:val="00C20E80"/>
    <w:rsid w:val="00C20EC2"/>
    <w:rsid w:val="00C21203"/>
    <w:rsid w:val="00C214C0"/>
    <w:rsid w:val="00C21612"/>
    <w:rsid w:val="00C21638"/>
    <w:rsid w:val="00C2164C"/>
    <w:rsid w:val="00C21796"/>
    <w:rsid w:val="00C21A09"/>
    <w:rsid w:val="00C21B11"/>
    <w:rsid w:val="00C21CD7"/>
    <w:rsid w:val="00C21D50"/>
    <w:rsid w:val="00C21E8A"/>
    <w:rsid w:val="00C21EE4"/>
    <w:rsid w:val="00C21F07"/>
    <w:rsid w:val="00C21F5A"/>
    <w:rsid w:val="00C220F3"/>
    <w:rsid w:val="00C2213B"/>
    <w:rsid w:val="00C22184"/>
    <w:rsid w:val="00C22220"/>
    <w:rsid w:val="00C222EB"/>
    <w:rsid w:val="00C223FE"/>
    <w:rsid w:val="00C22410"/>
    <w:rsid w:val="00C22786"/>
    <w:rsid w:val="00C22820"/>
    <w:rsid w:val="00C228C9"/>
    <w:rsid w:val="00C22A33"/>
    <w:rsid w:val="00C22A49"/>
    <w:rsid w:val="00C22D97"/>
    <w:rsid w:val="00C22F4B"/>
    <w:rsid w:val="00C22F81"/>
    <w:rsid w:val="00C23117"/>
    <w:rsid w:val="00C23138"/>
    <w:rsid w:val="00C23397"/>
    <w:rsid w:val="00C2353C"/>
    <w:rsid w:val="00C235CA"/>
    <w:rsid w:val="00C235CC"/>
    <w:rsid w:val="00C23817"/>
    <w:rsid w:val="00C2381D"/>
    <w:rsid w:val="00C23A9C"/>
    <w:rsid w:val="00C23B90"/>
    <w:rsid w:val="00C23CF9"/>
    <w:rsid w:val="00C23E5E"/>
    <w:rsid w:val="00C2436A"/>
    <w:rsid w:val="00C24378"/>
    <w:rsid w:val="00C24635"/>
    <w:rsid w:val="00C24AAF"/>
    <w:rsid w:val="00C24ABC"/>
    <w:rsid w:val="00C24B7D"/>
    <w:rsid w:val="00C24DD1"/>
    <w:rsid w:val="00C25194"/>
    <w:rsid w:val="00C255E0"/>
    <w:rsid w:val="00C2569C"/>
    <w:rsid w:val="00C25799"/>
    <w:rsid w:val="00C259C4"/>
    <w:rsid w:val="00C25CB9"/>
    <w:rsid w:val="00C25F18"/>
    <w:rsid w:val="00C26074"/>
    <w:rsid w:val="00C26425"/>
    <w:rsid w:val="00C2679D"/>
    <w:rsid w:val="00C26822"/>
    <w:rsid w:val="00C26DBB"/>
    <w:rsid w:val="00C26E8F"/>
    <w:rsid w:val="00C26EF1"/>
    <w:rsid w:val="00C26F33"/>
    <w:rsid w:val="00C2711B"/>
    <w:rsid w:val="00C2715F"/>
    <w:rsid w:val="00C27363"/>
    <w:rsid w:val="00C27368"/>
    <w:rsid w:val="00C2737F"/>
    <w:rsid w:val="00C27455"/>
    <w:rsid w:val="00C27641"/>
    <w:rsid w:val="00C27CCC"/>
    <w:rsid w:val="00C27D36"/>
    <w:rsid w:val="00C27ECA"/>
    <w:rsid w:val="00C27F5B"/>
    <w:rsid w:val="00C30366"/>
    <w:rsid w:val="00C305A4"/>
    <w:rsid w:val="00C305F5"/>
    <w:rsid w:val="00C30AB5"/>
    <w:rsid w:val="00C30B03"/>
    <w:rsid w:val="00C30B40"/>
    <w:rsid w:val="00C30C33"/>
    <w:rsid w:val="00C30D15"/>
    <w:rsid w:val="00C30D7F"/>
    <w:rsid w:val="00C30E76"/>
    <w:rsid w:val="00C30F26"/>
    <w:rsid w:val="00C31516"/>
    <w:rsid w:val="00C316F9"/>
    <w:rsid w:val="00C31987"/>
    <w:rsid w:val="00C31B3E"/>
    <w:rsid w:val="00C31C47"/>
    <w:rsid w:val="00C31F76"/>
    <w:rsid w:val="00C32219"/>
    <w:rsid w:val="00C3224C"/>
    <w:rsid w:val="00C32297"/>
    <w:rsid w:val="00C32314"/>
    <w:rsid w:val="00C323CE"/>
    <w:rsid w:val="00C32460"/>
    <w:rsid w:val="00C32499"/>
    <w:rsid w:val="00C326F2"/>
    <w:rsid w:val="00C326F8"/>
    <w:rsid w:val="00C3270D"/>
    <w:rsid w:val="00C32731"/>
    <w:rsid w:val="00C327B5"/>
    <w:rsid w:val="00C32814"/>
    <w:rsid w:val="00C32835"/>
    <w:rsid w:val="00C32A85"/>
    <w:rsid w:val="00C32AD7"/>
    <w:rsid w:val="00C32BA0"/>
    <w:rsid w:val="00C32DBC"/>
    <w:rsid w:val="00C32E7A"/>
    <w:rsid w:val="00C32EC0"/>
    <w:rsid w:val="00C32ED9"/>
    <w:rsid w:val="00C332C1"/>
    <w:rsid w:val="00C333A0"/>
    <w:rsid w:val="00C33578"/>
    <w:rsid w:val="00C33B07"/>
    <w:rsid w:val="00C33BAD"/>
    <w:rsid w:val="00C33E4D"/>
    <w:rsid w:val="00C33FF3"/>
    <w:rsid w:val="00C34166"/>
    <w:rsid w:val="00C341C0"/>
    <w:rsid w:val="00C34422"/>
    <w:rsid w:val="00C3464A"/>
    <w:rsid w:val="00C34658"/>
    <w:rsid w:val="00C348C4"/>
    <w:rsid w:val="00C34CC8"/>
    <w:rsid w:val="00C34E5F"/>
    <w:rsid w:val="00C34E81"/>
    <w:rsid w:val="00C34FBB"/>
    <w:rsid w:val="00C351BF"/>
    <w:rsid w:val="00C352D1"/>
    <w:rsid w:val="00C355BA"/>
    <w:rsid w:val="00C356CB"/>
    <w:rsid w:val="00C358CA"/>
    <w:rsid w:val="00C358E6"/>
    <w:rsid w:val="00C35A51"/>
    <w:rsid w:val="00C35B1C"/>
    <w:rsid w:val="00C35B26"/>
    <w:rsid w:val="00C35B7A"/>
    <w:rsid w:val="00C35DCA"/>
    <w:rsid w:val="00C35F19"/>
    <w:rsid w:val="00C3605E"/>
    <w:rsid w:val="00C3617F"/>
    <w:rsid w:val="00C364C6"/>
    <w:rsid w:val="00C36518"/>
    <w:rsid w:val="00C36664"/>
    <w:rsid w:val="00C36AB5"/>
    <w:rsid w:val="00C36C0B"/>
    <w:rsid w:val="00C36CB2"/>
    <w:rsid w:val="00C36DB8"/>
    <w:rsid w:val="00C36F03"/>
    <w:rsid w:val="00C36F24"/>
    <w:rsid w:val="00C370C6"/>
    <w:rsid w:val="00C3714E"/>
    <w:rsid w:val="00C37396"/>
    <w:rsid w:val="00C37400"/>
    <w:rsid w:val="00C3748B"/>
    <w:rsid w:val="00C3754A"/>
    <w:rsid w:val="00C3769F"/>
    <w:rsid w:val="00C376F8"/>
    <w:rsid w:val="00C37701"/>
    <w:rsid w:val="00C37744"/>
    <w:rsid w:val="00C379E7"/>
    <w:rsid w:val="00C37C5A"/>
    <w:rsid w:val="00C4008D"/>
    <w:rsid w:val="00C400D8"/>
    <w:rsid w:val="00C40348"/>
    <w:rsid w:val="00C40446"/>
    <w:rsid w:val="00C40469"/>
    <w:rsid w:val="00C4052F"/>
    <w:rsid w:val="00C409FC"/>
    <w:rsid w:val="00C40BAC"/>
    <w:rsid w:val="00C40CB4"/>
    <w:rsid w:val="00C40D6B"/>
    <w:rsid w:val="00C41167"/>
    <w:rsid w:val="00C4141E"/>
    <w:rsid w:val="00C41537"/>
    <w:rsid w:val="00C417CF"/>
    <w:rsid w:val="00C419C2"/>
    <w:rsid w:val="00C41A8B"/>
    <w:rsid w:val="00C41C93"/>
    <w:rsid w:val="00C41EC7"/>
    <w:rsid w:val="00C42016"/>
    <w:rsid w:val="00C42041"/>
    <w:rsid w:val="00C422BC"/>
    <w:rsid w:val="00C42535"/>
    <w:rsid w:val="00C428D6"/>
    <w:rsid w:val="00C42910"/>
    <w:rsid w:val="00C42B47"/>
    <w:rsid w:val="00C42F17"/>
    <w:rsid w:val="00C42FEE"/>
    <w:rsid w:val="00C43095"/>
    <w:rsid w:val="00C430D1"/>
    <w:rsid w:val="00C43292"/>
    <w:rsid w:val="00C4333D"/>
    <w:rsid w:val="00C43342"/>
    <w:rsid w:val="00C434A4"/>
    <w:rsid w:val="00C4358B"/>
    <w:rsid w:val="00C43612"/>
    <w:rsid w:val="00C43956"/>
    <w:rsid w:val="00C43BBC"/>
    <w:rsid w:val="00C43DD3"/>
    <w:rsid w:val="00C43F0C"/>
    <w:rsid w:val="00C442A6"/>
    <w:rsid w:val="00C442FE"/>
    <w:rsid w:val="00C44339"/>
    <w:rsid w:val="00C444B4"/>
    <w:rsid w:val="00C446AC"/>
    <w:rsid w:val="00C448BF"/>
    <w:rsid w:val="00C44B8F"/>
    <w:rsid w:val="00C44BBE"/>
    <w:rsid w:val="00C44D8B"/>
    <w:rsid w:val="00C44D9D"/>
    <w:rsid w:val="00C44DB3"/>
    <w:rsid w:val="00C44F1A"/>
    <w:rsid w:val="00C45038"/>
    <w:rsid w:val="00C45150"/>
    <w:rsid w:val="00C452AC"/>
    <w:rsid w:val="00C45363"/>
    <w:rsid w:val="00C453D3"/>
    <w:rsid w:val="00C45418"/>
    <w:rsid w:val="00C456B3"/>
    <w:rsid w:val="00C456D4"/>
    <w:rsid w:val="00C4571C"/>
    <w:rsid w:val="00C45981"/>
    <w:rsid w:val="00C45B10"/>
    <w:rsid w:val="00C45F2F"/>
    <w:rsid w:val="00C45F9F"/>
    <w:rsid w:val="00C4607F"/>
    <w:rsid w:val="00C460A4"/>
    <w:rsid w:val="00C462BC"/>
    <w:rsid w:val="00C46328"/>
    <w:rsid w:val="00C46440"/>
    <w:rsid w:val="00C4651D"/>
    <w:rsid w:val="00C46573"/>
    <w:rsid w:val="00C465E2"/>
    <w:rsid w:val="00C4667D"/>
    <w:rsid w:val="00C468A1"/>
    <w:rsid w:val="00C468B7"/>
    <w:rsid w:val="00C469A4"/>
    <w:rsid w:val="00C46A53"/>
    <w:rsid w:val="00C46B85"/>
    <w:rsid w:val="00C46DB7"/>
    <w:rsid w:val="00C46EDB"/>
    <w:rsid w:val="00C47084"/>
    <w:rsid w:val="00C4732D"/>
    <w:rsid w:val="00C4774E"/>
    <w:rsid w:val="00C47971"/>
    <w:rsid w:val="00C47A9F"/>
    <w:rsid w:val="00C47B90"/>
    <w:rsid w:val="00C47DA5"/>
    <w:rsid w:val="00C47F43"/>
    <w:rsid w:val="00C503E8"/>
    <w:rsid w:val="00C505BE"/>
    <w:rsid w:val="00C5067C"/>
    <w:rsid w:val="00C507C3"/>
    <w:rsid w:val="00C50951"/>
    <w:rsid w:val="00C50DE1"/>
    <w:rsid w:val="00C50F06"/>
    <w:rsid w:val="00C51542"/>
    <w:rsid w:val="00C519B5"/>
    <w:rsid w:val="00C52054"/>
    <w:rsid w:val="00C52188"/>
    <w:rsid w:val="00C5221F"/>
    <w:rsid w:val="00C528F3"/>
    <w:rsid w:val="00C52951"/>
    <w:rsid w:val="00C52AEB"/>
    <w:rsid w:val="00C52B67"/>
    <w:rsid w:val="00C52D92"/>
    <w:rsid w:val="00C52D9B"/>
    <w:rsid w:val="00C52F78"/>
    <w:rsid w:val="00C53080"/>
    <w:rsid w:val="00C5324A"/>
    <w:rsid w:val="00C532B0"/>
    <w:rsid w:val="00C5358D"/>
    <w:rsid w:val="00C536B8"/>
    <w:rsid w:val="00C53998"/>
    <w:rsid w:val="00C53EA1"/>
    <w:rsid w:val="00C53F59"/>
    <w:rsid w:val="00C53FBB"/>
    <w:rsid w:val="00C5459A"/>
    <w:rsid w:val="00C547BE"/>
    <w:rsid w:val="00C54DC2"/>
    <w:rsid w:val="00C54DF4"/>
    <w:rsid w:val="00C54F34"/>
    <w:rsid w:val="00C54FF3"/>
    <w:rsid w:val="00C552B6"/>
    <w:rsid w:val="00C55570"/>
    <w:rsid w:val="00C555E1"/>
    <w:rsid w:val="00C555E9"/>
    <w:rsid w:val="00C55637"/>
    <w:rsid w:val="00C55674"/>
    <w:rsid w:val="00C556FA"/>
    <w:rsid w:val="00C5586B"/>
    <w:rsid w:val="00C5588C"/>
    <w:rsid w:val="00C558E6"/>
    <w:rsid w:val="00C559AB"/>
    <w:rsid w:val="00C559FB"/>
    <w:rsid w:val="00C55C69"/>
    <w:rsid w:val="00C55D0E"/>
    <w:rsid w:val="00C55FF4"/>
    <w:rsid w:val="00C56456"/>
    <w:rsid w:val="00C565F1"/>
    <w:rsid w:val="00C56858"/>
    <w:rsid w:val="00C56989"/>
    <w:rsid w:val="00C56AB8"/>
    <w:rsid w:val="00C56D03"/>
    <w:rsid w:val="00C573B7"/>
    <w:rsid w:val="00C579DC"/>
    <w:rsid w:val="00C57A8D"/>
    <w:rsid w:val="00C57BCD"/>
    <w:rsid w:val="00C57C94"/>
    <w:rsid w:val="00C57E30"/>
    <w:rsid w:val="00C57E9F"/>
    <w:rsid w:val="00C57F01"/>
    <w:rsid w:val="00C57F62"/>
    <w:rsid w:val="00C6027C"/>
    <w:rsid w:val="00C602ED"/>
    <w:rsid w:val="00C6044B"/>
    <w:rsid w:val="00C6070F"/>
    <w:rsid w:val="00C6071E"/>
    <w:rsid w:val="00C60782"/>
    <w:rsid w:val="00C607A9"/>
    <w:rsid w:val="00C607F8"/>
    <w:rsid w:val="00C60882"/>
    <w:rsid w:val="00C60921"/>
    <w:rsid w:val="00C60D92"/>
    <w:rsid w:val="00C60EFB"/>
    <w:rsid w:val="00C6116A"/>
    <w:rsid w:val="00C6124E"/>
    <w:rsid w:val="00C6133E"/>
    <w:rsid w:val="00C6143B"/>
    <w:rsid w:val="00C615E3"/>
    <w:rsid w:val="00C61603"/>
    <w:rsid w:val="00C61759"/>
    <w:rsid w:val="00C61819"/>
    <w:rsid w:val="00C61B31"/>
    <w:rsid w:val="00C61B3D"/>
    <w:rsid w:val="00C61BB4"/>
    <w:rsid w:val="00C61C0E"/>
    <w:rsid w:val="00C61FF7"/>
    <w:rsid w:val="00C620D3"/>
    <w:rsid w:val="00C621F5"/>
    <w:rsid w:val="00C62532"/>
    <w:rsid w:val="00C6272F"/>
    <w:rsid w:val="00C627A9"/>
    <w:rsid w:val="00C629A9"/>
    <w:rsid w:val="00C62A22"/>
    <w:rsid w:val="00C62BBB"/>
    <w:rsid w:val="00C6302E"/>
    <w:rsid w:val="00C6315C"/>
    <w:rsid w:val="00C631E4"/>
    <w:rsid w:val="00C632D8"/>
    <w:rsid w:val="00C63320"/>
    <w:rsid w:val="00C63361"/>
    <w:rsid w:val="00C63374"/>
    <w:rsid w:val="00C6345D"/>
    <w:rsid w:val="00C637EC"/>
    <w:rsid w:val="00C639AB"/>
    <w:rsid w:val="00C63B3B"/>
    <w:rsid w:val="00C63C65"/>
    <w:rsid w:val="00C63D76"/>
    <w:rsid w:val="00C63F21"/>
    <w:rsid w:val="00C6411B"/>
    <w:rsid w:val="00C64147"/>
    <w:rsid w:val="00C642B2"/>
    <w:rsid w:val="00C6431C"/>
    <w:rsid w:val="00C64660"/>
    <w:rsid w:val="00C64AC3"/>
    <w:rsid w:val="00C64AD3"/>
    <w:rsid w:val="00C6508F"/>
    <w:rsid w:val="00C65488"/>
    <w:rsid w:val="00C65628"/>
    <w:rsid w:val="00C6592F"/>
    <w:rsid w:val="00C65C33"/>
    <w:rsid w:val="00C65C35"/>
    <w:rsid w:val="00C65DD2"/>
    <w:rsid w:val="00C65F0D"/>
    <w:rsid w:val="00C65F9B"/>
    <w:rsid w:val="00C660BE"/>
    <w:rsid w:val="00C661F3"/>
    <w:rsid w:val="00C66333"/>
    <w:rsid w:val="00C6643E"/>
    <w:rsid w:val="00C665D9"/>
    <w:rsid w:val="00C6665B"/>
    <w:rsid w:val="00C6689C"/>
    <w:rsid w:val="00C669A2"/>
    <w:rsid w:val="00C66A8B"/>
    <w:rsid w:val="00C66E3F"/>
    <w:rsid w:val="00C66FA4"/>
    <w:rsid w:val="00C67290"/>
    <w:rsid w:val="00C67542"/>
    <w:rsid w:val="00C67943"/>
    <w:rsid w:val="00C679C2"/>
    <w:rsid w:val="00C67A10"/>
    <w:rsid w:val="00C67AD4"/>
    <w:rsid w:val="00C67D57"/>
    <w:rsid w:val="00C67DAE"/>
    <w:rsid w:val="00C67EE7"/>
    <w:rsid w:val="00C70162"/>
    <w:rsid w:val="00C701D8"/>
    <w:rsid w:val="00C70256"/>
    <w:rsid w:val="00C7034C"/>
    <w:rsid w:val="00C703F5"/>
    <w:rsid w:val="00C704D5"/>
    <w:rsid w:val="00C70584"/>
    <w:rsid w:val="00C7069F"/>
    <w:rsid w:val="00C706C4"/>
    <w:rsid w:val="00C7092D"/>
    <w:rsid w:val="00C70997"/>
    <w:rsid w:val="00C709F1"/>
    <w:rsid w:val="00C70AC6"/>
    <w:rsid w:val="00C70AE1"/>
    <w:rsid w:val="00C70B33"/>
    <w:rsid w:val="00C70C36"/>
    <w:rsid w:val="00C70CEE"/>
    <w:rsid w:val="00C70D76"/>
    <w:rsid w:val="00C70EBB"/>
    <w:rsid w:val="00C710B2"/>
    <w:rsid w:val="00C711AD"/>
    <w:rsid w:val="00C7138E"/>
    <w:rsid w:val="00C714CD"/>
    <w:rsid w:val="00C71557"/>
    <w:rsid w:val="00C715D1"/>
    <w:rsid w:val="00C7165D"/>
    <w:rsid w:val="00C716FC"/>
    <w:rsid w:val="00C71719"/>
    <w:rsid w:val="00C71877"/>
    <w:rsid w:val="00C71896"/>
    <w:rsid w:val="00C71BA2"/>
    <w:rsid w:val="00C71BEE"/>
    <w:rsid w:val="00C71D2E"/>
    <w:rsid w:val="00C71DE2"/>
    <w:rsid w:val="00C71F80"/>
    <w:rsid w:val="00C72068"/>
    <w:rsid w:val="00C720AA"/>
    <w:rsid w:val="00C72193"/>
    <w:rsid w:val="00C72197"/>
    <w:rsid w:val="00C72213"/>
    <w:rsid w:val="00C72344"/>
    <w:rsid w:val="00C724AE"/>
    <w:rsid w:val="00C72509"/>
    <w:rsid w:val="00C72665"/>
    <w:rsid w:val="00C726CC"/>
    <w:rsid w:val="00C728FB"/>
    <w:rsid w:val="00C72915"/>
    <w:rsid w:val="00C72968"/>
    <w:rsid w:val="00C72A09"/>
    <w:rsid w:val="00C72AD5"/>
    <w:rsid w:val="00C72B29"/>
    <w:rsid w:val="00C73062"/>
    <w:rsid w:val="00C730D8"/>
    <w:rsid w:val="00C73108"/>
    <w:rsid w:val="00C731E8"/>
    <w:rsid w:val="00C73221"/>
    <w:rsid w:val="00C733A5"/>
    <w:rsid w:val="00C73490"/>
    <w:rsid w:val="00C7351B"/>
    <w:rsid w:val="00C735CE"/>
    <w:rsid w:val="00C73729"/>
    <w:rsid w:val="00C7397D"/>
    <w:rsid w:val="00C73A03"/>
    <w:rsid w:val="00C73AA3"/>
    <w:rsid w:val="00C73C03"/>
    <w:rsid w:val="00C73E0C"/>
    <w:rsid w:val="00C74108"/>
    <w:rsid w:val="00C74153"/>
    <w:rsid w:val="00C741D2"/>
    <w:rsid w:val="00C7431C"/>
    <w:rsid w:val="00C744E1"/>
    <w:rsid w:val="00C74668"/>
    <w:rsid w:val="00C746F5"/>
    <w:rsid w:val="00C74795"/>
    <w:rsid w:val="00C74955"/>
    <w:rsid w:val="00C749C3"/>
    <w:rsid w:val="00C74E8C"/>
    <w:rsid w:val="00C74FBB"/>
    <w:rsid w:val="00C75315"/>
    <w:rsid w:val="00C759A0"/>
    <w:rsid w:val="00C75B88"/>
    <w:rsid w:val="00C75D96"/>
    <w:rsid w:val="00C75EE6"/>
    <w:rsid w:val="00C75F23"/>
    <w:rsid w:val="00C760C8"/>
    <w:rsid w:val="00C7613A"/>
    <w:rsid w:val="00C769BB"/>
    <w:rsid w:val="00C769FA"/>
    <w:rsid w:val="00C76D03"/>
    <w:rsid w:val="00C76D2C"/>
    <w:rsid w:val="00C76EEA"/>
    <w:rsid w:val="00C770B0"/>
    <w:rsid w:val="00C772C1"/>
    <w:rsid w:val="00C77355"/>
    <w:rsid w:val="00C77430"/>
    <w:rsid w:val="00C774A5"/>
    <w:rsid w:val="00C776EB"/>
    <w:rsid w:val="00C77AB1"/>
    <w:rsid w:val="00C77AEA"/>
    <w:rsid w:val="00C77BF3"/>
    <w:rsid w:val="00C77DD8"/>
    <w:rsid w:val="00C77F58"/>
    <w:rsid w:val="00C80108"/>
    <w:rsid w:val="00C8015B"/>
    <w:rsid w:val="00C8027C"/>
    <w:rsid w:val="00C809E8"/>
    <w:rsid w:val="00C80C0F"/>
    <w:rsid w:val="00C80DA3"/>
    <w:rsid w:val="00C80DC2"/>
    <w:rsid w:val="00C80E0E"/>
    <w:rsid w:val="00C814F4"/>
    <w:rsid w:val="00C8151E"/>
    <w:rsid w:val="00C8193F"/>
    <w:rsid w:val="00C81B50"/>
    <w:rsid w:val="00C81C06"/>
    <w:rsid w:val="00C81E32"/>
    <w:rsid w:val="00C8212B"/>
    <w:rsid w:val="00C823EF"/>
    <w:rsid w:val="00C82493"/>
    <w:rsid w:val="00C82520"/>
    <w:rsid w:val="00C825F7"/>
    <w:rsid w:val="00C82769"/>
    <w:rsid w:val="00C82787"/>
    <w:rsid w:val="00C827E7"/>
    <w:rsid w:val="00C82A09"/>
    <w:rsid w:val="00C82A60"/>
    <w:rsid w:val="00C82CC4"/>
    <w:rsid w:val="00C82CF8"/>
    <w:rsid w:val="00C82DA2"/>
    <w:rsid w:val="00C83038"/>
    <w:rsid w:val="00C83156"/>
    <w:rsid w:val="00C831E0"/>
    <w:rsid w:val="00C832E2"/>
    <w:rsid w:val="00C834F2"/>
    <w:rsid w:val="00C83648"/>
    <w:rsid w:val="00C836AF"/>
    <w:rsid w:val="00C83706"/>
    <w:rsid w:val="00C837A6"/>
    <w:rsid w:val="00C83B2F"/>
    <w:rsid w:val="00C83BAB"/>
    <w:rsid w:val="00C83BAC"/>
    <w:rsid w:val="00C83C87"/>
    <w:rsid w:val="00C83D50"/>
    <w:rsid w:val="00C83DF8"/>
    <w:rsid w:val="00C83E54"/>
    <w:rsid w:val="00C83E7E"/>
    <w:rsid w:val="00C83FB9"/>
    <w:rsid w:val="00C84088"/>
    <w:rsid w:val="00C8440D"/>
    <w:rsid w:val="00C8444D"/>
    <w:rsid w:val="00C84652"/>
    <w:rsid w:val="00C8488F"/>
    <w:rsid w:val="00C84AB4"/>
    <w:rsid w:val="00C84C65"/>
    <w:rsid w:val="00C84D20"/>
    <w:rsid w:val="00C84D85"/>
    <w:rsid w:val="00C85071"/>
    <w:rsid w:val="00C851D8"/>
    <w:rsid w:val="00C852DD"/>
    <w:rsid w:val="00C8556F"/>
    <w:rsid w:val="00C85578"/>
    <w:rsid w:val="00C858FA"/>
    <w:rsid w:val="00C85A02"/>
    <w:rsid w:val="00C85A67"/>
    <w:rsid w:val="00C85C35"/>
    <w:rsid w:val="00C85C5F"/>
    <w:rsid w:val="00C85DF7"/>
    <w:rsid w:val="00C862DF"/>
    <w:rsid w:val="00C8682B"/>
    <w:rsid w:val="00C8685F"/>
    <w:rsid w:val="00C8689B"/>
    <w:rsid w:val="00C868EF"/>
    <w:rsid w:val="00C8699C"/>
    <w:rsid w:val="00C86A37"/>
    <w:rsid w:val="00C86AA9"/>
    <w:rsid w:val="00C86BA8"/>
    <w:rsid w:val="00C86F2E"/>
    <w:rsid w:val="00C870C0"/>
    <w:rsid w:val="00C870CF"/>
    <w:rsid w:val="00C870FD"/>
    <w:rsid w:val="00C87152"/>
    <w:rsid w:val="00C8717E"/>
    <w:rsid w:val="00C8722C"/>
    <w:rsid w:val="00C87335"/>
    <w:rsid w:val="00C8735F"/>
    <w:rsid w:val="00C873F5"/>
    <w:rsid w:val="00C876FA"/>
    <w:rsid w:val="00C87784"/>
    <w:rsid w:val="00C877D8"/>
    <w:rsid w:val="00C878F6"/>
    <w:rsid w:val="00C879CB"/>
    <w:rsid w:val="00C87CF6"/>
    <w:rsid w:val="00C87D85"/>
    <w:rsid w:val="00C90160"/>
    <w:rsid w:val="00C902D4"/>
    <w:rsid w:val="00C904A9"/>
    <w:rsid w:val="00C9058B"/>
    <w:rsid w:val="00C90803"/>
    <w:rsid w:val="00C909F4"/>
    <w:rsid w:val="00C90A26"/>
    <w:rsid w:val="00C90AEA"/>
    <w:rsid w:val="00C90CC9"/>
    <w:rsid w:val="00C90F59"/>
    <w:rsid w:val="00C90F82"/>
    <w:rsid w:val="00C9109D"/>
    <w:rsid w:val="00C9155B"/>
    <w:rsid w:val="00C917F1"/>
    <w:rsid w:val="00C91853"/>
    <w:rsid w:val="00C91D3C"/>
    <w:rsid w:val="00C91F1E"/>
    <w:rsid w:val="00C92548"/>
    <w:rsid w:val="00C926D0"/>
    <w:rsid w:val="00C92774"/>
    <w:rsid w:val="00C927D6"/>
    <w:rsid w:val="00C92A17"/>
    <w:rsid w:val="00C92B77"/>
    <w:rsid w:val="00C92DA7"/>
    <w:rsid w:val="00C92DED"/>
    <w:rsid w:val="00C92E36"/>
    <w:rsid w:val="00C92EE8"/>
    <w:rsid w:val="00C931F4"/>
    <w:rsid w:val="00C9342D"/>
    <w:rsid w:val="00C93600"/>
    <w:rsid w:val="00C937BD"/>
    <w:rsid w:val="00C93A2D"/>
    <w:rsid w:val="00C93BF1"/>
    <w:rsid w:val="00C9424E"/>
    <w:rsid w:val="00C944FF"/>
    <w:rsid w:val="00C945DD"/>
    <w:rsid w:val="00C94640"/>
    <w:rsid w:val="00C9475B"/>
    <w:rsid w:val="00C94792"/>
    <w:rsid w:val="00C94914"/>
    <w:rsid w:val="00C949CB"/>
    <w:rsid w:val="00C94AF2"/>
    <w:rsid w:val="00C94B22"/>
    <w:rsid w:val="00C95089"/>
    <w:rsid w:val="00C951B9"/>
    <w:rsid w:val="00C9521B"/>
    <w:rsid w:val="00C953F3"/>
    <w:rsid w:val="00C954D5"/>
    <w:rsid w:val="00C95821"/>
    <w:rsid w:val="00C958FB"/>
    <w:rsid w:val="00C95956"/>
    <w:rsid w:val="00C95A72"/>
    <w:rsid w:val="00C95BBB"/>
    <w:rsid w:val="00C95DE1"/>
    <w:rsid w:val="00C9637C"/>
    <w:rsid w:val="00C963EF"/>
    <w:rsid w:val="00C964E6"/>
    <w:rsid w:val="00C96596"/>
    <w:rsid w:val="00C965C3"/>
    <w:rsid w:val="00C965DE"/>
    <w:rsid w:val="00C965E3"/>
    <w:rsid w:val="00C96844"/>
    <w:rsid w:val="00C96C49"/>
    <w:rsid w:val="00C96C5F"/>
    <w:rsid w:val="00C96CBC"/>
    <w:rsid w:val="00C96FDA"/>
    <w:rsid w:val="00C9702A"/>
    <w:rsid w:val="00C9729A"/>
    <w:rsid w:val="00C975A4"/>
    <w:rsid w:val="00C97752"/>
    <w:rsid w:val="00C97A59"/>
    <w:rsid w:val="00C97BFF"/>
    <w:rsid w:val="00C97DD3"/>
    <w:rsid w:val="00C97E18"/>
    <w:rsid w:val="00C97EA7"/>
    <w:rsid w:val="00C97EF8"/>
    <w:rsid w:val="00CA0077"/>
    <w:rsid w:val="00CA00B1"/>
    <w:rsid w:val="00CA00F3"/>
    <w:rsid w:val="00CA02F3"/>
    <w:rsid w:val="00CA0376"/>
    <w:rsid w:val="00CA04E8"/>
    <w:rsid w:val="00CA0653"/>
    <w:rsid w:val="00CA06FE"/>
    <w:rsid w:val="00CA072C"/>
    <w:rsid w:val="00CA07B2"/>
    <w:rsid w:val="00CA08DF"/>
    <w:rsid w:val="00CA0B16"/>
    <w:rsid w:val="00CA0C02"/>
    <w:rsid w:val="00CA0CE5"/>
    <w:rsid w:val="00CA0DC9"/>
    <w:rsid w:val="00CA0F96"/>
    <w:rsid w:val="00CA1071"/>
    <w:rsid w:val="00CA1785"/>
    <w:rsid w:val="00CA17B5"/>
    <w:rsid w:val="00CA1AA3"/>
    <w:rsid w:val="00CA1EBE"/>
    <w:rsid w:val="00CA1F41"/>
    <w:rsid w:val="00CA2054"/>
    <w:rsid w:val="00CA2434"/>
    <w:rsid w:val="00CA2776"/>
    <w:rsid w:val="00CA2863"/>
    <w:rsid w:val="00CA2A2C"/>
    <w:rsid w:val="00CA2C67"/>
    <w:rsid w:val="00CA2D18"/>
    <w:rsid w:val="00CA30AA"/>
    <w:rsid w:val="00CA3302"/>
    <w:rsid w:val="00CA330B"/>
    <w:rsid w:val="00CA342C"/>
    <w:rsid w:val="00CA356C"/>
    <w:rsid w:val="00CA3584"/>
    <w:rsid w:val="00CA35AF"/>
    <w:rsid w:val="00CA35E4"/>
    <w:rsid w:val="00CA36FE"/>
    <w:rsid w:val="00CA3723"/>
    <w:rsid w:val="00CA391F"/>
    <w:rsid w:val="00CA393B"/>
    <w:rsid w:val="00CA3AFB"/>
    <w:rsid w:val="00CA3C38"/>
    <w:rsid w:val="00CA3C77"/>
    <w:rsid w:val="00CA423A"/>
    <w:rsid w:val="00CA4384"/>
    <w:rsid w:val="00CA43A1"/>
    <w:rsid w:val="00CA43CB"/>
    <w:rsid w:val="00CA43DD"/>
    <w:rsid w:val="00CA459F"/>
    <w:rsid w:val="00CA49FB"/>
    <w:rsid w:val="00CA4B26"/>
    <w:rsid w:val="00CA4B56"/>
    <w:rsid w:val="00CA4D2D"/>
    <w:rsid w:val="00CA4E97"/>
    <w:rsid w:val="00CA4E9A"/>
    <w:rsid w:val="00CA4FF1"/>
    <w:rsid w:val="00CA51E8"/>
    <w:rsid w:val="00CA5249"/>
    <w:rsid w:val="00CA5300"/>
    <w:rsid w:val="00CA530F"/>
    <w:rsid w:val="00CA54A6"/>
    <w:rsid w:val="00CA5A51"/>
    <w:rsid w:val="00CA5B9D"/>
    <w:rsid w:val="00CA5D9C"/>
    <w:rsid w:val="00CA5DDC"/>
    <w:rsid w:val="00CA5EAF"/>
    <w:rsid w:val="00CA5F25"/>
    <w:rsid w:val="00CA6341"/>
    <w:rsid w:val="00CA637A"/>
    <w:rsid w:val="00CA6483"/>
    <w:rsid w:val="00CA6553"/>
    <w:rsid w:val="00CA6586"/>
    <w:rsid w:val="00CA66A0"/>
    <w:rsid w:val="00CA6717"/>
    <w:rsid w:val="00CA6762"/>
    <w:rsid w:val="00CA67F8"/>
    <w:rsid w:val="00CA68EB"/>
    <w:rsid w:val="00CA6A72"/>
    <w:rsid w:val="00CA6C05"/>
    <w:rsid w:val="00CA6CC7"/>
    <w:rsid w:val="00CA6DD3"/>
    <w:rsid w:val="00CA6E04"/>
    <w:rsid w:val="00CA6EC9"/>
    <w:rsid w:val="00CA7199"/>
    <w:rsid w:val="00CA7268"/>
    <w:rsid w:val="00CA7278"/>
    <w:rsid w:val="00CA730C"/>
    <w:rsid w:val="00CA731A"/>
    <w:rsid w:val="00CA745F"/>
    <w:rsid w:val="00CA74E3"/>
    <w:rsid w:val="00CA74E6"/>
    <w:rsid w:val="00CA7713"/>
    <w:rsid w:val="00CA7924"/>
    <w:rsid w:val="00CA7ACB"/>
    <w:rsid w:val="00CB0050"/>
    <w:rsid w:val="00CB00DA"/>
    <w:rsid w:val="00CB0107"/>
    <w:rsid w:val="00CB0223"/>
    <w:rsid w:val="00CB0235"/>
    <w:rsid w:val="00CB03C2"/>
    <w:rsid w:val="00CB0653"/>
    <w:rsid w:val="00CB06B7"/>
    <w:rsid w:val="00CB09A4"/>
    <w:rsid w:val="00CB0AA0"/>
    <w:rsid w:val="00CB0AD7"/>
    <w:rsid w:val="00CB0ADF"/>
    <w:rsid w:val="00CB0B53"/>
    <w:rsid w:val="00CB0EB9"/>
    <w:rsid w:val="00CB10FA"/>
    <w:rsid w:val="00CB1190"/>
    <w:rsid w:val="00CB16F9"/>
    <w:rsid w:val="00CB19B0"/>
    <w:rsid w:val="00CB1AD3"/>
    <w:rsid w:val="00CB1B91"/>
    <w:rsid w:val="00CB1E3C"/>
    <w:rsid w:val="00CB1F7E"/>
    <w:rsid w:val="00CB2112"/>
    <w:rsid w:val="00CB22A6"/>
    <w:rsid w:val="00CB22E7"/>
    <w:rsid w:val="00CB2353"/>
    <w:rsid w:val="00CB2610"/>
    <w:rsid w:val="00CB2B74"/>
    <w:rsid w:val="00CB2D54"/>
    <w:rsid w:val="00CB2DEC"/>
    <w:rsid w:val="00CB2FA3"/>
    <w:rsid w:val="00CB30C6"/>
    <w:rsid w:val="00CB30D0"/>
    <w:rsid w:val="00CB3284"/>
    <w:rsid w:val="00CB36ED"/>
    <w:rsid w:val="00CB38DD"/>
    <w:rsid w:val="00CB3972"/>
    <w:rsid w:val="00CB3B63"/>
    <w:rsid w:val="00CB3C4B"/>
    <w:rsid w:val="00CB3CC7"/>
    <w:rsid w:val="00CB3F12"/>
    <w:rsid w:val="00CB404C"/>
    <w:rsid w:val="00CB4133"/>
    <w:rsid w:val="00CB41C7"/>
    <w:rsid w:val="00CB4415"/>
    <w:rsid w:val="00CB4658"/>
    <w:rsid w:val="00CB4BEC"/>
    <w:rsid w:val="00CB4DD2"/>
    <w:rsid w:val="00CB4E2A"/>
    <w:rsid w:val="00CB4EF5"/>
    <w:rsid w:val="00CB542D"/>
    <w:rsid w:val="00CB5870"/>
    <w:rsid w:val="00CB59D1"/>
    <w:rsid w:val="00CB5D4B"/>
    <w:rsid w:val="00CB5D84"/>
    <w:rsid w:val="00CB5D98"/>
    <w:rsid w:val="00CB5F8E"/>
    <w:rsid w:val="00CB635A"/>
    <w:rsid w:val="00CB64D3"/>
    <w:rsid w:val="00CB659F"/>
    <w:rsid w:val="00CB65A3"/>
    <w:rsid w:val="00CB6A22"/>
    <w:rsid w:val="00CB6ABC"/>
    <w:rsid w:val="00CB6AC9"/>
    <w:rsid w:val="00CB6C66"/>
    <w:rsid w:val="00CB6CF0"/>
    <w:rsid w:val="00CB6E9F"/>
    <w:rsid w:val="00CB6EA7"/>
    <w:rsid w:val="00CB70A3"/>
    <w:rsid w:val="00CB72C5"/>
    <w:rsid w:val="00CB74DE"/>
    <w:rsid w:val="00CB7503"/>
    <w:rsid w:val="00CB75D9"/>
    <w:rsid w:val="00CB761D"/>
    <w:rsid w:val="00CB767F"/>
    <w:rsid w:val="00CB7782"/>
    <w:rsid w:val="00CB7846"/>
    <w:rsid w:val="00CB7964"/>
    <w:rsid w:val="00CB7A9A"/>
    <w:rsid w:val="00CB7B66"/>
    <w:rsid w:val="00CB7CF5"/>
    <w:rsid w:val="00CB7D28"/>
    <w:rsid w:val="00CC0040"/>
    <w:rsid w:val="00CC00AD"/>
    <w:rsid w:val="00CC00AF"/>
    <w:rsid w:val="00CC0274"/>
    <w:rsid w:val="00CC032A"/>
    <w:rsid w:val="00CC0653"/>
    <w:rsid w:val="00CC0780"/>
    <w:rsid w:val="00CC078A"/>
    <w:rsid w:val="00CC0866"/>
    <w:rsid w:val="00CC0BD0"/>
    <w:rsid w:val="00CC0F54"/>
    <w:rsid w:val="00CC0F8A"/>
    <w:rsid w:val="00CC14B8"/>
    <w:rsid w:val="00CC18CC"/>
    <w:rsid w:val="00CC1952"/>
    <w:rsid w:val="00CC1A59"/>
    <w:rsid w:val="00CC1B86"/>
    <w:rsid w:val="00CC1C30"/>
    <w:rsid w:val="00CC1DBE"/>
    <w:rsid w:val="00CC1E1D"/>
    <w:rsid w:val="00CC1E27"/>
    <w:rsid w:val="00CC1F51"/>
    <w:rsid w:val="00CC2237"/>
    <w:rsid w:val="00CC2278"/>
    <w:rsid w:val="00CC22EE"/>
    <w:rsid w:val="00CC239F"/>
    <w:rsid w:val="00CC23AD"/>
    <w:rsid w:val="00CC257B"/>
    <w:rsid w:val="00CC26AC"/>
    <w:rsid w:val="00CC26F5"/>
    <w:rsid w:val="00CC2935"/>
    <w:rsid w:val="00CC2ED0"/>
    <w:rsid w:val="00CC2FEA"/>
    <w:rsid w:val="00CC333D"/>
    <w:rsid w:val="00CC3569"/>
    <w:rsid w:val="00CC37B3"/>
    <w:rsid w:val="00CC3A25"/>
    <w:rsid w:val="00CC3B13"/>
    <w:rsid w:val="00CC3BE1"/>
    <w:rsid w:val="00CC3CDD"/>
    <w:rsid w:val="00CC3D0D"/>
    <w:rsid w:val="00CC3EA0"/>
    <w:rsid w:val="00CC4071"/>
    <w:rsid w:val="00CC411D"/>
    <w:rsid w:val="00CC4202"/>
    <w:rsid w:val="00CC42A3"/>
    <w:rsid w:val="00CC4372"/>
    <w:rsid w:val="00CC43C7"/>
    <w:rsid w:val="00CC4573"/>
    <w:rsid w:val="00CC474F"/>
    <w:rsid w:val="00CC48B9"/>
    <w:rsid w:val="00CC4C1A"/>
    <w:rsid w:val="00CC4CFE"/>
    <w:rsid w:val="00CC4F13"/>
    <w:rsid w:val="00CC52DA"/>
    <w:rsid w:val="00CC5343"/>
    <w:rsid w:val="00CC5457"/>
    <w:rsid w:val="00CC5481"/>
    <w:rsid w:val="00CC54CA"/>
    <w:rsid w:val="00CC551E"/>
    <w:rsid w:val="00CC56CA"/>
    <w:rsid w:val="00CC5922"/>
    <w:rsid w:val="00CC59FE"/>
    <w:rsid w:val="00CC5A89"/>
    <w:rsid w:val="00CC5BE7"/>
    <w:rsid w:val="00CC5F0F"/>
    <w:rsid w:val="00CC62E6"/>
    <w:rsid w:val="00CC6418"/>
    <w:rsid w:val="00CC6495"/>
    <w:rsid w:val="00CC64AA"/>
    <w:rsid w:val="00CC6554"/>
    <w:rsid w:val="00CC66B3"/>
    <w:rsid w:val="00CC691C"/>
    <w:rsid w:val="00CC6983"/>
    <w:rsid w:val="00CC69C7"/>
    <w:rsid w:val="00CC6A2F"/>
    <w:rsid w:val="00CC6B04"/>
    <w:rsid w:val="00CC6B62"/>
    <w:rsid w:val="00CC6D15"/>
    <w:rsid w:val="00CC6EEF"/>
    <w:rsid w:val="00CC6FA2"/>
    <w:rsid w:val="00CC70FB"/>
    <w:rsid w:val="00CC7104"/>
    <w:rsid w:val="00CC72EF"/>
    <w:rsid w:val="00CC7387"/>
    <w:rsid w:val="00CC74D5"/>
    <w:rsid w:val="00CC7702"/>
    <w:rsid w:val="00CC7781"/>
    <w:rsid w:val="00CC7AD4"/>
    <w:rsid w:val="00CC7FDD"/>
    <w:rsid w:val="00CD0152"/>
    <w:rsid w:val="00CD05D5"/>
    <w:rsid w:val="00CD075F"/>
    <w:rsid w:val="00CD0B1A"/>
    <w:rsid w:val="00CD0C3C"/>
    <w:rsid w:val="00CD0C73"/>
    <w:rsid w:val="00CD0D2C"/>
    <w:rsid w:val="00CD0DA2"/>
    <w:rsid w:val="00CD1043"/>
    <w:rsid w:val="00CD1171"/>
    <w:rsid w:val="00CD176A"/>
    <w:rsid w:val="00CD18C1"/>
    <w:rsid w:val="00CD199C"/>
    <w:rsid w:val="00CD1CEB"/>
    <w:rsid w:val="00CD1DA1"/>
    <w:rsid w:val="00CD21AC"/>
    <w:rsid w:val="00CD23DC"/>
    <w:rsid w:val="00CD2470"/>
    <w:rsid w:val="00CD248A"/>
    <w:rsid w:val="00CD2585"/>
    <w:rsid w:val="00CD2750"/>
    <w:rsid w:val="00CD27C9"/>
    <w:rsid w:val="00CD29AC"/>
    <w:rsid w:val="00CD2B1B"/>
    <w:rsid w:val="00CD2BB3"/>
    <w:rsid w:val="00CD2F1D"/>
    <w:rsid w:val="00CD2F82"/>
    <w:rsid w:val="00CD32B9"/>
    <w:rsid w:val="00CD32DA"/>
    <w:rsid w:val="00CD337F"/>
    <w:rsid w:val="00CD33C4"/>
    <w:rsid w:val="00CD3423"/>
    <w:rsid w:val="00CD35F6"/>
    <w:rsid w:val="00CD3838"/>
    <w:rsid w:val="00CD39B3"/>
    <w:rsid w:val="00CD3A68"/>
    <w:rsid w:val="00CD3ADF"/>
    <w:rsid w:val="00CD3C0E"/>
    <w:rsid w:val="00CD3CDD"/>
    <w:rsid w:val="00CD3D3D"/>
    <w:rsid w:val="00CD3D7D"/>
    <w:rsid w:val="00CD3DA6"/>
    <w:rsid w:val="00CD3F3D"/>
    <w:rsid w:val="00CD3F95"/>
    <w:rsid w:val="00CD41FD"/>
    <w:rsid w:val="00CD4219"/>
    <w:rsid w:val="00CD42B4"/>
    <w:rsid w:val="00CD437D"/>
    <w:rsid w:val="00CD4395"/>
    <w:rsid w:val="00CD4424"/>
    <w:rsid w:val="00CD48BA"/>
    <w:rsid w:val="00CD49C6"/>
    <w:rsid w:val="00CD4A01"/>
    <w:rsid w:val="00CD4C3D"/>
    <w:rsid w:val="00CD4C90"/>
    <w:rsid w:val="00CD4D45"/>
    <w:rsid w:val="00CD4E90"/>
    <w:rsid w:val="00CD4FC2"/>
    <w:rsid w:val="00CD5033"/>
    <w:rsid w:val="00CD50AE"/>
    <w:rsid w:val="00CD5153"/>
    <w:rsid w:val="00CD5447"/>
    <w:rsid w:val="00CD5501"/>
    <w:rsid w:val="00CD552C"/>
    <w:rsid w:val="00CD561F"/>
    <w:rsid w:val="00CD56FB"/>
    <w:rsid w:val="00CD5730"/>
    <w:rsid w:val="00CD5750"/>
    <w:rsid w:val="00CD58AC"/>
    <w:rsid w:val="00CD5AE5"/>
    <w:rsid w:val="00CD5B9E"/>
    <w:rsid w:val="00CD5BEC"/>
    <w:rsid w:val="00CD5FBD"/>
    <w:rsid w:val="00CD605D"/>
    <w:rsid w:val="00CD6147"/>
    <w:rsid w:val="00CD62AC"/>
    <w:rsid w:val="00CD62B6"/>
    <w:rsid w:val="00CD6358"/>
    <w:rsid w:val="00CD6499"/>
    <w:rsid w:val="00CD6571"/>
    <w:rsid w:val="00CD687F"/>
    <w:rsid w:val="00CD68D3"/>
    <w:rsid w:val="00CD6A3A"/>
    <w:rsid w:val="00CD6AB8"/>
    <w:rsid w:val="00CD6C5B"/>
    <w:rsid w:val="00CD6CAC"/>
    <w:rsid w:val="00CD6E21"/>
    <w:rsid w:val="00CD7061"/>
    <w:rsid w:val="00CD7302"/>
    <w:rsid w:val="00CD74A5"/>
    <w:rsid w:val="00CD783C"/>
    <w:rsid w:val="00CD7CEE"/>
    <w:rsid w:val="00CD7D1B"/>
    <w:rsid w:val="00CD7FDC"/>
    <w:rsid w:val="00CE0124"/>
    <w:rsid w:val="00CE0462"/>
    <w:rsid w:val="00CE06E1"/>
    <w:rsid w:val="00CE0886"/>
    <w:rsid w:val="00CE08BB"/>
    <w:rsid w:val="00CE0A27"/>
    <w:rsid w:val="00CE0C65"/>
    <w:rsid w:val="00CE0F62"/>
    <w:rsid w:val="00CE1077"/>
    <w:rsid w:val="00CE117B"/>
    <w:rsid w:val="00CE1268"/>
    <w:rsid w:val="00CE12DC"/>
    <w:rsid w:val="00CE12EE"/>
    <w:rsid w:val="00CE13F1"/>
    <w:rsid w:val="00CE1434"/>
    <w:rsid w:val="00CE1441"/>
    <w:rsid w:val="00CE146C"/>
    <w:rsid w:val="00CE14BE"/>
    <w:rsid w:val="00CE15A4"/>
    <w:rsid w:val="00CE15B0"/>
    <w:rsid w:val="00CE15DE"/>
    <w:rsid w:val="00CE16E2"/>
    <w:rsid w:val="00CE1751"/>
    <w:rsid w:val="00CE17A5"/>
    <w:rsid w:val="00CE1A2E"/>
    <w:rsid w:val="00CE1AC0"/>
    <w:rsid w:val="00CE1AEB"/>
    <w:rsid w:val="00CE1C6F"/>
    <w:rsid w:val="00CE1C7E"/>
    <w:rsid w:val="00CE1EFB"/>
    <w:rsid w:val="00CE1FAE"/>
    <w:rsid w:val="00CE2060"/>
    <w:rsid w:val="00CE20FF"/>
    <w:rsid w:val="00CE232D"/>
    <w:rsid w:val="00CE2A1B"/>
    <w:rsid w:val="00CE2A34"/>
    <w:rsid w:val="00CE2DF8"/>
    <w:rsid w:val="00CE31FC"/>
    <w:rsid w:val="00CE343C"/>
    <w:rsid w:val="00CE3449"/>
    <w:rsid w:val="00CE360C"/>
    <w:rsid w:val="00CE38C8"/>
    <w:rsid w:val="00CE38DF"/>
    <w:rsid w:val="00CE3925"/>
    <w:rsid w:val="00CE3A2A"/>
    <w:rsid w:val="00CE3DCE"/>
    <w:rsid w:val="00CE4067"/>
    <w:rsid w:val="00CE40DA"/>
    <w:rsid w:val="00CE42AE"/>
    <w:rsid w:val="00CE448B"/>
    <w:rsid w:val="00CE44C5"/>
    <w:rsid w:val="00CE48F2"/>
    <w:rsid w:val="00CE49FA"/>
    <w:rsid w:val="00CE4B52"/>
    <w:rsid w:val="00CE4B64"/>
    <w:rsid w:val="00CE4F01"/>
    <w:rsid w:val="00CE4FB5"/>
    <w:rsid w:val="00CE5137"/>
    <w:rsid w:val="00CE532C"/>
    <w:rsid w:val="00CE569C"/>
    <w:rsid w:val="00CE573A"/>
    <w:rsid w:val="00CE5A28"/>
    <w:rsid w:val="00CE5A3E"/>
    <w:rsid w:val="00CE5A7F"/>
    <w:rsid w:val="00CE5C3F"/>
    <w:rsid w:val="00CE5D73"/>
    <w:rsid w:val="00CE63C2"/>
    <w:rsid w:val="00CE6443"/>
    <w:rsid w:val="00CE662B"/>
    <w:rsid w:val="00CE6856"/>
    <w:rsid w:val="00CE6A37"/>
    <w:rsid w:val="00CE6C31"/>
    <w:rsid w:val="00CE6CA0"/>
    <w:rsid w:val="00CE6D6D"/>
    <w:rsid w:val="00CE6FA0"/>
    <w:rsid w:val="00CE7045"/>
    <w:rsid w:val="00CE77A1"/>
    <w:rsid w:val="00CE7B17"/>
    <w:rsid w:val="00CE7FF2"/>
    <w:rsid w:val="00CF00E3"/>
    <w:rsid w:val="00CF0200"/>
    <w:rsid w:val="00CF02C3"/>
    <w:rsid w:val="00CF0458"/>
    <w:rsid w:val="00CF0528"/>
    <w:rsid w:val="00CF0581"/>
    <w:rsid w:val="00CF0648"/>
    <w:rsid w:val="00CF07D4"/>
    <w:rsid w:val="00CF095F"/>
    <w:rsid w:val="00CF0C64"/>
    <w:rsid w:val="00CF0CF9"/>
    <w:rsid w:val="00CF0D05"/>
    <w:rsid w:val="00CF0E67"/>
    <w:rsid w:val="00CF10F5"/>
    <w:rsid w:val="00CF11CD"/>
    <w:rsid w:val="00CF1427"/>
    <w:rsid w:val="00CF1515"/>
    <w:rsid w:val="00CF16D2"/>
    <w:rsid w:val="00CF1717"/>
    <w:rsid w:val="00CF182B"/>
    <w:rsid w:val="00CF1B34"/>
    <w:rsid w:val="00CF1BD2"/>
    <w:rsid w:val="00CF1C0E"/>
    <w:rsid w:val="00CF1C3C"/>
    <w:rsid w:val="00CF1C5B"/>
    <w:rsid w:val="00CF1F0A"/>
    <w:rsid w:val="00CF2527"/>
    <w:rsid w:val="00CF2533"/>
    <w:rsid w:val="00CF2540"/>
    <w:rsid w:val="00CF2675"/>
    <w:rsid w:val="00CF285A"/>
    <w:rsid w:val="00CF29F1"/>
    <w:rsid w:val="00CF2E3B"/>
    <w:rsid w:val="00CF2E45"/>
    <w:rsid w:val="00CF2F09"/>
    <w:rsid w:val="00CF314F"/>
    <w:rsid w:val="00CF34CC"/>
    <w:rsid w:val="00CF35F4"/>
    <w:rsid w:val="00CF3740"/>
    <w:rsid w:val="00CF3750"/>
    <w:rsid w:val="00CF3769"/>
    <w:rsid w:val="00CF3872"/>
    <w:rsid w:val="00CF3902"/>
    <w:rsid w:val="00CF39D9"/>
    <w:rsid w:val="00CF3B6B"/>
    <w:rsid w:val="00CF3FCA"/>
    <w:rsid w:val="00CF405E"/>
    <w:rsid w:val="00CF4151"/>
    <w:rsid w:val="00CF417D"/>
    <w:rsid w:val="00CF4241"/>
    <w:rsid w:val="00CF43E2"/>
    <w:rsid w:val="00CF465D"/>
    <w:rsid w:val="00CF4DB0"/>
    <w:rsid w:val="00CF4DD4"/>
    <w:rsid w:val="00CF4FFE"/>
    <w:rsid w:val="00CF507E"/>
    <w:rsid w:val="00CF516D"/>
    <w:rsid w:val="00CF5256"/>
    <w:rsid w:val="00CF561E"/>
    <w:rsid w:val="00CF5707"/>
    <w:rsid w:val="00CF57C7"/>
    <w:rsid w:val="00CF58A9"/>
    <w:rsid w:val="00CF5986"/>
    <w:rsid w:val="00CF5BA6"/>
    <w:rsid w:val="00CF5BC1"/>
    <w:rsid w:val="00CF5CE3"/>
    <w:rsid w:val="00CF5E42"/>
    <w:rsid w:val="00CF5FCC"/>
    <w:rsid w:val="00CF62F0"/>
    <w:rsid w:val="00CF6520"/>
    <w:rsid w:val="00CF65CD"/>
    <w:rsid w:val="00CF6786"/>
    <w:rsid w:val="00CF67EC"/>
    <w:rsid w:val="00CF6880"/>
    <w:rsid w:val="00CF68DF"/>
    <w:rsid w:val="00CF6D6B"/>
    <w:rsid w:val="00CF6E57"/>
    <w:rsid w:val="00CF6EB7"/>
    <w:rsid w:val="00CF726A"/>
    <w:rsid w:val="00CF7499"/>
    <w:rsid w:val="00CF7798"/>
    <w:rsid w:val="00CF7953"/>
    <w:rsid w:val="00CF7B71"/>
    <w:rsid w:val="00CF7D5D"/>
    <w:rsid w:val="00D00295"/>
    <w:rsid w:val="00D00590"/>
    <w:rsid w:val="00D005D0"/>
    <w:rsid w:val="00D006D4"/>
    <w:rsid w:val="00D007A0"/>
    <w:rsid w:val="00D00904"/>
    <w:rsid w:val="00D00A0C"/>
    <w:rsid w:val="00D00B8E"/>
    <w:rsid w:val="00D0112D"/>
    <w:rsid w:val="00D011AF"/>
    <w:rsid w:val="00D012B1"/>
    <w:rsid w:val="00D012C2"/>
    <w:rsid w:val="00D0131D"/>
    <w:rsid w:val="00D0132A"/>
    <w:rsid w:val="00D017CA"/>
    <w:rsid w:val="00D01848"/>
    <w:rsid w:val="00D01CAF"/>
    <w:rsid w:val="00D01DC0"/>
    <w:rsid w:val="00D01DC2"/>
    <w:rsid w:val="00D01FA9"/>
    <w:rsid w:val="00D02231"/>
    <w:rsid w:val="00D023CD"/>
    <w:rsid w:val="00D026C9"/>
    <w:rsid w:val="00D02C7A"/>
    <w:rsid w:val="00D02D78"/>
    <w:rsid w:val="00D02DE1"/>
    <w:rsid w:val="00D0318C"/>
    <w:rsid w:val="00D03235"/>
    <w:rsid w:val="00D03253"/>
    <w:rsid w:val="00D0328B"/>
    <w:rsid w:val="00D0332F"/>
    <w:rsid w:val="00D03341"/>
    <w:rsid w:val="00D0338B"/>
    <w:rsid w:val="00D033A7"/>
    <w:rsid w:val="00D0357E"/>
    <w:rsid w:val="00D03630"/>
    <w:rsid w:val="00D0366F"/>
    <w:rsid w:val="00D03829"/>
    <w:rsid w:val="00D03990"/>
    <w:rsid w:val="00D039F9"/>
    <w:rsid w:val="00D03AD9"/>
    <w:rsid w:val="00D03C6A"/>
    <w:rsid w:val="00D03DA0"/>
    <w:rsid w:val="00D03EC8"/>
    <w:rsid w:val="00D04106"/>
    <w:rsid w:val="00D0417F"/>
    <w:rsid w:val="00D04293"/>
    <w:rsid w:val="00D04418"/>
    <w:rsid w:val="00D0444B"/>
    <w:rsid w:val="00D044DD"/>
    <w:rsid w:val="00D04544"/>
    <w:rsid w:val="00D045A4"/>
    <w:rsid w:val="00D04742"/>
    <w:rsid w:val="00D04766"/>
    <w:rsid w:val="00D04AC6"/>
    <w:rsid w:val="00D051DE"/>
    <w:rsid w:val="00D05413"/>
    <w:rsid w:val="00D0551F"/>
    <w:rsid w:val="00D05523"/>
    <w:rsid w:val="00D05709"/>
    <w:rsid w:val="00D057DC"/>
    <w:rsid w:val="00D0584B"/>
    <w:rsid w:val="00D0592E"/>
    <w:rsid w:val="00D05A5C"/>
    <w:rsid w:val="00D05E13"/>
    <w:rsid w:val="00D05EB0"/>
    <w:rsid w:val="00D05EEF"/>
    <w:rsid w:val="00D0618E"/>
    <w:rsid w:val="00D062C1"/>
    <w:rsid w:val="00D0646A"/>
    <w:rsid w:val="00D064F1"/>
    <w:rsid w:val="00D0651D"/>
    <w:rsid w:val="00D0667A"/>
    <w:rsid w:val="00D066CD"/>
    <w:rsid w:val="00D06804"/>
    <w:rsid w:val="00D06BB7"/>
    <w:rsid w:val="00D06CAC"/>
    <w:rsid w:val="00D06F04"/>
    <w:rsid w:val="00D06F34"/>
    <w:rsid w:val="00D070D6"/>
    <w:rsid w:val="00D071D8"/>
    <w:rsid w:val="00D07371"/>
    <w:rsid w:val="00D0740A"/>
    <w:rsid w:val="00D07476"/>
    <w:rsid w:val="00D075A8"/>
    <w:rsid w:val="00D07661"/>
    <w:rsid w:val="00D07925"/>
    <w:rsid w:val="00D07C92"/>
    <w:rsid w:val="00D10067"/>
    <w:rsid w:val="00D100CE"/>
    <w:rsid w:val="00D102FD"/>
    <w:rsid w:val="00D10301"/>
    <w:rsid w:val="00D103BE"/>
    <w:rsid w:val="00D1041B"/>
    <w:rsid w:val="00D1044D"/>
    <w:rsid w:val="00D104D2"/>
    <w:rsid w:val="00D1053F"/>
    <w:rsid w:val="00D105D7"/>
    <w:rsid w:val="00D10629"/>
    <w:rsid w:val="00D1069D"/>
    <w:rsid w:val="00D1079C"/>
    <w:rsid w:val="00D10AEF"/>
    <w:rsid w:val="00D10C80"/>
    <w:rsid w:val="00D10D6B"/>
    <w:rsid w:val="00D10DB6"/>
    <w:rsid w:val="00D10DFD"/>
    <w:rsid w:val="00D10F46"/>
    <w:rsid w:val="00D11063"/>
    <w:rsid w:val="00D1107B"/>
    <w:rsid w:val="00D1108F"/>
    <w:rsid w:val="00D11408"/>
    <w:rsid w:val="00D11444"/>
    <w:rsid w:val="00D1146D"/>
    <w:rsid w:val="00D11496"/>
    <w:rsid w:val="00D114F7"/>
    <w:rsid w:val="00D11503"/>
    <w:rsid w:val="00D1165D"/>
    <w:rsid w:val="00D11A0E"/>
    <w:rsid w:val="00D11AD9"/>
    <w:rsid w:val="00D11B45"/>
    <w:rsid w:val="00D11CB5"/>
    <w:rsid w:val="00D11ED1"/>
    <w:rsid w:val="00D12387"/>
    <w:rsid w:val="00D125EF"/>
    <w:rsid w:val="00D12675"/>
    <w:rsid w:val="00D128E5"/>
    <w:rsid w:val="00D128E8"/>
    <w:rsid w:val="00D128F9"/>
    <w:rsid w:val="00D129E3"/>
    <w:rsid w:val="00D12C09"/>
    <w:rsid w:val="00D13223"/>
    <w:rsid w:val="00D13370"/>
    <w:rsid w:val="00D133C4"/>
    <w:rsid w:val="00D133F3"/>
    <w:rsid w:val="00D13564"/>
    <w:rsid w:val="00D135D7"/>
    <w:rsid w:val="00D135D8"/>
    <w:rsid w:val="00D13645"/>
    <w:rsid w:val="00D1368A"/>
    <w:rsid w:val="00D1375E"/>
    <w:rsid w:val="00D13AE4"/>
    <w:rsid w:val="00D13C6C"/>
    <w:rsid w:val="00D13D72"/>
    <w:rsid w:val="00D13DA3"/>
    <w:rsid w:val="00D140ED"/>
    <w:rsid w:val="00D1420E"/>
    <w:rsid w:val="00D14352"/>
    <w:rsid w:val="00D144AE"/>
    <w:rsid w:val="00D1460D"/>
    <w:rsid w:val="00D1463B"/>
    <w:rsid w:val="00D146FA"/>
    <w:rsid w:val="00D14796"/>
    <w:rsid w:val="00D148A5"/>
    <w:rsid w:val="00D1498B"/>
    <w:rsid w:val="00D14D81"/>
    <w:rsid w:val="00D15114"/>
    <w:rsid w:val="00D15329"/>
    <w:rsid w:val="00D153A0"/>
    <w:rsid w:val="00D15434"/>
    <w:rsid w:val="00D15437"/>
    <w:rsid w:val="00D15456"/>
    <w:rsid w:val="00D1547F"/>
    <w:rsid w:val="00D154AC"/>
    <w:rsid w:val="00D158A8"/>
    <w:rsid w:val="00D15C5E"/>
    <w:rsid w:val="00D15CEB"/>
    <w:rsid w:val="00D160EA"/>
    <w:rsid w:val="00D160F6"/>
    <w:rsid w:val="00D1613E"/>
    <w:rsid w:val="00D16163"/>
    <w:rsid w:val="00D161B7"/>
    <w:rsid w:val="00D161E9"/>
    <w:rsid w:val="00D16258"/>
    <w:rsid w:val="00D1627B"/>
    <w:rsid w:val="00D1634D"/>
    <w:rsid w:val="00D163B8"/>
    <w:rsid w:val="00D1641D"/>
    <w:rsid w:val="00D1681D"/>
    <w:rsid w:val="00D169D2"/>
    <w:rsid w:val="00D169DF"/>
    <w:rsid w:val="00D16C05"/>
    <w:rsid w:val="00D16C78"/>
    <w:rsid w:val="00D16D7D"/>
    <w:rsid w:val="00D16E77"/>
    <w:rsid w:val="00D1700D"/>
    <w:rsid w:val="00D17175"/>
    <w:rsid w:val="00D17207"/>
    <w:rsid w:val="00D17310"/>
    <w:rsid w:val="00D17478"/>
    <w:rsid w:val="00D174F4"/>
    <w:rsid w:val="00D17623"/>
    <w:rsid w:val="00D176B1"/>
    <w:rsid w:val="00D17715"/>
    <w:rsid w:val="00D17ACB"/>
    <w:rsid w:val="00D17BE0"/>
    <w:rsid w:val="00D17F68"/>
    <w:rsid w:val="00D17F86"/>
    <w:rsid w:val="00D20077"/>
    <w:rsid w:val="00D2007A"/>
    <w:rsid w:val="00D20138"/>
    <w:rsid w:val="00D202CB"/>
    <w:rsid w:val="00D2046D"/>
    <w:rsid w:val="00D20886"/>
    <w:rsid w:val="00D208F1"/>
    <w:rsid w:val="00D20A51"/>
    <w:rsid w:val="00D20BF5"/>
    <w:rsid w:val="00D20DBD"/>
    <w:rsid w:val="00D20DC4"/>
    <w:rsid w:val="00D2117F"/>
    <w:rsid w:val="00D21223"/>
    <w:rsid w:val="00D212D4"/>
    <w:rsid w:val="00D21672"/>
    <w:rsid w:val="00D21C01"/>
    <w:rsid w:val="00D21DAA"/>
    <w:rsid w:val="00D21E99"/>
    <w:rsid w:val="00D21F51"/>
    <w:rsid w:val="00D21FCC"/>
    <w:rsid w:val="00D22184"/>
    <w:rsid w:val="00D221AC"/>
    <w:rsid w:val="00D2226A"/>
    <w:rsid w:val="00D222EF"/>
    <w:rsid w:val="00D223C4"/>
    <w:rsid w:val="00D225FE"/>
    <w:rsid w:val="00D2274E"/>
    <w:rsid w:val="00D22771"/>
    <w:rsid w:val="00D22852"/>
    <w:rsid w:val="00D228BF"/>
    <w:rsid w:val="00D2292A"/>
    <w:rsid w:val="00D22ADE"/>
    <w:rsid w:val="00D22CD1"/>
    <w:rsid w:val="00D22CEB"/>
    <w:rsid w:val="00D22F4E"/>
    <w:rsid w:val="00D22F6E"/>
    <w:rsid w:val="00D230B8"/>
    <w:rsid w:val="00D23276"/>
    <w:rsid w:val="00D233AB"/>
    <w:rsid w:val="00D23445"/>
    <w:rsid w:val="00D23C68"/>
    <w:rsid w:val="00D23E1C"/>
    <w:rsid w:val="00D23E79"/>
    <w:rsid w:val="00D23ECF"/>
    <w:rsid w:val="00D24348"/>
    <w:rsid w:val="00D244EF"/>
    <w:rsid w:val="00D2471B"/>
    <w:rsid w:val="00D24C1D"/>
    <w:rsid w:val="00D24C51"/>
    <w:rsid w:val="00D24E58"/>
    <w:rsid w:val="00D25460"/>
    <w:rsid w:val="00D2550D"/>
    <w:rsid w:val="00D2576B"/>
    <w:rsid w:val="00D25799"/>
    <w:rsid w:val="00D259B1"/>
    <w:rsid w:val="00D25BD2"/>
    <w:rsid w:val="00D25C90"/>
    <w:rsid w:val="00D260C4"/>
    <w:rsid w:val="00D26289"/>
    <w:rsid w:val="00D262F1"/>
    <w:rsid w:val="00D263EF"/>
    <w:rsid w:val="00D26428"/>
    <w:rsid w:val="00D2646D"/>
    <w:rsid w:val="00D2658B"/>
    <w:rsid w:val="00D266A9"/>
    <w:rsid w:val="00D26C43"/>
    <w:rsid w:val="00D26CCF"/>
    <w:rsid w:val="00D26D04"/>
    <w:rsid w:val="00D26E33"/>
    <w:rsid w:val="00D26EB7"/>
    <w:rsid w:val="00D2700E"/>
    <w:rsid w:val="00D2707C"/>
    <w:rsid w:val="00D2729E"/>
    <w:rsid w:val="00D273BF"/>
    <w:rsid w:val="00D275DB"/>
    <w:rsid w:val="00D2761D"/>
    <w:rsid w:val="00D277EE"/>
    <w:rsid w:val="00D279F0"/>
    <w:rsid w:val="00D27B59"/>
    <w:rsid w:val="00D27CB1"/>
    <w:rsid w:val="00D27D5D"/>
    <w:rsid w:val="00D27DB7"/>
    <w:rsid w:val="00D27EE9"/>
    <w:rsid w:val="00D27EFB"/>
    <w:rsid w:val="00D27FCC"/>
    <w:rsid w:val="00D300CE"/>
    <w:rsid w:val="00D30175"/>
    <w:rsid w:val="00D302D8"/>
    <w:rsid w:val="00D302F4"/>
    <w:rsid w:val="00D30392"/>
    <w:rsid w:val="00D303AD"/>
    <w:rsid w:val="00D304CF"/>
    <w:rsid w:val="00D30717"/>
    <w:rsid w:val="00D308D9"/>
    <w:rsid w:val="00D30B33"/>
    <w:rsid w:val="00D30C29"/>
    <w:rsid w:val="00D30C2D"/>
    <w:rsid w:val="00D30DBF"/>
    <w:rsid w:val="00D30DD9"/>
    <w:rsid w:val="00D30E27"/>
    <w:rsid w:val="00D310F6"/>
    <w:rsid w:val="00D31226"/>
    <w:rsid w:val="00D31480"/>
    <w:rsid w:val="00D3183E"/>
    <w:rsid w:val="00D31A03"/>
    <w:rsid w:val="00D31B6E"/>
    <w:rsid w:val="00D31CCB"/>
    <w:rsid w:val="00D31D3D"/>
    <w:rsid w:val="00D31DAD"/>
    <w:rsid w:val="00D31DEC"/>
    <w:rsid w:val="00D31EED"/>
    <w:rsid w:val="00D31F4D"/>
    <w:rsid w:val="00D31F67"/>
    <w:rsid w:val="00D31FF4"/>
    <w:rsid w:val="00D3211B"/>
    <w:rsid w:val="00D32189"/>
    <w:rsid w:val="00D321DD"/>
    <w:rsid w:val="00D321F0"/>
    <w:rsid w:val="00D32370"/>
    <w:rsid w:val="00D32437"/>
    <w:rsid w:val="00D32591"/>
    <w:rsid w:val="00D32710"/>
    <w:rsid w:val="00D3272A"/>
    <w:rsid w:val="00D329BB"/>
    <w:rsid w:val="00D329DC"/>
    <w:rsid w:val="00D32A2F"/>
    <w:rsid w:val="00D32A37"/>
    <w:rsid w:val="00D32F7F"/>
    <w:rsid w:val="00D3311A"/>
    <w:rsid w:val="00D332CC"/>
    <w:rsid w:val="00D333A3"/>
    <w:rsid w:val="00D3345C"/>
    <w:rsid w:val="00D334C9"/>
    <w:rsid w:val="00D3357C"/>
    <w:rsid w:val="00D335A6"/>
    <w:rsid w:val="00D336A1"/>
    <w:rsid w:val="00D337F4"/>
    <w:rsid w:val="00D33925"/>
    <w:rsid w:val="00D33B40"/>
    <w:rsid w:val="00D33BFF"/>
    <w:rsid w:val="00D33CC9"/>
    <w:rsid w:val="00D33DAB"/>
    <w:rsid w:val="00D33F8A"/>
    <w:rsid w:val="00D342B5"/>
    <w:rsid w:val="00D343B4"/>
    <w:rsid w:val="00D3442D"/>
    <w:rsid w:val="00D344C1"/>
    <w:rsid w:val="00D3457E"/>
    <w:rsid w:val="00D345AD"/>
    <w:rsid w:val="00D345FC"/>
    <w:rsid w:val="00D346EF"/>
    <w:rsid w:val="00D346F9"/>
    <w:rsid w:val="00D34705"/>
    <w:rsid w:val="00D348C8"/>
    <w:rsid w:val="00D34974"/>
    <w:rsid w:val="00D349D1"/>
    <w:rsid w:val="00D34B48"/>
    <w:rsid w:val="00D34E9A"/>
    <w:rsid w:val="00D34E9B"/>
    <w:rsid w:val="00D35709"/>
    <w:rsid w:val="00D358FF"/>
    <w:rsid w:val="00D3594A"/>
    <w:rsid w:val="00D35AE3"/>
    <w:rsid w:val="00D35CC3"/>
    <w:rsid w:val="00D35D5B"/>
    <w:rsid w:val="00D35E70"/>
    <w:rsid w:val="00D360AB"/>
    <w:rsid w:val="00D360FC"/>
    <w:rsid w:val="00D36242"/>
    <w:rsid w:val="00D363DD"/>
    <w:rsid w:val="00D3667B"/>
    <w:rsid w:val="00D36A81"/>
    <w:rsid w:val="00D36B80"/>
    <w:rsid w:val="00D36BD1"/>
    <w:rsid w:val="00D36CE2"/>
    <w:rsid w:val="00D36E3A"/>
    <w:rsid w:val="00D370F6"/>
    <w:rsid w:val="00D37151"/>
    <w:rsid w:val="00D3724E"/>
    <w:rsid w:val="00D37263"/>
    <w:rsid w:val="00D37384"/>
    <w:rsid w:val="00D374CC"/>
    <w:rsid w:val="00D3753D"/>
    <w:rsid w:val="00D375EF"/>
    <w:rsid w:val="00D376E1"/>
    <w:rsid w:val="00D37769"/>
    <w:rsid w:val="00D3777B"/>
    <w:rsid w:val="00D378A5"/>
    <w:rsid w:val="00D37A26"/>
    <w:rsid w:val="00D400C6"/>
    <w:rsid w:val="00D40272"/>
    <w:rsid w:val="00D402F0"/>
    <w:rsid w:val="00D40303"/>
    <w:rsid w:val="00D40325"/>
    <w:rsid w:val="00D4067D"/>
    <w:rsid w:val="00D40822"/>
    <w:rsid w:val="00D40E81"/>
    <w:rsid w:val="00D412B9"/>
    <w:rsid w:val="00D4134C"/>
    <w:rsid w:val="00D4159C"/>
    <w:rsid w:val="00D4164F"/>
    <w:rsid w:val="00D4185F"/>
    <w:rsid w:val="00D41A94"/>
    <w:rsid w:val="00D41C26"/>
    <w:rsid w:val="00D41CF7"/>
    <w:rsid w:val="00D41DF1"/>
    <w:rsid w:val="00D420F7"/>
    <w:rsid w:val="00D4226B"/>
    <w:rsid w:val="00D4227F"/>
    <w:rsid w:val="00D4229E"/>
    <w:rsid w:val="00D42492"/>
    <w:rsid w:val="00D428C4"/>
    <w:rsid w:val="00D42911"/>
    <w:rsid w:val="00D4293A"/>
    <w:rsid w:val="00D42C46"/>
    <w:rsid w:val="00D42CAB"/>
    <w:rsid w:val="00D42E42"/>
    <w:rsid w:val="00D42F32"/>
    <w:rsid w:val="00D42F38"/>
    <w:rsid w:val="00D42FE3"/>
    <w:rsid w:val="00D43195"/>
    <w:rsid w:val="00D432A1"/>
    <w:rsid w:val="00D433D4"/>
    <w:rsid w:val="00D434D8"/>
    <w:rsid w:val="00D43548"/>
    <w:rsid w:val="00D437A6"/>
    <w:rsid w:val="00D4382B"/>
    <w:rsid w:val="00D43945"/>
    <w:rsid w:val="00D43965"/>
    <w:rsid w:val="00D439EF"/>
    <w:rsid w:val="00D43A1B"/>
    <w:rsid w:val="00D43B8E"/>
    <w:rsid w:val="00D43CA6"/>
    <w:rsid w:val="00D43D93"/>
    <w:rsid w:val="00D43DFE"/>
    <w:rsid w:val="00D43E18"/>
    <w:rsid w:val="00D43E50"/>
    <w:rsid w:val="00D44078"/>
    <w:rsid w:val="00D44168"/>
    <w:rsid w:val="00D44338"/>
    <w:rsid w:val="00D4442D"/>
    <w:rsid w:val="00D44573"/>
    <w:rsid w:val="00D445D3"/>
    <w:rsid w:val="00D44754"/>
    <w:rsid w:val="00D4477F"/>
    <w:rsid w:val="00D448D8"/>
    <w:rsid w:val="00D4497F"/>
    <w:rsid w:val="00D449D0"/>
    <w:rsid w:val="00D44A3C"/>
    <w:rsid w:val="00D44A95"/>
    <w:rsid w:val="00D44ABF"/>
    <w:rsid w:val="00D44BFF"/>
    <w:rsid w:val="00D44E26"/>
    <w:rsid w:val="00D44EF7"/>
    <w:rsid w:val="00D44F7F"/>
    <w:rsid w:val="00D45043"/>
    <w:rsid w:val="00D45216"/>
    <w:rsid w:val="00D45246"/>
    <w:rsid w:val="00D4567D"/>
    <w:rsid w:val="00D4591D"/>
    <w:rsid w:val="00D45967"/>
    <w:rsid w:val="00D45A2C"/>
    <w:rsid w:val="00D45B0D"/>
    <w:rsid w:val="00D45BC6"/>
    <w:rsid w:val="00D45E8E"/>
    <w:rsid w:val="00D465B7"/>
    <w:rsid w:val="00D46955"/>
    <w:rsid w:val="00D46AA4"/>
    <w:rsid w:val="00D46CCE"/>
    <w:rsid w:val="00D46D4E"/>
    <w:rsid w:val="00D46E20"/>
    <w:rsid w:val="00D471A0"/>
    <w:rsid w:val="00D4726E"/>
    <w:rsid w:val="00D473DE"/>
    <w:rsid w:val="00D47586"/>
    <w:rsid w:val="00D47627"/>
    <w:rsid w:val="00D476F4"/>
    <w:rsid w:val="00D477A4"/>
    <w:rsid w:val="00D477DB"/>
    <w:rsid w:val="00D478FB"/>
    <w:rsid w:val="00D47937"/>
    <w:rsid w:val="00D47959"/>
    <w:rsid w:val="00D4799E"/>
    <w:rsid w:val="00D47A65"/>
    <w:rsid w:val="00D47D88"/>
    <w:rsid w:val="00D47E6B"/>
    <w:rsid w:val="00D50520"/>
    <w:rsid w:val="00D50661"/>
    <w:rsid w:val="00D507CB"/>
    <w:rsid w:val="00D508DF"/>
    <w:rsid w:val="00D50ADB"/>
    <w:rsid w:val="00D50B48"/>
    <w:rsid w:val="00D50CD5"/>
    <w:rsid w:val="00D50DF4"/>
    <w:rsid w:val="00D50F1A"/>
    <w:rsid w:val="00D5107E"/>
    <w:rsid w:val="00D514F7"/>
    <w:rsid w:val="00D515FA"/>
    <w:rsid w:val="00D519F6"/>
    <w:rsid w:val="00D51A8D"/>
    <w:rsid w:val="00D51B16"/>
    <w:rsid w:val="00D51E7F"/>
    <w:rsid w:val="00D51E87"/>
    <w:rsid w:val="00D52173"/>
    <w:rsid w:val="00D524FB"/>
    <w:rsid w:val="00D52519"/>
    <w:rsid w:val="00D52596"/>
    <w:rsid w:val="00D52599"/>
    <w:rsid w:val="00D5259C"/>
    <w:rsid w:val="00D5263E"/>
    <w:rsid w:val="00D52703"/>
    <w:rsid w:val="00D527ED"/>
    <w:rsid w:val="00D5295B"/>
    <w:rsid w:val="00D52AE7"/>
    <w:rsid w:val="00D52E37"/>
    <w:rsid w:val="00D52E60"/>
    <w:rsid w:val="00D52EC9"/>
    <w:rsid w:val="00D53008"/>
    <w:rsid w:val="00D53049"/>
    <w:rsid w:val="00D53091"/>
    <w:rsid w:val="00D53166"/>
    <w:rsid w:val="00D534CD"/>
    <w:rsid w:val="00D5357E"/>
    <w:rsid w:val="00D535E1"/>
    <w:rsid w:val="00D5364C"/>
    <w:rsid w:val="00D537E7"/>
    <w:rsid w:val="00D53B5C"/>
    <w:rsid w:val="00D53C22"/>
    <w:rsid w:val="00D53DF0"/>
    <w:rsid w:val="00D53E4E"/>
    <w:rsid w:val="00D53E6A"/>
    <w:rsid w:val="00D53E77"/>
    <w:rsid w:val="00D53ED4"/>
    <w:rsid w:val="00D54068"/>
    <w:rsid w:val="00D541C8"/>
    <w:rsid w:val="00D54658"/>
    <w:rsid w:val="00D546D5"/>
    <w:rsid w:val="00D547A7"/>
    <w:rsid w:val="00D549AF"/>
    <w:rsid w:val="00D54D30"/>
    <w:rsid w:val="00D54DE2"/>
    <w:rsid w:val="00D54EF3"/>
    <w:rsid w:val="00D550C5"/>
    <w:rsid w:val="00D5513A"/>
    <w:rsid w:val="00D55261"/>
    <w:rsid w:val="00D55405"/>
    <w:rsid w:val="00D5541C"/>
    <w:rsid w:val="00D554E0"/>
    <w:rsid w:val="00D554F9"/>
    <w:rsid w:val="00D55877"/>
    <w:rsid w:val="00D5596D"/>
    <w:rsid w:val="00D55AC7"/>
    <w:rsid w:val="00D55C73"/>
    <w:rsid w:val="00D55DC6"/>
    <w:rsid w:val="00D55E00"/>
    <w:rsid w:val="00D55E89"/>
    <w:rsid w:val="00D55ED7"/>
    <w:rsid w:val="00D56126"/>
    <w:rsid w:val="00D56170"/>
    <w:rsid w:val="00D56200"/>
    <w:rsid w:val="00D56348"/>
    <w:rsid w:val="00D56749"/>
    <w:rsid w:val="00D56A20"/>
    <w:rsid w:val="00D56EF9"/>
    <w:rsid w:val="00D570D5"/>
    <w:rsid w:val="00D572EB"/>
    <w:rsid w:val="00D57582"/>
    <w:rsid w:val="00D5779A"/>
    <w:rsid w:val="00D5787C"/>
    <w:rsid w:val="00D57883"/>
    <w:rsid w:val="00D57A9D"/>
    <w:rsid w:val="00D57ACB"/>
    <w:rsid w:val="00D57B38"/>
    <w:rsid w:val="00D57FE0"/>
    <w:rsid w:val="00D60080"/>
    <w:rsid w:val="00D600DF"/>
    <w:rsid w:val="00D6015D"/>
    <w:rsid w:val="00D6041F"/>
    <w:rsid w:val="00D6045D"/>
    <w:rsid w:val="00D604E9"/>
    <w:rsid w:val="00D605E4"/>
    <w:rsid w:val="00D606EB"/>
    <w:rsid w:val="00D60848"/>
    <w:rsid w:val="00D60B33"/>
    <w:rsid w:val="00D60EEC"/>
    <w:rsid w:val="00D61012"/>
    <w:rsid w:val="00D610F6"/>
    <w:rsid w:val="00D61204"/>
    <w:rsid w:val="00D612B0"/>
    <w:rsid w:val="00D61394"/>
    <w:rsid w:val="00D616A8"/>
    <w:rsid w:val="00D6182D"/>
    <w:rsid w:val="00D61B3C"/>
    <w:rsid w:val="00D61E11"/>
    <w:rsid w:val="00D61E52"/>
    <w:rsid w:val="00D61F31"/>
    <w:rsid w:val="00D61F41"/>
    <w:rsid w:val="00D61FD5"/>
    <w:rsid w:val="00D62243"/>
    <w:rsid w:val="00D6224B"/>
    <w:rsid w:val="00D62B3A"/>
    <w:rsid w:val="00D62C77"/>
    <w:rsid w:val="00D62D77"/>
    <w:rsid w:val="00D62DA7"/>
    <w:rsid w:val="00D62DEC"/>
    <w:rsid w:val="00D62E17"/>
    <w:rsid w:val="00D632BF"/>
    <w:rsid w:val="00D633D9"/>
    <w:rsid w:val="00D63446"/>
    <w:rsid w:val="00D6361C"/>
    <w:rsid w:val="00D63671"/>
    <w:rsid w:val="00D6379C"/>
    <w:rsid w:val="00D639DD"/>
    <w:rsid w:val="00D63A31"/>
    <w:rsid w:val="00D63A9C"/>
    <w:rsid w:val="00D63B87"/>
    <w:rsid w:val="00D63BF4"/>
    <w:rsid w:val="00D63E96"/>
    <w:rsid w:val="00D64027"/>
    <w:rsid w:val="00D640DF"/>
    <w:rsid w:val="00D64514"/>
    <w:rsid w:val="00D64533"/>
    <w:rsid w:val="00D645C2"/>
    <w:rsid w:val="00D648E0"/>
    <w:rsid w:val="00D6490A"/>
    <w:rsid w:val="00D6496D"/>
    <w:rsid w:val="00D650A4"/>
    <w:rsid w:val="00D6515B"/>
    <w:rsid w:val="00D652E4"/>
    <w:rsid w:val="00D6530A"/>
    <w:rsid w:val="00D65323"/>
    <w:rsid w:val="00D65423"/>
    <w:rsid w:val="00D6579E"/>
    <w:rsid w:val="00D65A68"/>
    <w:rsid w:val="00D65D16"/>
    <w:rsid w:val="00D65E54"/>
    <w:rsid w:val="00D65ECD"/>
    <w:rsid w:val="00D65FF0"/>
    <w:rsid w:val="00D66390"/>
    <w:rsid w:val="00D666D1"/>
    <w:rsid w:val="00D66724"/>
    <w:rsid w:val="00D66749"/>
    <w:rsid w:val="00D667E7"/>
    <w:rsid w:val="00D668F0"/>
    <w:rsid w:val="00D66C74"/>
    <w:rsid w:val="00D66DFA"/>
    <w:rsid w:val="00D66E8B"/>
    <w:rsid w:val="00D67147"/>
    <w:rsid w:val="00D67177"/>
    <w:rsid w:val="00D67195"/>
    <w:rsid w:val="00D673AD"/>
    <w:rsid w:val="00D67433"/>
    <w:rsid w:val="00D67530"/>
    <w:rsid w:val="00D675DD"/>
    <w:rsid w:val="00D6761A"/>
    <w:rsid w:val="00D67836"/>
    <w:rsid w:val="00D67840"/>
    <w:rsid w:val="00D67995"/>
    <w:rsid w:val="00D679DE"/>
    <w:rsid w:val="00D67ACE"/>
    <w:rsid w:val="00D67BA5"/>
    <w:rsid w:val="00D67F75"/>
    <w:rsid w:val="00D70027"/>
    <w:rsid w:val="00D7029E"/>
    <w:rsid w:val="00D7046E"/>
    <w:rsid w:val="00D70477"/>
    <w:rsid w:val="00D704AD"/>
    <w:rsid w:val="00D706FF"/>
    <w:rsid w:val="00D7071F"/>
    <w:rsid w:val="00D70796"/>
    <w:rsid w:val="00D7081E"/>
    <w:rsid w:val="00D70867"/>
    <w:rsid w:val="00D7086E"/>
    <w:rsid w:val="00D7088D"/>
    <w:rsid w:val="00D7093E"/>
    <w:rsid w:val="00D70B5D"/>
    <w:rsid w:val="00D70B8F"/>
    <w:rsid w:val="00D70D78"/>
    <w:rsid w:val="00D70E3C"/>
    <w:rsid w:val="00D7112F"/>
    <w:rsid w:val="00D71144"/>
    <w:rsid w:val="00D711A7"/>
    <w:rsid w:val="00D711BD"/>
    <w:rsid w:val="00D71440"/>
    <w:rsid w:val="00D71809"/>
    <w:rsid w:val="00D71827"/>
    <w:rsid w:val="00D71A0D"/>
    <w:rsid w:val="00D71B1E"/>
    <w:rsid w:val="00D71D18"/>
    <w:rsid w:val="00D7208E"/>
    <w:rsid w:val="00D720BC"/>
    <w:rsid w:val="00D72157"/>
    <w:rsid w:val="00D722A3"/>
    <w:rsid w:val="00D722C8"/>
    <w:rsid w:val="00D722E4"/>
    <w:rsid w:val="00D723DE"/>
    <w:rsid w:val="00D726AE"/>
    <w:rsid w:val="00D726E8"/>
    <w:rsid w:val="00D72906"/>
    <w:rsid w:val="00D72CBC"/>
    <w:rsid w:val="00D72DBF"/>
    <w:rsid w:val="00D73132"/>
    <w:rsid w:val="00D731A5"/>
    <w:rsid w:val="00D731EF"/>
    <w:rsid w:val="00D7323C"/>
    <w:rsid w:val="00D73689"/>
    <w:rsid w:val="00D7370D"/>
    <w:rsid w:val="00D73871"/>
    <w:rsid w:val="00D73A51"/>
    <w:rsid w:val="00D73BF3"/>
    <w:rsid w:val="00D73D6A"/>
    <w:rsid w:val="00D73D73"/>
    <w:rsid w:val="00D73EFC"/>
    <w:rsid w:val="00D73FF3"/>
    <w:rsid w:val="00D743B6"/>
    <w:rsid w:val="00D743D2"/>
    <w:rsid w:val="00D743F7"/>
    <w:rsid w:val="00D74520"/>
    <w:rsid w:val="00D74693"/>
    <w:rsid w:val="00D74957"/>
    <w:rsid w:val="00D74D81"/>
    <w:rsid w:val="00D7535D"/>
    <w:rsid w:val="00D753EB"/>
    <w:rsid w:val="00D7541B"/>
    <w:rsid w:val="00D75773"/>
    <w:rsid w:val="00D75800"/>
    <w:rsid w:val="00D7583A"/>
    <w:rsid w:val="00D75891"/>
    <w:rsid w:val="00D75896"/>
    <w:rsid w:val="00D75A62"/>
    <w:rsid w:val="00D75E3A"/>
    <w:rsid w:val="00D75E4C"/>
    <w:rsid w:val="00D75E82"/>
    <w:rsid w:val="00D75E9A"/>
    <w:rsid w:val="00D75E9D"/>
    <w:rsid w:val="00D75FD3"/>
    <w:rsid w:val="00D75FF3"/>
    <w:rsid w:val="00D760F7"/>
    <w:rsid w:val="00D7639B"/>
    <w:rsid w:val="00D76521"/>
    <w:rsid w:val="00D765C0"/>
    <w:rsid w:val="00D765C3"/>
    <w:rsid w:val="00D76663"/>
    <w:rsid w:val="00D76871"/>
    <w:rsid w:val="00D769F2"/>
    <w:rsid w:val="00D76D8E"/>
    <w:rsid w:val="00D76E40"/>
    <w:rsid w:val="00D76EEE"/>
    <w:rsid w:val="00D76EF9"/>
    <w:rsid w:val="00D76F65"/>
    <w:rsid w:val="00D76F8A"/>
    <w:rsid w:val="00D76FC4"/>
    <w:rsid w:val="00D77116"/>
    <w:rsid w:val="00D77460"/>
    <w:rsid w:val="00D7753A"/>
    <w:rsid w:val="00D7756D"/>
    <w:rsid w:val="00D77587"/>
    <w:rsid w:val="00D77A00"/>
    <w:rsid w:val="00D77CCE"/>
    <w:rsid w:val="00D77D1A"/>
    <w:rsid w:val="00D77F94"/>
    <w:rsid w:val="00D78025"/>
    <w:rsid w:val="00D7E692"/>
    <w:rsid w:val="00D80059"/>
    <w:rsid w:val="00D8008C"/>
    <w:rsid w:val="00D80515"/>
    <w:rsid w:val="00D8073F"/>
    <w:rsid w:val="00D809EB"/>
    <w:rsid w:val="00D80B55"/>
    <w:rsid w:val="00D80DCB"/>
    <w:rsid w:val="00D81263"/>
    <w:rsid w:val="00D8127D"/>
    <w:rsid w:val="00D816C8"/>
    <w:rsid w:val="00D819EA"/>
    <w:rsid w:val="00D81A18"/>
    <w:rsid w:val="00D81B3B"/>
    <w:rsid w:val="00D81BF9"/>
    <w:rsid w:val="00D81CFB"/>
    <w:rsid w:val="00D81FE2"/>
    <w:rsid w:val="00D820AA"/>
    <w:rsid w:val="00D8216D"/>
    <w:rsid w:val="00D821D0"/>
    <w:rsid w:val="00D8230B"/>
    <w:rsid w:val="00D82486"/>
    <w:rsid w:val="00D824A4"/>
    <w:rsid w:val="00D82774"/>
    <w:rsid w:val="00D82790"/>
    <w:rsid w:val="00D829F1"/>
    <w:rsid w:val="00D82AE3"/>
    <w:rsid w:val="00D82CC7"/>
    <w:rsid w:val="00D82D81"/>
    <w:rsid w:val="00D82E00"/>
    <w:rsid w:val="00D82F27"/>
    <w:rsid w:val="00D82FED"/>
    <w:rsid w:val="00D82FFF"/>
    <w:rsid w:val="00D8305B"/>
    <w:rsid w:val="00D83253"/>
    <w:rsid w:val="00D8328B"/>
    <w:rsid w:val="00D83315"/>
    <w:rsid w:val="00D8333F"/>
    <w:rsid w:val="00D83464"/>
    <w:rsid w:val="00D837B1"/>
    <w:rsid w:val="00D837D7"/>
    <w:rsid w:val="00D838A3"/>
    <w:rsid w:val="00D83962"/>
    <w:rsid w:val="00D839DA"/>
    <w:rsid w:val="00D83BA4"/>
    <w:rsid w:val="00D83CBC"/>
    <w:rsid w:val="00D83EFB"/>
    <w:rsid w:val="00D84035"/>
    <w:rsid w:val="00D84113"/>
    <w:rsid w:val="00D845A1"/>
    <w:rsid w:val="00D845D0"/>
    <w:rsid w:val="00D8467B"/>
    <w:rsid w:val="00D84724"/>
    <w:rsid w:val="00D848CE"/>
    <w:rsid w:val="00D84923"/>
    <w:rsid w:val="00D84F89"/>
    <w:rsid w:val="00D8522A"/>
    <w:rsid w:val="00D852B4"/>
    <w:rsid w:val="00D854A5"/>
    <w:rsid w:val="00D854FB"/>
    <w:rsid w:val="00D85541"/>
    <w:rsid w:val="00D855BE"/>
    <w:rsid w:val="00D85680"/>
    <w:rsid w:val="00D85CA0"/>
    <w:rsid w:val="00D85D91"/>
    <w:rsid w:val="00D85E16"/>
    <w:rsid w:val="00D860C5"/>
    <w:rsid w:val="00D86132"/>
    <w:rsid w:val="00D86621"/>
    <w:rsid w:val="00D866EE"/>
    <w:rsid w:val="00D867DA"/>
    <w:rsid w:val="00D868E0"/>
    <w:rsid w:val="00D86AA9"/>
    <w:rsid w:val="00D86C61"/>
    <w:rsid w:val="00D86E0E"/>
    <w:rsid w:val="00D87315"/>
    <w:rsid w:val="00D874E3"/>
    <w:rsid w:val="00D87877"/>
    <w:rsid w:val="00D879F0"/>
    <w:rsid w:val="00D87AA2"/>
    <w:rsid w:val="00D87C0D"/>
    <w:rsid w:val="00D87E24"/>
    <w:rsid w:val="00D9013A"/>
    <w:rsid w:val="00D903E3"/>
    <w:rsid w:val="00D904C0"/>
    <w:rsid w:val="00D908EC"/>
    <w:rsid w:val="00D90BB7"/>
    <w:rsid w:val="00D90EA9"/>
    <w:rsid w:val="00D90F10"/>
    <w:rsid w:val="00D90FFD"/>
    <w:rsid w:val="00D9113A"/>
    <w:rsid w:val="00D9118F"/>
    <w:rsid w:val="00D91279"/>
    <w:rsid w:val="00D91289"/>
    <w:rsid w:val="00D912A6"/>
    <w:rsid w:val="00D91344"/>
    <w:rsid w:val="00D913E2"/>
    <w:rsid w:val="00D91436"/>
    <w:rsid w:val="00D914CF"/>
    <w:rsid w:val="00D915FE"/>
    <w:rsid w:val="00D91727"/>
    <w:rsid w:val="00D918F5"/>
    <w:rsid w:val="00D91989"/>
    <w:rsid w:val="00D91A1B"/>
    <w:rsid w:val="00D91A83"/>
    <w:rsid w:val="00D91BF7"/>
    <w:rsid w:val="00D91C77"/>
    <w:rsid w:val="00D91D19"/>
    <w:rsid w:val="00D91E2D"/>
    <w:rsid w:val="00D91F84"/>
    <w:rsid w:val="00D9207A"/>
    <w:rsid w:val="00D9242E"/>
    <w:rsid w:val="00D925FD"/>
    <w:rsid w:val="00D9260E"/>
    <w:rsid w:val="00D927ED"/>
    <w:rsid w:val="00D92836"/>
    <w:rsid w:val="00D929C3"/>
    <w:rsid w:val="00D92B83"/>
    <w:rsid w:val="00D92C74"/>
    <w:rsid w:val="00D92CA9"/>
    <w:rsid w:val="00D92CFF"/>
    <w:rsid w:val="00D92DC5"/>
    <w:rsid w:val="00D92DD5"/>
    <w:rsid w:val="00D92E2E"/>
    <w:rsid w:val="00D92EBB"/>
    <w:rsid w:val="00D933D9"/>
    <w:rsid w:val="00D93C15"/>
    <w:rsid w:val="00D93D73"/>
    <w:rsid w:val="00D93E68"/>
    <w:rsid w:val="00D93ED9"/>
    <w:rsid w:val="00D93EE7"/>
    <w:rsid w:val="00D94049"/>
    <w:rsid w:val="00D94100"/>
    <w:rsid w:val="00D94320"/>
    <w:rsid w:val="00D943DA"/>
    <w:rsid w:val="00D94937"/>
    <w:rsid w:val="00D9497E"/>
    <w:rsid w:val="00D94AF8"/>
    <w:rsid w:val="00D94B36"/>
    <w:rsid w:val="00D94C0B"/>
    <w:rsid w:val="00D94D86"/>
    <w:rsid w:val="00D94F12"/>
    <w:rsid w:val="00D94F5A"/>
    <w:rsid w:val="00D95273"/>
    <w:rsid w:val="00D9589F"/>
    <w:rsid w:val="00D958B7"/>
    <w:rsid w:val="00D95937"/>
    <w:rsid w:val="00D95965"/>
    <w:rsid w:val="00D95C04"/>
    <w:rsid w:val="00D95D44"/>
    <w:rsid w:val="00D96311"/>
    <w:rsid w:val="00D963B4"/>
    <w:rsid w:val="00D96E79"/>
    <w:rsid w:val="00D96EAC"/>
    <w:rsid w:val="00D96F15"/>
    <w:rsid w:val="00D96F94"/>
    <w:rsid w:val="00D97520"/>
    <w:rsid w:val="00D9755F"/>
    <w:rsid w:val="00D976B6"/>
    <w:rsid w:val="00D97746"/>
    <w:rsid w:val="00D977EB"/>
    <w:rsid w:val="00D977F3"/>
    <w:rsid w:val="00D97833"/>
    <w:rsid w:val="00D97ACD"/>
    <w:rsid w:val="00D97B11"/>
    <w:rsid w:val="00DA00E6"/>
    <w:rsid w:val="00DA015B"/>
    <w:rsid w:val="00DA017C"/>
    <w:rsid w:val="00DA020F"/>
    <w:rsid w:val="00DA03BF"/>
    <w:rsid w:val="00DA055B"/>
    <w:rsid w:val="00DA05D6"/>
    <w:rsid w:val="00DA0770"/>
    <w:rsid w:val="00DA0AD1"/>
    <w:rsid w:val="00DA0C55"/>
    <w:rsid w:val="00DA0CA6"/>
    <w:rsid w:val="00DA0FE2"/>
    <w:rsid w:val="00DA1039"/>
    <w:rsid w:val="00DA1055"/>
    <w:rsid w:val="00DA1444"/>
    <w:rsid w:val="00DA1446"/>
    <w:rsid w:val="00DA172A"/>
    <w:rsid w:val="00DA1A87"/>
    <w:rsid w:val="00DA1B8F"/>
    <w:rsid w:val="00DA1C14"/>
    <w:rsid w:val="00DA1C2C"/>
    <w:rsid w:val="00DA1E95"/>
    <w:rsid w:val="00DA20DF"/>
    <w:rsid w:val="00DA2183"/>
    <w:rsid w:val="00DA21EC"/>
    <w:rsid w:val="00DA2454"/>
    <w:rsid w:val="00DA259A"/>
    <w:rsid w:val="00DA29FA"/>
    <w:rsid w:val="00DA2A19"/>
    <w:rsid w:val="00DA2D60"/>
    <w:rsid w:val="00DA2E52"/>
    <w:rsid w:val="00DA2E6A"/>
    <w:rsid w:val="00DA2F0E"/>
    <w:rsid w:val="00DA2F23"/>
    <w:rsid w:val="00DA31B8"/>
    <w:rsid w:val="00DA33C5"/>
    <w:rsid w:val="00DA343A"/>
    <w:rsid w:val="00DA3588"/>
    <w:rsid w:val="00DA3912"/>
    <w:rsid w:val="00DA3BBF"/>
    <w:rsid w:val="00DA3C2C"/>
    <w:rsid w:val="00DA3E5F"/>
    <w:rsid w:val="00DA3F2D"/>
    <w:rsid w:val="00DA3F63"/>
    <w:rsid w:val="00DA3FD0"/>
    <w:rsid w:val="00DA3FF3"/>
    <w:rsid w:val="00DA42C4"/>
    <w:rsid w:val="00DA4461"/>
    <w:rsid w:val="00DA44A4"/>
    <w:rsid w:val="00DA4666"/>
    <w:rsid w:val="00DA4728"/>
    <w:rsid w:val="00DA4766"/>
    <w:rsid w:val="00DA498E"/>
    <w:rsid w:val="00DA49F3"/>
    <w:rsid w:val="00DA4AAE"/>
    <w:rsid w:val="00DA4BCB"/>
    <w:rsid w:val="00DA4CDB"/>
    <w:rsid w:val="00DA4EDE"/>
    <w:rsid w:val="00DA53F5"/>
    <w:rsid w:val="00DA557C"/>
    <w:rsid w:val="00DA56A7"/>
    <w:rsid w:val="00DA5701"/>
    <w:rsid w:val="00DA574A"/>
    <w:rsid w:val="00DA579B"/>
    <w:rsid w:val="00DA58A4"/>
    <w:rsid w:val="00DA58B8"/>
    <w:rsid w:val="00DA59D1"/>
    <w:rsid w:val="00DA59F5"/>
    <w:rsid w:val="00DA5BA6"/>
    <w:rsid w:val="00DA5BF0"/>
    <w:rsid w:val="00DA5C91"/>
    <w:rsid w:val="00DA60DE"/>
    <w:rsid w:val="00DA614E"/>
    <w:rsid w:val="00DA6161"/>
    <w:rsid w:val="00DA62BF"/>
    <w:rsid w:val="00DA67D3"/>
    <w:rsid w:val="00DA697C"/>
    <w:rsid w:val="00DA6C5D"/>
    <w:rsid w:val="00DA6FE7"/>
    <w:rsid w:val="00DA716E"/>
    <w:rsid w:val="00DA722C"/>
    <w:rsid w:val="00DA7310"/>
    <w:rsid w:val="00DA78C3"/>
    <w:rsid w:val="00DA79F4"/>
    <w:rsid w:val="00DA7D39"/>
    <w:rsid w:val="00DA7D59"/>
    <w:rsid w:val="00DB00A1"/>
    <w:rsid w:val="00DB015F"/>
    <w:rsid w:val="00DB01DD"/>
    <w:rsid w:val="00DB0505"/>
    <w:rsid w:val="00DB06AA"/>
    <w:rsid w:val="00DB093C"/>
    <w:rsid w:val="00DB0A0A"/>
    <w:rsid w:val="00DB0AB9"/>
    <w:rsid w:val="00DB0BBE"/>
    <w:rsid w:val="00DB0C7D"/>
    <w:rsid w:val="00DB0D75"/>
    <w:rsid w:val="00DB0EB4"/>
    <w:rsid w:val="00DB146E"/>
    <w:rsid w:val="00DB14BF"/>
    <w:rsid w:val="00DB15E8"/>
    <w:rsid w:val="00DB15ED"/>
    <w:rsid w:val="00DB1633"/>
    <w:rsid w:val="00DB193E"/>
    <w:rsid w:val="00DB197B"/>
    <w:rsid w:val="00DB1CB8"/>
    <w:rsid w:val="00DB1DF5"/>
    <w:rsid w:val="00DB1EC6"/>
    <w:rsid w:val="00DB2075"/>
    <w:rsid w:val="00DB20DD"/>
    <w:rsid w:val="00DB2351"/>
    <w:rsid w:val="00DB237B"/>
    <w:rsid w:val="00DB2458"/>
    <w:rsid w:val="00DB24C2"/>
    <w:rsid w:val="00DB24EE"/>
    <w:rsid w:val="00DB2903"/>
    <w:rsid w:val="00DB324A"/>
    <w:rsid w:val="00DB3E07"/>
    <w:rsid w:val="00DB3F6D"/>
    <w:rsid w:val="00DB3FD1"/>
    <w:rsid w:val="00DB4207"/>
    <w:rsid w:val="00DB44F7"/>
    <w:rsid w:val="00DB4631"/>
    <w:rsid w:val="00DB4793"/>
    <w:rsid w:val="00DB47F7"/>
    <w:rsid w:val="00DB48F2"/>
    <w:rsid w:val="00DB4A34"/>
    <w:rsid w:val="00DB4B03"/>
    <w:rsid w:val="00DB4B94"/>
    <w:rsid w:val="00DB4C6C"/>
    <w:rsid w:val="00DB4F0F"/>
    <w:rsid w:val="00DB525D"/>
    <w:rsid w:val="00DB52B4"/>
    <w:rsid w:val="00DB5308"/>
    <w:rsid w:val="00DB542A"/>
    <w:rsid w:val="00DB5447"/>
    <w:rsid w:val="00DB5464"/>
    <w:rsid w:val="00DB55B9"/>
    <w:rsid w:val="00DB57A2"/>
    <w:rsid w:val="00DB590A"/>
    <w:rsid w:val="00DB5AF6"/>
    <w:rsid w:val="00DB5B33"/>
    <w:rsid w:val="00DB5D34"/>
    <w:rsid w:val="00DB5E3E"/>
    <w:rsid w:val="00DB5F58"/>
    <w:rsid w:val="00DB5F73"/>
    <w:rsid w:val="00DB605B"/>
    <w:rsid w:val="00DB62F8"/>
    <w:rsid w:val="00DB63B3"/>
    <w:rsid w:val="00DB63EF"/>
    <w:rsid w:val="00DB646B"/>
    <w:rsid w:val="00DB6923"/>
    <w:rsid w:val="00DB6987"/>
    <w:rsid w:val="00DB6AC3"/>
    <w:rsid w:val="00DB6CF1"/>
    <w:rsid w:val="00DB6EE5"/>
    <w:rsid w:val="00DB7152"/>
    <w:rsid w:val="00DB7392"/>
    <w:rsid w:val="00DB74E3"/>
    <w:rsid w:val="00DB770B"/>
    <w:rsid w:val="00DB788B"/>
    <w:rsid w:val="00DB790E"/>
    <w:rsid w:val="00DB7B7D"/>
    <w:rsid w:val="00DB7BB4"/>
    <w:rsid w:val="00DB7BF0"/>
    <w:rsid w:val="00DB7D5C"/>
    <w:rsid w:val="00DC00F9"/>
    <w:rsid w:val="00DC0314"/>
    <w:rsid w:val="00DC0403"/>
    <w:rsid w:val="00DC047F"/>
    <w:rsid w:val="00DC0622"/>
    <w:rsid w:val="00DC0746"/>
    <w:rsid w:val="00DC09A7"/>
    <w:rsid w:val="00DC09BB"/>
    <w:rsid w:val="00DC09EA"/>
    <w:rsid w:val="00DC0B04"/>
    <w:rsid w:val="00DC0B35"/>
    <w:rsid w:val="00DC0D5F"/>
    <w:rsid w:val="00DC0E72"/>
    <w:rsid w:val="00DC0F9A"/>
    <w:rsid w:val="00DC1513"/>
    <w:rsid w:val="00DC1522"/>
    <w:rsid w:val="00DC1596"/>
    <w:rsid w:val="00DC171B"/>
    <w:rsid w:val="00DC181B"/>
    <w:rsid w:val="00DC19C0"/>
    <w:rsid w:val="00DC19DC"/>
    <w:rsid w:val="00DC1A07"/>
    <w:rsid w:val="00DC1B71"/>
    <w:rsid w:val="00DC1C6E"/>
    <w:rsid w:val="00DC1E37"/>
    <w:rsid w:val="00DC1E3C"/>
    <w:rsid w:val="00DC238D"/>
    <w:rsid w:val="00DC23B9"/>
    <w:rsid w:val="00DC23F8"/>
    <w:rsid w:val="00DC2413"/>
    <w:rsid w:val="00DC2556"/>
    <w:rsid w:val="00DC2584"/>
    <w:rsid w:val="00DC2973"/>
    <w:rsid w:val="00DC2C89"/>
    <w:rsid w:val="00DC2CC4"/>
    <w:rsid w:val="00DC2D5A"/>
    <w:rsid w:val="00DC2DF2"/>
    <w:rsid w:val="00DC307A"/>
    <w:rsid w:val="00DC30E9"/>
    <w:rsid w:val="00DC33A8"/>
    <w:rsid w:val="00DC34CF"/>
    <w:rsid w:val="00DC36FE"/>
    <w:rsid w:val="00DC3B8D"/>
    <w:rsid w:val="00DC3C21"/>
    <w:rsid w:val="00DC3CE7"/>
    <w:rsid w:val="00DC3D25"/>
    <w:rsid w:val="00DC3F32"/>
    <w:rsid w:val="00DC40B3"/>
    <w:rsid w:val="00DC413A"/>
    <w:rsid w:val="00DC41F3"/>
    <w:rsid w:val="00DC4217"/>
    <w:rsid w:val="00DC4246"/>
    <w:rsid w:val="00DC444E"/>
    <w:rsid w:val="00DC45D7"/>
    <w:rsid w:val="00DC46E0"/>
    <w:rsid w:val="00DC46F0"/>
    <w:rsid w:val="00DC47BB"/>
    <w:rsid w:val="00DC4943"/>
    <w:rsid w:val="00DC4ADD"/>
    <w:rsid w:val="00DC4BFD"/>
    <w:rsid w:val="00DC4EE0"/>
    <w:rsid w:val="00DC4EE1"/>
    <w:rsid w:val="00DC4FFB"/>
    <w:rsid w:val="00DC5007"/>
    <w:rsid w:val="00DC518B"/>
    <w:rsid w:val="00DC5276"/>
    <w:rsid w:val="00DC5465"/>
    <w:rsid w:val="00DC5857"/>
    <w:rsid w:val="00DC5877"/>
    <w:rsid w:val="00DC58F7"/>
    <w:rsid w:val="00DC5967"/>
    <w:rsid w:val="00DC59D8"/>
    <w:rsid w:val="00DC5C89"/>
    <w:rsid w:val="00DC64A4"/>
    <w:rsid w:val="00DC64DF"/>
    <w:rsid w:val="00DC6D05"/>
    <w:rsid w:val="00DC6F23"/>
    <w:rsid w:val="00DC7011"/>
    <w:rsid w:val="00DC70AE"/>
    <w:rsid w:val="00DC7160"/>
    <w:rsid w:val="00DC728B"/>
    <w:rsid w:val="00DC739A"/>
    <w:rsid w:val="00DC754E"/>
    <w:rsid w:val="00DC763D"/>
    <w:rsid w:val="00DC7B15"/>
    <w:rsid w:val="00DC7B1C"/>
    <w:rsid w:val="00DD0154"/>
    <w:rsid w:val="00DD017D"/>
    <w:rsid w:val="00DD0371"/>
    <w:rsid w:val="00DD03B3"/>
    <w:rsid w:val="00DD0553"/>
    <w:rsid w:val="00DD0679"/>
    <w:rsid w:val="00DD0A6F"/>
    <w:rsid w:val="00DD0AD1"/>
    <w:rsid w:val="00DD0B14"/>
    <w:rsid w:val="00DD0B27"/>
    <w:rsid w:val="00DD0B4F"/>
    <w:rsid w:val="00DD0CF9"/>
    <w:rsid w:val="00DD0E45"/>
    <w:rsid w:val="00DD0F3F"/>
    <w:rsid w:val="00DD1075"/>
    <w:rsid w:val="00DD10CC"/>
    <w:rsid w:val="00DD1186"/>
    <w:rsid w:val="00DD11EE"/>
    <w:rsid w:val="00DD1257"/>
    <w:rsid w:val="00DD128C"/>
    <w:rsid w:val="00DD1404"/>
    <w:rsid w:val="00DD1410"/>
    <w:rsid w:val="00DD16C4"/>
    <w:rsid w:val="00DD172B"/>
    <w:rsid w:val="00DD180A"/>
    <w:rsid w:val="00DD1953"/>
    <w:rsid w:val="00DD1C33"/>
    <w:rsid w:val="00DD1C80"/>
    <w:rsid w:val="00DD1CD1"/>
    <w:rsid w:val="00DD1D11"/>
    <w:rsid w:val="00DD1E73"/>
    <w:rsid w:val="00DD1F3E"/>
    <w:rsid w:val="00DD1F5F"/>
    <w:rsid w:val="00DD1F61"/>
    <w:rsid w:val="00DD2323"/>
    <w:rsid w:val="00DD2338"/>
    <w:rsid w:val="00DD2559"/>
    <w:rsid w:val="00DD258B"/>
    <w:rsid w:val="00DD25A5"/>
    <w:rsid w:val="00DD2984"/>
    <w:rsid w:val="00DD29DC"/>
    <w:rsid w:val="00DD2A78"/>
    <w:rsid w:val="00DD2AF5"/>
    <w:rsid w:val="00DD2BEA"/>
    <w:rsid w:val="00DD2E2D"/>
    <w:rsid w:val="00DD2EBA"/>
    <w:rsid w:val="00DD2FD9"/>
    <w:rsid w:val="00DD3B36"/>
    <w:rsid w:val="00DD412A"/>
    <w:rsid w:val="00DD4435"/>
    <w:rsid w:val="00DD45E7"/>
    <w:rsid w:val="00DD46B8"/>
    <w:rsid w:val="00DD4934"/>
    <w:rsid w:val="00DD4989"/>
    <w:rsid w:val="00DD4E93"/>
    <w:rsid w:val="00DD4F1E"/>
    <w:rsid w:val="00DD4F5E"/>
    <w:rsid w:val="00DD51EB"/>
    <w:rsid w:val="00DD52CB"/>
    <w:rsid w:val="00DD552D"/>
    <w:rsid w:val="00DD59AD"/>
    <w:rsid w:val="00DD5BBB"/>
    <w:rsid w:val="00DD5C8C"/>
    <w:rsid w:val="00DD5E15"/>
    <w:rsid w:val="00DD60C3"/>
    <w:rsid w:val="00DD61DF"/>
    <w:rsid w:val="00DD644A"/>
    <w:rsid w:val="00DD6608"/>
    <w:rsid w:val="00DD66EF"/>
    <w:rsid w:val="00DD67BF"/>
    <w:rsid w:val="00DD680B"/>
    <w:rsid w:val="00DD6900"/>
    <w:rsid w:val="00DD6BF0"/>
    <w:rsid w:val="00DD6DD7"/>
    <w:rsid w:val="00DD6E8B"/>
    <w:rsid w:val="00DD6ED9"/>
    <w:rsid w:val="00DD7144"/>
    <w:rsid w:val="00DD72B6"/>
    <w:rsid w:val="00DD73F6"/>
    <w:rsid w:val="00DD7405"/>
    <w:rsid w:val="00DD754E"/>
    <w:rsid w:val="00DD76EA"/>
    <w:rsid w:val="00DD770D"/>
    <w:rsid w:val="00DD7765"/>
    <w:rsid w:val="00DD7853"/>
    <w:rsid w:val="00DD7F13"/>
    <w:rsid w:val="00DE00DB"/>
    <w:rsid w:val="00DE044C"/>
    <w:rsid w:val="00DE0499"/>
    <w:rsid w:val="00DE04E9"/>
    <w:rsid w:val="00DE05C1"/>
    <w:rsid w:val="00DE071A"/>
    <w:rsid w:val="00DE0938"/>
    <w:rsid w:val="00DE0977"/>
    <w:rsid w:val="00DE09D9"/>
    <w:rsid w:val="00DE0A1A"/>
    <w:rsid w:val="00DE0AB8"/>
    <w:rsid w:val="00DE0CE0"/>
    <w:rsid w:val="00DE0E70"/>
    <w:rsid w:val="00DE0F72"/>
    <w:rsid w:val="00DE1059"/>
    <w:rsid w:val="00DE1184"/>
    <w:rsid w:val="00DE13A6"/>
    <w:rsid w:val="00DE146B"/>
    <w:rsid w:val="00DE15F6"/>
    <w:rsid w:val="00DE164E"/>
    <w:rsid w:val="00DE1903"/>
    <w:rsid w:val="00DE19E5"/>
    <w:rsid w:val="00DE1A49"/>
    <w:rsid w:val="00DE1B3F"/>
    <w:rsid w:val="00DE1C54"/>
    <w:rsid w:val="00DE1F56"/>
    <w:rsid w:val="00DE1FE6"/>
    <w:rsid w:val="00DE204E"/>
    <w:rsid w:val="00DE224A"/>
    <w:rsid w:val="00DE2308"/>
    <w:rsid w:val="00DE2398"/>
    <w:rsid w:val="00DE289F"/>
    <w:rsid w:val="00DE2902"/>
    <w:rsid w:val="00DE2945"/>
    <w:rsid w:val="00DE298A"/>
    <w:rsid w:val="00DE2B67"/>
    <w:rsid w:val="00DE2CBE"/>
    <w:rsid w:val="00DE3015"/>
    <w:rsid w:val="00DE30A8"/>
    <w:rsid w:val="00DE30DA"/>
    <w:rsid w:val="00DE3167"/>
    <w:rsid w:val="00DE330E"/>
    <w:rsid w:val="00DE34E7"/>
    <w:rsid w:val="00DE34F8"/>
    <w:rsid w:val="00DE3AB9"/>
    <w:rsid w:val="00DE3CA4"/>
    <w:rsid w:val="00DE3D58"/>
    <w:rsid w:val="00DE3DBB"/>
    <w:rsid w:val="00DE3DE0"/>
    <w:rsid w:val="00DE401B"/>
    <w:rsid w:val="00DE4033"/>
    <w:rsid w:val="00DE4134"/>
    <w:rsid w:val="00DE434B"/>
    <w:rsid w:val="00DE453A"/>
    <w:rsid w:val="00DE46CB"/>
    <w:rsid w:val="00DE4835"/>
    <w:rsid w:val="00DE4991"/>
    <w:rsid w:val="00DE49D5"/>
    <w:rsid w:val="00DE4A6A"/>
    <w:rsid w:val="00DE4B02"/>
    <w:rsid w:val="00DE4C59"/>
    <w:rsid w:val="00DE4DAA"/>
    <w:rsid w:val="00DE4F27"/>
    <w:rsid w:val="00DE4F6F"/>
    <w:rsid w:val="00DE519B"/>
    <w:rsid w:val="00DE5235"/>
    <w:rsid w:val="00DE5546"/>
    <w:rsid w:val="00DE55AB"/>
    <w:rsid w:val="00DE55D4"/>
    <w:rsid w:val="00DE56A4"/>
    <w:rsid w:val="00DE570B"/>
    <w:rsid w:val="00DE5968"/>
    <w:rsid w:val="00DE5AC0"/>
    <w:rsid w:val="00DE6058"/>
    <w:rsid w:val="00DE63F9"/>
    <w:rsid w:val="00DE67D4"/>
    <w:rsid w:val="00DE6943"/>
    <w:rsid w:val="00DE6E31"/>
    <w:rsid w:val="00DE6FF4"/>
    <w:rsid w:val="00DE70B6"/>
    <w:rsid w:val="00DE710B"/>
    <w:rsid w:val="00DE7428"/>
    <w:rsid w:val="00DE766B"/>
    <w:rsid w:val="00DE76DB"/>
    <w:rsid w:val="00DE7729"/>
    <w:rsid w:val="00DE77AA"/>
    <w:rsid w:val="00DE79E8"/>
    <w:rsid w:val="00DE7AFF"/>
    <w:rsid w:val="00DE7DAF"/>
    <w:rsid w:val="00DE7E54"/>
    <w:rsid w:val="00DE7F0E"/>
    <w:rsid w:val="00DE7F16"/>
    <w:rsid w:val="00DF02A5"/>
    <w:rsid w:val="00DF058C"/>
    <w:rsid w:val="00DF072E"/>
    <w:rsid w:val="00DF073C"/>
    <w:rsid w:val="00DF09F9"/>
    <w:rsid w:val="00DF0BB1"/>
    <w:rsid w:val="00DF0BD3"/>
    <w:rsid w:val="00DF0DE4"/>
    <w:rsid w:val="00DF0EFC"/>
    <w:rsid w:val="00DF0F64"/>
    <w:rsid w:val="00DF1014"/>
    <w:rsid w:val="00DF1224"/>
    <w:rsid w:val="00DF1465"/>
    <w:rsid w:val="00DF15E3"/>
    <w:rsid w:val="00DF1A83"/>
    <w:rsid w:val="00DF1B32"/>
    <w:rsid w:val="00DF1BC9"/>
    <w:rsid w:val="00DF1C70"/>
    <w:rsid w:val="00DF1E12"/>
    <w:rsid w:val="00DF20A5"/>
    <w:rsid w:val="00DF2156"/>
    <w:rsid w:val="00DF2238"/>
    <w:rsid w:val="00DF238C"/>
    <w:rsid w:val="00DF2499"/>
    <w:rsid w:val="00DF256B"/>
    <w:rsid w:val="00DF2EA9"/>
    <w:rsid w:val="00DF3019"/>
    <w:rsid w:val="00DF311B"/>
    <w:rsid w:val="00DF313F"/>
    <w:rsid w:val="00DF323E"/>
    <w:rsid w:val="00DF34E7"/>
    <w:rsid w:val="00DF3635"/>
    <w:rsid w:val="00DF3893"/>
    <w:rsid w:val="00DF38B4"/>
    <w:rsid w:val="00DF3EC1"/>
    <w:rsid w:val="00DF4085"/>
    <w:rsid w:val="00DF426E"/>
    <w:rsid w:val="00DF4334"/>
    <w:rsid w:val="00DF4393"/>
    <w:rsid w:val="00DF43C1"/>
    <w:rsid w:val="00DF4583"/>
    <w:rsid w:val="00DF479B"/>
    <w:rsid w:val="00DF4904"/>
    <w:rsid w:val="00DF4CE1"/>
    <w:rsid w:val="00DF4E37"/>
    <w:rsid w:val="00DF4F7B"/>
    <w:rsid w:val="00DF4F88"/>
    <w:rsid w:val="00DF4FD0"/>
    <w:rsid w:val="00DF503A"/>
    <w:rsid w:val="00DF506B"/>
    <w:rsid w:val="00DF51FB"/>
    <w:rsid w:val="00DF523A"/>
    <w:rsid w:val="00DF5245"/>
    <w:rsid w:val="00DF548A"/>
    <w:rsid w:val="00DF54B7"/>
    <w:rsid w:val="00DF57B5"/>
    <w:rsid w:val="00DF5806"/>
    <w:rsid w:val="00DF59FC"/>
    <w:rsid w:val="00DF5B78"/>
    <w:rsid w:val="00DF5C84"/>
    <w:rsid w:val="00DF5E92"/>
    <w:rsid w:val="00DF5FA0"/>
    <w:rsid w:val="00DF5FC9"/>
    <w:rsid w:val="00DF6863"/>
    <w:rsid w:val="00DF69CE"/>
    <w:rsid w:val="00DF6C92"/>
    <w:rsid w:val="00DF6CDE"/>
    <w:rsid w:val="00DF70F0"/>
    <w:rsid w:val="00DF71E9"/>
    <w:rsid w:val="00DF74A7"/>
    <w:rsid w:val="00DF75B4"/>
    <w:rsid w:val="00DF77B1"/>
    <w:rsid w:val="00DF77C6"/>
    <w:rsid w:val="00DF7A31"/>
    <w:rsid w:val="00DF7A80"/>
    <w:rsid w:val="00DF7ABE"/>
    <w:rsid w:val="00DF7BD9"/>
    <w:rsid w:val="00DF7BEC"/>
    <w:rsid w:val="00DF7D08"/>
    <w:rsid w:val="00DF7F24"/>
    <w:rsid w:val="00DF7F51"/>
    <w:rsid w:val="00E0012C"/>
    <w:rsid w:val="00E001A9"/>
    <w:rsid w:val="00E00305"/>
    <w:rsid w:val="00E0035B"/>
    <w:rsid w:val="00E0042F"/>
    <w:rsid w:val="00E004B8"/>
    <w:rsid w:val="00E0059B"/>
    <w:rsid w:val="00E006B7"/>
    <w:rsid w:val="00E00707"/>
    <w:rsid w:val="00E008C0"/>
    <w:rsid w:val="00E00992"/>
    <w:rsid w:val="00E00A98"/>
    <w:rsid w:val="00E00BD4"/>
    <w:rsid w:val="00E00C8B"/>
    <w:rsid w:val="00E00CD1"/>
    <w:rsid w:val="00E010B1"/>
    <w:rsid w:val="00E01103"/>
    <w:rsid w:val="00E0111D"/>
    <w:rsid w:val="00E0128D"/>
    <w:rsid w:val="00E013B6"/>
    <w:rsid w:val="00E014C9"/>
    <w:rsid w:val="00E01761"/>
    <w:rsid w:val="00E01774"/>
    <w:rsid w:val="00E01B06"/>
    <w:rsid w:val="00E01D19"/>
    <w:rsid w:val="00E021BA"/>
    <w:rsid w:val="00E021E3"/>
    <w:rsid w:val="00E021F0"/>
    <w:rsid w:val="00E0223C"/>
    <w:rsid w:val="00E0226E"/>
    <w:rsid w:val="00E024CA"/>
    <w:rsid w:val="00E02836"/>
    <w:rsid w:val="00E029C7"/>
    <w:rsid w:val="00E02CAF"/>
    <w:rsid w:val="00E02D96"/>
    <w:rsid w:val="00E02F0D"/>
    <w:rsid w:val="00E03111"/>
    <w:rsid w:val="00E0313D"/>
    <w:rsid w:val="00E032BD"/>
    <w:rsid w:val="00E034B5"/>
    <w:rsid w:val="00E03594"/>
    <w:rsid w:val="00E036CD"/>
    <w:rsid w:val="00E03765"/>
    <w:rsid w:val="00E0379D"/>
    <w:rsid w:val="00E0386F"/>
    <w:rsid w:val="00E038B5"/>
    <w:rsid w:val="00E0397D"/>
    <w:rsid w:val="00E0399E"/>
    <w:rsid w:val="00E039E7"/>
    <w:rsid w:val="00E03A0F"/>
    <w:rsid w:val="00E03AE5"/>
    <w:rsid w:val="00E03C14"/>
    <w:rsid w:val="00E03CDC"/>
    <w:rsid w:val="00E03D20"/>
    <w:rsid w:val="00E03EBB"/>
    <w:rsid w:val="00E03FDB"/>
    <w:rsid w:val="00E040A2"/>
    <w:rsid w:val="00E041E9"/>
    <w:rsid w:val="00E04263"/>
    <w:rsid w:val="00E04447"/>
    <w:rsid w:val="00E04898"/>
    <w:rsid w:val="00E049FF"/>
    <w:rsid w:val="00E04BD1"/>
    <w:rsid w:val="00E04C29"/>
    <w:rsid w:val="00E04C8D"/>
    <w:rsid w:val="00E04D29"/>
    <w:rsid w:val="00E04DD3"/>
    <w:rsid w:val="00E04DDE"/>
    <w:rsid w:val="00E04DFF"/>
    <w:rsid w:val="00E05131"/>
    <w:rsid w:val="00E05778"/>
    <w:rsid w:val="00E05959"/>
    <w:rsid w:val="00E059BE"/>
    <w:rsid w:val="00E05B86"/>
    <w:rsid w:val="00E06403"/>
    <w:rsid w:val="00E06516"/>
    <w:rsid w:val="00E065B1"/>
    <w:rsid w:val="00E0666D"/>
    <w:rsid w:val="00E06970"/>
    <w:rsid w:val="00E06D38"/>
    <w:rsid w:val="00E06E56"/>
    <w:rsid w:val="00E06F70"/>
    <w:rsid w:val="00E06FA2"/>
    <w:rsid w:val="00E0703E"/>
    <w:rsid w:val="00E07074"/>
    <w:rsid w:val="00E07298"/>
    <w:rsid w:val="00E0733A"/>
    <w:rsid w:val="00E0738E"/>
    <w:rsid w:val="00E074C0"/>
    <w:rsid w:val="00E07579"/>
    <w:rsid w:val="00E0773B"/>
    <w:rsid w:val="00E077E0"/>
    <w:rsid w:val="00E07843"/>
    <w:rsid w:val="00E079CA"/>
    <w:rsid w:val="00E07D9E"/>
    <w:rsid w:val="00E07F3B"/>
    <w:rsid w:val="00E07FBD"/>
    <w:rsid w:val="00E10015"/>
    <w:rsid w:val="00E10248"/>
    <w:rsid w:val="00E1031D"/>
    <w:rsid w:val="00E10335"/>
    <w:rsid w:val="00E10417"/>
    <w:rsid w:val="00E10429"/>
    <w:rsid w:val="00E105B7"/>
    <w:rsid w:val="00E10812"/>
    <w:rsid w:val="00E10915"/>
    <w:rsid w:val="00E10A20"/>
    <w:rsid w:val="00E10A4E"/>
    <w:rsid w:val="00E10AFF"/>
    <w:rsid w:val="00E10C98"/>
    <w:rsid w:val="00E10E2D"/>
    <w:rsid w:val="00E10FA1"/>
    <w:rsid w:val="00E11355"/>
    <w:rsid w:val="00E1167F"/>
    <w:rsid w:val="00E116AC"/>
    <w:rsid w:val="00E116B3"/>
    <w:rsid w:val="00E11A82"/>
    <w:rsid w:val="00E11E53"/>
    <w:rsid w:val="00E11F2D"/>
    <w:rsid w:val="00E120AB"/>
    <w:rsid w:val="00E12308"/>
    <w:rsid w:val="00E125F3"/>
    <w:rsid w:val="00E128FF"/>
    <w:rsid w:val="00E12B25"/>
    <w:rsid w:val="00E12B94"/>
    <w:rsid w:val="00E12CC2"/>
    <w:rsid w:val="00E130CE"/>
    <w:rsid w:val="00E13177"/>
    <w:rsid w:val="00E132C1"/>
    <w:rsid w:val="00E136CE"/>
    <w:rsid w:val="00E13904"/>
    <w:rsid w:val="00E13A52"/>
    <w:rsid w:val="00E13B51"/>
    <w:rsid w:val="00E13D26"/>
    <w:rsid w:val="00E13DF3"/>
    <w:rsid w:val="00E14042"/>
    <w:rsid w:val="00E1438F"/>
    <w:rsid w:val="00E1453C"/>
    <w:rsid w:val="00E1457A"/>
    <w:rsid w:val="00E145E6"/>
    <w:rsid w:val="00E148A3"/>
    <w:rsid w:val="00E148E2"/>
    <w:rsid w:val="00E14B06"/>
    <w:rsid w:val="00E14C6F"/>
    <w:rsid w:val="00E14F7B"/>
    <w:rsid w:val="00E150D0"/>
    <w:rsid w:val="00E15144"/>
    <w:rsid w:val="00E15187"/>
    <w:rsid w:val="00E152CB"/>
    <w:rsid w:val="00E1557F"/>
    <w:rsid w:val="00E1569B"/>
    <w:rsid w:val="00E1581E"/>
    <w:rsid w:val="00E1584A"/>
    <w:rsid w:val="00E15ADE"/>
    <w:rsid w:val="00E15CA5"/>
    <w:rsid w:val="00E15D57"/>
    <w:rsid w:val="00E15E88"/>
    <w:rsid w:val="00E163F4"/>
    <w:rsid w:val="00E16572"/>
    <w:rsid w:val="00E167DB"/>
    <w:rsid w:val="00E1682D"/>
    <w:rsid w:val="00E168C9"/>
    <w:rsid w:val="00E17290"/>
    <w:rsid w:val="00E1737F"/>
    <w:rsid w:val="00E17421"/>
    <w:rsid w:val="00E174DE"/>
    <w:rsid w:val="00E17534"/>
    <w:rsid w:val="00E17C70"/>
    <w:rsid w:val="00E20089"/>
    <w:rsid w:val="00E200BD"/>
    <w:rsid w:val="00E2010F"/>
    <w:rsid w:val="00E204D8"/>
    <w:rsid w:val="00E2067C"/>
    <w:rsid w:val="00E207DC"/>
    <w:rsid w:val="00E207E1"/>
    <w:rsid w:val="00E20A2C"/>
    <w:rsid w:val="00E20AC2"/>
    <w:rsid w:val="00E20AD9"/>
    <w:rsid w:val="00E20BB8"/>
    <w:rsid w:val="00E20BD8"/>
    <w:rsid w:val="00E21089"/>
    <w:rsid w:val="00E21244"/>
    <w:rsid w:val="00E213FC"/>
    <w:rsid w:val="00E21514"/>
    <w:rsid w:val="00E2179B"/>
    <w:rsid w:val="00E217AD"/>
    <w:rsid w:val="00E21907"/>
    <w:rsid w:val="00E219BA"/>
    <w:rsid w:val="00E21A72"/>
    <w:rsid w:val="00E21A7F"/>
    <w:rsid w:val="00E21D23"/>
    <w:rsid w:val="00E21D83"/>
    <w:rsid w:val="00E22258"/>
    <w:rsid w:val="00E22592"/>
    <w:rsid w:val="00E22655"/>
    <w:rsid w:val="00E227B4"/>
    <w:rsid w:val="00E22B20"/>
    <w:rsid w:val="00E22E10"/>
    <w:rsid w:val="00E22E25"/>
    <w:rsid w:val="00E22F0D"/>
    <w:rsid w:val="00E22FDB"/>
    <w:rsid w:val="00E2327F"/>
    <w:rsid w:val="00E23460"/>
    <w:rsid w:val="00E23502"/>
    <w:rsid w:val="00E235E1"/>
    <w:rsid w:val="00E23661"/>
    <w:rsid w:val="00E23DF5"/>
    <w:rsid w:val="00E23F45"/>
    <w:rsid w:val="00E24252"/>
    <w:rsid w:val="00E24305"/>
    <w:rsid w:val="00E247B0"/>
    <w:rsid w:val="00E24A2A"/>
    <w:rsid w:val="00E24A2F"/>
    <w:rsid w:val="00E251B6"/>
    <w:rsid w:val="00E253D6"/>
    <w:rsid w:val="00E253D9"/>
    <w:rsid w:val="00E253EE"/>
    <w:rsid w:val="00E25403"/>
    <w:rsid w:val="00E256D6"/>
    <w:rsid w:val="00E256E3"/>
    <w:rsid w:val="00E25920"/>
    <w:rsid w:val="00E259EB"/>
    <w:rsid w:val="00E259F0"/>
    <w:rsid w:val="00E25ADC"/>
    <w:rsid w:val="00E25C2C"/>
    <w:rsid w:val="00E25C66"/>
    <w:rsid w:val="00E25D4C"/>
    <w:rsid w:val="00E25F04"/>
    <w:rsid w:val="00E25F7A"/>
    <w:rsid w:val="00E26096"/>
    <w:rsid w:val="00E2619B"/>
    <w:rsid w:val="00E2650A"/>
    <w:rsid w:val="00E2669B"/>
    <w:rsid w:val="00E266A4"/>
    <w:rsid w:val="00E267DC"/>
    <w:rsid w:val="00E26AAB"/>
    <w:rsid w:val="00E26AF9"/>
    <w:rsid w:val="00E26BBE"/>
    <w:rsid w:val="00E26BFB"/>
    <w:rsid w:val="00E26E39"/>
    <w:rsid w:val="00E2700E"/>
    <w:rsid w:val="00E270B2"/>
    <w:rsid w:val="00E270D1"/>
    <w:rsid w:val="00E27246"/>
    <w:rsid w:val="00E274A6"/>
    <w:rsid w:val="00E27584"/>
    <w:rsid w:val="00E27644"/>
    <w:rsid w:val="00E27852"/>
    <w:rsid w:val="00E27938"/>
    <w:rsid w:val="00E301A0"/>
    <w:rsid w:val="00E301F0"/>
    <w:rsid w:val="00E30204"/>
    <w:rsid w:val="00E30502"/>
    <w:rsid w:val="00E3051E"/>
    <w:rsid w:val="00E30608"/>
    <w:rsid w:val="00E306A5"/>
    <w:rsid w:val="00E3071C"/>
    <w:rsid w:val="00E3079E"/>
    <w:rsid w:val="00E30885"/>
    <w:rsid w:val="00E30A07"/>
    <w:rsid w:val="00E30C07"/>
    <w:rsid w:val="00E30F06"/>
    <w:rsid w:val="00E310E6"/>
    <w:rsid w:val="00E31236"/>
    <w:rsid w:val="00E313DA"/>
    <w:rsid w:val="00E31526"/>
    <w:rsid w:val="00E3161C"/>
    <w:rsid w:val="00E31727"/>
    <w:rsid w:val="00E31975"/>
    <w:rsid w:val="00E31A12"/>
    <w:rsid w:val="00E31A58"/>
    <w:rsid w:val="00E31BA4"/>
    <w:rsid w:val="00E31CD9"/>
    <w:rsid w:val="00E3232C"/>
    <w:rsid w:val="00E325C4"/>
    <w:rsid w:val="00E3272B"/>
    <w:rsid w:val="00E3291C"/>
    <w:rsid w:val="00E32A31"/>
    <w:rsid w:val="00E32A95"/>
    <w:rsid w:val="00E32D8A"/>
    <w:rsid w:val="00E32DF8"/>
    <w:rsid w:val="00E330AE"/>
    <w:rsid w:val="00E331A7"/>
    <w:rsid w:val="00E33374"/>
    <w:rsid w:val="00E33934"/>
    <w:rsid w:val="00E3399C"/>
    <w:rsid w:val="00E339AF"/>
    <w:rsid w:val="00E33A12"/>
    <w:rsid w:val="00E33B72"/>
    <w:rsid w:val="00E33B7D"/>
    <w:rsid w:val="00E33BE9"/>
    <w:rsid w:val="00E33C9C"/>
    <w:rsid w:val="00E33CA3"/>
    <w:rsid w:val="00E33FA9"/>
    <w:rsid w:val="00E33FDE"/>
    <w:rsid w:val="00E34213"/>
    <w:rsid w:val="00E343DC"/>
    <w:rsid w:val="00E34516"/>
    <w:rsid w:val="00E34621"/>
    <w:rsid w:val="00E347EB"/>
    <w:rsid w:val="00E3480B"/>
    <w:rsid w:val="00E34815"/>
    <w:rsid w:val="00E34923"/>
    <w:rsid w:val="00E34A9C"/>
    <w:rsid w:val="00E34B7A"/>
    <w:rsid w:val="00E34CA5"/>
    <w:rsid w:val="00E34F84"/>
    <w:rsid w:val="00E34FEA"/>
    <w:rsid w:val="00E3510B"/>
    <w:rsid w:val="00E35118"/>
    <w:rsid w:val="00E3522C"/>
    <w:rsid w:val="00E35262"/>
    <w:rsid w:val="00E353BC"/>
    <w:rsid w:val="00E354D0"/>
    <w:rsid w:val="00E35541"/>
    <w:rsid w:val="00E35675"/>
    <w:rsid w:val="00E35AC9"/>
    <w:rsid w:val="00E35C28"/>
    <w:rsid w:val="00E35E89"/>
    <w:rsid w:val="00E3625B"/>
    <w:rsid w:val="00E36268"/>
    <w:rsid w:val="00E3642C"/>
    <w:rsid w:val="00E364D3"/>
    <w:rsid w:val="00E365A2"/>
    <w:rsid w:val="00E365C1"/>
    <w:rsid w:val="00E365D3"/>
    <w:rsid w:val="00E3660F"/>
    <w:rsid w:val="00E3677C"/>
    <w:rsid w:val="00E36862"/>
    <w:rsid w:val="00E36A06"/>
    <w:rsid w:val="00E36AFE"/>
    <w:rsid w:val="00E36BB2"/>
    <w:rsid w:val="00E36F11"/>
    <w:rsid w:val="00E37181"/>
    <w:rsid w:val="00E3732E"/>
    <w:rsid w:val="00E373DC"/>
    <w:rsid w:val="00E37625"/>
    <w:rsid w:val="00E3780C"/>
    <w:rsid w:val="00E37909"/>
    <w:rsid w:val="00E379DC"/>
    <w:rsid w:val="00E37B58"/>
    <w:rsid w:val="00E402B5"/>
    <w:rsid w:val="00E404F9"/>
    <w:rsid w:val="00E4067A"/>
    <w:rsid w:val="00E406FE"/>
    <w:rsid w:val="00E408B4"/>
    <w:rsid w:val="00E408F0"/>
    <w:rsid w:val="00E40A4D"/>
    <w:rsid w:val="00E40A97"/>
    <w:rsid w:val="00E40C27"/>
    <w:rsid w:val="00E40CED"/>
    <w:rsid w:val="00E410C9"/>
    <w:rsid w:val="00E41265"/>
    <w:rsid w:val="00E413B5"/>
    <w:rsid w:val="00E414CC"/>
    <w:rsid w:val="00E41633"/>
    <w:rsid w:val="00E41793"/>
    <w:rsid w:val="00E4187E"/>
    <w:rsid w:val="00E418B9"/>
    <w:rsid w:val="00E41A26"/>
    <w:rsid w:val="00E41D57"/>
    <w:rsid w:val="00E41E2D"/>
    <w:rsid w:val="00E41E3A"/>
    <w:rsid w:val="00E41EBB"/>
    <w:rsid w:val="00E41F02"/>
    <w:rsid w:val="00E42056"/>
    <w:rsid w:val="00E423A0"/>
    <w:rsid w:val="00E42442"/>
    <w:rsid w:val="00E4283B"/>
    <w:rsid w:val="00E42C1C"/>
    <w:rsid w:val="00E42E74"/>
    <w:rsid w:val="00E430FC"/>
    <w:rsid w:val="00E43210"/>
    <w:rsid w:val="00E4347C"/>
    <w:rsid w:val="00E437DE"/>
    <w:rsid w:val="00E43A73"/>
    <w:rsid w:val="00E43C3D"/>
    <w:rsid w:val="00E44546"/>
    <w:rsid w:val="00E446F3"/>
    <w:rsid w:val="00E4491D"/>
    <w:rsid w:val="00E44B11"/>
    <w:rsid w:val="00E44BEE"/>
    <w:rsid w:val="00E44C55"/>
    <w:rsid w:val="00E44CF3"/>
    <w:rsid w:val="00E44DEB"/>
    <w:rsid w:val="00E450CC"/>
    <w:rsid w:val="00E45671"/>
    <w:rsid w:val="00E45AF4"/>
    <w:rsid w:val="00E45C6E"/>
    <w:rsid w:val="00E45EBB"/>
    <w:rsid w:val="00E45ED8"/>
    <w:rsid w:val="00E45F0F"/>
    <w:rsid w:val="00E46122"/>
    <w:rsid w:val="00E46234"/>
    <w:rsid w:val="00E46678"/>
    <w:rsid w:val="00E467E7"/>
    <w:rsid w:val="00E46811"/>
    <w:rsid w:val="00E4682C"/>
    <w:rsid w:val="00E46B2C"/>
    <w:rsid w:val="00E46DF9"/>
    <w:rsid w:val="00E46E04"/>
    <w:rsid w:val="00E46E07"/>
    <w:rsid w:val="00E46F16"/>
    <w:rsid w:val="00E46FE4"/>
    <w:rsid w:val="00E47026"/>
    <w:rsid w:val="00E470BF"/>
    <w:rsid w:val="00E47308"/>
    <w:rsid w:val="00E473C1"/>
    <w:rsid w:val="00E47721"/>
    <w:rsid w:val="00E477B0"/>
    <w:rsid w:val="00E478B9"/>
    <w:rsid w:val="00E47912"/>
    <w:rsid w:val="00E47D0B"/>
    <w:rsid w:val="00E47D26"/>
    <w:rsid w:val="00E47DC6"/>
    <w:rsid w:val="00E47E3F"/>
    <w:rsid w:val="00E482AE"/>
    <w:rsid w:val="00E50251"/>
    <w:rsid w:val="00E502CD"/>
    <w:rsid w:val="00E50598"/>
    <w:rsid w:val="00E50A5B"/>
    <w:rsid w:val="00E50B08"/>
    <w:rsid w:val="00E50BC8"/>
    <w:rsid w:val="00E50CCD"/>
    <w:rsid w:val="00E50E41"/>
    <w:rsid w:val="00E50F48"/>
    <w:rsid w:val="00E50F60"/>
    <w:rsid w:val="00E50FD3"/>
    <w:rsid w:val="00E50FF8"/>
    <w:rsid w:val="00E51158"/>
    <w:rsid w:val="00E51312"/>
    <w:rsid w:val="00E51408"/>
    <w:rsid w:val="00E515E9"/>
    <w:rsid w:val="00E51756"/>
    <w:rsid w:val="00E5182C"/>
    <w:rsid w:val="00E518A1"/>
    <w:rsid w:val="00E518AA"/>
    <w:rsid w:val="00E51958"/>
    <w:rsid w:val="00E51A58"/>
    <w:rsid w:val="00E51A6B"/>
    <w:rsid w:val="00E51B08"/>
    <w:rsid w:val="00E51C56"/>
    <w:rsid w:val="00E51D70"/>
    <w:rsid w:val="00E51D82"/>
    <w:rsid w:val="00E51DC6"/>
    <w:rsid w:val="00E51E71"/>
    <w:rsid w:val="00E51EA3"/>
    <w:rsid w:val="00E51F24"/>
    <w:rsid w:val="00E52135"/>
    <w:rsid w:val="00E52215"/>
    <w:rsid w:val="00E5240D"/>
    <w:rsid w:val="00E5251F"/>
    <w:rsid w:val="00E52564"/>
    <w:rsid w:val="00E526AA"/>
    <w:rsid w:val="00E526EF"/>
    <w:rsid w:val="00E52775"/>
    <w:rsid w:val="00E52A2E"/>
    <w:rsid w:val="00E52A6A"/>
    <w:rsid w:val="00E52B3A"/>
    <w:rsid w:val="00E52BFC"/>
    <w:rsid w:val="00E53038"/>
    <w:rsid w:val="00E5311E"/>
    <w:rsid w:val="00E531B4"/>
    <w:rsid w:val="00E53318"/>
    <w:rsid w:val="00E53332"/>
    <w:rsid w:val="00E53480"/>
    <w:rsid w:val="00E53560"/>
    <w:rsid w:val="00E537AB"/>
    <w:rsid w:val="00E539E7"/>
    <w:rsid w:val="00E53C74"/>
    <w:rsid w:val="00E53CD2"/>
    <w:rsid w:val="00E53D78"/>
    <w:rsid w:val="00E53F0F"/>
    <w:rsid w:val="00E53F2D"/>
    <w:rsid w:val="00E54245"/>
    <w:rsid w:val="00E5453C"/>
    <w:rsid w:val="00E5463D"/>
    <w:rsid w:val="00E546D2"/>
    <w:rsid w:val="00E54718"/>
    <w:rsid w:val="00E5489B"/>
    <w:rsid w:val="00E548D7"/>
    <w:rsid w:val="00E54909"/>
    <w:rsid w:val="00E54941"/>
    <w:rsid w:val="00E54951"/>
    <w:rsid w:val="00E5496F"/>
    <w:rsid w:val="00E54A97"/>
    <w:rsid w:val="00E54EE0"/>
    <w:rsid w:val="00E54F46"/>
    <w:rsid w:val="00E54FE1"/>
    <w:rsid w:val="00E5507A"/>
    <w:rsid w:val="00E55135"/>
    <w:rsid w:val="00E55309"/>
    <w:rsid w:val="00E55432"/>
    <w:rsid w:val="00E5552F"/>
    <w:rsid w:val="00E55562"/>
    <w:rsid w:val="00E55832"/>
    <w:rsid w:val="00E55846"/>
    <w:rsid w:val="00E55855"/>
    <w:rsid w:val="00E55C67"/>
    <w:rsid w:val="00E55D1B"/>
    <w:rsid w:val="00E55F97"/>
    <w:rsid w:val="00E56066"/>
    <w:rsid w:val="00E560BC"/>
    <w:rsid w:val="00E562F0"/>
    <w:rsid w:val="00E5634A"/>
    <w:rsid w:val="00E5641B"/>
    <w:rsid w:val="00E5672D"/>
    <w:rsid w:val="00E56815"/>
    <w:rsid w:val="00E56E55"/>
    <w:rsid w:val="00E57306"/>
    <w:rsid w:val="00E57444"/>
    <w:rsid w:val="00E5755B"/>
    <w:rsid w:val="00E575F7"/>
    <w:rsid w:val="00E576A1"/>
    <w:rsid w:val="00E579C1"/>
    <w:rsid w:val="00E57C06"/>
    <w:rsid w:val="00E57D07"/>
    <w:rsid w:val="00E57DA4"/>
    <w:rsid w:val="00E57E25"/>
    <w:rsid w:val="00E57E46"/>
    <w:rsid w:val="00E57F0B"/>
    <w:rsid w:val="00E600CD"/>
    <w:rsid w:val="00E6092E"/>
    <w:rsid w:val="00E609C1"/>
    <w:rsid w:val="00E60B86"/>
    <w:rsid w:val="00E60BAA"/>
    <w:rsid w:val="00E60BF8"/>
    <w:rsid w:val="00E60F8B"/>
    <w:rsid w:val="00E6101E"/>
    <w:rsid w:val="00E61198"/>
    <w:rsid w:val="00E61509"/>
    <w:rsid w:val="00E617C7"/>
    <w:rsid w:val="00E618E2"/>
    <w:rsid w:val="00E61A27"/>
    <w:rsid w:val="00E61B3D"/>
    <w:rsid w:val="00E61B5B"/>
    <w:rsid w:val="00E61CE9"/>
    <w:rsid w:val="00E61D9B"/>
    <w:rsid w:val="00E620D5"/>
    <w:rsid w:val="00E623DC"/>
    <w:rsid w:val="00E624A9"/>
    <w:rsid w:val="00E624B4"/>
    <w:rsid w:val="00E624E3"/>
    <w:rsid w:val="00E625C5"/>
    <w:rsid w:val="00E625E6"/>
    <w:rsid w:val="00E6265B"/>
    <w:rsid w:val="00E62698"/>
    <w:rsid w:val="00E62739"/>
    <w:rsid w:val="00E62974"/>
    <w:rsid w:val="00E62B09"/>
    <w:rsid w:val="00E62B26"/>
    <w:rsid w:val="00E62B7C"/>
    <w:rsid w:val="00E62BDA"/>
    <w:rsid w:val="00E62E05"/>
    <w:rsid w:val="00E62E80"/>
    <w:rsid w:val="00E62EE0"/>
    <w:rsid w:val="00E630D5"/>
    <w:rsid w:val="00E630DE"/>
    <w:rsid w:val="00E6338F"/>
    <w:rsid w:val="00E63770"/>
    <w:rsid w:val="00E63A1E"/>
    <w:rsid w:val="00E63A5A"/>
    <w:rsid w:val="00E63EDA"/>
    <w:rsid w:val="00E64112"/>
    <w:rsid w:val="00E64283"/>
    <w:rsid w:val="00E64525"/>
    <w:rsid w:val="00E6465C"/>
    <w:rsid w:val="00E649F4"/>
    <w:rsid w:val="00E64A1B"/>
    <w:rsid w:val="00E64A3B"/>
    <w:rsid w:val="00E6518D"/>
    <w:rsid w:val="00E65233"/>
    <w:rsid w:val="00E65322"/>
    <w:rsid w:val="00E65323"/>
    <w:rsid w:val="00E6538C"/>
    <w:rsid w:val="00E65517"/>
    <w:rsid w:val="00E6551D"/>
    <w:rsid w:val="00E65625"/>
    <w:rsid w:val="00E65B59"/>
    <w:rsid w:val="00E65DAD"/>
    <w:rsid w:val="00E65F40"/>
    <w:rsid w:val="00E66047"/>
    <w:rsid w:val="00E66077"/>
    <w:rsid w:val="00E66288"/>
    <w:rsid w:val="00E66339"/>
    <w:rsid w:val="00E664A2"/>
    <w:rsid w:val="00E665CF"/>
    <w:rsid w:val="00E665D1"/>
    <w:rsid w:val="00E66839"/>
    <w:rsid w:val="00E66866"/>
    <w:rsid w:val="00E66A57"/>
    <w:rsid w:val="00E66BA4"/>
    <w:rsid w:val="00E66D28"/>
    <w:rsid w:val="00E66F0F"/>
    <w:rsid w:val="00E670BC"/>
    <w:rsid w:val="00E67129"/>
    <w:rsid w:val="00E6782E"/>
    <w:rsid w:val="00E678DF"/>
    <w:rsid w:val="00E679A3"/>
    <w:rsid w:val="00E67AE8"/>
    <w:rsid w:val="00E67EBE"/>
    <w:rsid w:val="00E67F42"/>
    <w:rsid w:val="00E70486"/>
    <w:rsid w:val="00E706B1"/>
    <w:rsid w:val="00E707B1"/>
    <w:rsid w:val="00E70866"/>
    <w:rsid w:val="00E7093F"/>
    <w:rsid w:val="00E7095D"/>
    <w:rsid w:val="00E70B58"/>
    <w:rsid w:val="00E70BAE"/>
    <w:rsid w:val="00E70C56"/>
    <w:rsid w:val="00E710B8"/>
    <w:rsid w:val="00E71275"/>
    <w:rsid w:val="00E71383"/>
    <w:rsid w:val="00E713CD"/>
    <w:rsid w:val="00E714D4"/>
    <w:rsid w:val="00E71523"/>
    <w:rsid w:val="00E7152B"/>
    <w:rsid w:val="00E717C5"/>
    <w:rsid w:val="00E7184B"/>
    <w:rsid w:val="00E7190B"/>
    <w:rsid w:val="00E7196C"/>
    <w:rsid w:val="00E719DD"/>
    <w:rsid w:val="00E71A24"/>
    <w:rsid w:val="00E71CCB"/>
    <w:rsid w:val="00E71DD9"/>
    <w:rsid w:val="00E71F2C"/>
    <w:rsid w:val="00E72276"/>
    <w:rsid w:val="00E723B4"/>
    <w:rsid w:val="00E724E4"/>
    <w:rsid w:val="00E72564"/>
    <w:rsid w:val="00E7276A"/>
    <w:rsid w:val="00E7279D"/>
    <w:rsid w:val="00E72C83"/>
    <w:rsid w:val="00E72E0D"/>
    <w:rsid w:val="00E72F11"/>
    <w:rsid w:val="00E72FFF"/>
    <w:rsid w:val="00E73391"/>
    <w:rsid w:val="00E7359E"/>
    <w:rsid w:val="00E73731"/>
    <w:rsid w:val="00E737EB"/>
    <w:rsid w:val="00E738B9"/>
    <w:rsid w:val="00E73983"/>
    <w:rsid w:val="00E73B11"/>
    <w:rsid w:val="00E73B1F"/>
    <w:rsid w:val="00E73B39"/>
    <w:rsid w:val="00E73BD1"/>
    <w:rsid w:val="00E73C4F"/>
    <w:rsid w:val="00E73F1D"/>
    <w:rsid w:val="00E73F23"/>
    <w:rsid w:val="00E73FF0"/>
    <w:rsid w:val="00E7400F"/>
    <w:rsid w:val="00E7462C"/>
    <w:rsid w:val="00E7479F"/>
    <w:rsid w:val="00E748C7"/>
    <w:rsid w:val="00E74951"/>
    <w:rsid w:val="00E74EF0"/>
    <w:rsid w:val="00E74F58"/>
    <w:rsid w:val="00E7517F"/>
    <w:rsid w:val="00E75431"/>
    <w:rsid w:val="00E75470"/>
    <w:rsid w:val="00E75978"/>
    <w:rsid w:val="00E75B6B"/>
    <w:rsid w:val="00E75BF5"/>
    <w:rsid w:val="00E75C4E"/>
    <w:rsid w:val="00E75D11"/>
    <w:rsid w:val="00E75E92"/>
    <w:rsid w:val="00E75EAB"/>
    <w:rsid w:val="00E75FA3"/>
    <w:rsid w:val="00E76005"/>
    <w:rsid w:val="00E761CB"/>
    <w:rsid w:val="00E762FD"/>
    <w:rsid w:val="00E76357"/>
    <w:rsid w:val="00E765B1"/>
    <w:rsid w:val="00E76720"/>
    <w:rsid w:val="00E76876"/>
    <w:rsid w:val="00E768D0"/>
    <w:rsid w:val="00E7695B"/>
    <w:rsid w:val="00E7698F"/>
    <w:rsid w:val="00E76B39"/>
    <w:rsid w:val="00E76C58"/>
    <w:rsid w:val="00E76CF9"/>
    <w:rsid w:val="00E76D25"/>
    <w:rsid w:val="00E76DBC"/>
    <w:rsid w:val="00E76FCD"/>
    <w:rsid w:val="00E770F7"/>
    <w:rsid w:val="00E7727B"/>
    <w:rsid w:val="00E774CA"/>
    <w:rsid w:val="00E776E6"/>
    <w:rsid w:val="00E77A49"/>
    <w:rsid w:val="00E77BBA"/>
    <w:rsid w:val="00E77F8E"/>
    <w:rsid w:val="00E80043"/>
    <w:rsid w:val="00E80578"/>
    <w:rsid w:val="00E80580"/>
    <w:rsid w:val="00E80592"/>
    <w:rsid w:val="00E80742"/>
    <w:rsid w:val="00E8078F"/>
    <w:rsid w:val="00E80CC5"/>
    <w:rsid w:val="00E80D05"/>
    <w:rsid w:val="00E80DBB"/>
    <w:rsid w:val="00E81054"/>
    <w:rsid w:val="00E8107C"/>
    <w:rsid w:val="00E81291"/>
    <w:rsid w:val="00E81312"/>
    <w:rsid w:val="00E813C3"/>
    <w:rsid w:val="00E815E8"/>
    <w:rsid w:val="00E819A6"/>
    <w:rsid w:val="00E81BD6"/>
    <w:rsid w:val="00E81C0E"/>
    <w:rsid w:val="00E81C2A"/>
    <w:rsid w:val="00E81CC9"/>
    <w:rsid w:val="00E81CDB"/>
    <w:rsid w:val="00E821DD"/>
    <w:rsid w:val="00E82208"/>
    <w:rsid w:val="00E8222A"/>
    <w:rsid w:val="00E82366"/>
    <w:rsid w:val="00E823FA"/>
    <w:rsid w:val="00E8247D"/>
    <w:rsid w:val="00E825CA"/>
    <w:rsid w:val="00E8287F"/>
    <w:rsid w:val="00E82AD4"/>
    <w:rsid w:val="00E82AFC"/>
    <w:rsid w:val="00E82CB0"/>
    <w:rsid w:val="00E82E7E"/>
    <w:rsid w:val="00E83099"/>
    <w:rsid w:val="00E832D4"/>
    <w:rsid w:val="00E833D8"/>
    <w:rsid w:val="00E8347B"/>
    <w:rsid w:val="00E83484"/>
    <w:rsid w:val="00E8350B"/>
    <w:rsid w:val="00E83562"/>
    <w:rsid w:val="00E835BE"/>
    <w:rsid w:val="00E83677"/>
    <w:rsid w:val="00E8371B"/>
    <w:rsid w:val="00E83A66"/>
    <w:rsid w:val="00E83DAE"/>
    <w:rsid w:val="00E83DDE"/>
    <w:rsid w:val="00E83F7B"/>
    <w:rsid w:val="00E84118"/>
    <w:rsid w:val="00E8430C"/>
    <w:rsid w:val="00E84343"/>
    <w:rsid w:val="00E847E3"/>
    <w:rsid w:val="00E8486E"/>
    <w:rsid w:val="00E84892"/>
    <w:rsid w:val="00E8489C"/>
    <w:rsid w:val="00E84943"/>
    <w:rsid w:val="00E84A4A"/>
    <w:rsid w:val="00E84B8C"/>
    <w:rsid w:val="00E84C54"/>
    <w:rsid w:val="00E84FBC"/>
    <w:rsid w:val="00E85051"/>
    <w:rsid w:val="00E851E6"/>
    <w:rsid w:val="00E854E3"/>
    <w:rsid w:val="00E854FC"/>
    <w:rsid w:val="00E85601"/>
    <w:rsid w:val="00E8560D"/>
    <w:rsid w:val="00E8569D"/>
    <w:rsid w:val="00E856A5"/>
    <w:rsid w:val="00E857E0"/>
    <w:rsid w:val="00E85A64"/>
    <w:rsid w:val="00E85B98"/>
    <w:rsid w:val="00E85D7A"/>
    <w:rsid w:val="00E85D9F"/>
    <w:rsid w:val="00E85E1D"/>
    <w:rsid w:val="00E85F34"/>
    <w:rsid w:val="00E85F7B"/>
    <w:rsid w:val="00E861AA"/>
    <w:rsid w:val="00E86358"/>
    <w:rsid w:val="00E86398"/>
    <w:rsid w:val="00E864A2"/>
    <w:rsid w:val="00E864B0"/>
    <w:rsid w:val="00E866F2"/>
    <w:rsid w:val="00E867A2"/>
    <w:rsid w:val="00E86979"/>
    <w:rsid w:val="00E869D6"/>
    <w:rsid w:val="00E87123"/>
    <w:rsid w:val="00E873BE"/>
    <w:rsid w:val="00E87514"/>
    <w:rsid w:val="00E87670"/>
    <w:rsid w:val="00E87698"/>
    <w:rsid w:val="00E87A22"/>
    <w:rsid w:val="00E87ACD"/>
    <w:rsid w:val="00E87BC5"/>
    <w:rsid w:val="00E87CC7"/>
    <w:rsid w:val="00E90097"/>
    <w:rsid w:val="00E90482"/>
    <w:rsid w:val="00E90629"/>
    <w:rsid w:val="00E90668"/>
    <w:rsid w:val="00E906B3"/>
    <w:rsid w:val="00E90961"/>
    <w:rsid w:val="00E90989"/>
    <w:rsid w:val="00E909DE"/>
    <w:rsid w:val="00E90C02"/>
    <w:rsid w:val="00E90E34"/>
    <w:rsid w:val="00E9131F"/>
    <w:rsid w:val="00E916AB"/>
    <w:rsid w:val="00E916E2"/>
    <w:rsid w:val="00E917EA"/>
    <w:rsid w:val="00E919FB"/>
    <w:rsid w:val="00E91A1B"/>
    <w:rsid w:val="00E91D52"/>
    <w:rsid w:val="00E91F52"/>
    <w:rsid w:val="00E92498"/>
    <w:rsid w:val="00E92655"/>
    <w:rsid w:val="00E926AD"/>
    <w:rsid w:val="00E926AF"/>
    <w:rsid w:val="00E92730"/>
    <w:rsid w:val="00E9275C"/>
    <w:rsid w:val="00E92A32"/>
    <w:rsid w:val="00E92EF9"/>
    <w:rsid w:val="00E9301F"/>
    <w:rsid w:val="00E930E9"/>
    <w:rsid w:val="00E934BD"/>
    <w:rsid w:val="00E939BC"/>
    <w:rsid w:val="00E93BBE"/>
    <w:rsid w:val="00E93CB1"/>
    <w:rsid w:val="00E93E05"/>
    <w:rsid w:val="00E944A5"/>
    <w:rsid w:val="00E94943"/>
    <w:rsid w:val="00E94B3E"/>
    <w:rsid w:val="00E94FD5"/>
    <w:rsid w:val="00E94FFC"/>
    <w:rsid w:val="00E95041"/>
    <w:rsid w:val="00E950A3"/>
    <w:rsid w:val="00E950B6"/>
    <w:rsid w:val="00E951B2"/>
    <w:rsid w:val="00E9527D"/>
    <w:rsid w:val="00E953D2"/>
    <w:rsid w:val="00E95833"/>
    <w:rsid w:val="00E9583C"/>
    <w:rsid w:val="00E95956"/>
    <w:rsid w:val="00E959DA"/>
    <w:rsid w:val="00E959F2"/>
    <w:rsid w:val="00E959F4"/>
    <w:rsid w:val="00E95C64"/>
    <w:rsid w:val="00E95DAD"/>
    <w:rsid w:val="00E95DB6"/>
    <w:rsid w:val="00E95F55"/>
    <w:rsid w:val="00E962A8"/>
    <w:rsid w:val="00E9634D"/>
    <w:rsid w:val="00E96396"/>
    <w:rsid w:val="00E964C3"/>
    <w:rsid w:val="00E96982"/>
    <w:rsid w:val="00E96BC1"/>
    <w:rsid w:val="00E96BEA"/>
    <w:rsid w:val="00E96E5D"/>
    <w:rsid w:val="00E96F68"/>
    <w:rsid w:val="00E970F5"/>
    <w:rsid w:val="00E97942"/>
    <w:rsid w:val="00E979B2"/>
    <w:rsid w:val="00E979E8"/>
    <w:rsid w:val="00E97A32"/>
    <w:rsid w:val="00E97B3D"/>
    <w:rsid w:val="00E97CF1"/>
    <w:rsid w:val="00E97D08"/>
    <w:rsid w:val="00E97D38"/>
    <w:rsid w:val="00E97DFE"/>
    <w:rsid w:val="00E97EA1"/>
    <w:rsid w:val="00E97F85"/>
    <w:rsid w:val="00EA0026"/>
    <w:rsid w:val="00EA028B"/>
    <w:rsid w:val="00EA040E"/>
    <w:rsid w:val="00EA043F"/>
    <w:rsid w:val="00EA05E9"/>
    <w:rsid w:val="00EA0707"/>
    <w:rsid w:val="00EA0709"/>
    <w:rsid w:val="00EA0887"/>
    <w:rsid w:val="00EA0A8F"/>
    <w:rsid w:val="00EA0E08"/>
    <w:rsid w:val="00EA0E76"/>
    <w:rsid w:val="00EA0F0E"/>
    <w:rsid w:val="00EA10C6"/>
    <w:rsid w:val="00EA1242"/>
    <w:rsid w:val="00EA124E"/>
    <w:rsid w:val="00EA1255"/>
    <w:rsid w:val="00EA14B1"/>
    <w:rsid w:val="00EA1519"/>
    <w:rsid w:val="00EA1599"/>
    <w:rsid w:val="00EA1CBF"/>
    <w:rsid w:val="00EA1D11"/>
    <w:rsid w:val="00EA1F36"/>
    <w:rsid w:val="00EA209A"/>
    <w:rsid w:val="00EA2161"/>
    <w:rsid w:val="00EA221D"/>
    <w:rsid w:val="00EA22CD"/>
    <w:rsid w:val="00EA23B4"/>
    <w:rsid w:val="00EA24B5"/>
    <w:rsid w:val="00EA25A7"/>
    <w:rsid w:val="00EA2657"/>
    <w:rsid w:val="00EA299D"/>
    <w:rsid w:val="00EA3214"/>
    <w:rsid w:val="00EA3345"/>
    <w:rsid w:val="00EA34B0"/>
    <w:rsid w:val="00EA3A3E"/>
    <w:rsid w:val="00EA3AB0"/>
    <w:rsid w:val="00EA3E3D"/>
    <w:rsid w:val="00EA3EB3"/>
    <w:rsid w:val="00EA3F6B"/>
    <w:rsid w:val="00EA406A"/>
    <w:rsid w:val="00EA42B1"/>
    <w:rsid w:val="00EA447F"/>
    <w:rsid w:val="00EA44ED"/>
    <w:rsid w:val="00EA4868"/>
    <w:rsid w:val="00EA48A6"/>
    <w:rsid w:val="00EA4918"/>
    <w:rsid w:val="00EA49E4"/>
    <w:rsid w:val="00EA4C45"/>
    <w:rsid w:val="00EA4CCD"/>
    <w:rsid w:val="00EA4DF4"/>
    <w:rsid w:val="00EA4FCB"/>
    <w:rsid w:val="00EA5202"/>
    <w:rsid w:val="00EA52CA"/>
    <w:rsid w:val="00EA53D8"/>
    <w:rsid w:val="00EA54C8"/>
    <w:rsid w:val="00EA55DE"/>
    <w:rsid w:val="00EA5749"/>
    <w:rsid w:val="00EA58FB"/>
    <w:rsid w:val="00EA5A63"/>
    <w:rsid w:val="00EA5B3D"/>
    <w:rsid w:val="00EA5B8D"/>
    <w:rsid w:val="00EA5C41"/>
    <w:rsid w:val="00EA5C5A"/>
    <w:rsid w:val="00EA5CE9"/>
    <w:rsid w:val="00EA61FF"/>
    <w:rsid w:val="00EA62DF"/>
    <w:rsid w:val="00EA65CF"/>
    <w:rsid w:val="00EA6616"/>
    <w:rsid w:val="00EA6727"/>
    <w:rsid w:val="00EA6795"/>
    <w:rsid w:val="00EA6AE1"/>
    <w:rsid w:val="00EA6AEF"/>
    <w:rsid w:val="00EA6BC3"/>
    <w:rsid w:val="00EA6FFB"/>
    <w:rsid w:val="00EA7102"/>
    <w:rsid w:val="00EA7125"/>
    <w:rsid w:val="00EA7227"/>
    <w:rsid w:val="00EA730A"/>
    <w:rsid w:val="00EA73F5"/>
    <w:rsid w:val="00EA7557"/>
    <w:rsid w:val="00EA79D8"/>
    <w:rsid w:val="00EA7A12"/>
    <w:rsid w:val="00EA7CB8"/>
    <w:rsid w:val="00EA7DA5"/>
    <w:rsid w:val="00EA7DF1"/>
    <w:rsid w:val="00EA7FB7"/>
    <w:rsid w:val="00EA7FD2"/>
    <w:rsid w:val="00EB00A0"/>
    <w:rsid w:val="00EB0172"/>
    <w:rsid w:val="00EB0190"/>
    <w:rsid w:val="00EB039A"/>
    <w:rsid w:val="00EB03EB"/>
    <w:rsid w:val="00EB0407"/>
    <w:rsid w:val="00EB0536"/>
    <w:rsid w:val="00EB053E"/>
    <w:rsid w:val="00EB0606"/>
    <w:rsid w:val="00EB066B"/>
    <w:rsid w:val="00EB07D8"/>
    <w:rsid w:val="00EB0904"/>
    <w:rsid w:val="00EB0D3F"/>
    <w:rsid w:val="00EB0DFC"/>
    <w:rsid w:val="00EB1094"/>
    <w:rsid w:val="00EB110C"/>
    <w:rsid w:val="00EB1198"/>
    <w:rsid w:val="00EB140B"/>
    <w:rsid w:val="00EB14A5"/>
    <w:rsid w:val="00EB1507"/>
    <w:rsid w:val="00EB1800"/>
    <w:rsid w:val="00EB190C"/>
    <w:rsid w:val="00EB1A0F"/>
    <w:rsid w:val="00EB1A36"/>
    <w:rsid w:val="00EB1AA0"/>
    <w:rsid w:val="00EB1C08"/>
    <w:rsid w:val="00EB1CF2"/>
    <w:rsid w:val="00EB1E56"/>
    <w:rsid w:val="00EB1EAD"/>
    <w:rsid w:val="00EB1ECC"/>
    <w:rsid w:val="00EB1EEF"/>
    <w:rsid w:val="00EB1F08"/>
    <w:rsid w:val="00EB1FE0"/>
    <w:rsid w:val="00EB2108"/>
    <w:rsid w:val="00EB210C"/>
    <w:rsid w:val="00EB231E"/>
    <w:rsid w:val="00EB2587"/>
    <w:rsid w:val="00EB2632"/>
    <w:rsid w:val="00EB26CE"/>
    <w:rsid w:val="00EB26F2"/>
    <w:rsid w:val="00EB2762"/>
    <w:rsid w:val="00EB2922"/>
    <w:rsid w:val="00EB2A16"/>
    <w:rsid w:val="00EB2BB4"/>
    <w:rsid w:val="00EB2BD1"/>
    <w:rsid w:val="00EB30D3"/>
    <w:rsid w:val="00EB3302"/>
    <w:rsid w:val="00EB39FE"/>
    <w:rsid w:val="00EB3B3E"/>
    <w:rsid w:val="00EB3B40"/>
    <w:rsid w:val="00EB3DF3"/>
    <w:rsid w:val="00EB3F1B"/>
    <w:rsid w:val="00EB3F35"/>
    <w:rsid w:val="00EB4083"/>
    <w:rsid w:val="00EB4091"/>
    <w:rsid w:val="00EB420E"/>
    <w:rsid w:val="00EB42A8"/>
    <w:rsid w:val="00EB440A"/>
    <w:rsid w:val="00EB45B4"/>
    <w:rsid w:val="00EB4861"/>
    <w:rsid w:val="00EB48E9"/>
    <w:rsid w:val="00EB4937"/>
    <w:rsid w:val="00EB4956"/>
    <w:rsid w:val="00EB49E8"/>
    <w:rsid w:val="00EB4AC1"/>
    <w:rsid w:val="00EB4C53"/>
    <w:rsid w:val="00EB519B"/>
    <w:rsid w:val="00EB5601"/>
    <w:rsid w:val="00EB560F"/>
    <w:rsid w:val="00EB56AB"/>
    <w:rsid w:val="00EB583C"/>
    <w:rsid w:val="00EB58D2"/>
    <w:rsid w:val="00EB5A6D"/>
    <w:rsid w:val="00EB5B2F"/>
    <w:rsid w:val="00EB5BCE"/>
    <w:rsid w:val="00EB5BD5"/>
    <w:rsid w:val="00EB5C5A"/>
    <w:rsid w:val="00EB5CA1"/>
    <w:rsid w:val="00EB5D9F"/>
    <w:rsid w:val="00EB5F15"/>
    <w:rsid w:val="00EB5FB5"/>
    <w:rsid w:val="00EB6174"/>
    <w:rsid w:val="00EB61D8"/>
    <w:rsid w:val="00EB63DF"/>
    <w:rsid w:val="00EB6657"/>
    <w:rsid w:val="00EB689E"/>
    <w:rsid w:val="00EB6A0C"/>
    <w:rsid w:val="00EB6A22"/>
    <w:rsid w:val="00EB6AB5"/>
    <w:rsid w:val="00EB6B0B"/>
    <w:rsid w:val="00EB6BAF"/>
    <w:rsid w:val="00EB6C02"/>
    <w:rsid w:val="00EB6C15"/>
    <w:rsid w:val="00EB6D61"/>
    <w:rsid w:val="00EB6ED8"/>
    <w:rsid w:val="00EB710F"/>
    <w:rsid w:val="00EB7143"/>
    <w:rsid w:val="00EB75FA"/>
    <w:rsid w:val="00EB767E"/>
    <w:rsid w:val="00EB78F4"/>
    <w:rsid w:val="00EB791F"/>
    <w:rsid w:val="00EB7A13"/>
    <w:rsid w:val="00EB7BE6"/>
    <w:rsid w:val="00EB7C0E"/>
    <w:rsid w:val="00EB7E78"/>
    <w:rsid w:val="00EB7F13"/>
    <w:rsid w:val="00EB7FA4"/>
    <w:rsid w:val="00EC02C1"/>
    <w:rsid w:val="00EC0821"/>
    <w:rsid w:val="00EC097F"/>
    <w:rsid w:val="00EC0C1A"/>
    <w:rsid w:val="00EC0D20"/>
    <w:rsid w:val="00EC112F"/>
    <w:rsid w:val="00EC128A"/>
    <w:rsid w:val="00EC1588"/>
    <w:rsid w:val="00EC15F1"/>
    <w:rsid w:val="00EC16C8"/>
    <w:rsid w:val="00EC194B"/>
    <w:rsid w:val="00EC1D68"/>
    <w:rsid w:val="00EC1ECF"/>
    <w:rsid w:val="00EC1F76"/>
    <w:rsid w:val="00EC21C4"/>
    <w:rsid w:val="00EC226D"/>
    <w:rsid w:val="00EC2429"/>
    <w:rsid w:val="00EC2530"/>
    <w:rsid w:val="00EC27CC"/>
    <w:rsid w:val="00EC2859"/>
    <w:rsid w:val="00EC28DB"/>
    <w:rsid w:val="00EC2FD9"/>
    <w:rsid w:val="00EC331D"/>
    <w:rsid w:val="00EC338C"/>
    <w:rsid w:val="00EC3870"/>
    <w:rsid w:val="00EC390C"/>
    <w:rsid w:val="00EC3F3D"/>
    <w:rsid w:val="00EC3FA8"/>
    <w:rsid w:val="00EC403C"/>
    <w:rsid w:val="00EC4111"/>
    <w:rsid w:val="00EC4247"/>
    <w:rsid w:val="00EC46D1"/>
    <w:rsid w:val="00EC4B46"/>
    <w:rsid w:val="00EC4B52"/>
    <w:rsid w:val="00EC4D6E"/>
    <w:rsid w:val="00EC4D77"/>
    <w:rsid w:val="00EC4DD5"/>
    <w:rsid w:val="00EC4DFE"/>
    <w:rsid w:val="00EC501A"/>
    <w:rsid w:val="00EC51B3"/>
    <w:rsid w:val="00EC526F"/>
    <w:rsid w:val="00EC53FC"/>
    <w:rsid w:val="00EC5436"/>
    <w:rsid w:val="00EC54A0"/>
    <w:rsid w:val="00EC556D"/>
    <w:rsid w:val="00EC5752"/>
    <w:rsid w:val="00EC578C"/>
    <w:rsid w:val="00EC5833"/>
    <w:rsid w:val="00EC5AD1"/>
    <w:rsid w:val="00EC5BD3"/>
    <w:rsid w:val="00EC5C01"/>
    <w:rsid w:val="00EC5FEF"/>
    <w:rsid w:val="00EC6146"/>
    <w:rsid w:val="00EC61F4"/>
    <w:rsid w:val="00EC629E"/>
    <w:rsid w:val="00EC6318"/>
    <w:rsid w:val="00EC6506"/>
    <w:rsid w:val="00EC6811"/>
    <w:rsid w:val="00EC68E3"/>
    <w:rsid w:val="00EC6A58"/>
    <w:rsid w:val="00EC6B5A"/>
    <w:rsid w:val="00EC6C4D"/>
    <w:rsid w:val="00EC6CD1"/>
    <w:rsid w:val="00EC6D9B"/>
    <w:rsid w:val="00EC6F73"/>
    <w:rsid w:val="00EC701B"/>
    <w:rsid w:val="00EC725F"/>
    <w:rsid w:val="00EC733B"/>
    <w:rsid w:val="00EC747B"/>
    <w:rsid w:val="00EC7F15"/>
    <w:rsid w:val="00EC7FE9"/>
    <w:rsid w:val="00ED0A15"/>
    <w:rsid w:val="00ED0A75"/>
    <w:rsid w:val="00ED0B4B"/>
    <w:rsid w:val="00ED0B67"/>
    <w:rsid w:val="00ED0C21"/>
    <w:rsid w:val="00ED0D0A"/>
    <w:rsid w:val="00ED1040"/>
    <w:rsid w:val="00ED13C2"/>
    <w:rsid w:val="00ED14F3"/>
    <w:rsid w:val="00ED18BC"/>
    <w:rsid w:val="00ED1919"/>
    <w:rsid w:val="00ED1CF3"/>
    <w:rsid w:val="00ED20E7"/>
    <w:rsid w:val="00ED20F5"/>
    <w:rsid w:val="00ED2377"/>
    <w:rsid w:val="00ED2439"/>
    <w:rsid w:val="00ED249B"/>
    <w:rsid w:val="00ED2952"/>
    <w:rsid w:val="00ED2B82"/>
    <w:rsid w:val="00ED301F"/>
    <w:rsid w:val="00ED3020"/>
    <w:rsid w:val="00ED30BD"/>
    <w:rsid w:val="00ED3152"/>
    <w:rsid w:val="00ED3285"/>
    <w:rsid w:val="00ED32ED"/>
    <w:rsid w:val="00ED38DF"/>
    <w:rsid w:val="00ED3B53"/>
    <w:rsid w:val="00ED3B8D"/>
    <w:rsid w:val="00ED3BCD"/>
    <w:rsid w:val="00ED3DBC"/>
    <w:rsid w:val="00ED3F35"/>
    <w:rsid w:val="00ED4061"/>
    <w:rsid w:val="00ED4171"/>
    <w:rsid w:val="00ED43BD"/>
    <w:rsid w:val="00ED442E"/>
    <w:rsid w:val="00ED4569"/>
    <w:rsid w:val="00ED4A00"/>
    <w:rsid w:val="00ED4BD0"/>
    <w:rsid w:val="00ED4D8F"/>
    <w:rsid w:val="00ED4EA8"/>
    <w:rsid w:val="00ED5043"/>
    <w:rsid w:val="00ED50EC"/>
    <w:rsid w:val="00ED51C5"/>
    <w:rsid w:val="00ED51ED"/>
    <w:rsid w:val="00ED5247"/>
    <w:rsid w:val="00ED5826"/>
    <w:rsid w:val="00ED5A1A"/>
    <w:rsid w:val="00ED5A77"/>
    <w:rsid w:val="00ED5B7E"/>
    <w:rsid w:val="00ED5BB9"/>
    <w:rsid w:val="00ED5C75"/>
    <w:rsid w:val="00ED5D99"/>
    <w:rsid w:val="00ED5DA4"/>
    <w:rsid w:val="00ED5EEE"/>
    <w:rsid w:val="00ED6236"/>
    <w:rsid w:val="00ED62A5"/>
    <w:rsid w:val="00ED645A"/>
    <w:rsid w:val="00ED6660"/>
    <w:rsid w:val="00ED6711"/>
    <w:rsid w:val="00ED68C1"/>
    <w:rsid w:val="00ED6B26"/>
    <w:rsid w:val="00ED6BA9"/>
    <w:rsid w:val="00ED6C2B"/>
    <w:rsid w:val="00ED6C91"/>
    <w:rsid w:val="00ED6D86"/>
    <w:rsid w:val="00ED6DA0"/>
    <w:rsid w:val="00ED6E19"/>
    <w:rsid w:val="00ED707A"/>
    <w:rsid w:val="00ED7126"/>
    <w:rsid w:val="00ED7289"/>
    <w:rsid w:val="00ED73ED"/>
    <w:rsid w:val="00ED7472"/>
    <w:rsid w:val="00ED75C2"/>
    <w:rsid w:val="00ED780D"/>
    <w:rsid w:val="00ED79BB"/>
    <w:rsid w:val="00ED7D79"/>
    <w:rsid w:val="00EDE304"/>
    <w:rsid w:val="00EE0007"/>
    <w:rsid w:val="00EE02AB"/>
    <w:rsid w:val="00EE0355"/>
    <w:rsid w:val="00EE03CC"/>
    <w:rsid w:val="00EE040D"/>
    <w:rsid w:val="00EE046B"/>
    <w:rsid w:val="00EE05A7"/>
    <w:rsid w:val="00EE092C"/>
    <w:rsid w:val="00EE0C45"/>
    <w:rsid w:val="00EE0D3C"/>
    <w:rsid w:val="00EE0D83"/>
    <w:rsid w:val="00EE0E8B"/>
    <w:rsid w:val="00EE10DC"/>
    <w:rsid w:val="00EE1338"/>
    <w:rsid w:val="00EE1543"/>
    <w:rsid w:val="00EE16E7"/>
    <w:rsid w:val="00EE1785"/>
    <w:rsid w:val="00EE17F1"/>
    <w:rsid w:val="00EE1803"/>
    <w:rsid w:val="00EE18AD"/>
    <w:rsid w:val="00EE19AB"/>
    <w:rsid w:val="00EE1ED1"/>
    <w:rsid w:val="00EE1F75"/>
    <w:rsid w:val="00EE20DE"/>
    <w:rsid w:val="00EE21A0"/>
    <w:rsid w:val="00EE21A4"/>
    <w:rsid w:val="00EE21C8"/>
    <w:rsid w:val="00EE2322"/>
    <w:rsid w:val="00EE25DF"/>
    <w:rsid w:val="00EE274B"/>
    <w:rsid w:val="00EE2793"/>
    <w:rsid w:val="00EE2900"/>
    <w:rsid w:val="00EE2A58"/>
    <w:rsid w:val="00EE2C49"/>
    <w:rsid w:val="00EE2C6B"/>
    <w:rsid w:val="00EE2D0D"/>
    <w:rsid w:val="00EE2E74"/>
    <w:rsid w:val="00EE335C"/>
    <w:rsid w:val="00EE3406"/>
    <w:rsid w:val="00EE3453"/>
    <w:rsid w:val="00EE3573"/>
    <w:rsid w:val="00EE3640"/>
    <w:rsid w:val="00EE3685"/>
    <w:rsid w:val="00EE3696"/>
    <w:rsid w:val="00EE36AB"/>
    <w:rsid w:val="00EE36DF"/>
    <w:rsid w:val="00EE37CD"/>
    <w:rsid w:val="00EE3917"/>
    <w:rsid w:val="00EE394E"/>
    <w:rsid w:val="00EE3C3B"/>
    <w:rsid w:val="00EE3EEA"/>
    <w:rsid w:val="00EE3FBB"/>
    <w:rsid w:val="00EE406B"/>
    <w:rsid w:val="00EE431A"/>
    <w:rsid w:val="00EE43C8"/>
    <w:rsid w:val="00EE464E"/>
    <w:rsid w:val="00EE470B"/>
    <w:rsid w:val="00EE471D"/>
    <w:rsid w:val="00EE47C2"/>
    <w:rsid w:val="00EE489F"/>
    <w:rsid w:val="00EE4C20"/>
    <w:rsid w:val="00EE4CE3"/>
    <w:rsid w:val="00EE50B0"/>
    <w:rsid w:val="00EE50E5"/>
    <w:rsid w:val="00EE53F8"/>
    <w:rsid w:val="00EE56C7"/>
    <w:rsid w:val="00EE590C"/>
    <w:rsid w:val="00EE592B"/>
    <w:rsid w:val="00EE5D8D"/>
    <w:rsid w:val="00EE5DE0"/>
    <w:rsid w:val="00EE5F34"/>
    <w:rsid w:val="00EE65D6"/>
    <w:rsid w:val="00EE6669"/>
    <w:rsid w:val="00EE6A04"/>
    <w:rsid w:val="00EE6B83"/>
    <w:rsid w:val="00EE6BB5"/>
    <w:rsid w:val="00EE6F37"/>
    <w:rsid w:val="00EE7274"/>
    <w:rsid w:val="00EE7366"/>
    <w:rsid w:val="00EE7668"/>
    <w:rsid w:val="00EE7703"/>
    <w:rsid w:val="00EE7749"/>
    <w:rsid w:val="00EE778B"/>
    <w:rsid w:val="00EE7809"/>
    <w:rsid w:val="00EE7B43"/>
    <w:rsid w:val="00EE7E56"/>
    <w:rsid w:val="00EE7E93"/>
    <w:rsid w:val="00EE7F89"/>
    <w:rsid w:val="00EF0012"/>
    <w:rsid w:val="00EF01A3"/>
    <w:rsid w:val="00EF01F4"/>
    <w:rsid w:val="00EF0231"/>
    <w:rsid w:val="00EF033E"/>
    <w:rsid w:val="00EF0537"/>
    <w:rsid w:val="00EF0558"/>
    <w:rsid w:val="00EF0575"/>
    <w:rsid w:val="00EF068A"/>
    <w:rsid w:val="00EF08E3"/>
    <w:rsid w:val="00EF09E4"/>
    <w:rsid w:val="00EF0AA0"/>
    <w:rsid w:val="00EF0BEF"/>
    <w:rsid w:val="00EF0C1D"/>
    <w:rsid w:val="00EF0C61"/>
    <w:rsid w:val="00EF0CC2"/>
    <w:rsid w:val="00EF0D32"/>
    <w:rsid w:val="00EF0D34"/>
    <w:rsid w:val="00EF0FAB"/>
    <w:rsid w:val="00EF10AC"/>
    <w:rsid w:val="00EF1113"/>
    <w:rsid w:val="00EF1225"/>
    <w:rsid w:val="00EF1284"/>
    <w:rsid w:val="00EF1305"/>
    <w:rsid w:val="00EF161B"/>
    <w:rsid w:val="00EF17B8"/>
    <w:rsid w:val="00EF1954"/>
    <w:rsid w:val="00EF1C16"/>
    <w:rsid w:val="00EF1C88"/>
    <w:rsid w:val="00EF1CBF"/>
    <w:rsid w:val="00EF1DBB"/>
    <w:rsid w:val="00EF20C6"/>
    <w:rsid w:val="00EF22CC"/>
    <w:rsid w:val="00EF22F8"/>
    <w:rsid w:val="00EF238F"/>
    <w:rsid w:val="00EF2649"/>
    <w:rsid w:val="00EF2CE1"/>
    <w:rsid w:val="00EF2E4D"/>
    <w:rsid w:val="00EF314B"/>
    <w:rsid w:val="00EF3427"/>
    <w:rsid w:val="00EF3969"/>
    <w:rsid w:val="00EF3A0F"/>
    <w:rsid w:val="00EF3B21"/>
    <w:rsid w:val="00EF3B4E"/>
    <w:rsid w:val="00EF3D48"/>
    <w:rsid w:val="00EF3D72"/>
    <w:rsid w:val="00EF3EC9"/>
    <w:rsid w:val="00EF40B9"/>
    <w:rsid w:val="00EF40E0"/>
    <w:rsid w:val="00EF4243"/>
    <w:rsid w:val="00EF43AE"/>
    <w:rsid w:val="00EF4502"/>
    <w:rsid w:val="00EF4535"/>
    <w:rsid w:val="00EF4807"/>
    <w:rsid w:val="00EF4906"/>
    <w:rsid w:val="00EF4967"/>
    <w:rsid w:val="00EF49E0"/>
    <w:rsid w:val="00EF4A2A"/>
    <w:rsid w:val="00EF4A44"/>
    <w:rsid w:val="00EF4C71"/>
    <w:rsid w:val="00EF4C85"/>
    <w:rsid w:val="00EF4CEA"/>
    <w:rsid w:val="00EF4E0F"/>
    <w:rsid w:val="00EF5074"/>
    <w:rsid w:val="00EF513D"/>
    <w:rsid w:val="00EF54E3"/>
    <w:rsid w:val="00EF58F1"/>
    <w:rsid w:val="00EF5922"/>
    <w:rsid w:val="00EF595F"/>
    <w:rsid w:val="00EF596C"/>
    <w:rsid w:val="00EF5998"/>
    <w:rsid w:val="00EF5A0C"/>
    <w:rsid w:val="00EF5F06"/>
    <w:rsid w:val="00EF6019"/>
    <w:rsid w:val="00EF615A"/>
    <w:rsid w:val="00EF618D"/>
    <w:rsid w:val="00EF6308"/>
    <w:rsid w:val="00EF63EE"/>
    <w:rsid w:val="00EF641C"/>
    <w:rsid w:val="00EF6741"/>
    <w:rsid w:val="00EF6A06"/>
    <w:rsid w:val="00EF6AC0"/>
    <w:rsid w:val="00EF6AF5"/>
    <w:rsid w:val="00EF6C66"/>
    <w:rsid w:val="00EF6CD5"/>
    <w:rsid w:val="00EF70EB"/>
    <w:rsid w:val="00EF73A8"/>
    <w:rsid w:val="00EF75CB"/>
    <w:rsid w:val="00EF7B16"/>
    <w:rsid w:val="00EF7B57"/>
    <w:rsid w:val="00EF7C32"/>
    <w:rsid w:val="00EF7F52"/>
    <w:rsid w:val="00F00064"/>
    <w:rsid w:val="00F001A9"/>
    <w:rsid w:val="00F002BE"/>
    <w:rsid w:val="00F0033F"/>
    <w:rsid w:val="00F0050E"/>
    <w:rsid w:val="00F00666"/>
    <w:rsid w:val="00F009D9"/>
    <w:rsid w:val="00F009F9"/>
    <w:rsid w:val="00F00A90"/>
    <w:rsid w:val="00F00BDE"/>
    <w:rsid w:val="00F00C2B"/>
    <w:rsid w:val="00F00D3F"/>
    <w:rsid w:val="00F00E07"/>
    <w:rsid w:val="00F01146"/>
    <w:rsid w:val="00F01255"/>
    <w:rsid w:val="00F01279"/>
    <w:rsid w:val="00F01433"/>
    <w:rsid w:val="00F014C0"/>
    <w:rsid w:val="00F01524"/>
    <w:rsid w:val="00F0162B"/>
    <w:rsid w:val="00F01767"/>
    <w:rsid w:val="00F01775"/>
    <w:rsid w:val="00F01783"/>
    <w:rsid w:val="00F01A23"/>
    <w:rsid w:val="00F01DCB"/>
    <w:rsid w:val="00F01E28"/>
    <w:rsid w:val="00F020F8"/>
    <w:rsid w:val="00F0230A"/>
    <w:rsid w:val="00F02385"/>
    <w:rsid w:val="00F02565"/>
    <w:rsid w:val="00F026A1"/>
    <w:rsid w:val="00F0278D"/>
    <w:rsid w:val="00F02B6C"/>
    <w:rsid w:val="00F02BF6"/>
    <w:rsid w:val="00F02C84"/>
    <w:rsid w:val="00F02D4B"/>
    <w:rsid w:val="00F03192"/>
    <w:rsid w:val="00F031A3"/>
    <w:rsid w:val="00F03268"/>
    <w:rsid w:val="00F03731"/>
    <w:rsid w:val="00F03766"/>
    <w:rsid w:val="00F03959"/>
    <w:rsid w:val="00F039C4"/>
    <w:rsid w:val="00F039DC"/>
    <w:rsid w:val="00F03B86"/>
    <w:rsid w:val="00F03C3C"/>
    <w:rsid w:val="00F03D75"/>
    <w:rsid w:val="00F03FC1"/>
    <w:rsid w:val="00F03FD5"/>
    <w:rsid w:val="00F0400D"/>
    <w:rsid w:val="00F04017"/>
    <w:rsid w:val="00F042FC"/>
    <w:rsid w:val="00F0449C"/>
    <w:rsid w:val="00F0454D"/>
    <w:rsid w:val="00F045DC"/>
    <w:rsid w:val="00F04A1C"/>
    <w:rsid w:val="00F04B22"/>
    <w:rsid w:val="00F0552E"/>
    <w:rsid w:val="00F056ED"/>
    <w:rsid w:val="00F0586C"/>
    <w:rsid w:val="00F058F5"/>
    <w:rsid w:val="00F05AE8"/>
    <w:rsid w:val="00F05B16"/>
    <w:rsid w:val="00F05E68"/>
    <w:rsid w:val="00F05F2B"/>
    <w:rsid w:val="00F05F7C"/>
    <w:rsid w:val="00F06073"/>
    <w:rsid w:val="00F06074"/>
    <w:rsid w:val="00F06346"/>
    <w:rsid w:val="00F063CD"/>
    <w:rsid w:val="00F064EE"/>
    <w:rsid w:val="00F0669B"/>
    <w:rsid w:val="00F0671F"/>
    <w:rsid w:val="00F06871"/>
    <w:rsid w:val="00F06BDD"/>
    <w:rsid w:val="00F06CE8"/>
    <w:rsid w:val="00F06D48"/>
    <w:rsid w:val="00F06E5A"/>
    <w:rsid w:val="00F06F1C"/>
    <w:rsid w:val="00F0720E"/>
    <w:rsid w:val="00F0724C"/>
    <w:rsid w:val="00F072FF"/>
    <w:rsid w:val="00F0732E"/>
    <w:rsid w:val="00F073A8"/>
    <w:rsid w:val="00F07566"/>
    <w:rsid w:val="00F077A6"/>
    <w:rsid w:val="00F078D3"/>
    <w:rsid w:val="00F07A2F"/>
    <w:rsid w:val="00F07A58"/>
    <w:rsid w:val="00F07C9B"/>
    <w:rsid w:val="00F07D68"/>
    <w:rsid w:val="00F07D6B"/>
    <w:rsid w:val="00F07D99"/>
    <w:rsid w:val="00F0A8C6"/>
    <w:rsid w:val="00F103A6"/>
    <w:rsid w:val="00F10410"/>
    <w:rsid w:val="00F1041A"/>
    <w:rsid w:val="00F10453"/>
    <w:rsid w:val="00F1046C"/>
    <w:rsid w:val="00F10658"/>
    <w:rsid w:val="00F10823"/>
    <w:rsid w:val="00F10924"/>
    <w:rsid w:val="00F10AD7"/>
    <w:rsid w:val="00F10B3C"/>
    <w:rsid w:val="00F10B9B"/>
    <w:rsid w:val="00F10C3A"/>
    <w:rsid w:val="00F11015"/>
    <w:rsid w:val="00F11029"/>
    <w:rsid w:val="00F1103F"/>
    <w:rsid w:val="00F110F8"/>
    <w:rsid w:val="00F11166"/>
    <w:rsid w:val="00F112B7"/>
    <w:rsid w:val="00F11316"/>
    <w:rsid w:val="00F1133B"/>
    <w:rsid w:val="00F115D8"/>
    <w:rsid w:val="00F11E2B"/>
    <w:rsid w:val="00F12010"/>
    <w:rsid w:val="00F120D2"/>
    <w:rsid w:val="00F12123"/>
    <w:rsid w:val="00F12296"/>
    <w:rsid w:val="00F12322"/>
    <w:rsid w:val="00F1241D"/>
    <w:rsid w:val="00F12632"/>
    <w:rsid w:val="00F12838"/>
    <w:rsid w:val="00F12963"/>
    <w:rsid w:val="00F129A9"/>
    <w:rsid w:val="00F12C66"/>
    <w:rsid w:val="00F12DA4"/>
    <w:rsid w:val="00F13493"/>
    <w:rsid w:val="00F13628"/>
    <w:rsid w:val="00F13A52"/>
    <w:rsid w:val="00F13ABE"/>
    <w:rsid w:val="00F13E91"/>
    <w:rsid w:val="00F13FD8"/>
    <w:rsid w:val="00F141AC"/>
    <w:rsid w:val="00F14259"/>
    <w:rsid w:val="00F1427E"/>
    <w:rsid w:val="00F14338"/>
    <w:rsid w:val="00F14404"/>
    <w:rsid w:val="00F1455A"/>
    <w:rsid w:val="00F145D4"/>
    <w:rsid w:val="00F147E4"/>
    <w:rsid w:val="00F149DA"/>
    <w:rsid w:val="00F14A0F"/>
    <w:rsid w:val="00F14A17"/>
    <w:rsid w:val="00F14A26"/>
    <w:rsid w:val="00F14B5B"/>
    <w:rsid w:val="00F14CF9"/>
    <w:rsid w:val="00F14E7D"/>
    <w:rsid w:val="00F150AE"/>
    <w:rsid w:val="00F15109"/>
    <w:rsid w:val="00F15482"/>
    <w:rsid w:val="00F1548E"/>
    <w:rsid w:val="00F1555A"/>
    <w:rsid w:val="00F1560E"/>
    <w:rsid w:val="00F15624"/>
    <w:rsid w:val="00F159A2"/>
    <w:rsid w:val="00F15B50"/>
    <w:rsid w:val="00F15CEC"/>
    <w:rsid w:val="00F16106"/>
    <w:rsid w:val="00F16243"/>
    <w:rsid w:val="00F16569"/>
    <w:rsid w:val="00F16727"/>
    <w:rsid w:val="00F16981"/>
    <w:rsid w:val="00F16994"/>
    <w:rsid w:val="00F16A5E"/>
    <w:rsid w:val="00F16C17"/>
    <w:rsid w:val="00F17737"/>
    <w:rsid w:val="00F177CD"/>
    <w:rsid w:val="00F178DE"/>
    <w:rsid w:val="00F17B89"/>
    <w:rsid w:val="00F17D73"/>
    <w:rsid w:val="00F17EF3"/>
    <w:rsid w:val="00F20067"/>
    <w:rsid w:val="00F200E4"/>
    <w:rsid w:val="00F20186"/>
    <w:rsid w:val="00F2022D"/>
    <w:rsid w:val="00F20246"/>
    <w:rsid w:val="00F20249"/>
    <w:rsid w:val="00F202D9"/>
    <w:rsid w:val="00F20990"/>
    <w:rsid w:val="00F2099A"/>
    <w:rsid w:val="00F20AD8"/>
    <w:rsid w:val="00F20EB5"/>
    <w:rsid w:val="00F20F96"/>
    <w:rsid w:val="00F21053"/>
    <w:rsid w:val="00F2121D"/>
    <w:rsid w:val="00F212E6"/>
    <w:rsid w:val="00F2156C"/>
    <w:rsid w:val="00F215CD"/>
    <w:rsid w:val="00F21600"/>
    <w:rsid w:val="00F219E0"/>
    <w:rsid w:val="00F21B12"/>
    <w:rsid w:val="00F21DDD"/>
    <w:rsid w:val="00F21EA2"/>
    <w:rsid w:val="00F21F10"/>
    <w:rsid w:val="00F21F8E"/>
    <w:rsid w:val="00F223E7"/>
    <w:rsid w:val="00F225F3"/>
    <w:rsid w:val="00F22945"/>
    <w:rsid w:val="00F22D50"/>
    <w:rsid w:val="00F22E38"/>
    <w:rsid w:val="00F22F66"/>
    <w:rsid w:val="00F231DC"/>
    <w:rsid w:val="00F23431"/>
    <w:rsid w:val="00F23516"/>
    <w:rsid w:val="00F235B4"/>
    <w:rsid w:val="00F2383C"/>
    <w:rsid w:val="00F238E8"/>
    <w:rsid w:val="00F23A25"/>
    <w:rsid w:val="00F23EBF"/>
    <w:rsid w:val="00F24025"/>
    <w:rsid w:val="00F24090"/>
    <w:rsid w:val="00F2422E"/>
    <w:rsid w:val="00F2437A"/>
    <w:rsid w:val="00F246ED"/>
    <w:rsid w:val="00F249B4"/>
    <w:rsid w:val="00F24B65"/>
    <w:rsid w:val="00F24B9F"/>
    <w:rsid w:val="00F24CD6"/>
    <w:rsid w:val="00F25079"/>
    <w:rsid w:val="00F25161"/>
    <w:rsid w:val="00F252EE"/>
    <w:rsid w:val="00F254AD"/>
    <w:rsid w:val="00F254D2"/>
    <w:rsid w:val="00F254E1"/>
    <w:rsid w:val="00F25588"/>
    <w:rsid w:val="00F2564E"/>
    <w:rsid w:val="00F256E9"/>
    <w:rsid w:val="00F2582B"/>
    <w:rsid w:val="00F25A70"/>
    <w:rsid w:val="00F25AD4"/>
    <w:rsid w:val="00F25B1E"/>
    <w:rsid w:val="00F25D4D"/>
    <w:rsid w:val="00F25DAE"/>
    <w:rsid w:val="00F25E80"/>
    <w:rsid w:val="00F25E95"/>
    <w:rsid w:val="00F26091"/>
    <w:rsid w:val="00F26105"/>
    <w:rsid w:val="00F2611D"/>
    <w:rsid w:val="00F26362"/>
    <w:rsid w:val="00F26494"/>
    <w:rsid w:val="00F264B4"/>
    <w:rsid w:val="00F2650A"/>
    <w:rsid w:val="00F2658B"/>
    <w:rsid w:val="00F265D0"/>
    <w:rsid w:val="00F26921"/>
    <w:rsid w:val="00F269EC"/>
    <w:rsid w:val="00F26A6B"/>
    <w:rsid w:val="00F26D28"/>
    <w:rsid w:val="00F26D32"/>
    <w:rsid w:val="00F26D9D"/>
    <w:rsid w:val="00F26DA8"/>
    <w:rsid w:val="00F26EEB"/>
    <w:rsid w:val="00F26F3B"/>
    <w:rsid w:val="00F271DA"/>
    <w:rsid w:val="00F27258"/>
    <w:rsid w:val="00F2728C"/>
    <w:rsid w:val="00F2735D"/>
    <w:rsid w:val="00F27499"/>
    <w:rsid w:val="00F275A4"/>
    <w:rsid w:val="00F2761D"/>
    <w:rsid w:val="00F2784C"/>
    <w:rsid w:val="00F278BD"/>
    <w:rsid w:val="00F27A22"/>
    <w:rsid w:val="00F27C47"/>
    <w:rsid w:val="00F27D07"/>
    <w:rsid w:val="00F27E45"/>
    <w:rsid w:val="00F27E49"/>
    <w:rsid w:val="00F27F1C"/>
    <w:rsid w:val="00F27FB6"/>
    <w:rsid w:val="00F300A5"/>
    <w:rsid w:val="00F300DD"/>
    <w:rsid w:val="00F301CB"/>
    <w:rsid w:val="00F3029A"/>
    <w:rsid w:val="00F302EC"/>
    <w:rsid w:val="00F304AC"/>
    <w:rsid w:val="00F30502"/>
    <w:rsid w:val="00F30503"/>
    <w:rsid w:val="00F306FC"/>
    <w:rsid w:val="00F3086F"/>
    <w:rsid w:val="00F308D5"/>
    <w:rsid w:val="00F309FF"/>
    <w:rsid w:val="00F30BB7"/>
    <w:rsid w:val="00F30C7D"/>
    <w:rsid w:val="00F30CCA"/>
    <w:rsid w:val="00F30D0D"/>
    <w:rsid w:val="00F30F07"/>
    <w:rsid w:val="00F30F64"/>
    <w:rsid w:val="00F313B2"/>
    <w:rsid w:val="00F31919"/>
    <w:rsid w:val="00F319C1"/>
    <w:rsid w:val="00F31AA7"/>
    <w:rsid w:val="00F31BE7"/>
    <w:rsid w:val="00F31C41"/>
    <w:rsid w:val="00F31CFB"/>
    <w:rsid w:val="00F31D74"/>
    <w:rsid w:val="00F31E67"/>
    <w:rsid w:val="00F31E94"/>
    <w:rsid w:val="00F31ECF"/>
    <w:rsid w:val="00F31EE1"/>
    <w:rsid w:val="00F3217C"/>
    <w:rsid w:val="00F3243B"/>
    <w:rsid w:val="00F32552"/>
    <w:rsid w:val="00F3282D"/>
    <w:rsid w:val="00F32A58"/>
    <w:rsid w:val="00F32A8A"/>
    <w:rsid w:val="00F32B8C"/>
    <w:rsid w:val="00F32BD3"/>
    <w:rsid w:val="00F330DE"/>
    <w:rsid w:val="00F33283"/>
    <w:rsid w:val="00F336A0"/>
    <w:rsid w:val="00F336C6"/>
    <w:rsid w:val="00F3371D"/>
    <w:rsid w:val="00F3388D"/>
    <w:rsid w:val="00F33935"/>
    <w:rsid w:val="00F33B6C"/>
    <w:rsid w:val="00F33BF5"/>
    <w:rsid w:val="00F33C4B"/>
    <w:rsid w:val="00F33CFC"/>
    <w:rsid w:val="00F33EE5"/>
    <w:rsid w:val="00F33F95"/>
    <w:rsid w:val="00F34096"/>
    <w:rsid w:val="00F340FB"/>
    <w:rsid w:val="00F34155"/>
    <w:rsid w:val="00F341AC"/>
    <w:rsid w:val="00F34323"/>
    <w:rsid w:val="00F3436E"/>
    <w:rsid w:val="00F34445"/>
    <w:rsid w:val="00F34A9D"/>
    <w:rsid w:val="00F34B13"/>
    <w:rsid w:val="00F34BA8"/>
    <w:rsid w:val="00F34C6C"/>
    <w:rsid w:val="00F34D58"/>
    <w:rsid w:val="00F34DA7"/>
    <w:rsid w:val="00F35089"/>
    <w:rsid w:val="00F35266"/>
    <w:rsid w:val="00F352B5"/>
    <w:rsid w:val="00F35418"/>
    <w:rsid w:val="00F35990"/>
    <w:rsid w:val="00F359E3"/>
    <w:rsid w:val="00F35BB7"/>
    <w:rsid w:val="00F35BE6"/>
    <w:rsid w:val="00F35CDC"/>
    <w:rsid w:val="00F35DA5"/>
    <w:rsid w:val="00F35EA2"/>
    <w:rsid w:val="00F35FFE"/>
    <w:rsid w:val="00F36107"/>
    <w:rsid w:val="00F3611E"/>
    <w:rsid w:val="00F36297"/>
    <w:rsid w:val="00F3629A"/>
    <w:rsid w:val="00F36866"/>
    <w:rsid w:val="00F36C04"/>
    <w:rsid w:val="00F36D4F"/>
    <w:rsid w:val="00F36E41"/>
    <w:rsid w:val="00F36FC6"/>
    <w:rsid w:val="00F370C6"/>
    <w:rsid w:val="00F37137"/>
    <w:rsid w:val="00F37276"/>
    <w:rsid w:val="00F37342"/>
    <w:rsid w:val="00F374DC"/>
    <w:rsid w:val="00F3758B"/>
    <w:rsid w:val="00F377E5"/>
    <w:rsid w:val="00F37DBB"/>
    <w:rsid w:val="00F40104"/>
    <w:rsid w:val="00F40386"/>
    <w:rsid w:val="00F408F0"/>
    <w:rsid w:val="00F40B38"/>
    <w:rsid w:val="00F40C44"/>
    <w:rsid w:val="00F40FFB"/>
    <w:rsid w:val="00F41198"/>
    <w:rsid w:val="00F4134F"/>
    <w:rsid w:val="00F414C4"/>
    <w:rsid w:val="00F415B8"/>
    <w:rsid w:val="00F41971"/>
    <w:rsid w:val="00F419D7"/>
    <w:rsid w:val="00F41AA7"/>
    <w:rsid w:val="00F41CC7"/>
    <w:rsid w:val="00F41D30"/>
    <w:rsid w:val="00F41E02"/>
    <w:rsid w:val="00F41E42"/>
    <w:rsid w:val="00F42352"/>
    <w:rsid w:val="00F42396"/>
    <w:rsid w:val="00F424B9"/>
    <w:rsid w:val="00F425DA"/>
    <w:rsid w:val="00F4262B"/>
    <w:rsid w:val="00F4273E"/>
    <w:rsid w:val="00F427E8"/>
    <w:rsid w:val="00F42922"/>
    <w:rsid w:val="00F42E41"/>
    <w:rsid w:val="00F42E88"/>
    <w:rsid w:val="00F42EBB"/>
    <w:rsid w:val="00F42ECE"/>
    <w:rsid w:val="00F4312A"/>
    <w:rsid w:val="00F431B1"/>
    <w:rsid w:val="00F43209"/>
    <w:rsid w:val="00F43397"/>
    <w:rsid w:val="00F433F2"/>
    <w:rsid w:val="00F4379F"/>
    <w:rsid w:val="00F4386B"/>
    <w:rsid w:val="00F4387C"/>
    <w:rsid w:val="00F43943"/>
    <w:rsid w:val="00F43A34"/>
    <w:rsid w:val="00F43EE1"/>
    <w:rsid w:val="00F44056"/>
    <w:rsid w:val="00F4410B"/>
    <w:rsid w:val="00F44429"/>
    <w:rsid w:val="00F44458"/>
    <w:rsid w:val="00F444B2"/>
    <w:rsid w:val="00F444B7"/>
    <w:rsid w:val="00F4454B"/>
    <w:rsid w:val="00F4469E"/>
    <w:rsid w:val="00F4484E"/>
    <w:rsid w:val="00F44C98"/>
    <w:rsid w:val="00F44D7E"/>
    <w:rsid w:val="00F44DAC"/>
    <w:rsid w:val="00F44E00"/>
    <w:rsid w:val="00F44FA2"/>
    <w:rsid w:val="00F45071"/>
    <w:rsid w:val="00F45175"/>
    <w:rsid w:val="00F45304"/>
    <w:rsid w:val="00F4558C"/>
    <w:rsid w:val="00F4567D"/>
    <w:rsid w:val="00F45888"/>
    <w:rsid w:val="00F45903"/>
    <w:rsid w:val="00F45967"/>
    <w:rsid w:val="00F45B0C"/>
    <w:rsid w:val="00F45C78"/>
    <w:rsid w:val="00F45EB1"/>
    <w:rsid w:val="00F45F1D"/>
    <w:rsid w:val="00F45F23"/>
    <w:rsid w:val="00F4625D"/>
    <w:rsid w:val="00F4628F"/>
    <w:rsid w:val="00F4637C"/>
    <w:rsid w:val="00F4689E"/>
    <w:rsid w:val="00F46A78"/>
    <w:rsid w:val="00F46AB9"/>
    <w:rsid w:val="00F46B5A"/>
    <w:rsid w:val="00F46CC7"/>
    <w:rsid w:val="00F46D2A"/>
    <w:rsid w:val="00F46E8C"/>
    <w:rsid w:val="00F4755D"/>
    <w:rsid w:val="00F4757C"/>
    <w:rsid w:val="00F476AE"/>
    <w:rsid w:val="00F476B4"/>
    <w:rsid w:val="00F477F5"/>
    <w:rsid w:val="00F479DB"/>
    <w:rsid w:val="00F47C27"/>
    <w:rsid w:val="00F47CEC"/>
    <w:rsid w:val="00F47E8F"/>
    <w:rsid w:val="00F47EC3"/>
    <w:rsid w:val="00F47FF7"/>
    <w:rsid w:val="00F5006B"/>
    <w:rsid w:val="00F506D3"/>
    <w:rsid w:val="00F507A6"/>
    <w:rsid w:val="00F50C40"/>
    <w:rsid w:val="00F50D69"/>
    <w:rsid w:val="00F50E71"/>
    <w:rsid w:val="00F50EAD"/>
    <w:rsid w:val="00F50F37"/>
    <w:rsid w:val="00F50FA8"/>
    <w:rsid w:val="00F50FCB"/>
    <w:rsid w:val="00F51067"/>
    <w:rsid w:val="00F51332"/>
    <w:rsid w:val="00F51351"/>
    <w:rsid w:val="00F519E6"/>
    <w:rsid w:val="00F51B2A"/>
    <w:rsid w:val="00F51E44"/>
    <w:rsid w:val="00F51EC2"/>
    <w:rsid w:val="00F51EEB"/>
    <w:rsid w:val="00F521AC"/>
    <w:rsid w:val="00F5240F"/>
    <w:rsid w:val="00F5260B"/>
    <w:rsid w:val="00F52633"/>
    <w:rsid w:val="00F5294A"/>
    <w:rsid w:val="00F52A3A"/>
    <w:rsid w:val="00F52B93"/>
    <w:rsid w:val="00F52BA7"/>
    <w:rsid w:val="00F52BEE"/>
    <w:rsid w:val="00F52F03"/>
    <w:rsid w:val="00F52F78"/>
    <w:rsid w:val="00F52FC2"/>
    <w:rsid w:val="00F53162"/>
    <w:rsid w:val="00F536B2"/>
    <w:rsid w:val="00F5377E"/>
    <w:rsid w:val="00F53A28"/>
    <w:rsid w:val="00F53ADF"/>
    <w:rsid w:val="00F53DC4"/>
    <w:rsid w:val="00F53E1F"/>
    <w:rsid w:val="00F53FE9"/>
    <w:rsid w:val="00F54115"/>
    <w:rsid w:val="00F5430F"/>
    <w:rsid w:val="00F546AF"/>
    <w:rsid w:val="00F546EC"/>
    <w:rsid w:val="00F54721"/>
    <w:rsid w:val="00F54860"/>
    <w:rsid w:val="00F5489E"/>
    <w:rsid w:val="00F54BB6"/>
    <w:rsid w:val="00F54C10"/>
    <w:rsid w:val="00F54DA9"/>
    <w:rsid w:val="00F55041"/>
    <w:rsid w:val="00F5508D"/>
    <w:rsid w:val="00F5511B"/>
    <w:rsid w:val="00F5513B"/>
    <w:rsid w:val="00F555DC"/>
    <w:rsid w:val="00F55635"/>
    <w:rsid w:val="00F557A7"/>
    <w:rsid w:val="00F557F0"/>
    <w:rsid w:val="00F55AA7"/>
    <w:rsid w:val="00F55BA9"/>
    <w:rsid w:val="00F55CE6"/>
    <w:rsid w:val="00F55DFE"/>
    <w:rsid w:val="00F55EC1"/>
    <w:rsid w:val="00F561B1"/>
    <w:rsid w:val="00F5624E"/>
    <w:rsid w:val="00F563F0"/>
    <w:rsid w:val="00F56664"/>
    <w:rsid w:val="00F56934"/>
    <w:rsid w:val="00F56A90"/>
    <w:rsid w:val="00F56E27"/>
    <w:rsid w:val="00F57032"/>
    <w:rsid w:val="00F57689"/>
    <w:rsid w:val="00F57773"/>
    <w:rsid w:val="00F57B1E"/>
    <w:rsid w:val="00F57B20"/>
    <w:rsid w:val="00F57EE4"/>
    <w:rsid w:val="00F60242"/>
    <w:rsid w:val="00F6027D"/>
    <w:rsid w:val="00F6030B"/>
    <w:rsid w:val="00F60369"/>
    <w:rsid w:val="00F60423"/>
    <w:rsid w:val="00F60451"/>
    <w:rsid w:val="00F60756"/>
    <w:rsid w:val="00F6092E"/>
    <w:rsid w:val="00F60B34"/>
    <w:rsid w:val="00F6104A"/>
    <w:rsid w:val="00F610DB"/>
    <w:rsid w:val="00F610F8"/>
    <w:rsid w:val="00F61150"/>
    <w:rsid w:val="00F611DB"/>
    <w:rsid w:val="00F6120B"/>
    <w:rsid w:val="00F61216"/>
    <w:rsid w:val="00F612A7"/>
    <w:rsid w:val="00F612F7"/>
    <w:rsid w:val="00F61366"/>
    <w:rsid w:val="00F6155A"/>
    <w:rsid w:val="00F616D5"/>
    <w:rsid w:val="00F6170F"/>
    <w:rsid w:val="00F6184D"/>
    <w:rsid w:val="00F61BE0"/>
    <w:rsid w:val="00F61C09"/>
    <w:rsid w:val="00F61D29"/>
    <w:rsid w:val="00F61FD3"/>
    <w:rsid w:val="00F6242D"/>
    <w:rsid w:val="00F62580"/>
    <w:rsid w:val="00F625E9"/>
    <w:rsid w:val="00F626E4"/>
    <w:rsid w:val="00F62816"/>
    <w:rsid w:val="00F628D1"/>
    <w:rsid w:val="00F62930"/>
    <w:rsid w:val="00F62A0E"/>
    <w:rsid w:val="00F6309C"/>
    <w:rsid w:val="00F630F8"/>
    <w:rsid w:val="00F63184"/>
    <w:rsid w:val="00F63705"/>
    <w:rsid w:val="00F63824"/>
    <w:rsid w:val="00F63C83"/>
    <w:rsid w:val="00F63CCD"/>
    <w:rsid w:val="00F640E5"/>
    <w:rsid w:val="00F6424D"/>
    <w:rsid w:val="00F6438E"/>
    <w:rsid w:val="00F647B8"/>
    <w:rsid w:val="00F648AD"/>
    <w:rsid w:val="00F6497F"/>
    <w:rsid w:val="00F64AFF"/>
    <w:rsid w:val="00F64B51"/>
    <w:rsid w:val="00F64E03"/>
    <w:rsid w:val="00F64F01"/>
    <w:rsid w:val="00F650C2"/>
    <w:rsid w:val="00F651B2"/>
    <w:rsid w:val="00F651F7"/>
    <w:rsid w:val="00F6525F"/>
    <w:rsid w:val="00F65292"/>
    <w:rsid w:val="00F652A2"/>
    <w:rsid w:val="00F65619"/>
    <w:rsid w:val="00F65C78"/>
    <w:rsid w:val="00F65EBC"/>
    <w:rsid w:val="00F65F3E"/>
    <w:rsid w:val="00F65F7C"/>
    <w:rsid w:val="00F661DC"/>
    <w:rsid w:val="00F66234"/>
    <w:rsid w:val="00F66408"/>
    <w:rsid w:val="00F66446"/>
    <w:rsid w:val="00F665D2"/>
    <w:rsid w:val="00F666D2"/>
    <w:rsid w:val="00F66777"/>
    <w:rsid w:val="00F667DA"/>
    <w:rsid w:val="00F667DE"/>
    <w:rsid w:val="00F668AD"/>
    <w:rsid w:val="00F66B8D"/>
    <w:rsid w:val="00F66E00"/>
    <w:rsid w:val="00F6704E"/>
    <w:rsid w:val="00F6706E"/>
    <w:rsid w:val="00F672FA"/>
    <w:rsid w:val="00F67334"/>
    <w:rsid w:val="00F6747E"/>
    <w:rsid w:val="00F675FA"/>
    <w:rsid w:val="00F67628"/>
    <w:rsid w:val="00F6776F"/>
    <w:rsid w:val="00F677E0"/>
    <w:rsid w:val="00F67B62"/>
    <w:rsid w:val="00F67E36"/>
    <w:rsid w:val="00F67E5F"/>
    <w:rsid w:val="00F70056"/>
    <w:rsid w:val="00F700A3"/>
    <w:rsid w:val="00F702D3"/>
    <w:rsid w:val="00F70367"/>
    <w:rsid w:val="00F70384"/>
    <w:rsid w:val="00F703DE"/>
    <w:rsid w:val="00F7049E"/>
    <w:rsid w:val="00F70519"/>
    <w:rsid w:val="00F7054B"/>
    <w:rsid w:val="00F705D4"/>
    <w:rsid w:val="00F707ED"/>
    <w:rsid w:val="00F70841"/>
    <w:rsid w:val="00F70876"/>
    <w:rsid w:val="00F70A27"/>
    <w:rsid w:val="00F70A6A"/>
    <w:rsid w:val="00F70BBF"/>
    <w:rsid w:val="00F70CC8"/>
    <w:rsid w:val="00F70CF4"/>
    <w:rsid w:val="00F70D87"/>
    <w:rsid w:val="00F70F63"/>
    <w:rsid w:val="00F717E3"/>
    <w:rsid w:val="00F71883"/>
    <w:rsid w:val="00F71898"/>
    <w:rsid w:val="00F71A52"/>
    <w:rsid w:val="00F71CC9"/>
    <w:rsid w:val="00F71D41"/>
    <w:rsid w:val="00F71E93"/>
    <w:rsid w:val="00F7201B"/>
    <w:rsid w:val="00F72024"/>
    <w:rsid w:val="00F720BE"/>
    <w:rsid w:val="00F72109"/>
    <w:rsid w:val="00F726B7"/>
    <w:rsid w:val="00F726FC"/>
    <w:rsid w:val="00F7275B"/>
    <w:rsid w:val="00F72C8C"/>
    <w:rsid w:val="00F73142"/>
    <w:rsid w:val="00F73483"/>
    <w:rsid w:val="00F735D8"/>
    <w:rsid w:val="00F735EF"/>
    <w:rsid w:val="00F7361B"/>
    <w:rsid w:val="00F73C84"/>
    <w:rsid w:val="00F73EC9"/>
    <w:rsid w:val="00F73F61"/>
    <w:rsid w:val="00F73FA4"/>
    <w:rsid w:val="00F7414E"/>
    <w:rsid w:val="00F74189"/>
    <w:rsid w:val="00F742D9"/>
    <w:rsid w:val="00F7434A"/>
    <w:rsid w:val="00F7446E"/>
    <w:rsid w:val="00F74674"/>
    <w:rsid w:val="00F74931"/>
    <w:rsid w:val="00F749FE"/>
    <w:rsid w:val="00F74D98"/>
    <w:rsid w:val="00F74DE4"/>
    <w:rsid w:val="00F74EF3"/>
    <w:rsid w:val="00F750EC"/>
    <w:rsid w:val="00F75181"/>
    <w:rsid w:val="00F75274"/>
    <w:rsid w:val="00F75332"/>
    <w:rsid w:val="00F753B1"/>
    <w:rsid w:val="00F757CD"/>
    <w:rsid w:val="00F75924"/>
    <w:rsid w:val="00F75968"/>
    <w:rsid w:val="00F7598A"/>
    <w:rsid w:val="00F75A7C"/>
    <w:rsid w:val="00F75B0E"/>
    <w:rsid w:val="00F75B15"/>
    <w:rsid w:val="00F75B38"/>
    <w:rsid w:val="00F75CA3"/>
    <w:rsid w:val="00F75D41"/>
    <w:rsid w:val="00F75DCA"/>
    <w:rsid w:val="00F75E67"/>
    <w:rsid w:val="00F75F2B"/>
    <w:rsid w:val="00F75F78"/>
    <w:rsid w:val="00F761C5"/>
    <w:rsid w:val="00F7631E"/>
    <w:rsid w:val="00F763E8"/>
    <w:rsid w:val="00F76488"/>
    <w:rsid w:val="00F76716"/>
    <w:rsid w:val="00F76739"/>
    <w:rsid w:val="00F768B0"/>
    <w:rsid w:val="00F768F0"/>
    <w:rsid w:val="00F76937"/>
    <w:rsid w:val="00F76B77"/>
    <w:rsid w:val="00F76BDF"/>
    <w:rsid w:val="00F76BE0"/>
    <w:rsid w:val="00F76DAD"/>
    <w:rsid w:val="00F76DEA"/>
    <w:rsid w:val="00F770E7"/>
    <w:rsid w:val="00F77184"/>
    <w:rsid w:val="00F772D5"/>
    <w:rsid w:val="00F774C3"/>
    <w:rsid w:val="00F775C0"/>
    <w:rsid w:val="00F7762F"/>
    <w:rsid w:val="00F77683"/>
    <w:rsid w:val="00F77702"/>
    <w:rsid w:val="00F77713"/>
    <w:rsid w:val="00F779D5"/>
    <w:rsid w:val="00F77A63"/>
    <w:rsid w:val="00F77B07"/>
    <w:rsid w:val="00F77C2C"/>
    <w:rsid w:val="00F77CC6"/>
    <w:rsid w:val="00F77D17"/>
    <w:rsid w:val="00F77DDC"/>
    <w:rsid w:val="00F77E9F"/>
    <w:rsid w:val="00F77ECF"/>
    <w:rsid w:val="00F77ED0"/>
    <w:rsid w:val="00F77EDF"/>
    <w:rsid w:val="00F77F25"/>
    <w:rsid w:val="00F801F5"/>
    <w:rsid w:val="00F80238"/>
    <w:rsid w:val="00F80385"/>
    <w:rsid w:val="00F8038D"/>
    <w:rsid w:val="00F8080A"/>
    <w:rsid w:val="00F80875"/>
    <w:rsid w:val="00F808C2"/>
    <w:rsid w:val="00F809D1"/>
    <w:rsid w:val="00F80E7E"/>
    <w:rsid w:val="00F80F51"/>
    <w:rsid w:val="00F81004"/>
    <w:rsid w:val="00F810A8"/>
    <w:rsid w:val="00F812F2"/>
    <w:rsid w:val="00F81488"/>
    <w:rsid w:val="00F815D8"/>
    <w:rsid w:val="00F81792"/>
    <w:rsid w:val="00F8179E"/>
    <w:rsid w:val="00F8183B"/>
    <w:rsid w:val="00F8190A"/>
    <w:rsid w:val="00F8193B"/>
    <w:rsid w:val="00F81985"/>
    <w:rsid w:val="00F819FE"/>
    <w:rsid w:val="00F81B0F"/>
    <w:rsid w:val="00F81C6A"/>
    <w:rsid w:val="00F81C6E"/>
    <w:rsid w:val="00F81FD8"/>
    <w:rsid w:val="00F82189"/>
    <w:rsid w:val="00F8225B"/>
    <w:rsid w:val="00F824EA"/>
    <w:rsid w:val="00F82607"/>
    <w:rsid w:val="00F827AD"/>
    <w:rsid w:val="00F828FE"/>
    <w:rsid w:val="00F82904"/>
    <w:rsid w:val="00F82A41"/>
    <w:rsid w:val="00F82C7A"/>
    <w:rsid w:val="00F82CD6"/>
    <w:rsid w:val="00F82CEF"/>
    <w:rsid w:val="00F82DE0"/>
    <w:rsid w:val="00F831F6"/>
    <w:rsid w:val="00F834DD"/>
    <w:rsid w:val="00F83572"/>
    <w:rsid w:val="00F8357C"/>
    <w:rsid w:val="00F83854"/>
    <w:rsid w:val="00F83C6D"/>
    <w:rsid w:val="00F83CAC"/>
    <w:rsid w:val="00F83E9B"/>
    <w:rsid w:val="00F84083"/>
    <w:rsid w:val="00F84393"/>
    <w:rsid w:val="00F8451D"/>
    <w:rsid w:val="00F84527"/>
    <w:rsid w:val="00F84764"/>
    <w:rsid w:val="00F84782"/>
    <w:rsid w:val="00F84A10"/>
    <w:rsid w:val="00F84B66"/>
    <w:rsid w:val="00F84BD1"/>
    <w:rsid w:val="00F84D46"/>
    <w:rsid w:val="00F84ECD"/>
    <w:rsid w:val="00F850E4"/>
    <w:rsid w:val="00F8539D"/>
    <w:rsid w:val="00F85480"/>
    <w:rsid w:val="00F85481"/>
    <w:rsid w:val="00F8576E"/>
    <w:rsid w:val="00F8580B"/>
    <w:rsid w:val="00F85A90"/>
    <w:rsid w:val="00F85AC8"/>
    <w:rsid w:val="00F85C10"/>
    <w:rsid w:val="00F85D29"/>
    <w:rsid w:val="00F85E4C"/>
    <w:rsid w:val="00F85F4D"/>
    <w:rsid w:val="00F8616C"/>
    <w:rsid w:val="00F86215"/>
    <w:rsid w:val="00F862F4"/>
    <w:rsid w:val="00F865BE"/>
    <w:rsid w:val="00F86688"/>
    <w:rsid w:val="00F8674E"/>
    <w:rsid w:val="00F868F7"/>
    <w:rsid w:val="00F86B11"/>
    <w:rsid w:val="00F86B53"/>
    <w:rsid w:val="00F86B68"/>
    <w:rsid w:val="00F86BDB"/>
    <w:rsid w:val="00F86C5E"/>
    <w:rsid w:val="00F86DB5"/>
    <w:rsid w:val="00F86F0B"/>
    <w:rsid w:val="00F86F33"/>
    <w:rsid w:val="00F8702A"/>
    <w:rsid w:val="00F870AC"/>
    <w:rsid w:val="00F8713D"/>
    <w:rsid w:val="00F871D0"/>
    <w:rsid w:val="00F8733E"/>
    <w:rsid w:val="00F878EC"/>
    <w:rsid w:val="00F87980"/>
    <w:rsid w:val="00F87C38"/>
    <w:rsid w:val="00F87ECD"/>
    <w:rsid w:val="00F87FB8"/>
    <w:rsid w:val="00F902FB"/>
    <w:rsid w:val="00F9030F"/>
    <w:rsid w:val="00F903A3"/>
    <w:rsid w:val="00F905E8"/>
    <w:rsid w:val="00F90827"/>
    <w:rsid w:val="00F90941"/>
    <w:rsid w:val="00F90B68"/>
    <w:rsid w:val="00F90D38"/>
    <w:rsid w:val="00F90EBE"/>
    <w:rsid w:val="00F910F2"/>
    <w:rsid w:val="00F913D2"/>
    <w:rsid w:val="00F9160E"/>
    <w:rsid w:val="00F91888"/>
    <w:rsid w:val="00F918EE"/>
    <w:rsid w:val="00F91A2C"/>
    <w:rsid w:val="00F91E19"/>
    <w:rsid w:val="00F91E66"/>
    <w:rsid w:val="00F91F77"/>
    <w:rsid w:val="00F91F9E"/>
    <w:rsid w:val="00F92277"/>
    <w:rsid w:val="00F922A6"/>
    <w:rsid w:val="00F92382"/>
    <w:rsid w:val="00F9245E"/>
    <w:rsid w:val="00F926BD"/>
    <w:rsid w:val="00F929B2"/>
    <w:rsid w:val="00F92AEC"/>
    <w:rsid w:val="00F92DDD"/>
    <w:rsid w:val="00F92F93"/>
    <w:rsid w:val="00F930E5"/>
    <w:rsid w:val="00F93306"/>
    <w:rsid w:val="00F933E6"/>
    <w:rsid w:val="00F9342B"/>
    <w:rsid w:val="00F93535"/>
    <w:rsid w:val="00F93624"/>
    <w:rsid w:val="00F93662"/>
    <w:rsid w:val="00F936A7"/>
    <w:rsid w:val="00F93790"/>
    <w:rsid w:val="00F93D8D"/>
    <w:rsid w:val="00F93EF0"/>
    <w:rsid w:val="00F93EF5"/>
    <w:rsid w:val="00F94054"/>
    <w:rsid w:val="00F94269"/>
    <w:rsid w:val="00F94386"/>
    <w:rsid w:val="00F94466"/>
    <w:rsid w:val="00F94499"/>
    <w:rsid w:val="00F9457D"/>
    <w:rsid w:val="00F946CB"/>
    <w:rsid w:val="00F947AE"/>
    <w:rsid w:val="00F947C3"/>
    <w:rsid w:val="00F947EA"/>
    <w:rsid w:val="00F94835"/>
    <w:rsid w:val="00F94987"/>
    <w:rsid w:val="00F94B4E"/>
    <w:rsid w:val="00F94C83"/>
    <w:rsid w:val="00F94EF4"/>
    <w:rsid w:val="00F95154"/>
    <w:rsid w:val="00F95196"/>
    <w:rsid w:val="00F9549D"/>
    <w:rsid w:val="00F95605"/>
    <w:rsid w:val="00F95800"/>
    <w:rsid w:val="00F95804"/>
    <w:rsid w:val="00F95973"/>
    <w:rsid w:val="00F95A05"/>
    <w:rsid w:val="00F95AEF"/>
    <w:rsid w:val="00F95B4E"/>
    <w:rsid w:val="00F95B6B"/>
    <w:rsid w:val="00F95D57"/>
    <w:rsid w:val="00F95E25"/>
    <w:rsid w:val="00F96315"/>
    <w:rsid w:val="00F965A3"/>
    <w:rsid w:val="00F965C2"/>
    <w:rsid w:val="00F966C8"/>
    <w:rsid w:val="00F96873"/>
    <w:rsid w:val="00F969EE"/>
    <w:rsid w:val="00F96CEF"/>
    <w:rsid w:val="00F96E84"/>
    <w:rsid w:val="00F96F0D"/>
    <w:rsid w:val="00F970BB"/>
    <w:rsid w:val="00F97188"/>
    <w:rsid w:val="00F971C1"/>
    <w:rsid w:val="00F975F0"/>
    <w:rsid w:val="00F97619"/>
    <w:rsid w:val="00F9774D"/>
    <w:rsid w:val="00F979E9"/>
    <w:rsid w:val="00F97AA1"/>
    <w:rsid w:val="00F97C4B"/>
    <w:rsid w:val="00F97E09"/>
    <w:rsid w:val="00F97FCA"/>
    <w:rsid w:val="00FA01B7"/>
    <w:rsid w:val="00FA03E4"/>
    <w:rsid w:val="00FA044E"/>
    <w:rsid w:val="00FA05E6"/>
    <w:rsid w:val="00FA07FA"/>
    <w:rsid w:val="00FA07FC"/>
    <w:rsid w:val="00FA0802"/>
    <w:rsid w:val="00FA0A27"/>
    <w:rsid w:val="00FA0A5E"/>
    <w:rsid w:val="00FA0DB8"/>
    <w:rsid w:val="00FA0F49"/>
    <w:rsid w:val="00FA11D2"/>
    <w:rsid w:val="00FA1455"/>
    <w:rsid w:val="00FA1500"/>
    <w:rsid w:val="00FA151A"/>
    <w:rsid w:val="00FA1599"/>
    <w:rsid w:val="00FA173A"/>
    <w:rsid w:val="00FA18E8"/>
    <w:rsid w:val="00FA1A69"/>
    <w:rsid w:val="00FA1C29"/>
    <w:rsid w:val="00FA1C4A"/>
    <w:rsid w:val="00FA1D6A"/>
    <w:rsid w:val="00FA1E7C"/>
    <w:rsid w:val="00FA2257"/>
    <w:rsid w:val="00FA2557"/>
    <w:rsid w:val="00FA263D"/>
    <w:rsid w:val="00FA2731"/>
    <w:rsid w:val="00FA2760"/>
    <w:rsid w:val="00FA2A29"/>
    <w:rsid w:val="00FA2C20"/>
    <w:rsid w:val="00FA2D18"/>
    <w:rsid w:val="00FA2EDA"/>
    <w:rsid w:val="00FA2FAD"/>
    <w:rsid w:val="00FA3379"/>
    <w:rsid w:val="00FA3625"/>
    <w:rsid w:val="00FA366A"/>
    <w:rsid w:val="00FA36F1"/>
    <w:rsid w:val="00FA380E"/>
    <w:rsid w:val="00FA43D1"/>
    <w:rsid w:val="00FA44DD"/>
    <w:rsid w:val="00FA45A9"/>
    <w:rsid w:val="00FA4612"/>
    <w:rsid w:val="00FA481C"/>
    <w:rsid w:val="00FA489A"/>
    <w:rsid w:val="00FA48CA"/>
    <w:rsid w:val="00FA4BB2"/>
    <w:rsid w:val="00FA4CED"/>
    <w:rsid w:val="00FA4E54"/>
    <w:rsid w:val="00FA4EA5"/>
    <w:rsid w:val="00FA4EF8"/>
    <w:rsid w:val="00FA50B2"/>
    <w:rsid w:val="00FA5177"/>
    <w:rsid w:val="00FA52A6"/>
    <w:rsid w:val="00FA53E5"/>
    <w:rsid w:val="00FA560A"/>
    <w:rsid w:val="00FA5611"/>
    <w:rsid w:val="00FA56AA"/>
    <w:rsid w:val="00FA573E"/>
    <w:rsid w:val="00FA5896"/>
    <w:rsid w:val="00FA5A20"/>
    <w:rsid w:val="00FA5B75"/>
    <w:rsid w:val="00FA5C3D"/>
    <w:rsid w:val="00FA5CE8"/>
    <w:rsid w:val="00FA5FBB"/>
    <w:rsid w:val="00FA60CD"/>
    <w:rsid w:val="00FA61F0"/>
    <w:rsid w:val="00FA6340"/>
    <w:rsid w:val="00FA64DA"/>
    <w:rsid w:val="00FA652A"/>
    <w:rsid w:val="00FA65AE"/>
    <w:rsid w:val="00FA65F1"/>
    <w:rsid w:val="00FA664C"/>
    <w:rsid w:val="00FA6917"/>
    <w:rsid w:val="00FA6A6A"/>
    <w:rsid w:val="00FA6C12"/>
    <w:rsid w:val="00FA6DC9"/>
    <w:rsid w:val="00FA6E5B"/>
    <w:rsid w:val="00FA6EDC"/>
    <w:rsid w:val="00FA7218"/>
    <w:rsid w:val="00FA7257"/>
    <w:rsid w:val="00FA7575"/>
    <w:rsid w:val="00FA77B8"/>
    <w:rsid w:val="00FA77F1"/>
    <w:rsid w:val="00FA79C8"/>
    <w:rsid w:val="00FA7A57"/>
    <w:rsid w:val="00FA7C0F"/>
    <w:rsid w:val="00FA7CF9"/>
    <w:rsid w:val="00FA7D7E"/>
    <w:rsid w:val="00FA7E15"/>
    <w:rsid w:val="00FB046F"/>
    <w:rsid w:val="00FB0599"/>
    <w:rsid w:val="00FB0875"/>
    <w:rsid w:val="00FB08F2"/>
    <w:rsid w:val="00FB0971"/>
    <w:rsid w:val="00FB0ABC"/>
    <w:rsid w:val="00FB0B33"/>
    <w:rsid w:val="00FB0C2B"/>
    <w:rsid w:val="00FB0C7A"/>
    <w:rsid w:val="00FB0CCC"/>
    <w:rsid w:val="00FB0EBE"/>
    <w:rsid w:val="00FB1244"/>
    <w:rsid w:val="00FB12A7"/>
    <w:rsid w:val="00FB12AC"/>
    <w:rsid w:val="00FB17AC"/>
    <w:rsid w:val="00FB1844"/>
    <w:rsid w:val="00FB19A3"/>
    <w:rsid w:val="00FB1A06"/>
    <w:rsid w:val="00FB1A88"/>
    <w:rsid w:val="00FB1D65"/>
    <w:rsid w:val="00FB1D9F"/>
    <w:rsid w:val="00FB1EE5"/>
    <w:rsid w:val="00FB1FA9"/>
    <w:rsid w:val="00FB223E"/>
    <w:rsid w:val="00FB24E4"/>
    <w:rsid w:val="00FB2614"/>
    <w:rsid w:val="00FB269B"/>
    <w:rsid w:val="00FB27D6"/>
    <w:rsid w:val="00FB29ED"/>
    <w:rsid w:val="00FB2BD9"/>
    <w:rsid w:val="00FB2C09"/>
    <w:rsid w:val="00FB2C46"/>
    <w:rsid w:val="00FB2C69"/>
    <w:rsid w:val="00FB2D3A"/>
    <w:rsid w:val="00FB2E0B"/>
    <w:rsid w:val="00FB2F29"/>
    <w:rsid w:val="00FB3071"/>
    <w:rsid w:val="00FB30D6"/>
    <w:rsid w:val="00FB3292"/>
    <w:rsid w:val="00FB33A1"/>
    <w:rsid w:val="00FB3602"/>
    <w:rsid w:val="00FB36D7"/>
    <w:rsid w:val="00FB36F5"/>
    <w:rsid w:val="00FB374D"/>
    <w:rsid w:val="00FB39B4"/>
    <w:rsid w:val="00FB3A7C"/>
    <w:rsid w:val="00FB3DE7"/>
    <w:rsid w:val="00FB3FDD"/>
    <w:rsid w:val="00FB40B0"/>
    <w:rsid w:val="00FB40B4"/>
    <w:rsid w:val="00FB4154"/>
    <w:rsid w:val="00FB418C"/>
    <w:rsid w:val="00FB446C"/>
    <w:rsid w:val="00FB450A"/>
    <w:rsid w:val="00FB4873"/>
    <w:rsid w:val="00FB4972"/>
    <w:rsid w:val="00FB4BDD"/>
    <w:rsid w:val="00FB4BE9"/>
    <w:rsid w:val="00FB4C0B"/>
    <w:rsid w:val="00FB4C42"/>
    <w:rsid w:val="00FB4EB7"/>
    <w:rsid w:val="00FB4FB7"/>
    <w:rsid w:val="00FB5252"/>
    <w:rsid w:val="00FB5265"/>
    <w:rsid w:val="00FB5316"/>
    <w:rsid w:val="00FB5401"/>
    <w:rsid w:val="00FB55B9"/>
    <w:rsid w:val="00FB55E1"/>
    <w:rsid w:val="00FB5640"/>
    <w:rsid w:val="00FB5712"/>
    <w:rsid w:val="00FB595E"/>
    <w:rsid w:val="00FB5BF5"/>
    <w:rsid w:val="00FB5C1C"/>
    <w:rsid w:val="00FB5C5E"/>
    <w:rsid w:val="00FB5EDF"/>
    <w:rsid w:val="00FB6119"/>
    <w:rsid w:val="00FB699D"/>
    <w:rsid w:val="00FB69AB"/>
    <w:rsid w:val="00FB6C47"/>
    <w:rsid w:val="00FB6D42"/>
    <w:rsid w:val="00FB702E"/>
    <w:rsid w:val="00FB71B2"/>
    <w:rsid w:val="00FB71BE"/>
    <w:rsid w:val="00FB720E"/>
    <w:rsid w:val="00FB7269"/>
    <w:rsid w:val="00FB74DE"/>
    <w:rsid w:val="00FB778D"/>
    <w:rsid w:val="00FB77AB"/>
    <w:rsid w:val="00FB7A1D"/>
    <w:rsid w:val="00FB7A2E"/>
    <w:rsid w:val="00FB7CF2"/>
    <w:rsid w:val="00FB7DCB"/>
    <w:rsid w:val="00FB7E2B"/>
    <w:rsid w:val="00FB7EF8"/>
    <w:rsid w:val="00FC009E"/>
    <w:rsid w:val="00FC0192"/>
    <w:rsid w:val="00FC0670"/>
    <w:rsid w:val="00FC08AA"/>
    <w:rsid w:val="00FC091E"/>
    <w:rsid w:val="00FC0A49"/>
    <w:rsid w:val="00FC0A67"/>
    <w:rsid w:val="00FC0DDF"/>
    <w:rsid w:val="00FC0E0D"/>
    <w:rsid w:val="00FC0F52"/>
    <w:rsid w:val="00FC0F67"/>
    <w:rsid w:val="00FC0F99"/>
    <w:rsid w:val="00FC1138"/>
    <w:rsid w:val="00FC11B4"/>
    <w:rsid w:val="00FC1241"/>
    <w:rsid w:val="00FC12E8"/>
    <w:rsid w:val="00FC1364"/>
    <w:rsid w:val="00FC1671"/>
    <w:rsid w:val="00FC1729"/>
    <w:rsid w:val="00FC1798"/>
    <w:rsid w:val="00FC1B40"/>
    <w:rsid w:val="00FC1B72"/>
    <w:rsid w:val="00FC1C66"/>
    <w:rsid w:val="00FC1CD8"/>
    <w:rsid w:val="00FC1CDA"/>
    <w:rsid w:val="00FC1D3E"/>
    <w:rsid w:val="00FC1D75"/>
    <w:rsid w:val="00FC1F47"/>
    <w:rsid w:val="00FC1FF2"/>
    <w:rsid w:val="00FC206C"/>
    <w:rsid w:val="00FC2074"/>
    <w:rsid w:val="00FC21E2"/>
    <w:rsid w:val="00FC2449"/>
    <w:rsid w:val="00FC24CE"/>
    <w:rsid w:val="00FC2504"/>
    <w:rsid w:val="00FC2722"/>
    <w:rsid w:val="00FC27DA"/>
    <w:rsid w:val="00FC28E7"/>
    <w:rsid w:val="00FC2995"/>
    <w:rsid w:val="00FC29B9"/>
    <w:rsid w:val="00FC2C53"/>
    <w:rsid w:val="00FC2CD7"/>
    <w:rsid w:val="00FC2ECA"/>
    <w:rsid w:val="00FC3132"/>
    <w:rsid w:val="00FC317B"/>
    <w:rsid w:val="00FC327A"/>
    <w:rsid w:val="00FC345F"/>
    <w:rsid w:val="00FC3494"/>
    <w:rsid w:val="00FC3804"/>
    <w:rsid w:val="00FC3BF1"/>
    <w:rsid w:val="00FC3CD0"/>
    <w:rsid w:val="00FC3DFF"/>
    <w:rsid w:val="00FC3FEB"/>
    <w:rsid w:val="00FC4084"/>
    <w:rsid w:val="00FC4092"/>
    <w:rsid w:val="00FC40F2"/>
    <w:rsid w:val="00FC4338"/>
    <w:rsid w:val="00FC4358"/>
    <w:rsid w:val="00FC452B"/>
    <w:rsid w:val="00FC4610"/>
    <w:rsid w:val="00FC4759"/>
    <w:rsid w:val="00FC47CD"/>
    <w:rsid w:val="00FC4818"/>
    <w:rsid w:val="00FC4A5C"/>
    <w:rsid w:val="00FC4B6F"/>
    <w:rsid w:val="00FC4B72"/>
    <w:rsid w:val="00FC4BD1"/>
    <w:rsid w:val="00FC4C65"/>
    <w:rsid w:val="00FC4D89"/>
    <w:rsid w:val="00FC4F73"/>
    <w:rsid w:val="00FC4FE4"/>
    <w:rsid w:val="00FC505C"/>
    <w:rsid w:val="00FC507F"/>
    <w:rsid w:val="00FC5206"/>
    <w:rsid w:val="00FC55D5"/>
    <w:rsid w:val="00FC57A4"/>
    <w:rsid w:val="00FC5C96"/>
    <w:rsid w:val="00FC5CEB"/>
    <w:rsid w:val="00FC5CFC"/>
    <w:rsid w:val="00FC5ED5"/>
    <w:rsid w:val="00FC5F09"/>
    <w:rsid w:val="00FC60B8"/>
    <w:rsid w:val="00FC6231"/>
    <w:rsid w:val="00FC6469"/>
    <w:rsid w:val="00FC6512"/>
    <w:rsid w:val="00FC67EB"/>
    <w:rsid w:val="00FC6896"/>
    <w:rsid w:val="00FC69D9"/>
    <w:rsid w:val="00FC69F5"/>
    <w:rsid w:val="00FC6A65"/>
    <w:rsid w:val="00FC6D1F"/>
    <w:rsid w:val="00FC6D99"/>
    <w:rsid w:val="00FC7026"/>
    <w:rsid w:val="00FC75CD"/>
    <w:rsid w:val="00FC75E8"/>
    <w:rsid w:val="00FC77D1"/>
    <w:rsid w:val="00FC7A26"/>
    <w:rsid w:val="00FC7A78"/>
    <w:rsid w:val="00FC7B50"/>
    <w:rsid w:val="00FC7CA4"/>
    <w:rsid w:val="00FD008A"/>
    <w:rsid w:val="00FD0110"/>
    <w:rsid w:val="00FD011B"/>
    <w:rsid w:val="00FD0150"/>
    <w:rsid w:val="00FD0286"/>
    <w:rsid w:val="00FD028C"/>
    <w:rsid w:val="00FD042B"/>
    <w:rsid w:val="00FD0718"/>
    <w:rsid w:val="00FD0750"/>
    <w:rsid w:val="00FD093E"/>
    <w:rsid w:val="00FD09B2"/>
    <w:rsid w:val="00FD0BC7"/>
    <w:rsid w:val="00FD0D3E"/>
    <w:rsid w:val="00FD0EAF"/>
    <w:rsid w:val="00FD0F6E"/>
    <w:rsid w:val="00FD0F85"/>
    <w:rsid w:val="00FD1293"/>
    <w:rsid w:val="00FD13F6"/>
    <w:rsid w:val="00FD1437"/>
    <w:rsid w:val="00FD145A"/>
    <w:rsid w:val="00FD14F0"/>
    <w:rsid w:val="00FD16B1"/>
    <w:rsid w:val="00FD18B7"/>
    <w:rsid w:val="00FD196B"/>
    <w:rsid w:val="00FD1BFF"/>
    <w:rsid w:val="00FD2013"/>
    <w:rsid w:val="00FD2190"/>
    <w:rsid w:val="00FD2191"/>
    <w:rsid w:val="00FD21E0"/>
    <w:rsid w:val="00FD2217"/>
    <w:rsid w:val="00FD22F8"/>
    <w:rsid w:val="00FD2317"/>
    <w:rsid w:val="00FD267F"/>
    <w:rsid w:val="00FD272B"/>
    <w:rsid w:val="00FD2833"/>
    <w:rsid w:val="00FD2954"/>
    <w:rsid w:val="00FD2960"/>
    <w:rsid w:val="00FD29C1"/>
    <w:rsid w:val="00FD2A30"/>
    <w:rsid w:val="00FD2AC2"/>
    <w:rsid w:val="00FD2AD8"/>
    <w:rsid w:val="00FD2D06"/>
    <w:rsid w:val="00FD2D32"/>
    <w:rsid w:val="00FD2EE9"/>
    <w:rsid w:val="00FD31A6"/>
    <w:rsid w:val="00FD31D5"/>
    <w:rsid w:val="00FD31E2"/>
    <w:rsid w:val="00FD3931"/>
    <w:rsid w:val="00FD3ADB"/>
    <w:rsid w:val="00FD3CE7"/>
    <w:rsid w:val="00FD3D8E"/>
    <w:rsid w:val="00FD3EA1"/>
    <w:rsid w:val="00FD3ECE"/>
    <w:rsid w:val="00FD3F55"/>
    <w:rsid w:val="00FD400E"/>
    <w:rsid w:val="00FD4082"/>
    <w:rsid w:val="00FD4240"/>
    <w:rsid w:val="00FD46F6"/>
    <w:rsid w:val="00FD4731"/>
    <w:rsid w:val="00FD488D"/>
    <w:rsid w:val="00FD49AA"/>
    <w:rsid w:val="00FD4AF2"/>
    <w:rsid w:val="00FD4C09"/>
    <w:rsid w:val="00FD4DA6"/>
    <w:rsid w:val="00FD4DB1"/>
    <w:rsid w:val="00FD5074"/>
    <w:rsid w:val="00FD515B"/>
    <w:rsid w:val="00FD520C"/>
    <w:rsid w:val="00FD55A6"/>
    <w:rsid w:val="00FD5668"/>
    <w:rsid w:val="00FD5718"/>
    <w:rsid w:val="00FD5797"/>
    <w:rsid w:val="00FD57D1"/>
    <w:rsid w:val="00FD5AA1"/>
    <w:rsid w:val="00FD5BE0"/>
    <w:rsid w:val="00FD5F49"/>
    <w:rsid w:val="00FD5FB3"/>
    <w:rsid w:val="00FD6176"/>
    <w:rsid w:val="00FD61AC"/>
    <w:rsid w:val="00FD6375"/>
    <w:rsid w:val="00FD63AB"/>
    <w:rsid w:val="00FD6483"/>
    <w:rsid w:val="00FD67A9"/>
    <w:rsid w:val="00FD67BF"/>
    <w:rsid w:val="00FD69DA"/>
    <w:rsid w:val="00FD6A91"/>
    <w:rsid w:val="00FD6DE3"/>
    <w:rsid w:val="00FD6E96"/>
    <w:rsid w:val="00FD6EF6"/>
    <w:rsid w:val="00FD6FD0"/>
    <w:rsid w:val="00FD6FF5"/>
    <w:rsid w:val="00FD7320"/>
    <w:rsid w:val="00FD751F"/>
    <w:rsid w:val="00FD75DB"/>
    <w:rsid w:val="00FD7638"/>
    <w:rsid w:val="00FD7684"/>
    <w:rsid w:val="00FD76CC"/>
    <w:rsid w:val="00FD77C0"/>
    <w:rsid w:val="00FD77FB"/>
    <w:rsid w:val="00FD78D8"/>
    <w:rsid w:val="00FD78E5"/>
    <w:rsid w:val="00FD7961"/>
    <w:rsid w:val="00FD7A45"/>
    <w:rsid w:val="00FD7CE0"/>
    <w:rsid w:val="00FD7D00"/>
    <w:rsid w:val="00FD7D77"/>
    <w:rsid w:val="00FD7E0D"/>
    <w:rsid w:val="00FD7E82"/>
    <w:rsid w:val="00FE00C7"/>
    <w:rsid w:val="00FE00D5"/>
    <w:rsid w:val="00FE029E"/>
    <w:rsid w:val="00FE032A"/>
    <w:rsid w:val="00FE0459"/>
    <w:rsid w:val="00FE04D6"/>
    <w:rsid w:val="00FE0604"/>
    <w:rsid w:val="00FE07AD"/>
    <w:rsid w:val="00FE07E1"/>
    <w:rsid w:val="00FE083F"/>
    <w:rsid w:val="00FE097C"/>
    <w:rsid w:val="00FE0A41"/>
    <w:rsid w:val="00FE0A50"/>
    <w:rsid w:val="00FE0CF9"/>
    <w:rsid w:val="00FE0E27"/>
    <w:rsid w:val="00FE0E4A"/>
    <w:rsid w:val="00FE0F21"/>
    <w:rsid w:val="00FE0F4C"/>
    <w:rsid w:val="00FE10FD"/>
    <w:rsid w:val="00FE1327"/>
    <w:rsid w:val="00FE135A"/>
    <w:rsid w:val="00FE1368"/>
    <w:rsid w:val="00FE14E1"/>
    <w:rsid w:val="00FE1DD0"/>
    <w:rsid w:val="00FE1DDF"/>
    <w:rsid w:val="00FE1E1D"/>
    <w:rsid w:val="00FE1E95"/>
    <w:rsid w:val="00FE21EB"/>
    <w:rsid w:val="00FE245B"/>
    <w:rsid w:val="00FE24A4"/>
    <w:rsid w:val="00FE26E1"/>
    <w:rsid w:val="00FE271E"/>
    <w:rsid w:val="00FE292B"/>
    <w:rsid w:val="00FE2AD7"/>
    <w:rsid w:val="00FE2CA8"/>
    <w:rsid w:val="00FE3056"/>
    <w:rsid w:val="00FE310B"/>
    <w:rsid w:val="00FE333B"/>
    <w:rsid w:val="00FE365C"/>
    <w:rsid w:val="00FE368A"/>
    <w:rsid w:val="00FE39A2"/>
    <w:rsid w:val="00FE3BA4"/>
    <w:rsid w:val="00FE3BE1"/>
    <w:rsid w:val="00FE3D77"/>
    <w:rsid w:val="00FE3F4D"/>
    <w:rsid w:val="00FE41CE"/>
    <w:rsid w:val="00FE428B"/>
    <w:rsid w:val="00FE4383"/>
    <w:rsid w:val="00FE45A9"/>
    <w:rsid w:val="00FE462F"/>
    <w:rsid w:val="00FE4631"/>
    <w:rsid w:val="00FE47ED"/>
    <w:rsid w:val="00FE4BFD"/>
    <w:rsid w:val="00FE4D42"/>
    <w:rsid w:val="00FE4D4E"/>
    <w:rsid w:val="00FE4D91"/>
    <w:rsid w:val="00FE4E1B"/>
    <w:rsid w:val="00FE4F66"/>
    <w:rsid w:val="00FE5049"/>
    <w:rsid w:val="00FE5074"/>
    <w:rsid w:val="00FE51C4"/>
    <w:rsid w:val="00FE5335"/>
    <w:rsid w:val="00FE54A5"/>
    <w:rsid w:val="00FE5649"/>
    <w:rsid w:val="00FE567B"/>
    <w:rsid w:val="00FE57DE"/>
    <w:rsid w:val="00FE5D4F"/>
    <w:rsid w:val="00FE5DB0"/>
    <w:rsid w:val="00FE5DBC"/>
    <w:rsid w:val="00FE5E26"/>
    <w:rsid w:val="00FE5E82"/>
    <w:rsid w:val="00FE5F25"/>
    <w:rsid w:val="00FE5FAB"/>
    <w:rsid w:val="00FE5FD9"/>
    <w:rsid w:val="00FE6100"/>
    <w:rsid w:val="00FE6278"/>
    <w:rsid w:val="00FE62FF"/>
    <w:rsid w:val="00FE6435"/>
    <w:rsid w:val="00FE6775"/>
    <w:rsid w:val="00FE67C2"/>
    <w:rsid w:val="00FE682A"/>
    <w:rsid w:val="00FE6861"/>
    <w:rsid w:val="00FE6B2B"/>
    <w:rsid w:val="00FE6B67"/>
    <w:rsid w:val="00FE6C8F"/>
    <w:rsid w:val="00FE6FDC"/>
    <w:rsid w:val="00FE7049"/>
    <w:rsid w:val="00FE7051"/>
    <w:rsid w:val="00FE71D7"/>
    <w:rsid w:val="00FE72D1"/>
    <w:rsid w:val="00FE7327"/>
    <w:rsid w:val="00FE765C"/>
    <w:rsid w:val="00FE781E"/>
    <w:rsid w:val="00FE792A"/>
    <w:rsid w:val="00FE7ADE"/>
    <w:rsid w:val="00FE7DAA"/>
    <w:rsid w:val="00FE7DB1"/>
    <w:rsid w:val="00FE7EA1"/>
    <w:rsid w:val="00FE7F1E"/>
    <w:rsid w:val="00FF014F"/>
    <w:rsid w:val="00FF017D"/>
    <w:rsid w:val="00FF0227"/>
    <w:rsid w:val="00FF0311"/>
    <w:rsid w:val="00FF03D7"/>
    <w:rsid w:val="00FF0521"/>
    <w:rsid w:val="00FF074B"/>
    <w:rsid w:val="00FF08B0"/>
    <w:rsid w:val="00FF0915"/>
    <w:rsid w:val="00FF0A7E"/>
    <w:rsid w:val="00FF0AC1"/>
    <w:rsid w:val="00FF0B53"/>
    <w:rsid w:val="00FF0B9D"/>
    <w:rsid w:val="00FF0D5D"/>
    <w:rsid w:val="00FF1139"/>
    <w:rsid w:val="00FF1395"/>
    <w:rsid w:val="00FF1928"/>
    <w:rsid w:val="00FF1A0E"/>
    <w:rsid w:val="00FF1A11"/>
    <w:rsid w:val="00FF1B82"/>
    <w:rsid w:val="00FF1BDB"/>
    <w:rsid w:val="00FF1C1B"/>
    <w:rsid w:val="00FF225C"/>
    <w:rsid w:val="00FF22AA"/>
    <w:rsid w:val="00FF2324"/>
    <w:rsid w:val="00FF2326"/>
    <w:rsid w:val="00FF23B8"/>
    <w:rsid w:val="00FF24B2"/>
    <w:rsid w:val="00FF24BC"/>
    <w:rsid w:val="00FF2A2A"/>
    <w:rsid w:val="00FF30A8"/>
    <w:rsid w:val="00FF30D9"/>
    <w:rsid w:val="00FF317E"/>
    <w:rsid w:val="00FF3520"/>
    <w:rsid w:val="00FF357B"/>
    <w:rsid w:val="00FF3684"/>
    <w:rsid w:val="00FF39C2"/>
    <w:rsid w:val="00FF39F4"/>
    <w:rsid w:val="00FF3B99"/>
    <w:rsid w:val="00FF3C83"/>
    <w:rsid w:val="00FF3FAB"/>
    <w:rsid w:val="00FF41C0"/>
    <w:rsid w:val="00FF420C"/>
    <w:rsid w:val="00FF4216"/>
    <w:rsid w:val="00FF4255"/>
    <w:rsid w:val="00FF42AB"/>
    <w:rsid w:val="00FF43F6"/>
    <w:rsid w:val="00FF45B8"/>
    <w:rsid w:val="00FF4644"/>
    <w:rsid w:val="00FF47DA"/>
    <w:rsid w:val="00FF481F"/>
    <w:rsid w:val="00FF48A6"/>
    <w:rsid w:val="00FF48B4"/>
    <w:rsid w:val="00FF4A9D"/>
    <w:rsid w:val="00FF4B44"/>
    <w:rsid w:val="00FF4CA8"/>
    <w:rsid w:val="00FF4E11"/>
    <w:rsid w:val="00FF4E1D"/>
    <w:rsid w:val="00FF4F11"/>
    <w:rsid w:val="00FF4F51"/>
    <w:rsid w:val="00FF51A8"/>
    <w:rsid w:val="00FF5347"/>
    <w:rsid w:val="00FF54DE"/>
    <w:rsid w:val="00FF5554"/>
    <w:rsid w:val="00FF577B"/>
    <w:rsid w:val="00FF579D"/>
    <w:rsid w:val="00FF5B4D"/>
    <w:rsid w:val="00FF5B9C"/>
    <w:rsid w:val="00FF5C8E"/>
    <w:rsid w:val="00FF5DBB"/>
    <w:rsid w:val="00FF5E4A"/>
    <w:rsid w:val="00FF61D8"/>
    <w:rsid w:val="00FF61E7"/>
    <w:rsid w:val="00FF6451"/>
    <w:rsid w:val="00FF6878"/>
    <w:rsid w:val="00FF6906"/>
    <w:rsid w:val="00FF6B4C"/>
    <w:rsid w:val="00FF6B9C"/>
    <w:rsid w:val="00FF6D47"/>
    <w:rsid w:val="00FF6E7C"/>
    <w:rsid w:val="00FF6EEF"/>
    <w:rsid w:val="00FF6FE2"/>
    <w:rsid w:val="00FF71D4"/>
    <w:rsid w:val="00FF72DE"/>
    <w:rsid w:val="00FF733D"/>
    <w:rsid w:val="00FF77F3"/>
    <w:rsid w:val="00FF7851"/>
    <w:rsid w:val="00FF793B"/>
    <w:rsid w:val="00FF7D39"/>
    <w:rsid w:val="00FF7F9F"/>
    <w:rsid w:val="00FFE741"/>
    <w:rsid w:val="010EF950"/>
    <w:rsid w:val="011A0FCE"/>
    <w:rsid w:val="013C4A1D"/>
    <w:rsid w:val="0143D653"/>
    <w:rsid w:val="0144972A"/>
    <w:rsid w:val="014D6E3D"/>
    <w:rsid w:val="014DAB3C"/>
    <w:rsid w:val="01503DD9"/>
    <w:rsid w:val="015B3AEF"/>
    <w:rsid w:val="0175EBCC"/>
    <w:rsid w:val="01763BCF"/>
    <w:rsid w:val="01778BC2"/>
    <w:rsid w:val="017A2B8F"/>
    <w:rsid w:val="017B0ED9"/>
    <w:rsid w:val="017B99E3"/>
    <w:rsid w:val="01821148"/>
    <w:rsid w:val="0189D63D"/>
    <w:rsid w:val="018D856A"/>
    <w:rsid w:val="018E309E"/>
    <w:rsid w:val="019B56BE"/>
    <w:rsid w:val="019E361D"/>
    <w:rsid w:val="01A9AA19"/>
    <w:rsid w:val="01ABA866"/>
    <w:rsid w:val="01B0BB75"/>
    <w:rsid w:val="01B0CE4B"/>
    <w:rsid w:val="01B305BE"/>
    <w:rsid w:val="01C0226E"/>
    <w:rsid w:val="01C324D8"/>
    <w:rsid w:val="01CFB244"/>
    <w:rsid w:val="01D5621E"/>
    <w:rsid w:val="01DBA039"/>
    <w:rsid w:val="0209DBAF"/>
    <w:rsid w:val="020F9C93"/>
    <w:rsid w:val="022E6418"/>
    <w:rsid w:val="0267B575"/>
    <w:rsid w:val="027F26D1"/>
    <w:rsid w:val="0284E2CA"/>
    <w:rsid w:val="0289B75C"/>
    <w:rsid w:val="028B7B0A"/>
    <w:rsid w:val="0290C257"/>
    <w:rsid w:val="0292EA29"/>
    <w:rsid w:val="02957C92"/>
    <w:rsid w:val="029E09B1"/>
    <w:rsid w:val="02B8A40D"/>
    <w:rsid w:val="02BA5098"/>
    <w:rsid w:val="02BA7DB8"/>
    <w:rsid w:val="02BD39A2"/>
    <w:rsid w:val="02BFD6EA"/>
    <w:rsid w:val="02D61474"/>
    <w:rsid w:val="02DD661C"/>
    <w:rsid w:val="02E30534"/>
    <w:rsid w:val="02E463D5"/>
    <w:rsid w:val="03009F97"/>
    <w:rsid w:val="0315E757"/>
    <w:rsid w:val="031650E2"/>
    <w:rsid w:val="03180C6B"/>
    <w:rsid w:val="031FD486"/>
    <w:rsid w:val="032D9F8C"/>
    <w:rsid w:val="033808FD"/>
    <w:rsid w:val="03488AA4"/>
    <w:rsid w:val="034EE2EC"/>
    <w:rsid w:val="034EF2D6"/>
    <w:rsid w:val="0356D18C"/>
    <w:rsid w:val="0362F8BD"/>
    <w:rsid w:val="036E571C"/>
    <w:rsid w:val="036F162B"/>
    <w:rsid w:val="03782855"/>
    <w:rsid w:val="037EC776"/>
    <w:rsid w:val="038B7CF6"/>
    <w:rsid w:val="039416B7"/>
    <w:rsid w:val="039B3BB3"/>
    <w:rsid w:val="03A8E3E4"/>
    <w:rsid w:val="03A9D3AE"/>
    <w:rsid w:val="03B41FD4"/>
    <w:rsid w:val="03C1990A"/>
    <w:rsid w:val="03C76A5E"/>
    <w:rsid w:val="03D7327E"/>
    <w:rsid w:val="03E2D4A6"/>
    <w:rsid w:val="03F0D7D6"/>
    <w:rsid w:val="03F4C1D6"/>
    <w:rsid w:val="03F9EBEE"/>
    <w:rsid w:val="0408D07D"/>
    <w:rsid w:val="040B98FD"/>
    <w:rsid w:val="04113017"/>
    <w:rsid w:val="041E2F9E"/>
    <w:rsid w:val="04248D1D"/>
    <w:rsid w:val="043A328F"/>
    <w:rsid w:val="044BDE95"/>
    <w:rsid w:val="0450C3C7"/>
    <w:rsid w:val="0458DA24"/>
    <w:rsid w:val="04599F60"/>
    <w:rsid w:val="0459D179"/>
    <w:rsid w:val="04653099"/>
    <w:rsid w:val="046E1FC4"/>
    <w:rsid w:val="047B18C1"/>
    <w:rsid w:val="0488A6D2"/>
    <w:rsid w:val="048E3703"/>
    <w:rsid w:val="04903073"/>
    <w:rsid w:val="04AA9F88"/>
    <w:rsid w:val="04C93C42"/>
    <w:rsid w:val="04D3F35F"/>
    <w:rsid w:val="04D6733D"/>
    <w:rsid w:val="04E3340C"/>
    <w:rsid w:val="04FD28DE"/>
    <w:rsid w:val="04FE8140"/>
    <w:rsid w:val="050B00F1"/>
    <w:rsid w:val="05101DDA"/>
    <w:rsid w:val="051268D2"/>
    <w:rsid w:val="0516CCEA"/>
    <w:rsid w:val="051D6B79"/>
    <w:rsid w:val="0524D129"/>
    <w:rsid w:val="0531E2E2"/>
    <w:rsid w:val="053CC556"/>
    <w:rsid w:val="054ACB6A"/>
    <w:rsid w:val="054B3AD2"/>
    <w:rsid w:val="054C2915"/>
    <w:rsid w:val="0557D800"/>
    <w:rsid w:val="05584ED8"/>
    <w:rsid w:val="05613DCD"/>
    <w:rsid w:val="05659871"/>
    <w:rsid w:val="057333E0"/>
    <w:rsid w:val="057EF5AA"/>
    <w:rsid w:val="05A7554B"/>
    <w:rsid w:val="05B444D0"/>
    <w:rsid w:val="05BFB59E"/>
    <w:rsid w:val="05C6377D"/>
    <w:rsid w:val="05CF1397"/>
    <w:rsid w:val="05DB4665"/>
    <w:rsid w:val="05E14147"/>
    <w:rsid w:val="05E9278C"/>
    <w:rsid w:val="05EA6509"/>
    <w:rsid w:val="060526E0"/>
    <w:rsid w:val="06088D8D"/>
    <w:rsid w:val="0617033C"/>
    <w:rsid w:val="061A5FCF"/>
    <w:rsid w:val="063DB7C3"/>
    <w:rsid w:val="064A4093"/>
    <w:rsid w:val="064F7A56"/>
    <w:rsid w:val="065BF34A"/>
    <w:rsid w:val="065D3F39"/>
    <w:rsid w:val="0664A44C"/>
    <w:rsid w:val="066FD38F"/>
    <w:rsid w:val="0677B569"/>
    <w:rsid w:val="0678EB4D"/>
    <w:rsid w:val="0679CE3C"/>
    <w:rsid w:val="067A6246"/>
    <w:rsid w:val="068C1EDB"/>
    <w:rsid w:val="069706FE"/>
    <w:rsid w:val="06A33912"/>
    <w:rsid w:val="06B48DEB"/>
    <w:rsid w:val="06B7019A"/>
    <w:rsid w:val="06BCEFA5"/>
    <w:rsid w:val="06C28A64"/>
    <w:rsid w:val="06C3B373"/>
    <w:rsid w:val="06D94777"/>
    <w:rsid w:val="06DC9CE2"/>
    <w:rsid w:val="06DFB1F3"/>
    <w:rsid w:val="06E04952"/>
    <w:rsid w:val="06F59F20"/>
    <w:rsid w:val="070142B0"/>
    <w:rsid w:val="0704231F"/>
    <w:rsid w:val="0706B696"/>
    <w:rsid w:val="0721480D"/>
    <w:rsid w:val="07218707"/>
    <w:rsid w:val="072DD9D0"/>
    <w:rsid w:val="07383018"/>
    <w:rsid w:val="07386962"/>
    <w:rsid w:val="07395BE1"/>
    <w:rsid w:val="073B6ECD"/>
    <w:rsid w:val="073C609E"/>
    <w:rsid w:val="073EEB3A"/>
    <w:rsid w:val="07431155"/>
    <w:rsid w:val="074FB527"/>
    <w:rsid w:val="075A61C3"/>
    <w:rsid w:val="07602AC8"/>
    <w:rsid w:val="07763070"/>
    <w:rsid w:val="077851F3"/>
    <w:rsid w:val="077E7E45"/>
    <w:rsid w:val="077EE900"/>
    <w:rsid w:val="0781BD55"/>
    <w:rsid w:val="0787F598"/>
    <w:rsid w:val="0793F17D"/>
    <w:rsid w:val="07A31F38"/>
    <w:rsid w:val="07A992B7"/>
    <w:rsid w:val="07AD2592"/>
    <w:rsid w:val="07B177D6"/>
    <w:rsid w:val="07BADF1E"/>
    <w:rsid w:val="07C3519A"/>
    <w:rsid w:val="07C9B402"/>
    <w:rsid w:val="07CA297E"/>
    <w:rsid w:val="07CA6B44"/>
    <w:rsid w:val="07D46E34"/>
    <w:rsid w:val="07D54154"/>
    <w:rsid w:val="07E0935E"/>
    <w:rsid w:val="07F31C0A"/>
    <w:rsid w:val="0805F086"/>
    <w:rsid w:val="081B458B"/>
    <w:rsid w:val="081F36DE"/>
    <w:rsid w:val="08279CFF"/>
    <w:rsid w:val="082C781C"/>
    <w:rsid w:val="083DBBF9"/>
    <w:rsid w:val="083E95BB"/>
    <w:rsid w:val="08408CD8"/>
    <w:rsid w:val="0847CA39"/>
    <w:rsid w:val="08489CE6"/>
    <w:rsid w:val="0848CFEB"/>
    <w:rsid w:val="08599C79"/>
    <w:rsid w:val="08756787"/>
    <w:rsid w:val="087AA3CB"/>
    <w:rsid w:val="087C1351"/>
    <w:rsid w:val="087FA8A2"/>
    <w:rsid w:val="088604D6"/>
    <w:rsid w:val="08874791"/>
    <w:rsid w:val="08977A15"/>
    <w:rsid w:val="08A1496B"/>
    <w:rsid w:val="08A19648"/>
    <w:rsid w:val="08AA418C"/>
    <w:rsid w:val="08D3573B"/>
    <w:rsid w:val="08EBE9EC"/>
    <w:rsid w:val="08FC4C2D"/>
    <w:rsid w:val="091BF71A"/>
    <w:rsid w:val="091E90BD"/>
    <w:rsid w:val="092711F2"/>
    <w:rsid w:val="092780C4"/>
    <w:rsid w:val="095044A6"/>
    <w:rsid w:val="09530C0F"/>
    <w:rsid w:val="09576136"/>
    <w:rsid w:val="095F20CF"/>
    <w:rsid w:val="09873A12"/>
    <w:rsid w:val="0987E45E"/>
    <w:rsid w:val="099898C8"/>
    <w:rsid w:val="099B6036"/>
    <w:rsid w:val="099E24E1"/>
    <w:rsid w:val="09AFEE86"/>
    <w:rsid w:val="09B7A2FE"/>
    <w:rsid w:val="09BD7CCD"/>
    <w:rsid w:val="09D72E3B"/>
    <w:rsid w:val="09E411F2"/>
    <w:rsid w:val="09E5C6F2"/>
    <w:rsid w:val="09E809C8"/>
    <w:rsid w:val="09F3E3D1"/>
    <w:rsid w:val="09FED952"/>
    <w:rsid w:val="0A00A679"/>
    <w:rsid w:val="0A0B07A6"/>
    <w:rsid w:val="0A2F129A"/>
    <w:rsid w:val="0A329A87"/>
    <w:rsid w:val="0A458542"/>
    <w:rsid w:val="0A4F9331"/>
    <w:rsid w:val="0A51A9CD"/>
    <w:rsid w:val="0A524C45"/>
    <w:rsid w:val="0A589A61"/>
    <w:rsid w:val="0A5C2A5D"/>
    <w:rsid w:val="0A61F50E"/>
    <w:rsid w:val="0A787AA8"/>
    <w:rsid w:val="0A7DD4CC"/>
    <w:rsid w:val="0A823AE7"/>
    <w:rsid w:val="0AC02187"/>
    <w:rsid w:val="0AC1F47C"/>
    <w:rsid w:val="0ACC4D72"/>
    <w:rsid w:val="0AD1CE8D"/>
    <w:rsid w:val="0AFFABA9"/>
    <w:rsid w:val="0B03F2F1"/>
    <w:rsid w:val="0B3353E9"/>
    <w:rsid w:val="0B38F0F1"/>
    <w:rsid w:val="0B4528A5"/>
    <w:rsid w:val="0B58ED31"/>
    <w:rsid w:val="0B74430F"/>
    <w:rsid w:val="0B8303C3"/>
    <w:rsid w:val="0B8331B2"/>
    <w:rsid w:val="0B84B5A4"/>
    <w:rsid w:val="0B8AD19F"/>
    <w:rsid w:val="0B92AA49"/>
    <w:rsid w:val="0B99C881"/>
    <w:rsid w:val="0BA28147"/>
    <w:rsid w:val="0BAC4009"/>
    <w:rsid w:val="0BB6A600"/>
    <w:rsid w:val="0BC16D82"/>
    <w:rsid w:val="0BCEF667"/>
    <w:rsid w:val="0BDB8980"/>
    <w:rsid w:val="0BDF67E8"/>
    <w:rsid w:val="0BE65DAC"/>
    <w:rsid w:val="0BFD5A4A"/>
    <w:rsid w:val="0BFE077B"/>
    <w:rsid w:val="0C017879"/>
    <w:rsid w:val="0C1581E0"/>
    <w:rsid w:val="0C164841"/>
    <w:rsid w:val="0C18B607"/>
    <w:rsid w:val="0C193F72"/>
    <w:rsid w:val="0C1D09C4"/>
    <w:rsid w:val="0C266EE4"/>
    <w:rsid w:val="0C2A5E0B"/>
    <w:rsid w:val="0C2D0E82"/>
    <w:rsid w:val="0C31B2BA"/>
    <w:rsid w:val="0C39AB2F"/>
    <w:rsid w:val="0C481631"/>
    <w:rsid w:val="0C4F46EE"/>
    <w:rsid w:val="0C58E94D"/>
    <w:rsid w:val="0C6E5077"/>
    <w:rsid w:val="0C75F379"/>
    <w:rsid w:val="0C83386E"/>
    <w:rsid w:val="0C85196C"/>
    <w:rsid w:val="0C860E99"/>
    <w:rsid w:val="0CB84210"/>
    <w:rsid w:val="0CC1C56C"/>
    <w:rsid w:val="0CC5ECFA"/>
    <w:rsid w:val="0CCDA65B"/>
    <w:rsid w:val="0CD0F2D6"/>
    <w:rsid w:val="0CD391F6"/>
    <w:rsid w:val="0CE61C40"/>
    <w:rsid w:val="0CEB0FDF"/>
    <w:rsid w:val="0D1C88A4"/>
    <w:rsid w:val="0D22E72D"/>
    <w:rsid w:val="0D2856C3"/>
    <w:rsid w:val="0D423394"/>
    <w:rsid w:val="0D47149F"/>
    <w:rsid w:val="0D4D8761"/>
    <w:rsid w:val="0D500B93"/>
    <w:rsid w:val="0D510014"/>
    <w:rsid w:val="0D54ED5E"/>
    <w:rsid w:val="0D62FC9F"/>
    <w:rsid w:val="0D72C112"/>
    <w:rsid w:val="0D8E1789"/>
    <w:rsid w:val="0D8F149E"/>
    <w:rsid w:val="0D91E79A"/>
    <w:rsid w:val="0D946BBA"/>
    <w:rsid w:val="0DA6C75F"/>
    <w:rsid w:val="0DA8064E"/>
    <w:rsid w:val="0DB43D12"/>
    <w:rsid w:val="0DB5EF7F"/>
    <w:rsid w:val="0DBA8579"/>
    <w:rsid w:val="0DD76BEE"/>
    <w:rsid w:val="0DD800FA"/>
    <w:rsid w:val="0DDC4266"/>
    <w:rsid w:val="0DE003B0"/>
    <w:rsid w:val="0DE8D579"/>
    <w:rsid w:val="0DEFC3E6"/>
    <w:rsid w:val="0E007417"/>
    <w:rsid w:val="0E0E7B38"/>
    <w:rsid w:val="0E0F96DD"/>
    <w:rsid w:val="0E242E1C"/>
    <w:rsid w:val="0E2AE6A3"/>
    <w:rsid w:val="0E2BE7B7"/>
    <w:rsid w:val="0E331DF1"/>
    <w:rsid w:val="0E54D345"/>
    <w:rsid w:val="0E62F11E"/>
    <w:rsid w:val="0E716D05"/>
    <w:rsid w:val="0E732302"/>
    <w:rsid w:val="0E799A87"/>
    <w:rsid w:val="0E8297FC"/>
    <w:rsid w:val="0E843671"/>
    <w:rsid w:val="0E8E9F26"/>
    <w:rsid w:val="0E8F9A1F"/>
    <w:rsid w:val="0EB0F664"/>
    <w:rsid w:val="0EC4B9FC"/>
    <w:rsid w:val="0EC67737"/>
    <w:rsid w:val="0ED239B1"/>
    <w:rsid w:val="0ED3D5F7"/>
    <w:rsid w:val="0EF1A5E8"/>
    <w:rsid w:val="0EF8C47D"/>
    <w:rsid w:val="0EFF1498"/>
    <w:rsid w:val="0F060738"/>
    <w:rsid w:val="0F09BFA6"/>
    <w:rsid w:val="0F1EB346"/>
    <w:rsid w:val="0F268804"/>
    <w:rsid w:val="0F311069"/>
    <w:rsid w:val="0F45A3D5"/>
    <w:rsid w:val="0F480904"/>
    <w:rsid w:val="0F6C41B7"/>
    <w:rsid w:val="0F6DCEB9"/>
    <w:rsid w:val="0F700021"/>
    <w:rsid w:val="0F71E1F5"/>
    <w:rsid w:val="0F79BC0D"/>
    <w:rsid w:val="0F7CBE57"/>
    <w:rsid w:val="0F7E6129"/>
    <w:rsid w:val="0F921005"/>
    <w:rsid w:val="0F983398"/>
    <w:rsid w:val="0FA7C31D"/>
    <w:rsid w:val="0FAE45B5"/>
    <w:rsid w:val="0FB78E9A"/>
    <w:rsid w:val="0FBAA678"/>
    <w:rsid w:val="0FBABB89"/>
    <w:rsid w:val="0FC5C876"/>
    <w:rsid w:val="0FC9F89D"/>
    <w:rsid w:val="0FCC15D6"/>
    <w:rsid w:val="0FF33EE4"/>
    <w:rsid w:val="1014CE07"/>
    <w:rsid w:val="1021916D"/>
    <w:rsid w:val="1024C509"/>
    <w:rsid w:val="10324596"/>
    <w:rsid w:val="103DA36B"/>
    <w:rsid w:val="103EA45B"/>
    <w:rsid w:val="1040160F"/>
    <w:rsid w:val="10426DB2"/>
    <w:rsid w:val="104A6991"/>
    <w:rsid w:val="104BCBA6"/>
    <w:rsid w:val="104D525B"/>
    <w:rsid w:val="10514058"/>
    <w:rsid w:val="1054A64D"/>
    <w:rsid w:val="1062437A"/>
    <w:rsid w:val="1069EF5B"/>
    <w:rsid w:val="106ADCA6"/>
    <w:rsid w:val="106B9947"/>
    <w:rsid w:val="1087D03B"/>
    <w:rsid w:val="108D7CFA"/>
    <w:rsid w:val="109B552A"/>
    <w:rsid w:val="109F767E"/>
    <w:rsid w:val="10A26EF0"/>
    <w:rsid w:val="10A7649E"/>
    <w:rsid w:val="10B19141"/>
    <w:rsid w:val="10BFE58D"/>
    <w:rsid w:val="10C1C6DE"/>
    <w:rsid w:val="10C62BDB"/>
    <w:rsid w:val="10D27647"/>
    <w:rsid w:val="10D9ABC1"/>
    <w:rsid w:val="10E96304"/>
    <w:rsid w:val="10F1C52B"/>
    <w:rsid w:val="10FA62F7"/>
    <w:rsid w:val="10FC4E51"/>
    <w:rsid w:val="10FF6FEC"/>
    <w:rsid w:val="1103E4EA"/>
    <w:rsid w:val="11045DB7"/>
    <w:rsid w:val="110F4041"/>
    <w:rsid w:val="11204F43"/>
    <w:rsid w:val="11303C3F"/>
    <w:rsid w:val="1130F2EE"/>
    <w:rsid w:val="113B2E92"/>
    <w:rsid w:val="1140C041"/>
    <w:rsid w:val="1153ACFF"/>
    <w:rsid w:val="115FC64F"/>
    <w:rsid w:val="116026FD"/>
    <w:rsid w:val="1160A5F1"/>
    <w:rsid w:val="116EDFFE"/>
    <w:rsid w:val="119343EE"/>
    <w:rsid w:val="11A7257F"/>
    <w:rsid w:val="11B32029"/>
    <w:rsid w:val="11C1C28E"/>
    <w:rsid w:val="11CA7EA7"/>
    <w:rsid w:val="11CBC99B"/>
    <w:rsid w:val="11D4FBCE"/>
    <w:rsid w:val="11D5865D"/>
    <w:rsid w:val="11E94DF2"/>
    <w:rsid w:val="11F92EB1"/>
    <w:rsid w:val="12015723"/>
    <w:rsid w:val="1202F971"/>
    <w:rsid w:val="1203D556"/>
    <w:rsid w:val="120FD677"/>
    <w:rsid w:val="12122960"/>
    <w:rsid w:val="1214BC99"/>
    <w:rsid w:val="1214E137"/>
    <w:rsid w:val="1218493A"/>
    <w:rsid w:val="121E03C1"/>
    <w:rsid w:val="12331E21"/>
    <w:rsid w:val="123B78A0"/>
    <w:rsid w:val="124A3DBA"/>
    <w:rsid w:val="1252D39C"/>
    <w:rsid w:val="125DC075"/>
    <w:rsid w:val="125E52EC"/>
    <w:rsid w:val="12641DF3"/>
    <w:rsid w:val="126E6715"/>
    <w:rsid w:val="1274A25F"/>
    <w:rsid w:val="127D0944"/>
    <w:rsid w:val="12940C78"/>
    <w:rsid w:val="12AB7D31"/>
    <w:rsid w:val="12ADC20C"/>
    <w:rsid w:val="12BA8C7D"/>
    <w:rsid w:val="12CD08BF"/>
    <w:rsid w:val="12DACEC6"/>
    <w:rsid w:val="12DBAAD4"/>
    <w:rsid w:val="12EE343D"/>
    <w:rsid w:val="12EED75E"/>
    <w:rsid w:val="12F1EB95"/>
    <w:rsid w:val="12F7F29F"/>
    <w:rsid w:val="1318241A"/>
    <w:rsid w:val="1319EC95"/>
    <w:rsid w:val="13217107"/>
    <w:rsid w:val="13289D01"/>
    <w:rsid w:val="13295A55"/>
    <w:rsid w:val="1340978E"/>
    <w:rsid w:val="13508B2E"/>
    <w:rsid w:val="1359539B"/>
    <w:rsid w:val="1378A09F"/>
    <w:rsid w:val="13812F90"/>
    <w:rsid w:val="138255D7"/>
    <w:rsid w:val="139EDC84"/>
    <w:rsid w:val="13A13FC9"/>
    <w:rsid w:val="13A3CA16"/>
    <w:rsid w:val="13A40F3C"/>
    <w:rsid w:val="13A8C121"/>
    <w:rsid w:val="13B84D45"/>
    <w:rsid w:val="13BE1B59"/>
    <w:rsid w:val="13C1DF61"/>
    <w:rsid w:val="13CD463E"/>
    <w:rsid w:val="13D306A9"/>
    <w:rsid w:val="13D704DF"/>
    <w:rsid w:val="13D793B8"/>
    <w:rsid w:val="13E30AA8"/>
    <w:rsid w:val="13EC60EF"/>
    <w:rsid w:val="13F442BC"/>
    <w:rsid w:val="141611FD"/>
    <w:rsid w:val="141C0F4E"/>
    <w:rsid w:val="14326659"/>
    <w:rsid w:val="14386DB5"/>
    <w:rsid w:val="14446516"/>
    <w:rsid w:val="1446FA6D"/>
    <w:rsid w:val="1457DADE"/>
    <w:rsid w:val="146A4639"/>
    <w:rsid w:val="1470E6C8"/>
    <w:rsid w:val="14714C26"/>
    <w:rsid w:val="1478FFB1"/>
    <w:rsid w:val="147FEA41"/>
    <w:rsid w:val="148E7B07"/>
    <w:rsid w:val="149BFB38"/>
    <w:rsid w:val="14A02CA0"/>
    <w:rsid w:val="14A49350"/>
    <w:rsid w:val="14C57225"/>
    <w:rsid w:val="14E65484"/>
    <w:rsid w:val="14EA7E90"/>
    <w:rsid w:val="14F8154E"/>
    <w:rsid w:val="14F835E1"/>
    <w:rsid w:val="15038703"/>
    <w:rsid w:val="150792C2"/>
    <w:rsid w:val="15088CE1"/>
    <w:rsid w:val="150E442D"/>
    <w:rsid w:val="15133DF3"/>
    <w:rsid w:val="151BA133"/>
    <w:rsid w:val="151CDF34"/>
    <w:rsid w:val="151FBDE5"/>
    <w:rsid w:val="152511B3"/>
    <w:rsid w:val="15322B63"/>
    <w:rsid w:val="15326BB0"/>
    <w:rsid w:val="1541C5AE"/>
    <w:rsid w:val="154C79A5"/>
    <w:rsid w:val="1553777D"/>
    <w:rsid w:val="1562EB8E"/>
    <w:rsid w:val="156E1E70"/>
    <w:rsid w:val="1578F96F"/>
    <w:rsid w:val="158AD42A"/>
    <w:rsid w:val="15953E4B"/>
    <w:rsid w:val="15987139"/>
    <w:rsid w:val="15AF0289"/>
    <w:rsid w:val="15BED5F6"/>
    <w:rsid w:val="15C39214"/>
    <w:rsid w:val="15ED5459"/>
    <w:rsid w:val="16020F53"/>
    <w:rsid w:val="160AA328"/>
    <w:rsid w:val="1613D5BD"/>
    <w:rsid w:val="161A976B"/>
    <w:rsid w:val="161BEBEE"/>
    <w:rsid w:val="1626EE38"/>
    <w:rsid w:val="16340377"/>
    <w:rsid w:val="164E97D5"/>
    <w:rsid w:val="165453FB"/>
    <w:rsid w:val="1666CC07"/>
    <w:rsid w:val="166B52AC"/>
    <w:rsid w:val="166C4963"/>
    <w:rsid w:val="167A914E"/>
    <w:rsid w:val="16905075"/>
    <w:rsid w:val="16DB0116"/>
    <w:rsid w:val="16DF095B"/>
    <w:rsid w:val="16EAC85D"/>
    <w:rsid w:val="1700F40E"/>
    <w:rsid w:val="170C8488"/>
    <w:rsid w:val="170FD7E4"/>
    <w:rsid w:val="1712D5A6"/>
    <w:rsid w:val="171423B2"/>
    <w:rsid w:val="17177245"/>
    <w:rsid w:val="1717AABC"/>
    <w:rsid w:val="171D6C6C"/>
    <w:rsid w:val="1733E62A"/>
    <w:rsid w:val="173A6228"/>
    <w:rsid w:val="1749CC60"/>
    <w:rsid w:val="174B25DA"/>
    <w:rsid w:val="17607E72"/>
    <w:rsid w:val="176147C9"/>
    <w:rsid w:val="1761AFFA"/>
    <w:rsid w:val="176B341F"/>
    <w:rsid w:val="176FDAF2"/>
    <w:rsid w:val="17706677"/>
    <w:rsid w:val="1778C690"/>
    <w:rsid w:val="177948DB"/>
    <w:rsid w:val="178D473D"/>
    <w:rsid w:val="17A5F40E"/>
    <w:rsid w:val="17B1D470"/>
    <w:rsid w:val="17B58C58"/>
    <w:rsid w:val="17BFC6FF"/>
    <w:rsid w:val="17CB5142"/>
    <w:rsid w:val="17CCF69B"/>
    <w:rsid w:val="17DC78F9"/>
    <w:rsid w:val="17E902F7"/>
    <w:rsid w:val="17FB63FD"/>
    <w:rsid w:val="17FFDD01"/>
    <w:rsid w:val="1803DD14"/>
    <w:rsid w:val="1805337E"/>
    <w:rsid w:val="1809052C"/>
    <w:rsid w:val="180B024C"/>
    <w:rsid w:val="182396AF"/>
    <w:rsid w:val="182A8AE1"/>
    <w:rsid w:val="183C930D"/>
    <w:rsid w:val="184B66D1"/>
    <w:rsid w:val="184D9CB4"/>
    <w:rsid w:val="1862EBB5"/>
    <w:rsid w:val="186D0237"/>
    <w:rsid w:val="18784E1A"/>
    <w:rsid w:val="187E0B6E"/>
    <w:rsid w:val="1882736B"/>
    <w:rsid w:val="1888192D"/>
    <w:rsid w:val="188B4FEB"/>
    <w:rsid w:val="1896030B"/>
    <w:rsid w:val="18C9830A"/>
    <w:rsid w:val="18CD4E98"/>
    <w:rsid w:val="18D17713"/>
    <w:rsid w:val="18DCC280"/>
    <w:rsid w:val="18E22A6C"/>
    <w:rsid w:val="18E2590E"/>
    <w:rsid w:val="18E2FED7"/>
    <w:rsid w:val="18EA78EC"/>
    <w:rsid w:val="18F78455"/>
    <w:rsid w:val="19002964"/>
    <w:rsid w:val="19054214"/>
    <w:rsid w:val="190CAE29"/>
    <w:rsid w:val="191DBEFE"/>
    <w:rsid w:val="191F1A88"/>
    <w:rsid w:val="19202252"/>
    <w:rsid w:val="19258A93"/>
    <w:rsid w:val="19266A5E"/>
    <w:rsid w:val="192E4BB3"/>
    <w:rsid w:val="193213F6"/>
    <w:rsid w:val="1944EA23"/>
    <w:rsid w:val="195920CA"/>
    <w:rsid w:val="195B22E9"/>
    <w:rsid w:val="195FF2BF"/>
    <w:rsid w:val="19922A65"/>
    <w:rsid w:val="199F8303"/>
    <w:rsid w:val="19AE00F9"/>
    <w:rsid w:val="19AE3527"/>
    <w:rsid w:val="19B96991"/>
    <w:rsid w:val="19B9A875"/>
    <w:rsid w:val="19C5123D"/>
    <w:rsid w:val="19C77D4D"/>
    <w:rsid w:val="19C7A67C"/>
    <w:rsid w:val="19CC715E"/>
    <w:rsid w:val="19CF0A38"/>
    <w:rsid w:val="19D14541"/>
    <w:rsid w:val="19D43859"/>
    <w:rsid w:val="1A0E6BAB"/>
    <w:rsid w:val="1A111B5F"/>
    <w:rsid w:val="1A170439"/>
    <w:rsid w:val="1A26A3D6"/>
    <w:rsid w:val="1A441420"/>
    <w:rsid w:val="1A4937DD"/>
    <w:rsid w:val="1A4BB232"/>
    <w:rsid w:val="1A63BA3D"/>
    <w:rsid w:val="1A6AAACA"/>
    <w:rsid w:val="1A71249E"/>
    <w:rsid w:val="1A7D9283"/>
    <w:rsid w:val="1A85D0FF"/>
    <w:rsid w:val="1A86E75D"/>
    <w:rsid w:val="1A9B6C24"/>
    <w:rsid w:val="1AA29265"/>
    <w:rsid w:val="1AAB26F8"/>
    <w:rsid w:val="1AB1BB0F"/>
    <w:rsid w:val="1ACC7E2E"/>
    <w:rsid w:val="1AE18763"/>
    <w:rsid w:val="1AE56937"/>
    <w:rsid w:val="1AE8EEF9"/>
    <w:rsid w:val="1AEFF65A"/>
    <w:rsid w:val="1AF4D270"/>
    <w:rsid w:val="1AFB3F62"/>
    <w:rsid w:val="1B080A2C"/>
    <w:rsid w:val="1B2624C1"/>
    <w:rsid w:val="1B268469"/>
    <w:rsid w:val="1B3AD80F"/>
    <w:rsid w:val="1B413A8D"/>
    <w:rsid w:val="1B498A49"/>
    <w:rsid w:val="1B4BF51B"/>
    <w:rsid w:val="1B4F89C2"/>
    <w:rsid w:val="1B54A4C0"/>
    <w:rsid w:val="1B5925E2"/>
    <w:rsid w:val="1B5D17F4"/>
    <w:rsid w:val="1B612E04"/>
    <w:rsid w:val="1B7A2426"/>
    <w:rsid w:val="1B83D5B3"/>
    <w:rsid w:val="1B90F6CA"/>
    <w:rsid w:val="1B9565AB"/>
    <w:rsid w:val="1B996A71"/>
    <w:rsid w:val="1BA4EE67"/>
    <w:rsid w:val="1BB1D0FB"/>
    <w:rsid w:val="1BB374BA"/>
    <w:rsid w:val="1BC8B55C"/>
    <w:rsid w:val="1BCD415A"/>
    <w:rsid w:val="1BCFB42D"/>
    <w:rsid w:val="1BD743A1"/>
    <w:rsid w:val="1BD8A25F"/>
    <w:rsid w:val="1BEB9B13"/>
    <w:rsid w:val="1BEF6487"/>
    <w:rsid w:val="1BF68E31"/>
    <w:rsid w:val="1BFDBABE"/>
    <w:rsid w:val="1C011548"/>
    <w:rsid w:val="1C0E7D7C"/>
    <w:rsid w:val="1C12F4F6"/>
    <w:rsid w:val="1C141117"/>
    <w:rsid w:val="1C15CC5D"/>
    <w:rsid w:val="1C185A39"/>
    <w:rsid w:val="1C1A8B19"/>
    <w:rsid w:val="1C1CBF23"/>
    <w:rsid w:val="1C1F9BAE"/>
    <w:rsid w:val="1C300D8A"/>
    <w:rsid w:val="1C3E89FE"/>
    <w:rsid w:val="1C5FEDA7"/>
    <w:rsid w:val="1C76A97B"/>
    <w:rsid w:val="1C79627E"/>
    <w:rsid w:val="1C7A8BAA"/>
    <w:rsid w:val="1C809768"/>
    <w:rsid w:val="1C86F454"/>
    <w:rsid w:val="1C8FE49E"/>
    <w:rsid w:val="1C9392DC"/>
    <w:rsid w:val="1CA9982D"/>
    <w:rsid w:val="1CAB63D5"/>
    <w:rsid w:val="1CB1BB3C"/>
    <w:rsid w:val="1CDD76F4"/>
    <w:rsid w:val="1CE0A1A5"/>
    <w:rsid w:val="1D0ECAAD"/>
    <w:rsid w:val="1D4636CB"/>
    <w:rsid w:val="1D55C87F"/>
    <w:rsid w:val="1D62496F"/>
    <w:rsid w:val="1D735BB4"/>
    <w:rsid w:val="1D9707E5"/>
    <w:rsid w:val="1D99E16D"/>
    <w:rsid w:val="1DA342A4"/>
    <w:rsid w:val="1DB5430A"/>
    <w:rsid w:val="1DBCA7F5"/>
    <w:rsid w:val="1DC481EE"/>
    <w:rsid w:val="1DCCEA31"/>
    <w:rsid w:val="1DD05A44"/>
    <w:rsid w:val="1DDB008E"/>
    <w:rsid w:val="1DDD4611"/>
    <w:rsid w:val="1DE17C79"/>
    <w:rsid w:val="1DE2CBD7"/>
    <w:rsid w:val="1DEB6076"/>
    <w:rsid w:val="1DEFD168"/>
    <w:rsid w:val="1DF2F917"/>
    <w:rsid w:val="1DF3C6E5"/>
    <w:rsid w:val="1DF59325"/>
    <w:rsid w:val="1E0652D2"/>
    <w:rsid w:val="1E0C3AFE"/>
    <w:rsid w:val="1E0E0610"/>
    <w:rsid w:val="1E0F08AE"/>
    <w:rsid w:val="1E1C4FA0"/>
    <w:rsid w:val="1E3687E8"/>
    <w:rsid w:val="1E41A380"/>
    <w:rsid w:val="1E48A27D"/>
    <w:rsid w:val="1E4D72AE"/>
    <w:rsid w:val="1E54D79E"/>
    <w:rsid w:val="1E6130FC"/>
    <w:rsid w:val="1E74AF75"/>
    <w:rsid w:val="1E87FFA2"/>
    <w:rsid w:val="1EB0AFD8"/>
    <w:rsid w:val="1EB0D620"/>
    <w:rsid w:val="1EB59B96"/>
    <w:rsid w:val="1ECB1DA7"/>
    <w:rsid w:val="1ED63393"/>
    <w:rsid w:val="1F017595"/>
    <w:rsid w:val="1F068AA0"/>
    <w:rsid w:val="1F0CA421"/>
    <w:rsid w:val="1F116479"/>
    <w:rsid w:val="1F202AD3"/>
    <w:rsid w:val="1F22B742"/>
    <w:rsid w:val="1F2938E8"/>
    <w:rsid w:val="1F29D90B"/>
    <w:rsid w:val="1F2E8AC5"/>
    <w:rsid w:val="1F365B93"/>
    <w:rsid w:val="1F385912"/>
    <w:rsid w:val="1F4042B2"/>
    <w:rsid w:val="1F5261A3"/>
    <w:rsid w:val="1F6E9007"/>
    <w:rsid w:val="1F7B6EB2"/>
    <w:rsid w:val="1F802AF8"/>
    <w:rsid w:val="1F88E348"/>
    <w:rsid w:val="1F957FBD"/>
    <w:rsid w:val="1F9BD374"/>
    <w:rsid w:val="1FA77A5C"/>
    <w:rsid w:val="1FB28B73"/>
    <w:rsid w:val="1FB759C6"/>
    <w:rsid w:val="1FC2FF90"/>
    <w:rsid w:val="1FD1A07E"/>
    <w:rsid w:val="1FE027B7"/>
    <w:rsid w:val="1FE2F2F4"/>
    <w:rsid w:val="1FFB4B3C"/>
    <w:rsid w:val="20003552"/>
    <w:rsid w:val="2004E2B9"/>
    <w:rsid w:val="20095D31"/>
    <w:rsid w:val="2010045A"/>
    <w:rsid w:val="20295D5D"/>
    <w:rsid w:val="2037FC54"/>
    <w:rsid w:val="2039634E"/>
    <w:rsid w:val="203F873B"/>
    <w:rsid w:val="20483863"/>
    <w:rsid w:val="2054F244"/>
    <w:rsid w:val="20581E35"/>
    <w:rsid w:val="205D0ED6"/>
    <w:rsid w:val="205D91F0"/>
    <w:rsid w:val="2063DDDC"/>
    <w:rsid w:val="20745A7C"/>
    <w:rsid w:val="207B5611"/>
    <w:rsid w:val="20815215"/>
    <w:rsid w:val="209237F3"/>
    <w:rsid w:val="20A4E494"/>
    <w:rsid w:val="20A712DC"/>
    <w:rsid w:val="20D4BD57"/>
    <w:rsid w:val="20F9AA61"/>
    <w:rsid w:val="2116D398"/>
    <w:rsid w:val="2117D2E0"/>
    <w:rsid w:val="212EEDFC"/>
    <w:rsid w:val="2136ED97"/>
    <w:rsid w:val="215DF271"/>
    <w:rsid w:val="215E28C0"/>
    <w:rsid w:val="2168E24D"/>
    <w:rsid w:val="216B9AB5"/>
    <w:rsid w:val="2173A38A"/>
    <w:rsid w:val="2173AA1E"/>
    <w:rsid w:val="217D62D6"/>
    <w:rsid w:val="21849C6E"/>
    <w:rsid w:val="2188B250"/>
    <w:rsid w:val="21A147D8"/>
    <w:rsid w:val="21B77D31"/>
    <w:rsid w:val="21B97416"/>
    <w:rsid w:val="21BBDCF2"/>
    <w:rsid w:val="21DA5DE1"/>
    <w:rsid w:val="21DFE6BB"/>
    <w:rsid w:val="21E14C9E"/>
    <w:rsid w:val="21F0DDAE"/>
    <w:rsid w:val="220D129C"/>
    <w:rsid w:val="22102BFE"/>
    <w:rsid w:val="2218F269"/>
    <w:rsid w:val="22496AD2"/>
    <w:rsid w:val="225E5826"/>
    <w:rsid w:val="2265CA66"/>
    <w:rsid w:val="226F164B"/>
    <w:rsid w:val="22717716"/>
    <w:rsid w:val="22722E25"/>
    <w:rsid w:val="2278CB58"/>
    <w:rsid w:val="227B93F0"/>
    <w:rsid w:val="22862DEF"/>
    <w:rsid w:val="229B564F"/>
    <w:rsid w:val="229CDE49"/>
    <w:rsid w:val="22BCFBE5"/>
    <w:rsid w:val="22CB0D9A"/>
    <w:rsid w:val="22DBE889"/>
    <w:rsid w:val="22DE849E"/>
    <w:rsid w:val="22E35D45"/>
    <w:rsid w:val="22E56230"/>
    <w:rsid w:val="22EBD231"/>
    <w:rsid w:val="22FAD6EE"/>
    <w:rsid w:val="230724BB"/>
    <w:rsid w:val="23088161"/>
    <w:rsid w:val="231DA0D6"/>
    <w:rsid w:val="231E36BA"/>
    <w:rsid w:val="232637E5"/>
    <w:rsid w:val="2329AD40"/>
    <w:rsid w:val="2336AD37"/>
    <w:rsid w:val="2343CB0F"/>
    <w:rsid w:val="2350F90A"/>
    <w:rsid w:val="2360E353"/>
    <w:rsid w:val="2364767E"/>
    <w:rsid w:val="2379AE0A"/>
    <w:rsid w:val="23852E1C"/>
    <w:rsid w:val="239C0156"/>
    <w:rsid w:val="23A39DB0"/>
    <w:rsid w:val="23A7952B"/>
    <w:rsid w:val="23BA7BD6"/>
    <w:rsid w:val="23C9BCBA"/>
    <w:rsid w:val="23CC06B1"/>
    <w:rsid w:val="23CD848A"/>
    <w:rsid w:val="23D9E17B"/>
    <w:rsid w:val="23F32B95"/>
    <w:rsid w:val="23F69F0E"/>
    <w:rsid w:val="2403055B"/>
    <w:rsid w:val="2406633A"/>
    <w:rsid w:val="2411167F"/>
    <w:rsid w:val="2429F449"/>
    <w:rsid w:val="242BEDEA"/>
    <w:rsid w:val="2442B8B2"/>
    <w:rsid w:val="2466CC7D"/>
    <w:rsid w:val="2469A5E0"/>
    <w:rsid w:val="248087B5"/>
    <w:rsid w:val="2480B0FC"/>
    <w:rsid w:val="2481BEF7"/>
    <w:rsid w:val="2498D1EF"/>
    <w:rsid w:val="24A0D2FC"/>
    <w:rsid w:val="24A80226"/>
    <w:rsid w:val="24B87C82"/>
    <w:rsid w:val="24BCB5F9"/>
    <w:rsid w:val="24BF406E"/>
    <w:rsid w:val="24CB174E"/>
    <w:rsid w:val="24DB5D15"/>
    <w:rsid w:val="24DD752D"/>
    <w:rsid w:val="24E0FFBB"/>
    <w:rsid w:val="24E2B1B8"/>
    <w:rsid w:val="24EB6DA7"/>
    <w:rsid w:val="24EC2852"/>
    <w:rsid w:val="24ECED3F"/>
    <w:rsid w:val="24F1E906"/>
    <w:rsid w:val="24F3B01F"/>
    <w:rsid w:val="24FBDE32"/>
    <w:rsid w:val="24FC2F28"/>
    <w:rsid w:val="24FC795F"/>
    <w:rsid w:val="25188A8D"/>
    <w:rsid w:val="251C2FCB"/>
    <w:rsid w:val="25266AED"/>
    <w:rsid w:val="253884A6"/>
    <w:rsid w:val="2539452A"/>
    <w:rsid w:val="253B6766"/>
    <w:rsid w:val="2554CC27"/>
    <w:rsid w:val="25597A25"/>
    <w:rsid w:val="255B96C5"/>
    <w:rsid w:val="255CC602"/>
    <w:rsid w:val="256641B1"/>
    <w:rsid w:val="2572D7A3"/>
    <w:rsid w:val="25803030"/>
    <w:rsid w:val="259DF177"/>
    <w:rsid w:val="25ABD8AD"/>
    <w:rsid w:val="25AFB9C8"/>
    <w:rsid w:val="25B517F3"/>
    <w:rsid w:val="25D15A47"/>
    <w:rsid w:val="25DCC138"/>
    <w:rsid w:val="25DE53F4"/>
    <w:rsid w:val="25DF8330"/>
    <w:rsid w:val="25E11788"/>
    <w:rsid w:val="25EE095F"/>
    <w:rsid w:val="25EE3160"/>
    <w:rsid w:val="25FBFE07"/>
    <w:rsid w:val="25FC4F44"/>
    <w:rsid w:val="26021D85"/>
    <w:rsid w:val="26088510"/>
    <w:rsid w:val="260ACB84"/>
    <w:rsid w:val="2615C701"/>
    <w:rsid w:val="261D9AA5"/>
    <w:rsid w:val="263DFB34"/>
    <w:rsid w:val="26486AFB"/>
    <w:rsid w:val="264898AE"/>
    <w:rsid w:val="26626142"/>
    <w:rsid w:val="26849901"/>
    <w:rsid w:val="269CFF81"/>
    <w:rsid w:val="269DF9F2"/>
    <w:rsid w:val="26A805A8"/>
    <w:rsid w:val="26AFA4D6"/>
    <w:rsid w:val="26B59063"/>
    <w:rsid w:val="26CD3DB1"/>
    <w:rsid w:val="26D11405"/>
    <w:rsid w:val="26D2E79B"/>
    <w:rsid w:val="26DE7923"/>
    <w:rsid w:val="26F2244C"/>
    <w:rsid w:val="26FB3B6B"/>
    <w:rsid w:val="2708E3F2"/>
    <w:rsid w:val="27102EC6"/>
    <w:rsid w:val="272FE262"/>
    <w:rsid w:val="27359FE0"/>
    <w:rsid w:val="273920B7"/>
    <w:rsid w:val="273DDCA3"/>
    <w:rsid w:val="2749EA3F"/>
    <w:rsid w:val="274C1326"/>
    <w:rsid w:val="27540E54"/>
    <w:rsid w:val="275E667B"/>
    <w:rsid w:val="2761B465"/>
    <w:rsid w:val="277E9BE6"/>
    <w:rsid w:val="277F6B30"/>
    <w:rsid w:val="279180C2"/>
    <w:rsid w:val="27A01D3A"/>
    <w:rsid w:val="27A072FC"/>
    <w:rsid w:val="27A1AD08"/>
    <w:rsid w:val="27B7A141"/>
    <w:rsid w:val="27BB67E6"/>
    <w:rsid w:val="27D5A42B"/>
    <w:rsid w:val="27D72748"/>
    <w:rsid w:val="27E03063"/>
    <w:rsid w:val="27F3991E"/>
    <w:rsid w:val="27F6622E"/>
    <w:rsid w:val="27F7581F"/>
    <w:rsid w:val="27F81245"/>
    <w:rsid w:val="27F8A6B9"/>
    <w:rsid w:val="27F8E422"/>
    <w:rsid w:val="27FEF63E"/>
    <w:rsid w:val="280825F1"/>
    <w:rsid w:val="280CFFFB"/>
    <w:rsid w:val="280D8E18"/>
    <w:rsid w:val="28101E6C"/>
    <w:rsid w:val="281208E7"/>
    <w:rsid w:val="2823A582"/>
    <w:rsid w:val="2827EF6F"/>
    <w:rsid w:val="282B0CA3"/>
    <w:rsid w:val="284133D2"/>
    <w:rsid w:val="285FCCA9"/>
    <w:rsid w:val="2863F4DA"/>
    <w:rsid w:val="2867BACA"/>
    <w:rsid w:val="286C51C3"/>
    <w:rsid w:val="286F6AE6"/>
    <w:rsid w:val="2879E08D"/>
    <w:rsid w:val="28806AA7"/>
    <w:rsid w:val="28810056"/>
    <w:rsid w:val="2883694F"/>
    <w:rsid w:val="2885406D"/>
    <w:rsid w:val="2886E59D"/>
    <w:rsid w:val="289F95DD"/>
    <w:rsid w:val="28A3DFC1"/>
    <w:rsid w:val="28A59789"/>
    <w:rsid w:val="28B30338"/>
    <w:rsid w:val="28BD81EA"/>
    <w:rsid w:val="28C0396B"/>
    <w:rsid w:val="28C7FA91"/>
    <w:rsid w:val="28D79922"/>
    <w:rsid w:val="28DD36EF"/>
    <w:rsid w:val="28E52C1D"/>
    <w:rsid w:val="28EFC666"/>
    <w:rsid w:val="28F189C4"/>
    <w:rsid w:val="293F14F3"/>
    <w:rsid w:val="294200D0"/>
    <w:rsid w:val="29501128"/>
    <w:rsid w:val="2952FF0A"/>
    <w:rsid w:val="2963E6C4"/>
    <w:rsid w:val="296FB1CC"/>
    <w:rsid w:val="29717247"/>
    <w:rsid w:val="29746820"/>
    <w:rsid w:val="297CF621"/>
    <w:rsid w:val="298335C8"/>
    <w:rsid w:val="2983C9EE"/>
    <w:rsid w:val="29896EA9"/>
    <w:rsid w:val="298A04F0"/>
    <w:rsid w:val="298B4518"/>
    <w:rsid w:val="298E71E0"/>
    <w:rsid w:val="29CCCCC5"/>
    <w:rsid w:val="29D546F6"/>
    <w:rsid w:val="29D912EA"/>
    <w:rsid w:val="29D9DD61"/>
    <w:rsid w:val="29DEDEAB"/>
    <w:rsid w:val="29F7A377"/>
    <w:rsid w:val="2A0CD84C"/>
    <w:rsid w:val="2A0D24DF"/>
    <w:rsid w:val="2A0FBED9"/>
    <w:rsid w:val="2A19A49D"/>
    <w:rsid w:val="2A19E2BA"/>
    <w:rsid w:val="2A2EA9CA"/>
    <w:rsid w:val="2A59AA57"/>
    <w:rsid w:val="2A66EE88"/>
    <w:rsid w:val="2A739EFF"/>
    <w:rsid w:val="2A763282"/>
    <w:rsid w:val="2A793AF2"/>
    <w:rsid w:val="2A7A4BB7"/>
    <w:rsid w:val="2A962619"/>
    <w:rsid w:val="2AA8E67D"/>
    <w:rsid w:val="2AAB09C3"/>
    <w:rsid w:val="2ABA883A"/>
    <w:rsid w:val="2AD3F045"/>
    <w:rsid w:val="2AD8D771"/>
    <w:rsid w:val="2ADF48A8"/>
    <w:rsid w:val="2AE5A802"/>
    <w:rsid w:val="2AE96845"/>
    <w:rsid w:val="2AF1CB20"/>
    <w:rsid w:val="2AF43151"/>
    <w:rsid w:val="2AF689C4"/>
    <w:rsid w:val="2AFD5689"/>
    <w:rsid w:val="2AFDE6EA"/>
    <w:rsid w:val="2B02D696"/>
    <w:rsid w:val="2B044C50"/>
    <w:rsid w:val="2B0E8627"/>
    <w:rsid w:val="2B27E967"/>
    <w:rsid w:val="2B2C6746"/>
    <w:rsid w:val="2B3A87A3"/>
    <w:rsid w:val="2B4378E8"/>
    <w:rsid w:val="2B447451"/>
    <w:rsid w:val="2B454260"/>
    <w:rsid w:val="2B4D64CD"/>
    <w:rsid w:val="2B4D6D29"/>
    <w:rsid w:val="2B4D6F4C"/>
    <w:rsid w:val="2B4DCD15"/>
    <w:rsid w:val="2B50DFFF"/>
    <w:rsid w:val="2B529D15"/>
    <w:rsid w:val="2B55AA18"/>
    <w:rsid w:val="2B577CE5"/>
    <w:rsid w:val="2B59D3BB"/>
    <w:rsid w:val="2B5EE64B"/>
    <w:rsid w:val="2B652A44"/>
    <w:rsid w:val="2B65FAEC"/>
    <w:rsid w:val="2B6633CB"/>
    <w:rsid w:val="2B6BCE92"/>
    <w:rsid w:val="2B7662EE"/>
    <w:rsid w:val="2B830CA4"/>
    <w:rsid w:val="2B86BDE7"/>
    <w:rsid w:val="2BA247E3"/>
    <w:rsid w:val="2BA3D1E1"/>
    <w:rsid w:val="2BB8B2EE"/>
    <w:rsid w:val="2BBB57B4"/>
    <w:rsid w:val="2BC29A58"/>
    <w:rsid w:val="2BC850F9"/>
    <w:rsid w:val="2BE56524"/>
    <w:rsid w:val="2BF2B85A"/>
    <w:rsid w:val="2C11E441"/>
    <w:rsid w:val="2C17C53E"/>
    <w:rsid w:val="2C1AE020"/>
    <w:rsid w:val="2C1F0E6D"/>
    <w:rsid w:val="2C2C0135"/>
    <w:rsid w:val="2C3A5526"/>
    <w:rsid w:val="2C52836E"/>
    <w:rsid w:val="2C5CB776"/>
    <w:rsid w:val="2C7B4FE1"/>
    <w:rsid w:val="2C850538"/>
    <w:rsid w:val="2C8C9A42"/>
    <w:rsid w:val="2C8E61EA"/>
    <w:rsid w:val="2C8FE8D4"/>
    <w:rsid w:val="2C96F835"/>
    <w:rsid w:val="2CDF49F8"/>
    <w:rsid w:val="2CE0D000"/>
    <w:rsid w:val="2CECAB65"/>
    <w:rsid w:val="2CEE7BF6"/>
    <w:rsid w:val="2D0B373E"/>
    <w:rsid w:val="2D0C2C52"/>
    <w:rsid w:val="2D139B84"/>
    <w:rsid w:val="2D23957F"/>
    <w:rsid w:val="2D2D0606"/>
    <w:rsid w:val="2D44E115"/>
    <w:rsid w:val="2D47D16E"/>
    <w:rsid w:val="2D6A84A8"/>
    <w:rsid w:val="2D6FB7CB"/>
    <w:rsid w:val="2D6FC6AF"/>
    <w:rsid w:val="2D808AA7"/>
    <w:rsid w:val="2D85101F"/>
    <w:rsid w:val="2D8671A2"/>
    <w:rsid w:val="2D873F4D"/>
    <w:rsid w:val="2D8B6A56"/>
    <w:rsid w:val="2D8E8F69"/>
    <w:rsid w:val="2D962DF6"/>
    <w:rsid w:val="2D9A394B"/>
    <w:rsid w:val="2D9E8F5B"/>
    <w:rsid w:val="2DA5023B"/>
    <w:rsid w:val="2DA6B0B3"/>
    <w:rsid w:val="2DB4D26A"/>
    <w:rsid w:val="2DB538B3"/>
    <w:rsid w:val="2DC74CAF"/>
    <w:rsid w:val="2DE251DE"/>
    <w:rsid w:val="2DFB536F"/>
    <w:rsid w:val="2DFF7AC5"/>
    <w:rsid w:val="2E013860"/>
    <w:rsid w:val="2E045D44"/>
    <w:rsid w:val="2E0F3A4B"/>
    <w:rsid w:val="2E1A13BF"/>
    <w:rsid w:val="2E21AD2F"/>
    <w:rsid w:val="2E3AE4FE"/>
    <w:rsid w:val="2E41C2FA"/>
    <w:rsid w:val="2E4A1D26"/>
    <w:rsid w:val="2E52D5F6"/>
    <w:rsid w:val="2E534FA6"/>
    <w:rsid w:val="2E5EF8BC"/>
    <w:rsid w:val="2E6C050F"/>
    <w:rsid w:val="2E721C60"/>
    <w:rsid w:val="2E8844EA"/>
    <w:rsid w:val="2EA8452A"/>
    <w:rsid w:val="2ECEF2C0"/>
    <w:rsid w:val="2ECEFCB1"/>
    <w:rsid w:val="2EDC4FBE"/>
    <w:rsid w:val="2EFCEF85"/>
    <w:rsid w:val="2F0BA5AC"/>
    <w:rsid w:val="2F0C7667"/>
    <w:rsid w:val="2F13998D"/>
    <w:rsid w:val="2F20ADA3"/>
    <w:rsid w:val="2F23AF9A"/>
    <w:rsid w:val="2F28764E"/>
    <w:rsid w:val="2F2BB7DE"/>
    <w:rsid w:val="2F426051"/>
    <w:rsid w:val="2F4593D8"/>
    <w:rsid w:val="2F57D5E5"/>
    <w:rsid w:val="2F5EBF5D"/>
    <w:rsid w:val="2F6D1839"/>
    <w:rsid w:val="2F79734D"/>
    <w:rsid w:val="2F7AFE3B"/>
    <w:rsid w:val="2F814C8F"/>
    <w:rsid w:val="2F89B141"/>
    <w:rsid w:val="2F8D82ED"/>
    <w:rsid w:val="2F95DC73"/>
    <w:rsid w:val="2F9750B0"/>
    <w:rsid w:val="2FA7D7C3"/>
    <w:rsid w:val="2FACB9A3"/>
    <w:rsid w:val="2FAE64FE"/>
    <w:rsid w:val="2FC82BD8"/>
    <w:rsid w:val="2FC8B2D3"/>
    <w:rsid w:val="2FCE48EF"/>
    <w:rsid w:val="2FDA1878"/>
    <w:rsid w:val="2FDD8E45"/>
    <w:rsid w:val="2FF02B11"/>
    <w:rsid w:val="2FF0D81F"/>
    <w:rsid w:val="300E0726"/>
    <w:rsid w:val="3010D28B"/>
    <w:rsid w:val="30154F9F"/>
    <w:rsid w:val="30221DFC"/>
    <w:rsid w:val="30286A25"/>
    <w:rsid w:val="30345CF8"/>
    <w:rsid w:val="303EC5AC"/>
    <w:rsid w:val="304642C9"/>
    <w:rsid w:val="304EE771"/>
    <w:rsid w:val="3059851E"/>
    <w:rsid w:val="3066C356"/>
    <w:rsid w:val="30754E1A"/>
    <w:rsid w:val="30761CE6"/>
    <w:rsid w:val="3077DF40"/>
    <w:rsid w:val="308B646F"/>
    <w:rsid w:val="309E2E98"/>
    <w:rsid w:val="30A0E145"/>
    <w:rsid w:val="30AA438D"/>
    <w:rsid w:val="30CB8E95"/>
    <w:rsid w:val="30CEC391"/>
    <w:rsid w:val="30D1203F"/>
    <w:rsid w:val="30D7DB23"/>
    <w:rsid w:val="30DD426A"/>
    <w:rsid w:val="30DF1799"/>
    <w:rsid w:val="30E3D779"/>
    <w:rsid w:val="30E8FDE5"/>
    <w:rsid w:val="30EF9F42"/>
    <w:rsid w:val="30EFA50E"/>
    <w:rsid w:val="30F46104"/>
    <w:rsid w:val="31076EA8"/>
    <w:rsid w:val="310927F7"/>
    <w:rsid w:val="31141AA4"/>
    <w:rsid w:val="3114BACD"/>
    <w:rsid w:val="3117B32F"/>
    <w:rsid w:val="311A25CF"/>
    <w:rsid w:val="312849AB"/>
    <w:rsid w:val="312F8651"/>
    <w:rsid w:val="313A938F"/>
    <w:rsid w:val="314E34E4"/>
    <w:rsid w:val="315071F2"/>
    <w:rsid w:val="31520E4F"/>
    <w:rsid w:val="3153B0E9"/>
    <w:rsid w:val="3153B665"/>
    <w:rsid w:val="3160DB5F"/>
    <w:rsid w:val="316F629E"/>
    <w:rsid w:val="316F7AA7"/>
    <w:rsid w:val="31770353"/>
    <w:rsid w:val="3179261E"/>
    <w:rsid w:val="317E7109"/>
    <w:rsid w:val="31819940"/>
    <w:rsid w:val="3187DB23"/>
    <w:rsid w:val="318A0BD7"/>
    <w:rsid w:val="31AE8F9D"/>
    <w:rsid w:val="31AEB30F"/>
    <w:rsid w:val="31BB8E1D"/>
    <w:rsid w:val="31C84013"/>
    <w:rsid w:val="31EC685B"/>
    <w:rsid w:val="31EFDC74"/>
    <w:rsid w:val="31F70C2E"/>
    <w:rsid w:val="32027493"/>
    <w:rsid w:val="3210692A"/>
    <w:rsid w:val="32169839"/>
    <w:rsid w:val="3245483D"/>
    <w:rsid w:val="32461964"/>
    <w:rsid w:val="32549DC7"/>
    <w:rsid w:val="3254FFB8"/>
    <w:rsid w:val="325C0822"/>
    <w:rsid w:val="325C6D25"/>
    <w:rsid w:val="326A56EF"/>
    <w:rsid w:val="3273EDBF"/>
    <w:rsid w:val="3276C5A2"/>
    <w:rsid w:val="327B78D0"/>
    <w:rsid w:val="328176AF"/>
    <w:rsid w:val="328BF168"/>
    <w:rsid w:val="3291F807"/>
    <w:rsid w:val="3293A6FE"/>
    <w:rsid w:val="3298B35D"/>
    <w:rsid w:val="32B40B40"/>
    <w:rsid w:val="32BC9865"/>
    <w:rsid w:val="32C54754"/>
    <w:rsid w:val="32D9E6ED"/>
    <w:rsid w:val="32F1A945"/>
    <w:rsid w:val="32F39A1F"/>
    <w:rsid w:val="32F75FA6"/>
    <w:rsid w:val="32F9863E"/>
    <w:rsid w:val="32FE6038"/>
    <w:rsid w:val="3306D5BB"/>
    <w:rsid w:val="3308231E"/>
    <w:rsid w:val="3316613D"/>
    <w:rsid w:val="33241345"/>
    <w:rsid w:val="3325A44A"/>
    <w:rsid w:val="33403063"/>
    <w:rsid w:val="3343347C"/>
    <w:rsid w:val="3347D8D3"/>
    <w:rsid w:val="33486512"/>
    <w:rsid w:val="3349F1B9"/>
    <w:rsid w:val="334CE1ED"/>
    <w:rsid w:val="3351015D"/>
    <w:rsid w:val="3358DA7B"/>
    <w:rsid w:val="33598483"/>
    <w:rsid w:val="33635D46"/>
    <w:rsid w:val="3392FBBA"/>
    <w:rsid w:val="33A1CECD"/>
    <w:rsid w:val="33A5DE73"/>
    <w:rsid w:val="33A6A1AE"/>
    <w:rsid w:val="33A9613B"/>
    <w:rsid w:val="33A97D1D"/>
    <w:rsid w:val="33B06440"/>
    <w:rsid w:val="33B13E17"/>
    <w:rsid w:val="33B4E909"/>
    <w:rsid w:val="33BDE4AA"/>
    <w:rsid w:val="33C110F6"/>
    <w:rsid w:val="33C4F298"/>
    <w:rsid w:val="33C5A7C8"/>
    <w:rsid w:val="33C5AEE0"/>
    <w:rsid w:val="33D0B759"/>
    <w:rsid w:val="33D78E70"/>
    <w:rsid w:val="33DF8636"/>
    <w:rsid w:val="33F2EE84"/>
    <w:rsid w:val="33F433E2"/>
    <w:rsid w:val="33FAD9D6"/>
    <w:rsid w:val="3408A7B9"/>
    <w:rsid w:val="341A1B14"/>
    <w:rsid w:val="342D022D"/>
    <w:rsid w:val="342E2EE9"/>
    <w:rsid w:val="342E3DFA"/>
    <w:rsid w:val="3438CA70"/>
    <w:rsid w:val="343D2FFC"/>
    <w:rsid w:val="344A0DD3"/>
    <w:rsid w:val="344DE806"/>
    <w:rsid w:val="345D37F6"/>
    <w:rsid w:val="34636EA9"/>
    <w:rsid w:val="346E0A67"/>
    <w:rsid w:val="34716DEB"/>
    <w:rsid w:val="3472BB23"/>
    <w:rsid w:val="3475B7E4"/>
    <w:rsid w:val="347FDAF5"/>
    <w:rsid w:val="3487AC93"/>
    <w:rsid w:val="348D70C3"/>
    <w:rsid w:val="3499E1F4"/>
    <w:rsid w:val="349B58E5"/>
    <w:rsid w:val="34A805D7"/>
    <w:rsid w:val="34BF1ADE"/>
    <w:rsid w:val="34BF607D"/>
    <w:rsid w:val="34C403B6"/>
    <w:rsid w:val="34D4F61E"/>
    <w:rsid w:val="34D7F044"/>
    <w:rsid w:val="34E22CF9"/>
    <w:rsid w:val="34E327D3"/>
    <w:rsid w:val="34E84204"/>
    <w:rsid w:val="34E89917"/>
    <w:rsid w:val="35012910"/>
    <w:rsid w:val="35059493"/>
    <w:rsid w:val="3505D0CB"/>
    <w:rsid w:val="351348E1"/>
    <w:rsid w:val="35314DF4"/>
    <w:rsid w:val="3535DAB8"/>
    <w:rsid w:val="354A3792"/>
    <w:rsid w:val="355A56F6"/>
    <w:rsid w:val="355AACE0"/>
    <w:rsid w:val="355F7DB2"/>
    <w:rsid w:val="356F09FF"/>
    <w:rsid w:val="35752BD8"/>
    <w:rsid w:val="3579E251"/>
    <w:rsid w:val="35865C2B"/>
    <w:rsid w:val="3586C9DF"/>
    <w:rsid w:val="35946FED"/>
    <w:rsid w:val="3594E734"/>
    <w:rsid w:val="35B48819"/>
    <w:rsid w:val="35BB717C"/>
    <w:rsid w:val="35BEF762"/>
    <w:rsid w:val="35C47E18"/>
    <w:rsid w:val="35E41EAE"/>
    <w:rsid w:val="35F1AE7E"/>
    <w:rsid w:val="3600E95E"/>
    <w:rsid w:val="3608A162"/>
    <w:rsid w:val="36092473"/>
    <w:rsid w:val="3611522F"/>
    <w:rsid w:val="361651EE"/>
    <w:rsid w:val="3617E095"/>
    <w:rsid w:val="361931C8"/>
    <w:rsid w:val="361CDC29"/>
    <w:rsid w:val="362AE2F0"/>
    <w:rsid w:val="362EA0CA"/>
    <w:rsid w:val="362F05E6"/>
    <w:rsid w:val="362F6B1E"/>
    <w:rsid w:val="363C9AE3"/>
    <w:rsid w:val="3652FFFA"/>
    <w:rsid w:val="3658782E"/>
    <w:rsid w:val="365F333B"/>
    <w:rsid w:val="366E8485"/>
    <w:rsid w:val="367F5740"/>
    <w:rsid w:val="36869F30"/>
    <w:rsid w:val="36A1331E"/>
    <w:rsid w:val="36AB0A6E"/>
    <w:rsid w:val="36BC3A95"/>
    <w:rsid w:val="36C3F810"/>
    <w:rsid w:val="36D612C7"/>
    <w:rsid w:val="36D9AC26"/>
    <w:rsid w:val="36E8B5E0"/>
    <w:rsid w:val="36E8D3D8"/>
    <w:rsid w:val="36E9CFCD"/>
    <w:rsid w:val="36ED3682"/>
    <w:rsid w:val="36F3B991"/>
    <w:rsid w:val="36F9EBCC"/>
    <w:rsid w:val="36FC2BD6"/>
    <w:rsid w:val="37213412"/>
    <w:rsid w:val="3722505A"/>
    <w:rsid w:val="37266579"/>
    <w:rsid w:val="372A862A"/>
    <w:rsid w:val="37347559"/>
    <w:rsid w:val="37401D4A"/>
    <w:rsid w:val="374AB7BF"/>
    <w:rsid w:val="375A6E62"/>
    <w:rsid w:val="376726AB"/>
    <w:rsid w:val="378A8F82"/>
    <w:rsid w:val="378CDE62"/>
    <w:rsid w:val="378E43AD"/>
    <w:rsid w:val="37947324"/>
    <w:rsid w:val="3799CEDE"/>
    <w:rsid w:val="37A2AF35"/>
    <w:rsid w:val="37A3F015"/>
    <w:rsid w:val="37ABD24D"/>
    <w:rsid w:val="37BEEF18"/>
    <w:rsid w:val="37C30FEE"/>
    <w:rsid w:val="37C79FC8"/>
    <w:rsid w:val="37D23A7C"/>
    <w:rsid w:val="37D79181"/>
    <w:rsid w:val="37D81EF2"/>
    <w:rsid w:val="37FBA67F"/>
    <w:rsid w:val="37FE4D99"/>
    <w:rsid w:val="3805C79B"/>
    <w:rsid w:val="380B3047"/>
    <w:rsid w:val="3811FE64"/>
    <w:rsid w:val="382DB7B0"/>
    <w:rsid w:val="38350C20"/>
    <w:rsid w:val="3848815E"/>
    <w:rsid w:val="384DE543"/>
    <w:rsid w:val="3854D7EC"/>
    <w:rsid w:val="38728D8C"/>
    <w:rsid w:val="387C0CC5"/>
    <w:rsid w:val="388021ED"/>
    <w:rsid w:val="38838313"/>
    <w:rsid w:val="38882BF1"/>
    <w:rsid w:val="388D1BD7"/>
    <w:rsid w:val="388F7AA2"/>
    <w:rsid w:val="38A5A5CA"/>
    <w:rsid w:val="38AD07A8"/>
    <w:rsid w:val="38C0A61E"/>
    <w:rsid w:val="38C434F4"/>
    <w:rsid w:val="38D9FA04"/>
    <w:rsid w:val="38E5206A"/>
    <w:rsid w:val="38F91066"/>
    <w:rsid w:val="38FAB61B"/>
    <w:rsid w:val="38FCF349"/>
    <w:rsid w:val="390426BF"/>
    <w:rsid w:val="390D0A98"/>
    <w:rsid w:val="391A144A"/>
    <w:rsid w:val="392297D8"/>
    <w:rsid w:val="39239429"/>
    <w:rsid w:val="392F8865"/>
    <w:rsid w:val="395691DD"/>
    <w:rsid w:val="3956A113"/>
    <w:rsid w:val="3958698D"/>
    <w:rsid w:val="395948C3"/>
    <w:rsid w:val="396A1B46"/>
    <w:rsid w:val="3993B596"/>
    <w:rsid w:val="3999A765"/>
    <w:rsid w:val="39BBA221"/>
    <w:rsid w:val="39C79B34"/>
    <w:rsid w:val="39C9D476"/>
    <w:rsid w:val="39D33120"/>
    <w:rsid w:val="39D622F1"/>
    <w:rsid w:val="39F7BB9B"/>
    <w:rsid w:val="39FDA807"/>
    <w:rsid w:val="3A1DB606"/>
    <w:rsid w:val="3A29E4F2"/>
    <w:rsid w:val="3A358B7D"/>
    <w:rsid w:val="3A50337B"/>
    <w:rsid w:val="3A5554B5"/>
    <w:rsid w:val="3A63865C"/>
    <w:rsid w:val="3A7D8C98"/>
    <w:rsid w:val="3A813CD8"/>
    <w:rsid w:val="3A814097"/>
    <w:rsid w:val="3A937AA6"/>
    <w:rsid w:val="3A9A909B"/>
    <w:rsid w:val="3A9FBBD2"/>
    <w:rsid w:val="3AA1549C"/>
    <w:rsid w:val="3AA4370D"/>
    <w:rsid w:val="3AA75C03"/>
    <w:rsid w:val="3AB99269"/>
    <w:rsid w:val="3ABBF753"/>
    <w:rsid w:val="3AC0A9A3"/>
    <w:rsid w:val="3AD43C18"/>
    <w:rsid w:val="3ADB7696"/>
    <w:rsid w:val="3AE5FA8F"/>
    <w:rsid w:val="3AF51794"/>
    <w:rsid w:val="3AFF960D"/>
    <w:rsid w:val="3B00B05F"/>
    <w:rsid w:val="3B1318EC"/>
    <w:rsid w:val="3B18E341"/>
    <w:rsid w:val="3B25E3C0"/>
    <w:rsid w:val="3B33A438"/>
    <w:rsid w:val="3B3D3E5B"/>
    <w:rsid w:val="3B4C8B69"/>
    <w:rsid w:val="3B501187"/>
    <w:rsid w:val="3B5B7FDD"/>
    <w:rsid w:val="3B68C707"/>
    <w:rsid w:val="3B6A70EF"/>
    <w:rsid w:val="3B6FCB0A"/>
    <w:rsid w:val="3B7516C8"/>
    <w:rsid w:val="3B7D2FF7"/>
    <w:rsid w:val="3B8CECF2"/>
    <w:rsid w:val="3B8D7E2F"/>
    <w:rsid w:val="3B8EA6EB"/>
    <w:rsid w:val="3B94C13E"/>
    <w:rsid w:val="3B9AF96D"/>
    <w:rsid w:val="3B9F4709"/>
    <w:rsid w:val="3BA376BB"/>
    <w:rsid w:val="3BA3D0B2"/>
    <w:rsid w:val="3BAE108F"/>
    <w:rsid w:val="3BB4A589"/>
    <w:rsid w:val="3BB91586"/>
    <w:rsid w:val="3BC2F74E"/>
    <w:rsid w:val="3BC315AC"/>
    <w:rsid w:val="3BC48381"/>
    <w:rsid w:val="3BD39B2C"/>
    <w:rsid w:val="3BDCE1D9"/>
    <w:rsid w:val="3BF32290"/>
    <w:rsid w:val="3C07D36A"/>
    <w:rsid w:val="3C07D703"/>
    <w:rsid w:val="3C1DB68D"/>
    <w:rsid w:val="3C24D111"/>
    <w:rsid w:val="3C24D2C1"/>
    <w:rsid w:val="3C2D6FF7"/>
    <w:rsid w:val="3C3EAD53"/>
    <w:rsid w:val="3C44B3F3"/>
    <w:rsid w:val="3C52B328"/>
    <w:rsid w:val="3C531EF3"/>
    <w:rsid w:val="3C813F61"/>
    <w:rsid w:val="3C835FB4"/>
    <w:rsid w:val="3C8F63D6"/>
    <w:rsid w:val="3C988A3D"/>
    <w:rsid w:val="3CA04C20"/>
    <w:rsid w:val="3CA3D5D3"/>
    <w:rsid w:val="3CA81D22"/>
    <w:rsid w:val="3CA9E61F"/>
    <w:rsid w:val="3CAEFA60"/>
    <w:rsid w:val="3CB2E43D"/>
    <w:rsid w:val="3CB49A5E"/>
    <w:rsid w:val="3CB54FB9"/>
    <w:rsid w:val="3CC40F31"/>
    <w:rsid w:val="3CE1B541"/>
    <w:rsid w:val="3CF29816"/>
    <w:rsid w:val="3CFAF1DD"/>
    <w:rsid w:val="3D01CB23"/>
    <w:rsid w:val="3D0DB9B7"/>
    <w:rsid w:val="3D22E0F0"/>
    <w:rsid w:val="3D2F4DA5"/>
    <w:rsid w:val="3D340B3F"/>
    <w:rsid w:val="3D34596F"/>
    <w:rsid w:val="3D4179F8"/>
    <w:rsid w:val="3D53D6E7"/>
    <w:rsid w:val="3D5A2700"/>
    <w:rsid w:val="3D6308C7"/>
    <w:rsid w:val="3D83E796"/>
    <w:rsid w:val="3D9C6868"/>
    <w:rsid w:val="3DA27763"/>
    <w:rsid w:val="3DA70E1D"/>
    <w:rsid w:val="3DBC0165"/>
    <w:rsid w:val="3DC27A1F"/>
    <w:rsid w:val="3DC53B30"/>
    <w:rsid w:val="3DC94F10"/>
    <w:rsid w:val="3DCE0A98"/>
    <w:rsid w:val="3DD35C59"/>
    <w:rsid w:val="3DE36E89"/>
    <w:rsid w:val="3DE4127A"/>
    <w:rsid w:val="3DF85E19"/>
    <w:rsid w:val="3DF973A7"/>
    <w:rsid w:val="3DFD7092"/>
    <w:rsid w:val="3E0C1197"/>
    <w:rsid w:val="3E0E736E"/>
    <w:rsid w:val="3E0F45FB"/>
    <w:rsid w:val="3E1D13CD"/>
    <w:rsid w:val="3E1FB77E"/>
    <w:rsid w:val="3E2566AA"/>
    <w:rsid w:val="3E2C02A9"/>
    <w:rsid w:val="3E369EC5"/>
    <w:rsid w:val="3E42EBDD"/>
    <w:rsid w:val="3E503CF8"/>
    <w:rsid w:val="3E508E44"/>
    <w:rsid w:val="3E5136CA"/>
    <w:rsid w:val="3E51BB2D"/>
    <w:rsid w:val="3E5EF773"/>
    <w:rsid w:val="3E691F3D"/>
    <w:rsid w:val="3E758DBA"/>
    <w:rsid w:val="3E75FB60"/>
    <w:rsid w:val="3E797EFB"/>
    <w:rsid w:val="3E7AD428"/>
    <w:rsid w:val="3E7E937F"/>
    <w:rsid w:val="3E8DE077"/>
    <w:rsid w:val="3EA8A9A6"/>
    <w:rsid w:val="3EAB4768"/>
    <w:rsid w:val="3EAD2D7E"/>
    <w:rsid w:val="3EBFE7BF"/>
    <w:rsid w:val="3EC70079"/>
    <w:rsid w:val="3EC8AA42"/>
    <w:rsid w:val="3ECDCE70"/>
    <w:rsid w:val="3EE14269"/>
    <w:rsid w:val="3EE48503"/>
    <w:rsid w:val="3EEC464B"/>
    <w:rsid w:val="3EEE3395"/>
    <w:rsid w:val="3F04E97C"/>
    <w:rsid w:val="3F060108"/>
    <w:rsid w:val="3F1325F8"/>
    <w:rsid w:val="3F1A9959"/>
    <w:rsid w:val="3F23FD3D"/>
    <w:rsid w:val="3F32603B"/>
    <w:rsid w:val="3F57058A"/>
    <w:rsid w:val="3F5BC2E7"/>
    <w:rsid w:val="3F6D5750"/>
    <w:rsid w:val="3F7114D1"/>
    <w:rsid w:val="3FB698E0"/>
    <w:rsid w:val="3FC34F05"/>
    <w:rsid w:val="3FC8536C"/>
    <w:rsid w:val="3FCD3A89"/>
    <w:rsid w:val="3FD9D270"/>
    <w:rsid w:val="3FE7E67E"/>
    <w:rsid w:val="3FEC9F1B"/>
    <w:rsid w:val="400E6D91"/>
    <w:rsid w:val="4013BB15"/>
    <w:rsid w:val="40143D32"/>
    <w:rsid w:val="4017EC33"/>
    <w:rsid w:val="401B5473"/>
    <w:rsid w:val="4022A067"/>
    <w:rsid w:val="402876EC"/>
    <w:rsid w:val="403A7785"/>
    <w:rsid w:val="4043D09D"/>
    <w:rsid w:val="40552E0F"/>
    <w:rsid w:val="405EA245"/>
    <w:rsid w:val="405FC94D"/>
    <w:rsid w:val="407739B9"/>
    <w:rsid w:val="40992A07"/>
    <w:rsid w:val="409F7371"/>
    <w:rsid w:val="40AA0518"/>
    <w:rsid w:val="40AD701C"/>
    <w:rsid w:val="40B5DEFC"/>
    <w:rsid w:val="40BBB992"/>
    <w:rsid w:val="40C5A624"/>
    <w:rsid w:val="40EA6B21"/>
    <w:rsid w:val="40EA6B9A"/>
    <w:rsid w:val="40F2CAC3"/>
    <w:rsid w:val="40FDACB6"/>
    <w:rsid w:val="4104DE8E"/>
    <w:rsid w:val="4120A678"/>
    <w:rsid w:val="4124447C"/>
    <w:rsid w:val="4124D47B"/>
    <w:rsid w:val="412AB22B"/>
    <w:rsid w:val="414077F4"/>
    <w:rsid w:val="41425534"/>
    <w:rsid w:val="414A0A64"/>
    <w:rsid w:val="414FE24D"/>
    <w:rsid w:val="41573D03"/>
    <w:rsid w:val="415BFBE1"/>
    <w:rsid w:val="4170C569"/>
    <w:rsid w:val="417B0EB7"/>
    <w:rsid w:val="417BE923"/>
    <w:rsid w:val="41958499"/>
    <w:rsid w:val="4199BA02"/>
    <w:rsid w:val="419D4FB8"/>
    <w:rsid w:val="419D9735"/>
    <w:rsid w:val="41AA1284"/>
    <w:rsid w:val="41AB03FA"/>
    <w:rsid w:val="41B95167"/>
    <w:rsid w:val="41BB828C"/>
    <w:rsid w:val="41BE3000"/>
    <w:rsid w:val="41D397C9"/>
    <w:rsid w:val="41DB2056"/>
    <w:rsid w:val="41EA31DC"/>
    <w:rsid w:val="41ED2D39"/>
    <w:rsid w:val="41F4A7B9"/>
    <w:rsid w:val="41F9292F"/>
    <w:rsid w:val="42069C41"/>
    <w:rsid w:val="420D27CE"/>
    <w:rsid w:val="4214D011"/>
    <w:rsid w:val="42155BC2"/>
    <w:rsid w:val="4215F576"/>
    <w:rsid w:val="4220DF4A"/>
    <w:rsid w:val="422E376B"/>
    <w:rsid w:val="423D37E1"/>
    <w:rsid w:val="425B5AF4"/>
    <w:rsid w:val="425D7CCE"/>
    <w:rsid w:val="425DC52B"/>
    <w:rsid w:val="426A669F"/>
    <w:rsid w:val="42784648"/>
    <w:rsid w:val="42799433"/>
    <w:rsid w:val="427B5717"/>
    <w:rsid w:val="427BCE53"/>
    <w:rsid w:val="428044EC"/>
    <w:rsid w:val="4280849A"/>
    <w:rsid w:val="428195C7"/>
    <w:rsid w:val="428EA613"/>
    <w:rsid w:val="4299E28F"/>
    <w:rsid w:val="42AD6104"/>
    <w:rsid w:val="42C168B5"/>
    <w:rsid w:val="42CE6CA9"/>
    <w:rsid w:val="42D93075"/>
    <w:rsid w:val="42DBC398"/>
    <w:rsid w:val="42DE1667"/>
    <w:rsid w:val="42E29341"/>
    <w:rsid w:val="42E75E53"/>
    <w:rsid w:val="42ED61E8"/>
    <w:rsid w:val="42F37F48"/>
    <w:rsid w:val="42FC9A32"/>
    <w:rsid w:val="4316F328"/>
    <w:rsid w:val="432DC02F"/>
    <w:rsid w:val="432EE85F"/>
    <w:rsid w:val="43346251"/>
    <w:rsid w:val="43354C1D"/>
    <w:rsid w:val="433E5870"/>
    <w:rsid w:val="434D54DA"/>
    <w:rsid w:val="434E9A97"/>
    <w:rsid w:val="43571BDD"/>
    <w:rsid w:val="4367123C"/>
    <w:rsid w:val="4397246A"/>
    <w:rsid w:val="43A9DE53"/>
    <w:rsid w:val="43C040A1"/>
    <w:rsid w:val="43C335C7"/>
    <w:rsid w:val="43C46AAC"/>
    <w:rsid w:val="43C98A18"/>
    <w:rsid w:val="43D10B97"/>
    <w:rsid w:val="43D24615"/>
    <w:rsid w:val="43D2BFE1"/>
    <w:rsid w:val="43D8E906"/>
    <w:rsid w:val="43E7FC59"/>
    <w:rsid w:val="43EC9E9B"/>
    <w:rsid w:val="44060FB3"/>
    <w:rsid w:val="440B39C6"/>
    <w:rsid w:val="440F7D6E"/>
    <w:rsid w:val="441257F7"/>
    <w:rsid w:val="44163764"/>
    <w:rsid w:val="4416BB2D"/>
    <w:rsid w:val="4420E948"/>
    <w:rsid w:val="4422FCE7"/>
    <w:rsid w:val="44241877"/>
    <w:rsid w:val="442470FC"/>
    <w:rsid w:val="442471B4"/>
    <w:rsid w:val="44254C47"/>
    <w:rsid w:val="44288F82"/>
    <w:rsid w:val="4433F2F9"/>
    <w:rsid w:val="444115A4"/>
    <w:rsid w:val="4442AE9E"/>
    <w:rsid w:val="44433931"/>
    <w:rsid w:val="444414B7"/>
    <w:rsid w:val="4445DC2C"/>
    <w:rsid w:val="4463FB3B"/>
    <w:rsid w:val="446ABA0C"/>
    <w:rsid w:val="446EAD0E"/>
    <w:rsid w:val="4472B7A7"/>
    <w:rsid w:val="44749826"/>
    <w:rsid w:val="448713FB"/>
    <w:rsid w:val="44A0C4CD"/>
    <w:rsid w:val="44B456E7"/>
    <w:rsid w:val="44D47FB4"/>
    <w:rsid w:val="44EA73FB"/>
    <w:rsid w:val="44F61314"/>
    <w:rsid w:val="44FEC53C"/>
    <w:rsid w:val="44FF7623"/>
    <w:rsid w:val="45071358"/>
    <w:rsid w:val="45079B87"/>
    <w:rsid w:val="450CF338"/>
    <w:rsid w:val="451112EC"/>
    <w:rsid w:val="452E1F3A"/>
    <w:rsid w:val="452F12C2"/>
    <w:rsid w:val="4538BDE7"/>
    <w:rsid w:val="45462208"/>
    <w:rsid w:val="45548D2C"/>
    <w:rsid w:val="45722F8B"/>
    <w:rsid w:val="4576600D"/>
    <w:rsid w:val="45849B74"/>
    <w:rsid w:val="45881732"/>
    <w:rsid w:val="458B3614"/>
    <w:rsid w:val="459A62CB"/>
    <w:rsid w:val="45A06FF4"/>
    <w:rsid w:val="45A23BF1"/>
    <w:rsid w:val="45ACFA57"/>
    <w:rsid w:val="45ADD7D7"/>
    <w:rsid w:val="45ADFF81"/>
    <w:rsid w:val="45AFA3A5"/>
    <w:rsid w:val="45B7F385"/>
    <w:rsid w:val="45B9EB7E"/>
    <w:rsid w:val="45BCD942"/>
    <w:rsid w:val="45BE42F0"/>
    <w:rsid w:val="45C50801"/>
    <w:rsid w:val="45DB3F5E"/>
    <w:rsid w:val="45F924F4"/>
    <w:rsid w:val="460AF26B"/>
    <w:rsid w:val="460E8E41"/>
    <w:rsid w:val="4615F795"/>
    <w:rsid w:val="46244484"/>
    <w:rsid w:val="462AE8A7"/>
    <w:rsid w:val="462DD250"/>
    <w:rsid w:val="46365379"/>
    <w:rsid w:val="464CF4D7"/>
    <w:rsid w:val="46519898"/>
    <w:rsid w:val="4663FD71"/>
    <w:rsid w:val="46732C6D"/>
    <w:rsid w:val="46762D14"/>
    <w:rsid w:val="469F66DA"/>
    <w:rsid w:val="469FB69A"/>
    <w:rsid w:val="46A37381"/>
    <w:rsid w:val="46B5FF67"/>
    <w:rsid w:val="46C274C5"/>
    <w:rsid w:val="46C60A29"/>
    <w:rsid w:val="46CE28DE"/>
    <w:rsid w:val="46E5DE37"/>
    <w:rsid w:val="46EBEA0C"/>
    <w:rsid w:val="46EF744F"/>
    <w:rsid w:val="46F4C60C"/>
    <w:rsid w:val="46F83D22"/>
    <w:rsid w:val="47062422"/>
    <w:rsid w:val="471584CC"/>
    <w:rsid w:val="4717C84E"/>
    <w:rsid w:val="471DE2F0"/>
    <w:rsid w:val="472749DF"/>
    <w:rsid w:val="472A005C"/>
    <w:rsid w:val="4734C6DF"/>
    <w:rsid w:val="4736F36A"/>
    <w:rsid w:val="47406E9E"/>
    <w:rsid w:val="4773D4B2"/>
    <w:rsid w:val="477FB019"/>
    <w:rsid w:val="4780BDEA"/>
    <w:rsid w:val="47854000"/>
    <w:rsid w:val="47BF585F"/>
    <w:rsid w:val="47CE0F40"/>
    <w:rsid w:val="47E243A0"/>
    <w:rsid w:val="47FD95FD"/>
    <w:rsid w:val="481D1CA4"/>
    <w:rsid w:val="481E01B7"/>
    <w:rsid w:val="482DAF22"/>
    <w:rsid w:val="4831634B"/>
    <w:rsid w:val="48325079"/>
    <w:rsid w:val="485575FB"/>
    <w:rsid w:val="485E9912"/>
    <w:rsid w:val="4860EC4A"/>
    <w:rsid w:val="4864A6EA"/>
    <w:rsid w:val="48654FF5"/>
    <w:rsid w:val="487581E2"/>
    <w:rsid w:val="4881DE23"/>
    <w:rsid w:val="4884C749"/>
    <w:rsid w:val="48871F0A"/>
    <w:rsid w:val="48886D8D"/>
    <w:rsid w:val="488DC2B1"/>
    <w:rsid w:val="48910CE0"/>
    <w:rsid w:val="48A2A837"/>
    <w:rsid w:val="48A7FE8E"/>
    <w:rsid w:val="48A91917"/>
    <w:rsid w:val="48BEEE8D"/>
    <w:rsid w:val="48C6E05D"/>
    <w:rsid w:val="48E25757"/>
    <w:rsid w:val="49036E95"/>
    <w:rsid w:val="4928B778"/>
    <w:rsid w:val="492EA939"/>
    <w:rsid w:val="4934256E"/>
    <w:rsid w:val="493BD5A9"/>
    <w:rsid w:val="493C0FF6"/>
    <w:rsid w:val="49484252"/>
    <w:rsid w:val="4950F539"/>
    <w:rsid w:val="495C2E35"/>
    <w:rsid w:val="4960C4B5"/>
    <w:rsid w:val="496DCFB3"/>
    <w:rsid w:val="49784028"/>
    <w:rsid w:val="49829578"/>
    <w:rsid w:val="49838C9D"/>
    <w:rsid w:val="498D20B0"/>
    <w:rsid w:val="4990027E"/>
    <w:rsid w:val="49918A1D"/>
    <w:rsid w:val="499BDDEA"/>
    <w:rsid w:val="499DBC72"/>
    <w:rsid w:val="49A200A9"/>
    <w:rsid w:val="49AA11AB"/>
    <w:rsid w:val="49B234B0"/>
    <w:rsid w:val="49B2D8BE"/>
    <w:rsid w:val="49B88401"/>
    <w:rsid w:val="49BAAB44"/>
    <w:rsid w:val="49DC8034"/>
    <w:rsid w:val="49EB25FF"/>
    <w:rsid w:val="49EB9B8F"/>
    <w:rsid w:val="49EFC9D0"/>
    <w:rsid w:val="49F832ED"/>
    <w:rsid w:val="49FFA708"/>
    <w:rsid w:val="4A01CA77"/>
    <w:rsid w:val="4A12443B"/>
    <w:rsid w:val="4A150747"/>
    <w:rsid w:val="4A1B0E7F"/>
    <w:rsid w:val="4A26E8EA"/>
    <w:rsid w:val="4A2B4F28"/>
    <w:rsid w:val="4A34AF7A"/>
    <w:rsid w:val="4A4DDB20"/>
    <w:rsid w:val="4A4EDC49"/>
    <w:rsid w:val="4A592F4A"/>
    <w:rsid w:val="4A5AED1C"/>
    <w:rsid w:val="4A68AE0A"/>
    <w:rsid w:val="4A697D56"/>
    <w:rsid w:val="4A699DEE"/>
    <w:rsid w:val="4A7827BD"/>
    <w:rsid w:val="4A9A27F6"/>
    <w:rsid w:val="4AA64E33"/>
    <w:rsid w:val="4ABEADFE"/>
    <w:rsid w:val="4AC1958B"/>
    <w:rsid w:val="4AC400EF"/>
    <w:rsid w:val="4AD2FDC6"/>
    <w:rsid w:val="4AD744A4"/>
    <w:rsid w:val="4AEEB353"/>
    <w:rsid w:val="4AF3B834"/>
    <w:rsid w:val="4AF93D56"/>
    <w:rsid w:val="4B1EC17C"/>
    <w:rsid w:val="4B23974F"/>
    <w:rsid w:val="4B2F5A43"/>
    <w:rsid w:val="4B35256C"/>
    <w:rsid w:val="4B379792"/>
    <w:rsid w:val="4B40E75C"/>
    <w:rsid w:val="4B41432A"/>
    <w:rsid w:val="4B44285F"/>
    <w:rsid w:val="4B4F6B0E"/>
    <w:rsid w:val="4B500D95"/>
    <w:rsid w:val="4B64640C"/>
    <w:rsid w:val="4B65637F"/>
    <w:rsid w:val="4B658941"/>
    <w:rsid w:val="4B7F6DC2"/>
    <w:rsid w:val="4B86D71E"/>
    <w:rsid w:val="4B8B819D"/>
    <w:rsid w:val="4B8D1BBA"/>
    <w:rsid w:val="4B8E43F6"/>
    <w:rsid w:val="4B9320DC"/>
    <w:rsid w:val="4BAFDA7F"/>
    <w:rsid w:val="4BB90543"/>
    <w:rsid w:val="4BC411AA"/>
    <w:rsid w:val="4BDB5D48"/>
    <w:rsid w:val="4BDF4544"/>
    <w:rsid w:val="4BEF8E66"/>
    <w:rsid w:val="4BF04447"/>
    <w:rsid w:val="4BF1E833"/>
    <w:rsid w:val="4C13015C"/>
    <w:rsid w:val="4C26C3D8"/>
    <w:rsid w:val="4C2B2E00"/>
    <w:rsid w:val="4C33076F"/>
    <w:rsid w:val="4C409D2D"/>
    <w:rsid w:val="4C428BA1"/>
    <w:rsid w:val="4C52FEC5"/>
    <w:rsid w:val="4C5333B0"/>
    <w:rsid w:val="4C55520B"/>
    <w:rsid w:val="4C59BA4D"/>
    <w:rsid w:val="4C5C5D2A"/>
    <w:rsid w:val="4C5ECB6C"/>
    <w:rsid w:val="4C632296"/>
    <w:rsid w:val="4C741D3F"/>
    <w:rsid w:val="4C7CA97E"/>
    <w:rsid w:val="4C818A5A"/>
    <w:rsid w:val="4C8F7C57"/>
    <w:rsid w:val="4C938FBF"/>
    <w:rsid w:val="4C93E165"/>
    <w:rsid w:val="4CA31F61"/>
    <w:rsid w:val="4CA781FF"/>
    <w:rsid w:val="4CB2C3E8"/>
    <w:rsid w:val="4CC43BCD"/>
    <w:rsid w:val="4CCAE0A1"/>
    <w:rsid w:val="4CD316ED"/>
    <w:rsid w:val="4CD8BAFE"/>
    <w:rsid w:val="4CE593B3"/>
    <w:rsid w:val="4CEB4014"/>
    <w:rsid w:val="4CF28764"/>
    <w:rsid w:val="4D024C75"/>
    <w:rsid w:val="4D33D1F5"/>
    <w:rsid w:val="4D792C6D"/>
    <w:rsid w:val="4D967FC7"/>
    <w:rsid w:val="4D96B386"/>
    <w:rsid w:val="4D98FCCB"/>
    <w:rsid w:val="4DB5725C"/>
    <w:rsid w:val="4DBE9E3D"/>
    <w:rsid w:val="4DBFB656"/>
    <w:rsid w:val="4DC55275"/>
    <w:rsid w:val="4DC8EC3E"/>
    <w:rsid w:val="4DDE6C99"/>
    <w:rsid w:val="4DF50A9F"/>
    <w:rsid w:val="4E185A15"/>
    <w:rsid w:val="4E18EF65"/>
    <w:rsid w:val="4E227692"/>
    <w:rsid w:val="4E276A7C"/>
    <w:rsid w:val="4E331040"/>
    <w:rsid w:val="4E4CC9A9"/>
    <w:rsid w:val="4E61C36C"/>
    <w:rsid w:val="4E6C0E0E"/>
    <w:rsid w:val="4E77E6DE"/>
    <w:rsid w:val="4E86A406"/>
    <w:rsid w:val="4E8C4DF0"/>
    <w:rsid w:val="4E975560"/>
    <w:rsid w:val="4E9B73D1"/>
    <w:rsid w:val="4EB9AC65"/>
    <w:rsid w:val="4EBE41ED"/>
    <w:rsid w:val="4EC933C0"/>
    <w:rsid w:val="4ED5FF33"/>
    <w:rsid w:val="4EE28635"/>
    <w:rsid w:val="4EEDE4EF"/>
    <w:rsid w:val="4EF52AC5"/>
    <w:rsid w:val="4EFB06F8"/>
    <w:rsid w:val="4EFDF610"/>
    <w:rsid w:val="4F07E809"/>
    <w:rsid w:val="4F166975"/>
    <w:rsid w:val="4F19A1FD"/>
    <w:rsid w:val="4F1B6357"/>
    <w:rsid w:val="4F2E464F"/>
    <w:rsid w:val="4F2F0F22"/>
    <w:rsid w:val="4F3374B0"/>
    <w:rsid w:val="4F5953BA"/>
    <w:rsid w:val="4F64E176"/>
    <w:rsid w:val="4F6A791D"/>
    <w:rsid w:val="4F6C1FCF"/>
    <w:rsid w:val="4F73DE0F"/>
    <w:rsid w:val="4F7DF7F1"/>
    <w:rsid w:val="4F8877D1"/>
    <w:rsid w:val="4F913A39"/>
    <w:rsid w:val="4F957D8E"/>
    <w:rsid w:val="4FAA1022"/>
    <w:rsid w:val="4FC49E71"/>
    <w:rsid w:val="4FE5FF5C"/>
    <w:rsid w:val="500965D5"/>
    <w:rsid w:val="50207089"/>
    <w:rsid w:val="5025DD24"/>
    <w:rsid w:val="50273916"/>
    <w:rsid w:val="504D362C"/>
    <w:rsid w:val="504E9824"/>
    <w:rsid w:val="5050C061"/>
    <w:rsid w:val="505FEBFB"/>
    <w:rsid w:val="506C39A2"/>
    <w:rsid w:val="50918C5B"/>
    <w:rsid w:val="509371E3"/>
    <w:rsid w:val="50A222EE"/>
    <w:rsid w:val="50A76FDD"/>
    <w:rsid w:val="50ACB07D"/>
    <w:rsid w:val="50B09B32"/>
    <w:rsid w:val="50B3885D"/>
    <w:rsid w:val="50B84A97"/>
    <w:rsid w:val="50C0725F"/>
    <w:rsid w:val="50DB9EB1"/>
    <w:rsid w:val="50E40F46"/>
    <w:rsid w:val="50FF0354"/>
    <w:rsid w:val="51016AFA"/>
    <w:rsid w:val="5105E9D2"/>
    <w:rsid w:val="51106B7D"/>
    <w:rsid w:val="51382A8E"/>
    <w:rsid w:val="5139CDC5"/>
    <w:rsid w:val="513C2DD6"/>
    <w:rsid w:val="513E8B5D"/>
    <w:rsid w:val="514E1B4F"/>
    <w:rsid w:val="515282F7"/>
    <w:rsid w:val="5156FDB9"/>
    <w:rsid w:val="515DE9C9"/>
    <w:rsid w:val="5164E2E5"/>
    <w:rsid w:val="5173A66B"/>
    <w:rsid w:val="5180F830"/>
    <w:rsid w:val="518ADB9A"/>
    <w:rsid w:val="519E0D87"/>
    <w:rsid w:val="51AD3ACB"/>
    <w:rsid w:val="51CF972C"/>
    <w:rsid w:val="51D238E2"/>
    <w:rsid w:val="51D9AF20"/>
    <w:rsid w:val="51EBCB3A"/>
    <w:rsid w:val="51F6E905"/>
    <w:rsid w:val="5205F60D"/>
    <w:rsid w:val="5212228E"/>
    <w:rsid w:val="5232C58B"/>
    <w:rsid w:val="5233DB90"/>
    <w:rsid w:val="523DF12B"/>
    <w:rsid w:val="523F4374"/>
    <w:rsid w:val="525DEBE5"/>
    <w:rsid w:val="525E4284"/>
    <w:rsid w:val="525F1657"/>
    <w:rsid w:val="526853E9"/>
    <w:rsid w:val="526C36AA"/>
    <w:rsid w:val="5273F56F"/>
    <w:rsid w:val="52740B83"/>
    <w:rsid w:val="527ED0F7"/>
    <w:rsid w:val="5287D88C"/>
    <w:rsid w:val="5297A362"/>
    <w:rsid w:val="529A7DA9"/>
    <w:rsid w:val="529CE29E"/>
    <w:rsid w:val="52A06D64"/>
    <w:rsid w:val="52AA7557"/>
    <w:rsid w:val="52F558A7"/>
    <w:rsid w:val="52FA4067"/>
    <w:rsid w:val="52FDDD51"/>
    <w:rsid w:val="530FF0BC"/>
    <w:rsid w:val="531122AB"/>
    <w:rsid w:val="53131578"/>
    <w:rsid w:val="5324A9CD"/>
    <w:rsid w:val="532E6C2D"/>
    <w:rsid w:val="53329013"/>
    <w:rsid w:val="53335373"/>
    <w:rsid w:val="53372F44"/>
    <w:rsid w:val="533B5B3D"/>
    <w:rsid w:val="53417ED3"/>
    <w:rsid w:val="534231A0"/>
    <w:rsid w:val="534F3577"/>
    <w:rsid w:val="535AB022"/>
    <w:rsid w:val="536B6D45"/>
    <w:rsid w:val="536C8664"/>
    <w:rsid w:val="53707037"/>
    <w:rsid w:val="537513FA"/>
    <w:rsid w:val="538026EA"/>
    <w:rsid w:val="5383D866"/>
    <w:rsid w:val="538A2CD7"/>
    <w:rsid w:val="53904F41"/>
    <w:rsid w:val="5390E18F"/>
    <w:rsid w:val="5396F2DE"/>
    <w:rsid w:val="539FF361"/>
    <w:rsid w:val="53B84A58"/>
    <w:rsid w:val="53C1AB09"/>
    <w:rsid w:val="53C809DB"/>
    <w:rsid w:val="53DCACF9"/>
    <w:rsid w:val="53E50EA0"/>
    <w:rsid w:val="53E94F92"/>
    <w:rsid w:val="53ECA09D"/>
    <w:rsid w:val="53F9CFF3"/>
    <w:rsid w:val="53FC9F77"/>
    <w:rsid w:val="53FD76A2"/>
    <w:rsid w:val="54056131"/>
    <w:rsid w:val="540E1B14"/>
    <w:rsid w:val="54246C35"/>
    <w:rsid w:val="5430979E"/>
    <w:rsid w:val="543A0E74"/>
    <w:rsid w:val="5444D075"/>
    <w:rsid w:val="544CFA8C"/>
    <w:rsid w:val="544FBCD3"/>
    <w:rsid w:val="54579591"/>
    <w:rsid w:val="545BDE19"/>
    <w:rsid w:val="5460F292"/>
    <w:rsid w:val="54693479"/>
    <w:rsid w:val="5481E1B6"/>
    <w:rsid w:val="548725C2"/>
    <w:rsid w:val="5489AFFF"/>
    <w:rsid w:val="548B0316"/>
    <w:rsid w:val="54900D6A"/>
    <w:rsid w:val="5496EAA2"/>
    <w:rsid w:val="549E988B"/>
    <w:rsid w:val="549E9A4A"/>
    <w:rsid w:val="54B27FFE"/>
    <w:rsid w:val="54D4E0E0"/>
    <w:rsid w:val="54DE20DB"/>
    <w:rsid w:val="54E7A2D5"/>
    <w:rsid w:val="54ED4644"/>
    <w:rsid w:val="54F076E6"/>
    <w:rsid w:val="54F415C6"/>
    <w:rsid w:val="54F9898F"/>
    <w:rsid w:val="550214AC"/>
    <w:rsid w:val="55093E90"/>
    <w:rsid w:val="550B6B48"/>
    <w:rsid w:val="550F7E62"/>
    <w:rsid w:val="5511738F"/>
    <w:rsid w:val="55182B0B"/>
    <w:rsid w:val="5521386B"/>
    <w:rsid w:val="552C15B3"/>
    <w:rsid w:val="5537CDB5"/>
    <w:rsid w:val="553C86AB"/>
    <w:rsid w:val="5544D656"/>
    <w:rsid w:val="5551936B"/>
    <w:rsid w:val="5552BE78"/>
    <w:rsid w:val="55532D7D"/>
    <w:rsid w:val="55627682"/>
    <w:rsid w:val="55735F2A"/>
    <w:rsid w:val="5580A219"/>
    <w:rsid w:val="558406E0"/>
    <w:rsid w:val="55866C72"/>
    <w:rsid w:val="559614F9"/>
    <w:rsid w:val="5599ED12"/>
    <w:rsid w:val="55A00D74"/>
    <w:rsid w:val="55A4C2CE"/>
    <w:rsid w:val="55A74BD5"/>
    <w:rsid w:val="55B85373"/>
    <w:rsid w:val="55B860F4"/>
    <w:rsid w:val="55BDF490"/>
    <w:rsid w:val="55CA5E3F"/>
    <w:rsid w:val="55CEEE3A"/>
    <w:rsid w:val="55D534F3"/>
    <w:rsid w:val="55D90E4E"/>
    <w:rsid w:val="55E2F90A"/>
    <w:rsid w:val="55F09579"/>
    <w:rsid w:val="55F0DDA1"/>
    <w:rsid w:val="55F234A4"/>
    <w:rsid w:val="55F6B6BA"/>
    <w:rsid w:val="55FD6BB0"/>
    <w:rsid w:val="560ACD56"/>
    <w:rsid w:val="56191450"/>
    <w:rsid w:val="561C5A2C"/>
    <w:rsid w:val="56212EEC"/>
    <w:rsid w:val="56273B5A"/>
    <w:rsid w:val="56299937"/>
    <w:rsid w:val="5633198B"/>
    <w:rsid w:val="5636F99A"/>
    <w:rsid w:val="563AC094"/>
    <w:rsid w:val="564D9CD8"/>
    <w:rsid w:val="564FAD51"/>
    <w:rsid w:val="566FDE09"/>
    <w:rsid w:val="567D0D3D"/>
    <w:rsid w:val="569412D9"/>
    <w:rsid w:val="569B3C50"/>
    <w:rsid w:val="56ACBD12"/>
    <w:rsid w:val="56BF2133"/>
    <w:rsid w:val="56C202F7"/>
    <w:rsid w:val="56FE44E1"/>
    <w:rsid w:val="570F87FA"/>
    <w:rsid w:val="5710779E"/>
    <w:rsid w:val="571F4627"/>
    <w:rsid w:val="57268E85"/>
    <w:rsid w:val="572AB8D3"/>
    <w:rsid w:val="5741A9AE"/>
    <w:rsid w:val="574704C8"/>
    <w:rsid w:val="574FE722"/>
    <w:rsid w:val="5767F6CA"/>
    <w:rsid w:val="5769E728"/>
    <w:rsid w:val="576B383F"/>
    <w:rsid w:val="5778F87C"/>
    <w:rsid w:val="577A81A4"/>
    <w:rsid w:val="5783D6D3"/>
    <w:rsid w:val="5798A2EA"/>
    <w:rsid w:val="57A199E2"/>
    <w:rsid w:val="57AE8D6E"/>
    <w:rsid w:val="57B74EC4"/>
    <w:rsid w:val="57BC8B82"/>
    <w:rsid w:val="57C4DD20"/>
    <w:rsid w:val="57D79652"/>
    <w:rsid w:val="57D8FBB5"/>
    <w:rsid w:val="57D91398"/>
    <w:rsid w:val="57DA9D0D"/>
    <w:rsid w:val="57DE1ED7"/>
    <w:rsid w:val="57F27F52"/>
    <w:rsid w:val="57FC4864"/>
    <w:rsid w:val="5803818B"/>
    <w:rsid w:val="581AA9B7"/>
    <w:rsid w:val="581E82D1"/>
    <w:rsid w:val="583E67AC"/>
    <w:rsid w:val="58416468"/>
    <w:rsid w:val="584217E5"/>
    <w:rsid w:val="58432CAE"/>
    <w:rsid w:val="58473F36"/>
    <w:rsid w:val="584E6991"/>
    <w:rsid w:val="5864C2A7"/>
    <w:rsid w:val="586BE58A"/>
    <w:rsid w:val="587114E9"/>
    <w:rsid w:val="5874BAF5"/>
    <w:rsid w:val="5879684F"/>
    <w:rsid w:val="587CEB15"/>
    <w:rsid w:val="58816DE9"/>
    <w:rsid w:val="58B1CC25"/>
    <w:rsid w:val="58C983CC"/>
    <w:rsid w:val="58CA78D1"/>
    <w:rsid w:val="58EE68B3"/>
    <w:rsid w:val="58FC09EA"/>
    <w:rsid w:val="591A5E56"/>
    <w:rsid w:val="59280917"/>
    <w:rsid w:val="594A6E88"/>
    <w:rsid w:val="594CAE8C"/>
    <w:rsid w:val="594CE548"/>
    <w:rsid w:val="595056DE"/>
    <w:rsid w:val="59569668"/>
    <w:rsid w:val="595AE778"/>
    <w:rsid w:val="596475B9"/>
    <w:rsid w:val="596A3E76"/>
    <w:rsid w:val="596E8871"/>
    <w:rsid w:val="597513EE"/>
    <w:rsid w:val="597702F2"/>
    <w:rsid w:val="59772F93"/>
    <w:rsid w:val="5978DD73"/>
    <w:rsid w:val="5984C5A1"/>
    <w:rsid w:val="598BF05A"/>
    <w:rsid w:val="599F523D"/>
    <w:rsid w:val="59ADCC99"/>
    <w:rsid w:val="59C3D88D"/>
    <w:rsid w:val="59C3F424"/>
    <w:rsid w:val="59C5F9D0"/>
    <w:rsid w:val="59CB5E3C"/>
    <w:rsid w:val="59D16C03"/>
    <w:rsid w:val="59D2090B"/>
    <w:rsid w:val="59ED81CB"/>
    <w:rsid w:val="59EE3A80"/>
    <w:rsid w:val="59FDCC51"/>
    <w:rsid w:val="5A228B35"/>
    <w:rsid w:val="5A4E6014"/>
    <w:rsid w:val="5A5AB092"/>
    <w:rsid w:val="5A609314"/>
    <w:rsid w:val="5A98E5B3"/>
    <w:rsid w:val="5AA711B9"/>
    <w:rsid w:val="5AA8E350"/>
    <w:rsid w:val="5AB8732C"/>
    <w:rsid w:val="5AC31841"/>
    <w:rsid w:val="5AD2DBFA"/>
    <w:rsid w:val="5ADE2245"/>
    <w:rsid w:val="5AE1E1B7"/>
    <w:rsid w:val="5AE734FB"/>
    <w:rsid w:val="5AF17D72"/>
    <w:rsid w:val="5AF666AB"/>
    <w:rsid w:val="5AFA62A9"/>
    <w:rsid w:val="5B012C30"/>
    <w:rsid w:val="5B06F01E"/>
    <w:rsid w:val="5B0740CE"/>
    <w:rsid w:val="5B0AADB8"/>
    <w:rsid w:val="5B0B1788"/>
    <w:rsid w:val="5B0F45C7"/>
    <w:rsid w:val="5B0FDCDF"/>
    <w:rsid w:val="5B1C635B"/>
    <w:rsid w:val="5B230955"/>
    <w:rsid w:val="5B2E7B7D"/>
    <w:rsid w:val="5B40B6DF"/>
    <w:rsid w:val="5B4C145E"/>
    <w:rsid w:val="5B59B115"/>
    <w:rsid w:val="5B6376C5"/>
    <w:rsid w:val="5B63980C"/>
    <w:rsid w:val="5B81C2FD"/>
    <w:rsid w:val="5B875D3A"/>
    <w:rsid w:val="5B8CD941"/>
    <w:rsid w:val="5B93A52D"/>
    <w:rsid w:val="5BAAFC6D"/>
    <w:rsid w:val="5BBCB8BB"/>
    <w:rsid w:val="5BC0E112"/>
    <w:rsid w:val="5BC208C5"/>
    <w:rsid w:val="5BE07C9D"/>
    <w:rsid w:val="5BFCE904"/>
    <w:rsid w:val="5BFD4E8D"/>
    <w:rsid w:val="5C01714B"/>
    <w:rsid w:val="5C0F7276"/>
    <w:rsid w:val="5C113B09"/>
    <w:rsid w:val="5C1FC786"/>
    <w:rsid w:val="5C217039"/>
    <w:rsid w:val="5C2487E6"/>
    <w:rsid w:val="5C4F74A4"/>
    <w:rsid w:val="5C5E1FE9"/>
    <w:rsid w:val="5C677EF7"/>
    <w:rsid w:val="5C7B9F1B"/>
    <w:rsid w:val="5C7EBD16"/>
    <w:rsid w:val="5C83F2BC"/>
    <w:rsid w:val="5C8AA77A"/>
    <w:rsid w:val="5C992285"/>
    <w:rsid w:val="5C9B91A2"/>
    <w:rsid w:val="5CB43129"/>
    <w:rsid w:val="5CB513F8"/>
    <w:rsid w:val="5CC4E3AF"/>
    <w:rsid w:val="5CC5CC08"/>
    <w:rsid w:val="5CCEF46D"/>
    <w:rsid w:val="5CD2F25B"/>
    <w:rsid w:val="5CEC35F0"/>
    <w:rsid w:val="5CEFDC7C"/>
    <w:rsid w:val="5CF1B9C6"/>
    <w:rsid w:val="5CF2402E"/>
    <w:rsid w:val="5CF46487"/>
    <w:rsid w:val="5CF88033"/>
    <w:rsid w:val="5D058667"/>
    <w:rsid w:val="5D087FB0"/>
    <w:rsid w:val="5D0AF9C2"/>
    <w:rsid w:val="5D0D3946"/>
    <w:rsid w:val="5D1169D2"/>
    <w:rsid w:val="5D216490"/>
    <w:rsid w:val="5D2D47C4"/>
    <w:rsid w:val="5D4C8282"/>
    <w:rsid w:val="5D5E0C98"/>
    <w:rsid w:val="5D657F1A"/>
    <w:rsid w:val="5D6B7EA3"/>
    <w:rsid w:val="5D7516D6"/>
    <w:rsid w:val="5D905B02"/>
    <w:rsid w:val="5D971653"/>
    <w:rsid w:val="5DB34680"/>
    <w:rsid w:val="5DB3C6B4"/>
    <w:rsid w:val="5DC8C774"/>
    <w:rsid w:val="5DC9D1DB"/>
    <w:rsid w:val="5DE2F804"/>
    <w:rsid w:val="5DE65A1C"/>
    <w:rsid w:val="5DE78E2C"/>
    <w:rsid w:val="5DFB018E"/>
    <w:rsid w:val="5E05F619"/>
    <w:rsid w:val="5E22CCD2"/>
    <w:rsid w:val="5E25DB91"/>
    <w:rsid w:val="5E5A5189"/>
    <w:rsid w:val="5E5B26BF"/>
    <w:rsid w:val="5E5D6037"/>
    <w:rsid w:val="5E6BEC08"/>
    <w:rsid w:val="5E6BEE6D"/>
    <w:rsid w:val="5E6CC135"/>
    <w:rsid w:val="5E708C42"/>
    <w:rsid w:val="5E82878D"/>
    <w:rsid w:val="5E836A0E"/>
    <w:rsid w:val="5E86C2F8"/>
    <w:rsid w:val="5E8AA3F2"/>
    <w:rsid w:val="5E8E4179"/>
    <w:rsid w:val="5E912DC2"/>
    <w:rsid w:val="5E918357"/>
    <w:rsid w:val="5E940043"/>
    <w:rsid w:val="5E958CDD"/>
    <w:rsid w:val="5EB0ED9A"/>
    <w:rsid w:val="5EB54A13"/>
    <w:rsid w:val="5EC56645"/>
    <w:rsid w:val="5ED5AB74"/>
    <w:rsid w:val="5EF2AA3D"/>
    <w:rsid w:val="5EF3AE6E"/>
    <w:rsid w:val="5EF461AC"/>
    <w:rsid w:val="5EF53B27"/>
    <w:rsid w:val="5EF6EED9"/>
    <w:rsid w:val="5EFFD385"/>
    <w:rsid w:val="5F049988"/>
    <w:rsid w:val="5F2B451E"/>
    <w:rsid w:val="5F36E096"/>
    <w:rsid w:val="5F39F63B"/>
    <w:rsid w:val="5F508F5B"/>
    <w:rsid w:val="5F54CEAA"/>
    <w:rsid w:val="5F55BAFC"/>
    <w:rsid w:val="5F5E0F77"/>
    <w:rsid w:val="5F681879"/>
    <w:rsid w:val="5F697831"/>
    <w:rsid w:val="5F765B6E"/>
    <w:rsid w:val="5F7794DE"/>
    <w:rsid w:val="5F851944"/>
    <w:rsid w:val="5F89486C"/>
    <w:rsid w:val="5F943B91"/>
    <w:rsid w:val="5F979171"/>
    <w:rsid w:val="5F99DF5F"/>
    <w:rsid w:val="5F9AB7A9"/>
    <w:rsid w:val="5F9DC3BE"/>
    <w:rsid w:val="5FD0540A"/>
    <w:rsid w:val="5FD78265"/>
    <w:rsid w:val="5FDFCAAF"/>
    <w:rsid w:val="5FEA2A41"/>
    <w:rsid w:val="5FED4EAE"/>
    <w:rsid w:val="60003464"/>
    <w:rsid w:val="60067DF7"/>
    <w:rsid w:val="60084BD1"/>
    <w:rsid w:val="601E8FDB"/>
    <w:rsid w:val="60243643"/>
    <w:rsid w:val="603142FD"/>
    <w:rsid w:val="603B1A71"/>
    <w:rsid w:val="6042F9D1"/>
    <w:rsid w:val="6046AAD1"/>
    <w:rsid w:val="60538160"/>
    <w:rsid w:val="6058A679"/>
    <w:rsid w:val="6066117E"/>
    <w:rsid w:val="6078BBF7"/>
    <w:rsid w:val="60794C76"/>
    <w:rsid w:val="60997DE6"/>
    <w:rsid w:val="609FF0F8"/>
    <w:rsid w:val="60A2C6FC"/>
    <w:rsid w:val="60B2BED0"/>
    <w:rsid w:val="60BDE797"/>
    <w:rsid w:val="60C4E717"/>
    <w:rsid w:val="60CD0B13"/>
    <w:rsid w:val="60DD0311"/>
    <w:rsid w:val="60E14073"/>
    <w:rsid w:val="60F20B7D"/>
    <w:rsid w:val="60FDA3E3"/>
    <w:rsid w:val="611B0378"/>
    <w:rsid w:val="6121A86B"/>
    <w:rsid w:val="61276323"/>
    <w:rsid w:val="613404F5"/>
    <w:rsid w:val="613FF41C"/>
    <w:rsid w:val="6140E987"/>
    <w:rsid w:val="6140F56A"/>
    <w:rsid w:val="6145F491"/>
    <w:rsid w:val="61474770"/>
    <w:rsid w:val="614AA2A8"/>
    <w:rsid w:val="615A1746"/>
    <w:rsid w:val="615ABB4D"/>
    <w:rsid w:val="6180FD5D"/>
    <w:rsid w:val="6181BBC2"/>
    <w:rsid w:val="618ACAFD"/>
    <w:rsid w:val="619702F8"/>
    <w:rsid w:val="61A6FA0D"/>
    <w:rsid w:val="61B06FED"/>
    <w:rsid w:val="61B28BAC"/>
    <w:rsid w:val="61BA42B4"/>
    <w:rsid w:val="61BF1BA4"/>
    <w:rsid w:val="61C4A238"/>
    <w:rsid w:val="61C916BB"/>
    <w:rsid w:val="61DFE581"/>
    <w:rsid w:val="61F42ECB"/>
    <w:rsid w:val="61F4F64F"/>
    <w:rsid w:val="61F64954"/>
    <w:rsid w:val="61F79A58"/>
    <w:rsid w:val="6210F426"/>
    <w:rsid w:val="6212963C"/>
    <w:rsid w:val="6222BE6B"/>
    <w:rsid w:val="622E62B4"/>
    <w:rsid w:val="622FD825"/>
    <w:rsid w:val="62330416"/>
    <w:rsid w:val="623B0DA0"/>
    <w:rsid w:val="624868F8"/>
    <w:rsid w:val="6249A957"/>
    <w:rsid w:val="625F6A63"/>
    <w:rsid w:val="6276F919"/>
    <w:rsid w:val="6284ED5B"/>
    <w:rsid w:val="6296A868"/>
    <w:rsid w:val="62B8F446"/>
    <w:rsid w:val="62BC5941"/>
    <w:rsid w:val="62BDDB71"/>
    <w:rsid w:val="62CDB297"/>
    <w:rsid w:val="62E44298"/>
    <w:rsid w:val="62EE09D9"/>
    <w:rsid w:val="62F97CAE"/>
    <w:rsid w:val="630AB0B0"/>
    <w:rsid w:val="630DBA0D"/>
    <w:rsid w:val="6317E474"/>
    <w:rsid w:val="631EBDAF"/>
    <w:rsid w:val="63264DBA"/>
    <w:rsid w:val="633733E2"/>
    <w:rsid w:val="6338B8E4"/>
    <w:rsid w:val="633CA81F"/>
    <w:rsid w:val="634D47BE"/>
    <w:rsid w:val="63508146"/>
    <w:rsid w:val="63531DA6"/>
    <w:rsid w:val="635C34C8"/>
    <w:rsid w:val="636F089B"/>
    <w:rsid w:val="636FC545"/>
    <w:rsid w:val="6378357E"/>
    <w:rsid w:val="6379F7FD"/>
    <w:rsid w:val="6383741A"/>
    <w:rsid w:val="63962A0A"/>
    <w:rsid w:val="63A027A9"/>
    <w:rsid w:val="63A15792"/>
    <w:rsid w:val="63ACAAE4"/>
    <w:rsid w:val="63B1C150"/>
    <w:rsid w:val="63D76FF4"/>
    <w:rsid w:val="63E530CD"/>
    <w:rsid w:val="63EDC1E7"/>
    <w:rsid w:val="63F2D12D"/>
    <w:rsid w:val="63F7240C"/>
    <w:rsid w:val="63FFE5A1"/>
    <w:rsid w:val="6407CFDC"/>
    <w:rsid w:val="640F52F9"/>
    <w:rsid w:val="64148AD6"/>
    <w:rsid w:val="641B6217"/>
    <w:rsid w:val="6427F3B2"/>
    <w:rsid w:val="64334167"/>
    <w:rsid w:val="64440E29"/>
    <w:rsid w:val="647A1386"/>
    <w:rsid w:val="64A6B968"/>
    <w:rsid w:val="64B7151D"/>
    <w:rsid w:val="64B94D21"/>
    <w:rsid w:val="64C72D82"/>
    <w:rsid w:val="64C9295A"/>
    <w:rsid w:val="64DEBC68"/>
    <w:rsid w:val="64EAEA57"/>
    <w:rsid w:val="64EBF8A3"/>
    <w:rsid w:val="64EBFBD9"/>
    <w:rsid w:val="6501F522"/>
    <w:rsid w:val="65067FBE"/>
    <w:rsid w:val="650DB856"/>
    <w:rsid w:val="6511224D"/>
    <w:rsid w:val="65149C2C"/>
    <w:rsid w:val="651E1498"/>
    <w:rsid w:val="652B7B9A"/>
    <w:rsid w:val="653CAD7F"/>
    <w:rsid w:val="65414626"/>
    <w:rsid w:val="655FC575"/>
    <w:rsid w:val="656624DB"/>
    <w:rsid w:val="657343A1"/>
    <w:rsid w:val="657E588A"/>
    <w:rsid w:val="657FAD65"/>
    <w:rsid w:val="65822B6C"/>
    <w:rsid w:val="6584EAF1"/>
    <w:rsid w:val="658A0297"/>
    <w:rsid w:val="658C8E88"/>
    <w:rsid w:val="6594938F"/>
    <w:rsid w:val="659CE3FD"/>
    <w:rsid w:val="659EE7EA"/>
    <w:rsid w:val="65A0D40C"/>
    <w:rsid w:val="65A2D98D"/>
    <w:rsid w:val="65CB4A75"/>
    <w:rsid w:val="65E1E011"/>
    <w:rsid w:val="65E2F02D"/>
    <w:rsid w:val="65E53BA6"/>
    <w:rsid w:val="65E79CCC"/>
    <w:rsid w:val="65EE3332"/>
    <w:rsid w:val="65F0FCDA"/>
    <w:rsid w:val="65FA0B4F"/>
    <w:rsid w:val="660CBDB6"/>
    <w:rsid w:val="66156FF8"/>
    <w:rsid w:val="6631CF61"/>
    <w:rsid w:val="6642B4D1"/>
    <w:rsid w:val="66471F22"/>
    <w:rsid w:val="66566B77"/>
    <w:rsid w:val="6661E5F2"/>
    <w:rsid w:val="6668A9B4"/>
    <w:rsid w:val="6677307B"/>
    <w:rsid w:val="667F5D36"/>
    <w:rsid w:val="6688633A"/>
    <w:rsid w:val="668FC249"/>
    <w:rsid w:val="66920A6F"/>
    <w:rsid w:val="66A2D21D"/>
    <w:rsid w:val="66AA9F1E"/>
    <w:rsid w:val="66B0080E"/>
    <w:rsid w:val="66C83666"/>
    <w:rsid w:val="66DC3B5B"/>
    <w:rsid w:val="66DC7749"/>
    <w:rsid w:val="67002FF9"/>
    <w:rsid w:val="671FED4A"/>
    <w:rsid w:val="67246F47"/>
    <w:rsid w:val="673DBB01"/>
    <w:rsid w:val="673EAA34"/>
    <w:rsid w:val="674EF0FC"/>
    <w:rsid w:val="67534B9B"/>
    <w:rsid w:val="675D2008"/>
    <w:rsid w:val="67644040"/>
    <w:rsid w:val="67671AAA"/>
    <w:rsid w:val="67710DA1"/>
    <w:rsid w:val="6771FE65"/>
    <w:rsid w:val="67A093AE"/>
    <w:rsid w:val="67A5C274"/>
    <w:rsid w:val="67BDD5A0"/>
    <w:rsid w:val="67CACD44"/>
    <w:rsid w:val="67D107C5"/>
    <w:rsid w:val="67DC5091"/>
    <w:rsid w:val="67EA007E"/>
    <w:rsid w:val="68226EA6"/>
    <w:rsid w:val="682634BA"/>
    <w:rsid w:val="6827099B"/>
    <w:rsid w:val="682C79F7"/>
    <w:rsid w:val="683DF686"/>
    <w:rsid w:val="686EC87F"/>
    <w:rsid w:val="686F6503"/>
    <w:rsid w:val="6879FB09"/>
    <w:rsid w:val="6880C842"/>
    <w:rsid w:val="68841C22"/>
    <w:rsid w:val="688BCC78"/>
    <w:rsid w:val="68A56C1E"/>
    <w:rsid w:val="68A69D5E"/>
    <w:rsid w:val="68B1A1F8"/>
    <w:rsid w:val="68B7C040"/>
    <w:rsid w:val="68BCFF6D"/>
    <w:rsid w:val="68C8E079"/>
    <w:rsid w:val="68D1999F"/>
    <w:rsid w:val="68E37C6F"/>
    <w:rsid w:val="68EE9EC2"/>
    <w:rsid w:val="6911BC3F"/>
    <w:rsid w:val="6916BEB4"/>
    <w:rsid w:val="69172BEA"/>
    <w:rsid w:val="6920E9AE"/>
    <w:rsid w:val="69293B65"/>
    <w:rsid w:val="69365334"/>
    <w:rsid w:val="69465A1F"/>
    <w:rsid w:val="694D148A"/>
    <w:rsid w:val="69505752"/>
    <w:rsid w:val="69527611"/>
    <w:rsid w:val="6953F11D"/>
    <w:rsid w:val="6961CD3B"/>
    <w:rsid w:val="697E9273"/>
    <w:rsid w:val="69885562"/>
    <w:rsid w:val="699108D2"/>
    <w:rsid w:val="69927D10"/>
    <w:rsid w:val="6999F94C"/>
    <w:rsid w:val="699CC2DE"/>
    <w:rsid w:val="69A2BB65"/>
    <w:rsid w:val="69AB8144"/>
    <w:rsid w:val="69B093A8"/>
    <w:rsid w:val="69B1569B"/>
    <w:rsid w:val="69B31D6B"/>
    <w:rsid w:val="69BABBAC"/>
    <w:rsid w:val="69C13B1A"/>
    <w:rsid w:val="69F9607B"/>
    <w:rsid w:val="6A09E6D6"/>
    <w:rsid w:val="6A382144"/>
    <w:rsid w:val="6A4A0123"/>
    <w:rsid w:val="6A4F01EB"/>
    <w:rsid w:val="6A634F3C"/>
    <w:rsid w:val="6A66CD52"/>
    <w:rsid w:val="6A71C2A6"/>
    <w:rsid w:val="6A720F6D"/>
    <w:rsid w:val="6A76833B"/>
    <w:rsid w:val="6A7A7636"/>
    <w:rsid w:val="6A88ADC1"/>
    <w:rsid w:val="6A9887A1"/>
    <w:rsid w:val="6A9CB3D6"/>
    <w:rsid w:val="6A9E6113"/>
    <w:rsid w:val="6AA0F889"/>
    <w:rsid w:val="6AAE68A1"/>
    <w:rsid w:val="6AC099FD"/>
    <w:rsid w:val="6AD6A679"/>
    <w:rsid w:val="6ADB424C"/>
    <w:rsid w:val="6AEC2833"/>
    <w:rsid w:val="6AF13DE0"/>
    <w:rsid w:val="6AF24821"/>
    <w:rsid w:val="6AF3D50E"/>
    <w:rsid w:val="6AF89E0E"/>
    <w:rsid w:val="6B0643A3"/>
    <w:rsid w:val="6B1F82DF"/>
    <w:rsid w:val="6B405EA1"/>
    <w:rsid w:val="6B4066C9"/>
    <w:rsid w:val="6B509767"/>
    <w:rsid w:val="6B65A795"/>
    <w:rsid w:val="6B666013"/>
    <w:rsid w:val="6B694E6C"/>
    <w:rsid w:val="6B8A5FF9"/>
    <w:rsid w:val="6B94BC29"/>
    <w:rsid w:val="6BAFAE7B"/>
    <w:rsid w:val="6BCDE2AF"/>
    <w:rsid w:val="6BF474B2"/>
    <w:rsid w:val="6BF5161C"/>
    <w:rsid w:val="6BFDCB10"/>
    <w:rsid w:val="6C02021E"/>
    <w:rsid w:val="6C067C31"/>
    <w:rsid w:val="6C0C13FB"/>
    <w:rsid w:val="6C0C9984"/>
    <w:rsid w:val="6C0D09AA"/>
    <w:rsid w:val="6C0ED0AD"/>
    <w:rsid w:val="6C1C85E0"/>
    <w:rsid w:val="6C42AAE3"/>
    <w:rsid w:val="6C491C20"/>
    <w:rsid w:val="6C532295"/>
    <w:rsid w:val="6C623714"/>
    <w:rsid w:val="6C74E589"/>
    <w:rsid w:val="6C7CBEBC"/>
    <w:rsid w:val="6C8A593A"/>
    <w:rsid w:val="6CA277F8"/>
    <w:rsid w:val="6CC9597F"/>
    <w:rsid w:val="6CCACF78"/>
    <w:rsid w:val="6CCB29C4"/>
    <w:rsid w:val="6CD48341"/>
    <w:rsid w:val="6CDF091C"/>
    <w:rsid w:val="6CE31330"/>
    <w:rsid w:val="6CF23C13"/>
    <w:rsid w:val="6CFCC840"/>
    <w:rsid w:val="6D0780C1"/>
    <w:rsid w:val="6D0AC849"/>
    <w:rsid w:val="6D0BF57B"/>
    <w:rsid w:val="6D1B402F"/>
    <w:rsid w:val="6D29F6E3"/>
    <w:rsid w:val="6D481673"/>
    <w:rsid w:val="6D4954B7"/>
    <w:rsid w:val="6D4DC578"/>
    <w:rsid w:val="6D54104E"/>
    <w:rsid w:val="6D65B396"/>
    <w:rsid w:val="6D6B3526"/>
    <w:rsid w:val="6D6DF7B7"/>
    <w:rsid w:val="6D7ECFDA"/>
    <w:rsid w:val="6D835FE9"/>
    <w:rsid w:val="6D83D4DC"/>
    <w:rsid w:val="6D88F28A"/>
    <w:rsid w:val="6D956F6F"/>
    <w:rsid w:val="6DAF5246"/>
    <w:rsid w:val="6DC3CB86"/>
    <w:rsid w:val="6DD36FAB"/>
    <w:rsid w:val="6DE48AB4"/>
    <w:rsid w:val="6DE4ED07"/>
    <w:rsid w:val="6DF121BD"/>
    <w:rsid w:val="6DF57BB0"/>
    <w:rsid w:val="6E04E9CB"/>
    <w:rsid w:val="6E11531A"/>
    <w:rsid w:val="6E12794C"/>
    <w:rsid w:val="6E19210D"/>
    <w:rsid w:val="6E2D2000"/>
    <w:rsid w:val="6E340CBC"/>
    <w:rsid w:val="6E5E60D9"/>
    <w:rsid w:val="6E63FC7C"/>
    <w:rsid w:val="6E6C7775"/>
    <w:rsid w:val="6E6EA238"/>
    <w:rsid w:val="6E6F5672"/>
    <w:rsid w:val="6E8254FB"/>
    <w:rsid w:val="6E83E7A0"/>
    <w:rsid w:val="6E845462"/>
    <w:rsid w:val="6E8838C9"/>
    <w:rsid w:val="6E94E94D"/>
    <w:rsid w:val="6EA4A1E3"/>
    <w:rsid w:val="6EB3BDAB"/>
    <w:rsid w:val="6EB7FA4D"/>
    <w:rsid w:val="6ECD6D5E"/>
    <w:rsid w:val="6EE87B51"/>
    <w:rsid w:val="6EEC548D"/>
    <w:rsid w:val="6EED9C8D"/>
    <w:rsid w:val="6EF59FAB"/>
    <w:rsid w:val="6EF850C8"/>
    <w:rsid w:val="6F0309BE"/>
    <w:rsid w:val="6F045D63"/>
    <w:rsid w:val="6F04D61E"/>
    <w:rsid w:val="6F21EAF9"/>
    <w:rsid w:val="6F27DA44"/>
    <w:rsid w:val="6F2BECE9"/>
    <w:rsid w:val="6F304214"/>
    <w:rsid w:val="6F320073"/>
    <w:rsid w:val="6F4F2AFE"/>
    <w:rsid w:val="6F4FAF2F"/>
    <w:rsid w:val="6F518368"/>
    <w:rsid w:val="6F54139C"/>
    <w:rsid w:val="6F63E282"/>
    <w:rsid w:val="6F6A32B2"/>
    <w:rsid w:val="6F727886"/>
    <w:rsid w:val="6F7A3BE0"/>
    <w:rsid w:val="6F810C61"/>
    <w:rsid w:val="6F8317E0"/>
    <w:rsid w:val="6F849F7F"/>
    <w:rsid w:val="6F917D93"/>
    <w:rsid w:val="6F99A366"/>
    <w:rsid w:val="6F9FF968"/>
    <w:rsid w:val="6FA893C7"/>
    <w:rsid w:val="6FA9F091"/>
    <w:rsid w:val="6FAF7552"/>
    <w:rsid w:val="6FB5323E"/>
    <w:rsid w:val="6FCE0180"/>
    <w:rsid w:val="6FEA165C"/>
    <w:rsid w:val="6FF20694"/>
    <w:rsid w:val="7009A84C"/>
    <w:rsid w:val="70161B6C"/>
    <w:rsid w:val="70165570"/>
    <w:rsid w:val="701A5DE2"/>
    <w:rsid w:val="7021FEA5"/>
    <w:rsid w:val="70338EC4"/>
    <w:rsid w:val="7033EA80"/>
    <w:rsid w:val="7046705F"/>
    <w:rsid w:val="7071223F"/>
    <w:rsid w:val="70750406"/>
    <w:rsid w:val="7082A5CA"/>
    <w:rsid w:val="7088AE9C"/>
    <w:rsid w:val="7093D72A"/>
    <w:rsid w:val="709797F7"/>
    <w:rsid w:val="70A4A089"/>
    <w:rsid w:val="70AD20B3"/>
    <w:rsid w:val="70B4FDDE"/>
    <w:rsid w:val="70C5859F"/>
    <w:rsid w:val="70C767AD"/>
    <w:rsid w:val="70E5EA7C"/>
    <w:rsid w:val="70E7E79A"/>
    <w:rsid w:val="70FC13E7"/>
    <w:rsid w:val="70FEA028"/>
    <w:rsid w:val="7114C5ED"/>
    <w:rsid w:val="711505FE"/>
    <w:rsid w:val="711AD99B"/>
    <w:rsid w:val="711C8771"/>
    <w:rsid w:val="711FF091"/>
    <w:rsid w:val="712235F8"/>
    <w:rsid w:val="71236866"/>
    <w:rsid w:val="712FC33C"/>
    <w:rsid w:val="7131F280"/>
    <w:rsid w:val="71349624"/>
    <w:rsid w:val="714BC943"/>
    <w:rsid w:val="7154AC71"/>
    <w:rsid w:val="715933CB"/>
    <w:rsid w:val="715A6E71"/>
    <w:rsid w:val="715C786A"/>
    <w:rsid w:val="715DE5AC"/>
    <w:rsid w:val="7162DAB9"/>
    <w:rsid w:val="716DF31D"/>
    <w:rsid w:val="7179C7A7"/>
    <w:rsid w:val="718CCFB5"/>
    <w:rsid w:val="718FC051"/>
    <w:rsid w:val="71BB5077"/>
    <w:rsid w:val="71CF5C89"/>
    <w:rsid w:val="71D3ADD6"/>
    <w:rsid w:val="71D5F1B9"/>
    <w:rsid w:val="71DC5AA3"/>
    <w:rsid w:val="71DD297A"/>
    <w:rsid w:val="71E338C4"/>
    <w:rsid w:val="71E5FBB5"/>
    <w:rsid w:val="71F0FFCF"/>
    <w:rsid w:val="71F735EC"/>
    <w:rsid w:val="7204E8FC"/>
    <w:rsid w:val="72060E1E"/>
    <w:rsid w:val="7207BDA3"/>
    <w:rsid w:val="720BEC6B"/>
    <w:rsid w:val="721195A5"/>
    <w:rsid w:val="72254AA8"/>
    <w:rsid w:val="72256D3B"/>
    <w:rsid w:val="722D0B59"/>
    <w:rsid w:val="7233EB5E"/>
    <w:rsid w:val="723604EE"/>
    <w:rsid w:val="7239B5A3"/>
    <w:rsid w:val="72427197"/>
    <w:rsid w:val="724706B9"/>
    <w:rsid w:val="7249FDA9"/>
    <w:rsid w:val="724E0707"/>
    <w:rsid w:val="725057D1"/>
    <w:rsid w:val="7267C0C6"/>
    <w:rsid w:val="7275AEF0"/>
    <w:rsid w:val="727997FE"/>
    <w:rsid w:val="727B58A0"/>
    <w:rsid w:val="72831E2B"/>
    <w:rsid w:val="7286664B"/>
    <w:rsid w:val="7288C8C9"/>
    <w:rsid w:val="728B4E74"/>
    <w:rsid w:val="728F7E42"/>
    <w:rsid w:val="7293EE90"/>
    <w:rsid w:val="729520D5"/>
    <w:rsid w:val="729EE021"/>
    <w:rsid w:val="72A203E7"/>
    <w:rsid w:val="72A2CA7D"/>
    <w:rsid w:val="72A6F03F"/>
    <w:rsid w:val="72AAE1F9"/>
    <w:rsid w:val="72B104C8"/>
    <w:rsid w:val="72B36E0C"/>
    <w:rsid w:val="72B8A20E"/>
    <w:rsid w:val="72C48860"/>
    <w:rsid w:val="72DC51B9"/>
    <w:rsid w:val="72E68707"/>
    <w:rsid w:val="72E7F523"/>
    <w:rsid w:val="72F3755F"/>
    <w:rsid w:val="72F9D98D"/>
    <w:rsid w:val="7300A5E3"/>
    <w:rsid w:val="732183BB"/>
    <w:rsid w:val="7342309B"/>
    <w:rsid w:val="73459C51"/>
    <w:rsid w:val="73465C2E"/>
    <w:rsid w:val="734F08B3"/>
    <w:rsid w:val="7352E963"/>
    <w:rsid w:val="73758369"/>
    <w:rsid w:val="7376726C"/>
    <w:rsid w:val="737C9E7D"/>
    <w:rsid w:val="737E1476"/>
    <w:rsid w:val="7383717E"/>
    <w:rsid w:val="7386895A"/>
    <w:rsid w:val="73AD8441"/>
    <w:rsid w:val="73AF0BF3"/>
    <w:rsid w:val="73B2EF20"/>
    <w:rsid w:val="73B63338"/>
    <w:rsid w:val="73C459B2"/>
    <w:rsid w:val="73DD8B67"/>
    <w:rsid w:val="73FCB647"/>
    <w:rsid w:val="73FCEB8C"/>
    <w:rsid w:val="73FD1E4F"/>
    <w:rsid w:val="740DC2DF"/>
    <w:rsid w:val="74157DBE"/>
    <w:rsid w:val="742A9C61"/>
    <w:rsid w:val="742CC343"/>
    <w:rsid w:val="74499D41"/>
    <w:rsid w:val="746B05B4"/>
    <w:rsid w:val="748B9B24"/>
    <w:rsid w:val="748BAA50"/>
    <w:rsid w:val="74979A21"/>
    <w:rsid w:val="74CE7787"/>
    <w:rsid w:val="74D0ED8F"/>
    <w:rsid w:val="74D20E54"/>
    <w:rsid w:val="74EA6170"/>
    <w:rsid w:val="74F97347"/>
    <w:rsid w:val="74FC7C17"/>
    <w:rsid w:val="7502D52C"/>
    <w:rsid w:val="7506AABA"/>
    <w:rsid w:val="7525E6C8"/>
    <w:rsid w:val="7541C2E4"/>
    <w:rsid w:val="7549BA15"/>
    <w:rsid w:val="755B5394"/>
    <w:rsid w:val="755D42CD"/>
    <w:rsid w:val="7566B022"/>
    <w:rsid w:val="7571BD21"/>
    <w:rsid w:val="7575A259"/>
    <w:rsid w:val="757633A6"/>
    <w:rsid w:val="757992DF"/>
    <w:rsid w:val="758DE3D9"/>
    <w:rsid w:val="75957DDF"/>
    <w:rsid w:val="75A63EEB"/>
    <w:rsid w:val="75AED91A"/>
    <w:rsid w:val="75B221C3"/>
    <w:rsid w:val="75B65F8D"/>
    <w:rsid w:val="75B6D9C3"/>
    <w:rsid w:val="75BFFB42"/>
    <w:rsid w:val="75C32B62"/>
    <w:rsid w:val="75E50B0C"/>
    <w:rsid w:val="75F13C2B"/>
    <w:rsid w:val="75F99D06"/>
    <w:rsid w:val="760D7F7C"/>
    <w:rsid w:val="760DF529"/>
    <w:rsid w:val="7614D36D"/>
    <w:rsid w:val="761687CA"/>
    <w:rsid w:val="7625B143"/>
    <w:rsid w:val="76364EED"/>
    <w:rsid w:val="764142BA"/>
    <w:rsid w:val="764F1CB5"/>
    <w:rsid w:val="765344AF"/>
    <w:rsid w:val="7655CE66"/>
    <w:rsid w:val="76572AA5"/>
    <w:rsid w:val="7657B3E6"/>
    <w:rsid w:val="765BE601"/>
    <w:rsid w:val="767EE7D2"/>
    <w:rsid w:val="76833685"/>
    <w:rsid w:val="76868402"/>
    <w:rsid w:val="7688307B"/>
    <w:rsid w:val="76926870"/>
    <w:rsid w:val="769D8A48"/>
    <w:rsid w:val="76A18FF8"/>
    <w:rsid w:val="76A8B984"/>
    <w:rsid w:val="76AF8811"/>
    <w:rsid w:val="76B6A2C2"/>
    <w:rsid w:val="76BA6D1A"/>
    <w:rsid w:val="76C504BD"/>
    <w:rsid w:val="76C99711"/>
    <w:rsid w:val="76D2F973"/>
    <w:rsid w:val="76D578C4"/>
    <w:rsid w:val="76D75BA0"/>
    <w:rsid w:val="77102414"/>
    <w:rsid w:val="771224E3"/>
    <w:rsid w:val="7714213A"/>
    <w:rsid w:val="77159FF0"/>
    <w:rsid w:val="771A3749"/>
    <w:rsid w:val="772940B1"/>
    <w:rsid w:val="7749D4C0"/>
    <w:rsid w:val="774B7507"/>
    <w:rsid w:val="774C549D"/>
    <w:rsid w:val="7753E89C"/>
    <w:rsid w:val="77557461"/>
    <w:rsid w:val="7760A253"/>
    <w:rsid w:val="7776314A"/>
    <w:rsid w:val="7777F960"/>
    <w:rsid w:val="7781A81C"/>
    <w:rsid w:val="7788EC16"/>
    <w:rsid w:val="77914B26"/>
    <w:rsid w:val="7796EB88"/>
    <w:rsid w:val="779DA27C"/>
    <w:rsid w:val="77A39DF9"/>
    <w:rsid w:val="77AAD117"/>
    <w:rsid w:val="77AC4FA0"/>
    <w:rsid w:val="77B2B3A2"/>
    <w:rsid w:val="77B5EB76"/>
    <w:rsid w:val="77B9EFE3"/>
    <w:rsid w:val="77BB3E7C"/>
    <w:rsid w:val="77CC85C3"/>
    <w:rsid w:val="77D60DC1"/>
    <w:rsid w:val="77E2785D"/>
    <w:rsid w:val="77EAFE85"/>
    <w:rsid w:val="77EDECEA"/>
    <w:rsid w:val="77EF33BE"/>
    <w:rsid w:val="77F75214"/>
    <w:rsid w:val="77FACE35"/>
    <w:rsid w:val="78025018"/>
    <w:rsid w:val="78030510"/>
    <w:rsid w:val="78047585"/>
    <w:rsid w:val="7804CD52"/>
    <w:rsid w:val="780B0E5A"/>
    <w:rsid w:val="7813B8B9"/>
    <w:rsid w:val="782E6884"/>
    <w:rsid w:val="782EC158"/>
    <w:rsid w:val="7833F6D9"/>
    <w:rsid w:val="7834F7F7"/>
    <w:rsid w:val="7837017E"/>
    <w:rsid w:val="78429B3F"/>
    <w:rsid w:val="784BAAEC"/>
    <w:rsid w:val="784D810C"/>
    <w:rsid w:val="784E48B4"/>
    <w:rsid w:val="784FA541"/>
    <w:rsid w:val="7850035A"/>
    <w:rsid w:val="7856495E"/>
    <w:rsid w:val="7857BAFA"/>
    <w:rsid w:val="787FAD12"/>
    <w:rsid w:val="7882A231"/>
    <w:rsid w:val="7882F0C4"/>
    <w:rsid w:val="7886778E"/>
    <w:rsid w:val="78906A34"/>
    <w:rsid w:val="7899E014"/>
    <w:rsid w:val="789E0B2A"/>
    <w:rsid w:val="78A80227"/>
    <w:rsid w:val="78B6AC3C"/>
    <w:rsid w:val="78BC9200"/>
    <w:rsid w:val="78C40584"/>
    <w:rsid w:val="78EFAD09"/>
    <w:rsid w:val="78F49657"/>
    <w:rsid w:val="78F498A4"/>
    <w:rsid w:val="78FB3676"/>
    <w:rsid w:val="78FB9C04"/>
    <w:rsid w:val="79047F90"/>
    <w:rsid w:val="7906BC7A"/>
    <w:rsid w:val="790AF1A1"/>
    <w:rsid w:val="7912C68B"/>
    <w:rsid w:val="79192114"/>
    <w:rsid w:val="791B8792"/>
    <w:rsid w:val="791B93C2"/>
    <w:rsid w:val="791BF004"/>
    <w:rsid w:val="79236F87"/>
    <w:rsid w:val="793058E0"/>
    <w:rsid w:val="79469673"/>
    <w:rsid w:val="794E08A1"/>
    <w:rsid w:val="795143F7"/>
    <w:rsid w:val="7955A1E5"/>
    <w:rsid w:val="796AAF7F"/>
    <w:rsid w:val="796F0BF9"/>
    <w:rsid w:val="79871208"/>
    <w:rsid w:val="79928369"/>
    <w:rsid w:val="79955D05"/>
    <w:rsid w:val="7995E534"/>
    <w:rsid w:val="799A873B"/>
    <w:rsid w:val="79A555B5"/>
    <w:rsid w:val="79BB4E26"/>
    <w:rsid w:val="79BE1BF1"/>
    <w:rsid w:val="79CBC9C6"/>
    <w:rsid w:val="79CF7D15"/>
    <w:rsid w:val="79D2191B"/>
    <w:rsid w:val="79E6AF59"/>
    <w:rsid w:val="79EF6311"/>
    <w:rsid w:val="79F537BA"/>
    <w:rsid w:val="7A09A072"/>
    <w:rsid w:val="7A23659E"/>
    <w:rsid w:val="7A2877EF"/>
    <w:rsid w:val="7A28D646"/>
    <w:rsid w:val="7A28E05E"/>
    <w:rsid w:val="7A2D8CCA"/>
    <w:rsid w:val="7A34542D"/>
    <w:rsid w:val="7A3AD052"/>
    <w:rsid w:val="7A4BA178"/>
    <w:rsid w:val="7A4D1765"/>
    <w:rsid w:val="7A515070"/>
    <w:rsid w:val="7A5AAF1C"/>
    <w:rsid w:val="7A657043"/>
    <w:rsid w:val="7A6793EE"/>
    <w:rsid w:val="7A6B9F7B"/>
    <w:rsid w:val="7A704097"/>
    <w:rsid w:val="7A7852FD"/>
    <w:rsid w:val="7A83F138"/>
    <w:rsid w:val="7A96641C"/>
    <w:rsid w:val="7A9D928E"/>
    <w:rsid w:val="7AB15A20"/>
    <w:rsid w:val="7AD483A8"/>
    <w:rsid w:val="7ADA3802"/>
    <w:rsid w:val="7ADCE460"/>
    <w:rsid w:val="7AE1C904"/>
    <w:rsid w:val="7AEBDDB6"/>
    <w:rsid w:val="7AEEA716"/>
    <w:rsid w:val="7AF091C5"/>
    <w:rsid w:val="7AF577CD"/>
    <w:rsid w:val="7B026A5E"/>
    <w:rsid w:val="7B0273C0"/>
    <w:rsid w:val="7B073BB7"/>
    <w:rsid w:val="7B0784B1"/>
    <w:rsid w:val="7B1E85B7"/>
    <w:rsid w:val="7B20C732"/>
    <w:rsid w:val="7B2FBB71"/>
    <w:rsid w:val="7B31275B"/>
    <w:rsid w:val="7B3617AA"/>
    <w:rsid w:val="7B376BE8"/>
    <w:rsid w:val="7B388996"/>
    <w:rsid w:val="7B4C6794"/>
    <w:rsid w:val="7B6F3066"/>
    <w:rsid w:val="7B7C31B2"/>
    <w:rsid w:val="7B8E71CF"/>
    <w:rsid w:val="7B9A854B"/>
    <w:rsid w:val="7B9B1C48"/>
    <w:rsid w:val="7BA89984"/>
    <w:rsid w:val="7BA944A0"/>
    <w:rsid w:val="7BAEDE6A"/>
    <w:rsid w:val="7BB3DCE8"/>
    <w:rsid w:val="7BB76AF8"/>
    <w:rsid w:val="7BBCC934"/>
    <w:rsid w:val="7BBDC728"/>
    <w:rsid w:val="7BBE0D25"/>
    <w:rsid w:val="7BC00B72"/>
    <w:rsid w:val="7BC7420D"/>
    <w:rsid w:val="7BCEFBFC"/>
    <w:rsid w:val="7BD9EA0C"/>
    <w:rsid w:val="7BDC9AFD"/>
    <w:rsid w:val="7BF83153"/>
    <w:rsid w:val="7BF920BB"/>
    <w:rsid w:val="7C04B4CE"/>
    <w:rsid w:val="7C0C59DB"/>
    <w:rsid w:val="7C0F296D"/>
    <w:rsid w:val="7C136A22"/>
    <w:rsid w:val="7C20F354"/>
    <w:rsid w:val="7C245CF1"/>
    <w:rsid w:val="7C2D01FF"/>
    <w:rsid w:val="7C408883"/>
    <w:rsid w:val="7C62C3AF"/>
    <w:rsid w:val="7C65790A"/>
    <w:rsid w:val="7C684CDA"/>
    <w:rsid w:val="7C6FC0F1"/>
    <w:rsid w:val="7C75A5A7"/>
    <w:rsid w:val="7C7741DD"/>
    <w:rsid w:val="7C89725C"/>
    <w:rsid w:val="7C8EBFFF"/>
    <w:rsid w:val="7C9DF4A7"/>
    <w:rsid w:val="7CA20C84"/>
    <w:rsid w:val="7CA2F2A0"/>
    <w:rsid w:val="7CA3FB2F"/>
    <w:rsid w:val="7CAA2DF8"/>
    <w:rsid w:val="7CAAF572"/>
    <w:rsid w:val="7CB61F96"/>
    <w:rsid w:val="7CB7CC35"/>
    <w:rsid w:val="7CBA1AEF"/>
    <w:rsid w:val="7CBBBE65"/>
    <w:rsid w:val="7CC709D6"/>
    <w:rsid w:val="7CC892E9"/>
    <w:rsid w:val="7CE818F3"/>
    <w:rsid w:val="7CF87CEA"/>
    <w:rsid w:val="7D0263C1"/>
    <w:rsid w:val="7D0AD2EC"/>
    <w:rsid w:val="7D0B662D"/>
    <w:rsid w:val="7D0D9B58"/>
    <w:rsid w:val="7D0DFA89"/>
    <w:rsid w:val="7D11D041"/>
    <w:rsid w:val="7D145D2E"/>
    <w:rsid w:val="7D18E72D"/>
    <w:rsid w:val="7D1B5649"/>
    <w:rsid w:val="7D2B0B05"/>
    <w:rsid w:val="7D329982"/>
    <w:rsid w:val="7D488DB1"/>
    <w:rsid w:val="7D61635C"/>
    <w:rsid w:val="7D6F617C"/>
    <w:rsid w:val="7D774DD0"/>
    <w:rsid w:val="7D7B811B"/>
    <w:rsid w:val="7D8AFF12"/>
    <w:rsid w:val="7D922478"/>
    <w:rsid w:val="7D982771"/>
    <w:rsid w:val="7D9EFA2B"/>
    <w:rsid w:val="7D9FA9F9"/>
    <w:rsid w:val="7DA302D4"/>
    <w:rsid w:val="7DA31DCD"/>
    <w:rsid w:val="7DAAD94A"/>
    <w:rsid w:val="7DAD135F"/>
    <w:rsid w:val="7DB1E06A"/>
    <w:rsid w:val="7DCF557A"/>
    <w:rsid w:val="7DD32BEE"/>
    <w:rsid w:val="7DD3E12D"/>
    <w:rsid w:val="7DE66FB9"/>
    <w:rsid w:val="7DF2A9DD"/>
    <w:rsid w:val="7DFF139A"/>
    <w:rsid w:val="7E0A94C6"/>
    <w:rsid w:val="7E25AFE7"/>
    <w:rsid w:val="7E2B34B0"/>
    <w:rsid w:val="7E347F40"/>
    <w:rsid w:val="7E3E529D"/>
    <w:rsid w:val="7E48297A"/>
    <w:rsid w:val="7E5E4A4E"/>
    <w:rsid w:val="7E5FB754"/>
    <w:rsid w:val="7E756634"/>
    <w:rsid w:val="7E823CC7"/>
    <w:rsid w:val="7E87E874"/>
    <w:rsid w:val="7E8D2926"/>
    <w:rsid w:val="7E9B20C8"/>
    <w:rsid w:val="7EABE7A4"/>
    <w:rsid w:val="7EAD47D8"/>
    <w:rsid w:val="7EB8C418"/>
    <w:rsid w:val="7EC854DB"/>
    <w:rsid w:val="7EC91565"/>
    <w:rsid w:val="7EDBF4E3"/>
    <w:rsid w:val="7EE43B0B"/>
    <w:rsid w:val="7F02B0D5"/>
    <w:rsid w:val="7F0D3847"/>
    <w:rsid w:val="7F1A1254"/>
    <w:rsid w:val="7F1BBA28"/>
    <w:rsid w:val="7F26C564"/>
    <w:rsid w:val="7F3085B1"/>
    <w:rsid w:val="7F382032"/>
    <w:rsid w:val="7F3E3585"/>
    <w:rsid w:val="7F46647D"/>
    <w:rsid w:val="7F6C5D8F"/>
    <w:rsid w:val="7F6E02B0"/>
    <w:rsid w:val="7F77F09B"/>
    <w:rsid w:val="7F7F282B"/>
    <w:rsid w:val="7F7F56E6"/>
    <w:rsid w:val="7F8A2219"/>
    <w:rsid w:val="7F9D7D8F"/>
    <w:rsid w:val="7F9DBC73"/>
    <w:rsid w:val="7FAC6E37"/>
    <w:rsid w:val="7FB77FB8"/>
    <w:rsid w:val="7FC1863A"/>
    <w:rsid w:val="7FDA03A1"/>
    <w:rsid w:val="7FDBD58D"/>
    <w:rsid w:val="7FF9427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style="mso-position-vertical-relative:page;v-text-anchor:bottom" fill="f" fillcolor="white" stroke="f">
      <v:fill color="white" on="f"/>
      <v:stroke on="f"/>
      <v:textbox inset="0,0,0,0"/>
      <o:colormru v:ext="edit" colors="#ddd,#f8f8f8"/>
    </o:shapedefaults>
    <o:shapelayout v:ext="edit">
      <o:idmap v:ext="edit" data="1"/>
    </o:shapelayout>
  </w:shapeDefaults>
  <w:decimalSymbol w:val="."/>
  <w:listSeparator w:val=","/>
  <w14:docId w14:val="77F844F5"/>
  <w15:docId w15:val="{C379CFFE-810A-459E-8CCB-E6DE3FA23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unhideWhenUsed="1" w:qFormat="1"/>
    <w:lsdException w:name="heading 4" w:uiPriority="1" w:unhideWhenUsed="1" w:qFormat="1"/>
    <w:lsdException w:name="heading 5" w:uiPriority="1" w:unhideWhenUsed="1" w:qFormat="1"/>
    <w:lsdException w:name="heading 6" w:unhideWhenUsed="1" w:qFormat="1"/>
    <w:lsdException w:name="heading 7" w:unhideWhenUsed="1" w:qFormat="1"/>
    <w:lsdException w:name="heading 8" w:unhideWhenUsed="1" w:qFormat="1"/>
    <w:lsdException w:name="heading 9" w:uiPriority="10"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locked="1" w:semiHidden="1" w:unhideWhenUsed="1"/>
    <w:lsdException w:name="footnote text" w:locked="1" w:semiHidden="1" w:uiPriority="9"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4"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nhideWhenUsed="1"/>
    <w:lsdException w:name="TOC Heading" w:semiHidden="1" w:uiPriority="1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238F"/>
    <w:rPr>
      <w:rFonts w:ascii="Times New Roman" w:eastAsia="Times New Roman" w:hAnsi="Times New Roman"/>
      <w:sz w:val="24"/>
      <w:szCs w:val="24"/>
    </w:rPr>
  </w:style>
  <w:style w:type="paragraph" w:styleId="Heading1">
    <w:name w:val="heading 1"/>
    <w:next w:val="BodyText"/>
    <w:link w:val="Heading1Char"/>
    <w:uiPriority w:val="1"/>
    <w:qFormat/>
    <w:rsid w:val="00DC2413"/>
    <w:pPr>
      <w:keepNext/>
      <w:keepLines/>
      <w:pageBreakBefore/>
      <w:numPr>
        <w:numId w:val="11"/>
      </w:numPr>
      <w:tabs>
        <w:tab w:val="left" w:pos="1134"/>
      </w:tabs>
      <w:spacing w:after="960" w:line="480" w:lineRule="exact"/>
      <w:outlineLvl w:val="0"/>
    </w:pPr>
    <w:rPr>
      <w:rFonts w:eastAsiaTheme="majorEastAsia" w:cstheme="majorBidi"/>
      <w:b/>
      <w:bCs/>
      <w:color w:val="00313C" w:themeColor="accent2"/>
      <w:sz w:val="44"/>
      <w:szCs w:val="28"/>
    </w:rPr>
  </w:style>
  <w:style w:type="paragraph" w:styleId="Heading2">
    <w:name w:val="heading 2"/>
    <w:basedOn w:val="Heading1"/>
    <w:next w:val="BodyText"/>
    <w:link w:val="Heading2Char"/>
    <w:uiPriority w:val="1"/>
    <w:qFormat/>
    <w:rsid w:val="00A90F41"/>
    <w:pPr>
      <w:pageBreakBefore w:val="0"/>
      <w:numPr>
        <w:ilvl w:val="1"/>
      </w:numPr>
      <w:spacing w:before="360" w:after="240" w:line="240" w:lineRule="auto"/>
      <w:outlineLvl w:val="1"/>
    </w:pPr>
    <w:rPr>
      <w:b w:val="0"/>
      <w:sz w:val="32"/>
      <w:szCs w:val="26"/>
    </w:rPr>
  </w:style>
  <w:style w:type="paragraph" w:styleId="Heading3">
    <w:name w:val="heading 3"/>
    <w:basedOn w:val="Heading2"/>
    <w:next w:val="BodyText"/>
    <w:link w:val="Heading3Char"/>
    <w:uiPriority w:val="1"/>
    <w:qFormat/>
    <w:rsid w:val="00E71F2C"/>
    <w:pPr>
      <w:numPr>
        <w:ilvl w:val="2"/>
      </w:numPr>
      <w:outlineLvl w:val="2"/>
    </w:pPr>
    <w:rPr>
      <w:b/>
      <w:color w:val="auto"/>
      <w:sz w:val="26"/>
    </w:rPr>
  </w:style>
  <w:style w:type="paragraph" w:styleId="Heading4">
    <w:name w:val="heading 4"/>
    <w:basedOn w:val="Heading3"/>
    <w:next w:val="BodyText"/>
    <w:link w:val="Heading4Char"/>
    <w:uiPriority w:val="1"/>
    <w:qFormat/>
    <w:rsid w:val="00D1044D"/>
    <w:pPr>
      <w:numPr>
        <w:ilvl w:val="0"/>
        <w:numId w:val="0"/>
      </w:numPr>
      <w:spacing w:before="240" w:after="120"/>
      <w:outlineLvl w:val="3"/>
    </w:pPr>
    <w:rPr>
      <w:iCs/>
      <w:color w:val="007E9A" w:themeColor="accent1" w:themeShade="BF"/>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rPr>
  </w:style>
  <w:style w:type="paragraph" w:styleId="Heading9">
    <w:name w:val="heading 9"/>
    <w:aliases w:val="Appendix Heading 1"/>
    <w:basedOn w:val="AppendixHeading1base"/>
    <w:next w:val="BodyText"/>
    <w:link w:val="Heading9Char"/>
    <w:uiPriority w:val="10"/>
    <w:locked/>
    <w:rsid w:val="00D1044D"/>
    <w:pPr>
      <w:spacing w:after="1080"/>
      <w:outlineLvl w:val="8"/>
    </w:pPr>
    <w:rPr>
      <w:color w:val="00313C"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DC2413"/>
    <w:rPr>
      <w:rFonts w:eastAsiaTheme="majorEastAsia" w:cstheme="majorBidi"/>
      <w:b/>
      <w:bCs/>
      <w:color w:val="00313C" w:themeColor="accent2"/>
      <w:sz w:val="44"/>
      <w:szCs w:val="28"/>
    </w:rPr>
  </w:style>
  <w:style w:type="character" w:customStyle="1" w:styleId="Heading2Char">
    <w:name w:val="Heading 2 Char"/>
    <w:basedOn w:val="DefaultParagraphFont"/>
    <w:link w:val="Heading2"/>
    <w:uiPriority w:val="1"/>
    <w:locked/>
    <w:rsid w:val="00A90F41"/>
    <w:rPr>
      <w:rFonts w:eastAsiaTheme="majorEastAsia" w:cstheme="majorBidi"/>
      <w:bCs/>
      <w:color w:val="00313C"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D1044D"/>
    <w:rPr>
      <w:rFonts w:eastAsiaTheme="majorEastAsia" w:cstheme="majorBidi"/>
      <w:b/>
      <w:bCs/>
      <w:iCs/>
      <w:color w:val="007E9A" w:themeColor="accent1" w:themeShade="BF"/>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D1044D"/>
    <w:rPr>
      <w:rFonts w:eastAsiaTheme="majorEastAsia" w:cstheme="majorBidi"/>
      <w:b/>
      <w:bCs/>
      <w:color w:val="00313C" w:themeColor="accent2"/>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DC2413"/>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locked/>
    <w:rsid w:val="00DC2413"/>
    <w:rPr>
      <w:rFonts w:eastAsia="Calibri"/>
      <w:sz w:val="16"/>
    </w:rPr>
  </w:style>
  <w:style w:type="paragraph" w:styleId="BalloonText">
    <w:name w:val="Balloon Text"/>
    <w:basedOn w:val="Normal"/>
    <w:link w:val="BalloonTextChar"/>
    <w:uiPriority w:val="99"/>
    <w:semiHidden/>
    <w:locked/>
    <w:rsid w:val="00064612"/>
    <w:rPr>
      <w:rFonts w:ascii="Tahoma" w:hAnsi="Tahoma" w:cs="Tahoma"/>
      <w:sz w:val="16"/>
      <w:szCs w:val="16"/>
    </w:rPr>
  </w:style>
  <w:style w:type="paragraph" w:styleId="ListBullet">
    <w:name w:val="List Bullet"/>
    <w:basedOn w:val="BodyText"/>
    <w:next w:val="BodyText"/>
    <w:uiPriority w:val="2"/>
    <w:qFormat/>
    <w:rsid w:val="00D349D1"/>
    <w:pPr>
      <w:numPr>
        <w:numId w:val="4"/>
      </w:numPr>
      <w:tabs>
        <w:tab w:val="num" w:pos="199"/>
        <w:tab w:val="left" w:pos="397"/>
      </w:tabs>
      <w:spacing w:before="60" w:after="60"/>
    </w:pPr>
  </w:style>
  <w:style w:type="paragraph" w:styleId="ListNumber">
    <w:name w:val="List Number"/>
    <w:basedOn w:val="BodyText"/>
    <w:next w:val="BodyText"/>
    <w:uiPriority w:val="2"/>
    <w:qFormat/>
    <w:rsid w:val="00D349D1"/>
    <w:pPr>
      <w:numPr>
        <w:numId w:val="8"/>
      </w:numPr>
      <w:tabs>
        <w:tab w:val="left" w:pos="397"/>
      </w:tabs>
    </w:pPr>
  </w:style>
  <w:style w:type="paragraph" w:styleId="ListBullet2">
    <w:name w:val="List Bullet 2"/>
    <w:basedOn w:val="ListBullet"/>
    <w:next w:val="BodyText"/>
    <w:uiPriority w:val="2"/>
    <w:qFormat/>
    <w:rsid w:val="00D349D1"/>
    <w:pPr>
      <w:numPr>
        <w:numId w:val="0"/>
      </w:numPr>
      <w:tabs>
        <w:tab w:val="clear" w:pos="397"/>
        <w:tab w:val="left" w:pos="794"/>
        <w:tab w:val="num" w:pos="1209"/>
      </w:tabs>
      <w:ind w:left="794" w:hanging="357"/>
    </w:pPr>
  </w:style>
  <w:style w:type="paragraph" w:styleId="TOC1">
    <w:name w:val="toc 1"/>
    <w:basedOn w:val="BodyText"/>
    <w:next w:val="TOC2"/>
    <w:uiPriority w:val="39"/>
    <w:unhideWhenUsed/>
    <w:rsid w:val="00DC2413"/>
    <w:pPr>
      <w:pBdr>
        <w:top w:val="single" w:sz="4" w:space="1" w:color="00313C" w:themeColor="accent2"/>
        <w:left w:val="single" w:sz="4" w:space="4" w:color="00313C" w:themeColor="accent2"/>
        <w:bottom w:val="single" w:sz="4" w:space="1" w:color="00313C" w:themeColor="accent2"/>
        <w:right w:val="single" w:sz="4" w:space="4" w:color="00313C" w:themeColor="accent2"/>
      </w:pBdr>
      <w:shd w:val="clear" w:color="auto" w:fill="00313C" w:themeFill="accent2"/>
      <w:tabs>
        <w:tab w:val="left" w:pos="737"/>
        <w:tab w:val="right" w:pos="9639"/>
      </w:tabs>
      <w:spacing w:before="240" w:after="180"/>
    </w:pPr>
    <w:rPr>
      <w:b/>
      <w:noProof/>
      <w:color w:val="FFFFFF"/>
    </w:rPr>
  </w:style>
  <w:style w:type="paragraph" w:styleId="TOC2">
    <w:name w:val="toc 2"/>
    <w:basedOn w:val="BodyText"/>
    <w:uiPriority w:val="39"/>
    <w:unhideWhenUsed/>
    <w:rsid w:val="00A23FE4"/>
    <w:pPr>
      <w:tabs>
        <w:tab w:val="left" w:pos="737"/>
        <w:tab w:val="left" w:pos="1531"/>
        <w:tab w:val="right" w:leader="dot" w:pos="9639"/>
      </w:tabs>
      <w:ind w:right="284"/>
    </w:pPr>
    <w:rPr>
      <w:noProof/>
      <w:color w:val="00313C" w:themeColor="accent2"/>
    </w:rPr>
  </w:style>
  <w:style w:type="table" w:styleId="TableGrid">
    <w:name w:val="Table Grid"/>
    <w:basedOn w:val="TableNormal"/>
    <w:uiPriority w:val="3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rsid w:val="00A23FE4"/>
    <w:pPr>
      <w:tabs>
        <w:tab w:val="left" w:pos="1531"/>
        <w:tab w:val="right" w:leader="dot" w:pos="9639"/>
      </w:tabs>
      <w:spacing w:before="60"/>
      <w:ind w:left="737" w:right="284"/>
    </w:pPr>
    <w:rPr>
      <w:color w:val="00313C" w:themeColor="accent2"/>
    </w:rPr>
  </w:style>
  <w:style w:type="paragraph" w:customStyle="1" w:styleId="CoverTitle">
    <w:name w:val="CoverTitle"/>
    <w:next w:val="CoverSubtitle"/>
    <w:uiPriority w:val="12"/>
    <w:qFormat/>
    <w:rsid w:val="00F76488"/>
    <w:pPr>
      <w:spacing w:after="170" w:line="216" w:lineRule="auto"/>
    </w:pPr>
    <w:rPr>
      <w:rFonts w:eastAsiaTheme="majorEastAsia" w:cstheme="majorBidi"/>
      <w:b/>
      <w:color w:val="00313C" w:themeColor="accent2"/>
      <w:spacing w:val="5"/>
      <w:kern w:val="28"/>
      <w:sz w:val="80"/>
      <w:szCs w:val="52"/>
    </w:rPr>
  </w:style>
  <w:style w:type="paragraph" w:customStyle="1" w:styleId="PartTitle">
    <w:name w:val="PartTitle"/>
    <w:next w:val="PartSubtitle"/>
    <w:uiPriority w:val="15"/>
    <w:qFormat/>
    <w:rsid w:val="004E5109"/>
    <w:pPr>
      <w:keepNext/>
      <w:tabs>
        <w:tab w:val="left" w:pos="2552"/>
      </w:tabs>
      <w:ind w:left="2552" w:hanging="2552"/>
      <w:outlineLvl w:val="0"/>
    </w:pPr>
    <w:rPr>
      <w:rFonts w:eastAsia="Calibri"/>
      <w:b/>
      <w:color w:val="007E9A" w:themeColor="accent1" w:themeShade="BF"/>
      <w:sz w:val="80"/>
    </w:rPr>
  </w:style>
  <w:style w:type="paragraph" w:customStyle="1" w:styleId="PartSubtitle">
    <w:name w:val="PartSubtitle"/>
    <w:basedOn w:val="PartTitle"/>
    <w:next w:val="BodyText"/>
    <w:uiPriority w:val="15"/>
    <w:qFormat/>
    <w:rsid w:val="00D1044D"/>
    <w:pPr>
      <w:spacing w:before="360" w:after="240" w:line="340" w:lineRule="atLeast"/>
      <w:outlineLvl w:val="9"/>
    </w:pPr>
    <w:rPr>
      <w:b w:val="0"/>
      <w:color w:val="00313C"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2"/>
    <w:rsid w:val="00D349D1"/>
    <w:pPr>
      <w:numPr>
        <w:numId w:val="13"/>
      </w:numPr>
      <w:tabs>
        <w:tab w:val="clear" w:pos="794"/>
        <w:tab w:val="left" w:pos="851"/>
      </w:tabs>
      <w:ind w:left="1497" w:hanging="340"/>
    </w:pPr>
  </w:style>
  <w:style w:type="paragraph" w:styleId="FootnoteText">
    <w:name w:val="footnote text"/>
    <w:basedOn w:val="BodyText"/>
    <w:link w:val="FootnoteTextChar"/>
    <w:uiPriority w:val="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link w:val="FigureTableSourceChar"/>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DC2413"/>
    <w:pPr>
      <w:spacing w:before="60" w:after="60"/>
    </w:pPr>
    <w:rPr>
      <w:sz w:val="18"/>
    </w:rPr>
  </w:style>
  <w:style w:type="paragraph" w:customStyle="1" w:styleId="TableBullet">
    <w:name w:val="TableBullet"/>
    <w:basedOn w:val="TableText"/>
    <w:next w:val="TableText"/>
    <w:uiPriority w:val="5"/>
    <w:qFormat/>
    <w:rsid w:val="006131D3"/>
    <w:pPr>
      <w:tabs>
        <w:tab w:val="num" w:pos="170"/>
      </w:tabs>
      <w:ind w:left="170" w:hanging="170"/>
    </w:pPr>
  </w:style>
  <w:style w:type="paragraph" w:customStyle="1" w:styleId="RowHeading">
    <w:name w:val="RowHeading"/>
    <w:basedOn w:val="TableText"/>
    <w:next w:val="TableText"/>
    <w:uiPriority w:val="5"/>
    <w:qFormat/>
    <w:rsid w:val="00FB6C47"/>
    <w:rPr>
      <w:b/>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24666C"/>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DC2413"/>
    <w:pPr>
      <w:spacing w:before="360" w:after="60"/>
    </w:pPr>
    <w:rPr>
      <w:rFonts w:eastAsia="Calibri"/>
      <w:caps/>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19"/>
    <w:semiHidden/>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8631BE"/>
    <w:rPr>
      <w:rFonts w:cs="Times New Roman"/>
      <w:color w:val="007E9A" w:themeColor="accent1" w:themeShade="BF"/>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link w:val="CaptionChar"/>
    <w:uiPriority w:val="4"/>
    <w:qFormat/>
    <w:rsid w:val="00B26878"/>
    <w:pPr>
      <w:keepNext/>
      <w:spacing w:before="180" w:after="180"/>
      <w:contextualSpacing/>
    </w:pPr>
    <w:rPr>
      <w:b/>
      <w:bCs/>
      <w:color w:val="007E9A" w:themeColor="accent1" w:themeShade="BF"/>
      <w:sz w:val="20"/>
      <w:szCs w:val="18"/>
    </w:rPr>
  </w:style>
  <w:style w:type="paragraph" w:customStyle="1" w:styleId="Headerurl">
    <w:name w:val="Header url"/>
    <w:basedOn w:val="Header"/>
    <w:uiPriority w:val="99"/>
    <w:semiHidden/>
    <w:rsid w:val="00944443"/>
    <w:pPr>
      <w:tabs>
        <w:tab w:val="center" w:pos="4153"/>
        <w:tab w:val="right" w:pos="8306"/>
      </w:tabs>
    </w:pPr>
    <w:rPr>
      <w:b/>
      <w:color w:val="00313C"/>
    </w:rPr>
  </w:style>
  <w:style w:type="character" w:customStyle="1" w:styleId="PartNumber">
    <w:name w:val="PartNumber"/>
    <w:basedOn w:val="DefaultParagraphFont"/>
    <w:uiPriority w:val="15"/>
    <w:qFormat/>
    <w:rsid w:val="00D1044D"/>
    <w:rPr>
      <w:color w:val="00313C" w:themeColor="accent2"/>
    </w:rPr>
  </w:style>
  <w:style w:type="paragraph" w:customStyle="1" w:styleId="Heading1notnumbered">
    <w:name w:val="Heading 1 not numbered"/>
    <w:basedOn w:val="Heading1"/>
    <w:next w:val="BodyText"/>
    <w:uiPriority w:val="1"/>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C8010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20"/>
    <w:qFormat/>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0"/>
      </w:numPr>
      <w:tabs>
        <w:tab w:val="clear" w:pos="397"/>
      </w:tabs>
      <w:ind w:left="1078" w:hanging="284"/>
    </w:pPr>
  </w:style>
  <w:style w:type="paragraph" w:styleId="ListNumber4">
    <w:name w:val="List Number 4"/>
    <w:basedOn w:val="Normal"/>
    <w:uiPriority w:val="99"/>
    <w:semiHidden/>
    <w:locked/>
    <w:rsid w:val="00E251B6"/>
    <w:pPr>
      <w:numPr>
        <w:numId w:val="3"/>
      </w:numPr>
      <w:tabs>
        <w:tab w:val="num" w:pos="624"/>
      </w:tabs>
    </w:pPr>
  </w:style>
  <w:style w:type="paragraph" w:styleId="ListNumber5">
    <w:name w:val="List Number 5"/>
    <w:basedOn w:val="Normal"/>
    <w:uiPriority w:val="99"/>
    <w:semiHidden/>
    <w:locked/>
    <w:rsid w:val="00E251B6"/>
    <w:pPr>
      <w:numPr>
        <w:numId w:val="15"/>
      </w:numPr>
      <w:tabs>
        <w:tab w:val="num" w:pos="624"/>
      </w:tabs>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313C"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5"/>
      </w:numPr>
    </w:pPr>
  </w:style>
  <w:style w:type="numbering" w:customStyle="1" w:styleId="Sources">
    <w:name w:val="Sources"/>
    <w:rsid w:val="008861FC"/>
    <w:pPr>
      <w:numPr>
        <w:numId w:val="3"/>
      </w:numPr>
    </w:pPr>
  </w:style>
  <w:style w:type="numbering" w:styleId="1ai">
    <w:name w:val="Outline List 1"/>
    <w:basedOn w:val="NoList"/>
    <w:uiPriority w:val="99"/>
    <w:semiHidden/>
    <w:unhideWhenUsed/>
    <w:locked/>
    <w:rsid w:val="008861FC"/>
    <w:pPr>
      <w:numPr>
        <w:numId w:val="8"/>
      </w:numPr>
    </w:pPr>
  </w:style>
  <w:style w:type="numbering" w:styleId="111111">
    <w:name w:val="Outline List 2"/>
    <w:basedOn w:val="NoList"/>
    <w:uiPriority w:val="99"/>
    <w:semiHidden/>
    <w:unhideWhenUsed/>
    <w:locked/>
    <w:rsid w:val="008861FC"/>
    <w:pPr>
      <w:numPr>
        <w:numId w:val="7"/>
      </w:numPr>
    </w:pPr>
  </w:style>
  <w:style w:type="numbering" w:customStyle="1" w:styleId="Bullets">
    <w:name w:val="Bullets"/>
    <w:rsid w:val="008861FC"/>
    <w:pPr>
      <w:numPr>
        <w:numId w:val="4"/>
      </w:numPr>
    </w:pPr>
  </w:style>
  <w:style w:type="numbering" w:customStyle="1" w:styleId="Numbers">
    <w:name w:val="Numbers"/>
    <w:rsid w:val="008861FC"/>
    <w:pPr>
      <w:numPr>
        <w:numId w:val="6"/>
      </w:numPr>
    </w:pPr>
  </w:style>
  <w:style w:type="numbering" w:styleId="ArticleSection">
    <w:name w:val="Outline List 3"/>
    <w:basedOn w:val="NoList"/>
    <w:uiPriority w:val="99"/>
    <w:semiHidden/>
    <w:unhideWhenUsed/>
    <w:locked/>
    <w:rsid w:val="008861FC"/>
    <w:pPr>
      <w:numPr>
        <w:numId w:val="9"/>
      </w:numPr>
    </w:pPr>
  </w:style>
  <w:style w:type="paragraph" w:customStyle="1" w:styleId="AppendixHeading1base">
    <w:name w:val="Appendix Heading 1 base"/>
    <w:uiPriority w:val="20"/>
    <w:semiHidden/>
    <w:qFormat/>
    <w:rsid w:val="005C1B4B"/>
    <w:pPr>
      <w:keepNext/>
      <w:pageBreakBefore/>
      <w:numPr>
        <w:numId w:val="12"/>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2"/>
      </w:numPr>
      <w:ind w:left="1134" w:hanging="1134"/>
    </w:pPr>
  </w:style>
  <w:style w:type="paragraph" w:customStyle="1" w:styleId="AppendixHeading3">
    <w:name w:val="Appendix Heading 3"/>
    <w:basedOn w:val="Heading3"/>
    <w:next w:val="BodyText"/>
    <w:uiPriority w:val="11"/>
    <w:qFormat/>
    <w:rsid w:val="00C80108"/>
    <w:pPr>
      <w:numPr>
        <w:numId w:val="12"/>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C2413"/>
    <w:pPr>
      <w:ind w:left="567" w:hanging="567"/>
    </w:pPr>
  </w:style>
  <w:style w:type="paragraph" w:styleId="ListNumber2">
    <w:name w:val="List Number 2"/>
    <w:basedOn w:val="ListNumber"/>
    <w:next w:val="BodyText"/>
    <w:uiPriority w:val="2"/>
    <w:qFormat/>
    <w:locked/>
    <w:rsid w:val="00D349D1"/>
    <w:pPr>
      <w:numPr>
        <w:numId w:val="10"/>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26878"/>
    <w:pPr>
      <w:spacing w:before="0"/>
    </w:pPr>
  </w:style>
  <w:style w:type="character" w:customStyle="1" w:styleId="Bold">
    <w:name w:val="Bold"/>
    <w:basedOn w:val="DefaultParagraphFont"/>
    <w:uiPriority w:val="3"/>
    <w:qFormat/>
    <w:rsid w:val="00856E94"/>
    <w:rPr>
      <w:b/>
    </w:rPr>
  </w:style>
  <w:style w:type="paragraph" w:styleId="ListParagraph">
    <w:name w:val="List Paragraph"/>
    <w:basedOn w:val="Normal"/>
    <w:uiPriority w:val="34"/>
    <w:qFormat/>
    <w:rsid w:val="009C5CA3"/>
    <w:pPr>
      <w:spacing w:before="180" w:line="264" w:lineRule="auto"/>
      <w:ind w:left="720"/>
      <w:contextualSpacing/>
    </w:pPr>
  </w:style>
  <w:style w:type="character" w:styleId="IntenseEmphasis">
    <w:name w:val="Intense Emphasis"/>
    <w:basedOn w:val="DefaultParagraphFont"/>
    <w:uiPriority w:val="21"/>
    <w:qFormat/>
    <w:rsid w:val="00A65678"/>
    <w:rPr>
      <w:b/>
      <w:bCs/>
      <w:i/>
      <w:iCs/>
      <w:color w:val="00313C" w:themeColor="accent2"/>
    </w:rPr>
  </w:style>
  <w:style w:type="character" w:styleId="SubtleEmphasis">
    <w:name w:val="Subtle Emphasis"/>
    <w:basedOn w:val="DefaultParagraphFont"/>
    <w:uiPriority w:val="19"/>
    <w:qFormat/>
    <w:rsid w:val="00A65678"/>
    <w:rPr>
      <w:i/>
      <w:iCs/>
      <w:color w:val="595959" w:themeColor="text1" w:themeTint="A6"/>
    </w:rPr>
  </w:style>
  <w:style w:type="paragraph" w:styleId="IntenseQuote">
    <w:name w:val="Intense Quote"/>
    <w:basedOn w:val="Normal"/>
    <w:next w:val="Normal"/>
    <w:link w:val="IntenseQuoteChar"/>
    <w:uiPriority w:val="30"/>
    <w:qFormat/>
    <w:rsid w:val="00A65678"/>
    <w:pPr>
      <w:pBdr>
        <w:bottom w:val="single" w:sz="4" w:space="4" w:color="00313C" w:themeColor="accent2"/>
      </w:pBdr>
      <w:spacing w:before="200" w:after="280"/>
      <w:ind w:left="936" w:right="936"/>
    </w:pPr>
    <w:rPr>
      <w:b/>
      <w:bCs/>
      <w:i/>
      <w:iCs/>
      <w:color w:val="00313C" w:themeColor="accent2"/>
    </w:rPr>
  </w:style>
  <w:style w:type="character" w:customStyle="1" w:styleId="IntenseQuoteChar">
    <w:name w:val="Intense Quote Char"/>
    <w:basedOn w:val="DefaultParagraphFont"/>
    <w:link w:val="IntenseQuote"/>
    <w:uiPriority w:val="30"/>
    <w:rsid w:val="00A65678"/>
    <w:rPr>
      <w:rFonts w:eastAsia="Calibri"/>
      <w:b/>
      <w:bCs/>
      <w:i/>
      <w:iCs/>
      <w:color w:val="00313C" w:themeColor="accent2"/>
    </w:rPr>
  </w:style>
  <w:style w:type="paragraph" w:customStyle="1" w:styleId="CoverTitleWhite">
    <w:name w:val="CoverTitle White"/>
    <w:basedOn w:val="CoverTitle"/>
    <w:next w:val="BodyText"/>
    <w:uiPriority w:val="12"/>
    <w:qFormat/>
    <w:rsid w:val="00731ED4"/>
    <w:rPr>
      <w:color w:val="FFFFFF" w:themeColor="background2"/>
    </w:rPr>
  </w:style>
  <w:style w:type="paragraph" w:customStyle="1" w:styleId="CoverSubtitleWhite">
    <w:name w:val="CoverSubtitle White"/>
    <w:basedOn w:val="CoverSubtitle"/>
    <w:next w:val="BodyText"/>
    <w:uiPriority w:val="12"/>
    <w:qFormat/>
    <w:rsid w:val="00731ED4"/>
    <w:rPr>
      <w:color w:val="FFFFFF" w:themeColor="background2"/>
    </w:rPr>
  </w:style>
  <w:style w:type="paragraph" w:customStyle="1" w:styleId="BodyTextWhite">
    <w:name w:val="Body Text White"/>
    <w:basedOn w:val="BodyText"/>
    <w:next w:val="BodyText"/>
    <w:uiPriority w:val="12"/>
    <w:qFormat/>
    <w:rsid w:val="00731ED4"/>
    <w:rPr>
      <w:color w:val="FFFFFF" w:themeColor="background2"/>
    </w:rPr>
  </w:style>
  <w:style w:type="paragraph" w:customStyle="1" w:styleId="BackCoverContactHeadingWhite">
    <w:name w:val="BackCover ContactHeading White"/>
    <w:basedOn w:val="BackCoverContactHeading"/>
    <w:next w:val="BackCoverContactDetailsWhite"/>
    <w:uiPriority w:val="16"/>
    <w:qFormat/>
    <w:rsid w:val="00731ED4"/>
    <w:rPr>
      <w:color w:val="FFFFFF" w:themeColor="background2"/>
    </w:rPr>
  </w:style>
  <w:style w:type="paragraph" w:customStyle="1" w:styleId="BackCoverContactDetailsWhite">
    <w:name w:val="BackCover ContactDetails White"/>
    <w:basedOn w:val="BackCoverContactDetails"/>
    <w:uiPriority w:val="16"/>
    <w:qFormat/>
    <w:rsid w:val="00731ED4"/>
    <w:rPr>
      <w:color w:val="FFFFFF" w:themeColor="background2"/>
      <w:szCs w:val="20"/>
    </w:rPr>
  </w:style>
  <w:style w:type="paragraph" w:customStyle="1" w:styleId="BackCoverContactBoldWhite">
    <w:name w:val="BackCover ContactBold White"/>
    <w:basedOn w:val="BackCoverContactDetails"/>
    <w:next w:val="BackCoverContactDetailsWhite"/>
    <w:uiPriority w:val="16"/>
    <w:qFormat/>
    <w:rsid w:val="00731ED4"/>
    <w:rPr>
      <w:color w:val="FFFFFF" w:themeColor="background2"/>
    </w:rPr>
  </w:style>
  <w:style w:type="paragraph" w:customStyle="1" w:styleId="Boxedheading">
    <w:name w:val="Boxed heading"/>
    <w:uiPriority w:val="19"/>
    <w:qFormat/>
    <w:rsid w:val="00C81C0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360" w:after="240"/>
      <w:ind w:left="227" w:right="227"/>
    </w:pPr>
    <w:rPr>
      <w:rFonts w:eastAsia="Calibri"/>
      <w:b/>
      <w:color w:val="000000"/>
      <w:sz w:val="28"/>
      <w:szCs w:val="28"/>
    </w:rPr>
  </w:style>
  <w:style w:type="paragraph" w:customStyle="1" w:styleId="Boxedtext">
    <w:name w:val="Boxed text"/>
    <w:uiPriority w:val="19"/>
    <w:qFormat/>
    <w:rsid w:val="00C81C0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7564E9"/>
    <w:pPr>
      <w:numPr>
        <w:numId w:val="14"/>
      </w:numPr>
      <w:spacing w:before="0" w:after="0"/>
      <w:ind w:left="454" w:hanging="227"/>
      <w:contextualSpacing/>
    </w:pPr>
  </w:style>
  <w:style w:type="character" w:styleId="PlaceholderText">
    <w:name w:val="Placeholder Text"/>
    <w:basedOn w:val="DefaultParagraphFont"/>
    <w:uiPriority w:val="99"/>
    <w:semiHidden/>
    <w:rsid w:val="001E77DE"/>
    <w:rPr>
      <w:color w:val="808080"/>
    </w:rPr>
  </w:style>
  <w:style w:type="character" w:customStyle="1" w:styleId="e24kjd">
    <w:name w:val="e24kjd"/>
    <w:basedOn w:val="DefaultParagraphFont"/>
    <w:rsid w:val="000F7AF5"/>
  </w:style>
  <w:style w:type="character" w:customStyle="1" w:styleId="normaltextrun">
    <w:name w:val="normaltextrun"/>
    <w:basedOn w:val="DefaultParagraphFont"/>
    <w:rsid w:val="00760FBB"/>
  </w:style>
  <w:style w:type="character" w:customStyle="1" w:styleId="eop">
    <w:name w:val="eop"/>
    <w:basedOn w:val="DefaultParagraphFont"/>
    <w:rsid w:val="00760FBB"/>
  </w:style>
  <w:style w:type="character" w:customStyle="1" w:styleId="CaptionChar">
    <w:name w:val="Caption Char"/>
    <w:basedOn w:val="BodyTextChar"/>
    <w:link w:val="Caption"/>
    <w:uiPriority w:val="4"/>
    <w:rsid w:val="00937359"/>
    <w:rPr>
      <w:rFonts w:eastAsia="Calibri"/>
      <w:b/>
      <w:bCs/>
      <w:color w:val="007E9A" w:themeColor="accent1" w:themeShade="BF"/>
      <w:sz w:val="20"/>
      <w:szCs w:val="18"/>
    </w:rPr>
  </w:style>
  <w:style w:type="character" w:customStyle="1" w:styleId="UnresolvedMention1">
    <w:name w:val="Unresolved Mention1"/>
    <w:basedOn w:val="DefaultParagraphFont"/>
    <w:uiPriority w:val="99"/>
    <w:semiHidden/>
    <w:unhideWhenUsed/>
    <w:rsid w:val="00F0724C"/>
    <w:rPr>
      <w:color w:val="605E5C"/>
      <w:shd w:val="clear" w:color="auto" w:fill="E1DFDD"/>
    </w:rPr>
  </w:style>
  <w:style w:type="paragraph" w:styleId="Revision">
    <w:name w:val="Revision"/>
    <w:hidden/>
    <w:uiPriority w:val="99"/>
    <w:semiHidden/>
    <w:rsid w:val="0075795C"/>
    <w:rPr>
      <w:rFonts w:eastAsia="Calibri"/>
      <w:color w:val="000000"/>
    </w:rPr>
  </w:style>
  <w:style w:type="table" w:styleId="TableGridLight">
    <w:name w:val="Grid Table Light"/>
    <w:basedOn w:val="TableNormal"/>
    <w:uiPriority w:val="40"/>
    <w:rsid w:val="006E64E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ndNoteBibliographyTitle">
    <w:name w:val="EndNote Bibliography Title"/>
    <w:basedOn w:val="Normal"/>
    <w:link w:val="EndNoteBibliographyTitleChar"/>
    <w:rsid w:val="00411F95"/>
    <w:pPr>
      <w:jc w:val="center"/>
    </w:pPr>
    <w:rPr>
      <w:rFonts w:cs="Calibri"/>
      <w:noProof/>
    </w:rPr>
  </w:style>
  <w:style w:type="character" w:customStyle="1" w:styleId="EndNoteBibliographyTitleChar">
    <w:name w:val="EndNote Bibliography Title Char"/>
    <w:basedOn w:val="CaptionChar"/>
    <w:link w:val="EndNoteBibliographyTitle"/>
    <w:rsid w:val="00411F95"/>
    <w:rPr>
      <w:rFonts w:eastAsia="Calibri" w:cs="Calibri"/>
      <w:b w:val="0"/>
      <w:bCs w:val="0"/>
      <w:noProof/>
      <w:color w:val="000000"/>
      <w:sz w:val="24"/>
      <w:szCs w:val="18"/>
    </w:rPr>
  </w:style>
  <w:style w:type="paragraph" w:customStyle="1" w:styleId="EndNoteBibliography">
    <w:name w:val="EndNote Bibliography"/>
    <w:basedOn w:val="Normal"/>
    <w:link w:val="EndNoteBibliographyChar"/>
    <w:rsid w:val="00411F95"/>
    <w:rPr>
      <w:rFonts w:cs="Calibri"/>
      <w:noProof/>
    </w:rPr>
  </w:style>
  <w:style w:type="character" w:customStyle="1" w:styleId="EndNoteBibliographyChar">
    <w:name w:val="EndNote Bibliography Char"/>
    <w:basedOn w:val="CaptionChar"/>
    <w:link w:val="EndNoteBibliography"/>
    <w:rsid w:val="00411F95"/>
    <w:rPr>
      <w:rFonts w:eastAsia="Calibri" w:cs="Calibri"/>
      <w:b w:val="0"/>
      <w:bCs w:val="0"/>
      <w:noProof/>
      <w:color w:val="000000"/>
      <w:sz w:val="24"/>
      <w:szCs w:val="18"/>
    </w:rPr>
  </w:style>
  <w:style w:type="paragraph" w:customStyle="1" w:styleId="paragraph">
    <w:name w:val="paragraph"/>
    <w:basedOn w:val="Normal"/>
    <w:rsid w:val="00E8287F"/>
    <w:pPr>
      <w:spacing w:before="100" w:beforeAutospacing="1" w:after="100" w:afterAutospacing="1"/>
    </w:pPr>
  </w:style>
  <w:style w:type="character" w:customStyle="1" w:styleId="contextualspellingandgrammarerror">
    <w:name w:val="contextualspellingandgrammarerror"/>
    <w:basedOn w:val="DefaultParagraphFont"/>
    <w:rsid w:val="0022635E"/>
  </w:style>
  <w:style w:type="character" w:customStyle="1" w:styleId="FigureTableSourceChar">
    <w:name w:val="Figure/Table Source Char"/>
    <w:basedOn w:val="BodyTextChar"/>
    <w:link w:val="FigureTableSource"/>
    <w:uiPriority w:val="4"/>
    <w:rsid w:val="00145C90"/>
    <w:rPr>
      <w:rFonts w:eastAsia="Calibri"/>
      <w:color w:val="000000"/>
      <w:sz w:val="16"/>
      <w:szCs w:val="20"/>
    </w:rPr>
  </w:style>
  <w:style w:type="character" w:customStyle="1" w:styleId="content-type-listtext">
    <w:name w:val="content-type-list__text"/>
    <w:basedOn w:val="DefaultParagraphFont"/>
    <w:rsid w:val="00E76B39"/>
  </w:style>
  <w:style w:type="character" w:customStyle="1" w:styleId="bibliographic-informationvalue">
    <w:name w:val="bibliographic-information__value"/>
    <w:basedOn w:val="DefaultParagraphFont"/>
    <w:rsid w:val="00E76B39"/>
  </w:style>
  <w:style w:type="character" w:customStyle="1" w:styleId="textinfo">
    <w:name w:val="textinfo"/>
    <w:basedOn w:val="DefaultParagraphFont"/>
    <w:rsid w:val="00F10453"/>
  </w:style>
  <w:style w:type="paragraph" w:customStyle="1" w:styleId="CCSNormalText">
    <w:name w:val="CCS Normal Text"/>
    <w:basedOn w:val="Normal"/>
    <w:link w:val="CCSNormalTextChar"/>
    <w:qFormat/>
    <w:rsid w:val="009A1C03"/>
    <w:pPr>
      <w:spacing w:before="60"/>
    </w:pPr>
    <w:rPr>
      <w:rFonts w:ascii="Arial" w:eastAsiaTheme="minorHAnsi" w:hAnsi="Arial" w:cs="Arial"/>
      <w:lang w:eastAsia="zh-CN" w:bidi="th-TH"/>
    </w:rPr>
  </w:style>
  <w:style w:type="character" w:customStyle="1" w:styleId="CCSNormalTextChar">
    <w:name w:val="CCS Normal Text Char"/>
    <w:basedOn w:val="DefaultParagraphFont"/>
    <w:link w:val="CCSNormalText"/>
    <w:locked/>
    <w:rsid w:val="009A1C03"/>
    <w:rPr>
      <w:rFonts w:ascii="Arial" w:hAnsi="Arial" w:cs="Arial"/>
      <w:lang w:eastAsia="zh-CN" w:bidi="th-TH"/>
    </w:rPr>
  </w:style>
  <w:style w:type="paragraph" w:customStyle="1" w:styleId="Pa2">
    <w:name w:val="Pa2"/>
    <w:basedOn w:val="Normal"/>
    <w:next w:val="Normal"/>
    <w:uiPriority w:val="99"/>
    <w:rsid w:val="007444AC"/>
    <w:pPr>
      <w:autoSpaceDE w:val="0"/>
      <w:autoSpaceDN w:val="0"/>
      <w:adjustRightInd w:val="0"/>
      <w:spacing w:line="201" w:lineRule="atLeast"/>
    </w:pPr>
    <w:rPr>
      <w:rFonts w:ascii="Univers 45 Light" w:eastAsiaTheme="minorHAnsi" w:hAnsi="Univers 45 Light"/>
    </w:rPr>
  </w:style>
  <w:style w:type="character" w:customStyle="1" w:styleId="fontstyle01">
    <w:name w:val="fontstyle01"/>
    <w:basedOn w:val="DefaultParagraphFont"/>
    <w:rsid w:val="00860B61"/>
    <w:rPr>
      <w:rFonts w:ascii="Calibri" w:hAnsi="Calibri" w:cs="Calibri" w:hint="default"/>
      <w:b w:val="0"/>
      <w:bCs w:val="0"/>
      <w:i w:val="0"/>
      <w:iCs w:val="0"/>
      <w:color w:val="000000"/>
      <w:sz w:val="22"/>
      <w:szCs w:val="22"/>
    </w:rPr>
  </w:style>
  <w:style w:type="character" w:customStyle="1" w:styleId="fontstyle21">
    <w:name w:val="fontstyle21"/>
    <w:basedOn w:val="DefaultParagraphFont"/>
    <w:rsid w:val="00860B61"/>
    <w:rPr>
      <w:rFonts w:ascii="Calibri-Italic" w:hAnsi="Calibri-Italic" w:hint="default"/>
      <w:b w:val="0"/>
      <w:bCs w:val="0"/>
      <w:i/>
      <w:iCs/>
      <w:color w:val="000000"/>
      <w:sz w:val="22"/>
      <w:szCs w:val="22"/>
    </w:rPr>
  </w:style>
  <w:style w:type="character" w:customStyle="1" w:styleId="UnresolvedMention2">
    <w:name w:val="Unresolved Mention2"/>
    <w:basedOn w:val="DefaultParagraphFont"/>
    <w:uiPriority w:val="99"/>
    <w:semiHidden/>
    <w:unhideWhenUsed/>
    <w:rsid w:val="006D5D2C"/>
    <w:rPr>
      <w:color w:val="605E5C"/>
      <w:shd w:val="clear" w:color="auto" w:fill="E1DFDD"/>
    </w:rPr>
  </w:style>
  <w:style w:type="table" w:styleId="PlainTable1">
    <w:name w:val="Plain Table 1"/>
    <w:basedOn w:val="TableNormal"/>
    <w:uiPriority w:val="41"/>
    <w:rsid w:val="006D5D2C"/>
    <w:rPr>
      <w:rFonts w:asciiTheme="minorHAnsi"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80137">
      <w:bodyDiv w:val="1"/>
      <w:marLeft w:val="0"/>
      <w:marRight w:val="0"/>
      <w:marTop w:val="0"/>
      <w:marBottom w:val="0"/>
      <w:divBdr>
        <w:top w:val="none" w:sz="0" w:space="0" w:color="auto"/>
        <w:left w:val="none" w:sz="0" w:space="0" w:color="auto"/>
        <w:bottom w:val="none" w:sz="0" w:space="0" w:color="auto"/>
        <w:right w:val="none" w:sz="0" w:space="0" w:color="auto"/>
      </w:divBdr>
    </w:div>
    <w:div w:id="150415119">
      <w:bodyDiv w:val="1"/>
      <w:marLeft w:val="0"/>
      <w:marRight w:val="0"/>
      <w:marTop w:val="0"/>
      <w:marBottom w:val="0"/>
      <w:divBdr>
        <w:top w:val="none" w:sz="0" w:space="0" w:color="auto"/>
        <w:left w:val="none" w:sz="0" w:space="0" w:color="auto"/>
        <w:bottom w:val="none" w:sz="0" w:space="0" w:color="auto"/>
        <w:right w:val="none" w:sz="0" w:space="0" w:color="auto"/>
      </w:divBdr>
    </w:div>
    <w:div w:id="158930027">
      <w:bodyDiv w:val="1"/>
      <w:marLeft w:val="0"/>
      <w:marRight w:val="0"/>
      <w:marTop w:val="0"/>
      <w:marBottom w:val="0"/>
      <w:divBdr>
        <w:top w:val="none" w:sz="0" w:space="0" w:color="auto"/>
        <w:left w:val="none" w:sz="0" w:space="0" w:color="auto"/>
        <w:bottom w:val="none" w:sz="0" w:space="0" w:color="auto"/>
        <w:right w:val="none" w:sz="0" w:space="0" w:color="auto"/>
      </w:divBdr>
    </w:div>
    <w:div w:id="203952427">
      <w:bodyDiv w:val="1"/>
      <w:marLeft w:val="0"/>
      <w:marRight w:val="0"/>
      <w:marTop w:val="0"/>
      <w:marBottom w:val="0"/>
      <w:divBdr>
        <w:top w:val="none" w:sz="0" w:space="0" w:color="auto"/>
        <w:left w:val="none" w:sz="0" w:space="0" w:color="auto"/>
        <w:bottom w:val="none" w:sz="0" w:space="0" w:color="auto"/>
        <w:right w:val="none" w:sz="0" w:space="0" w:color="auto"/>
      </w:divBdr>
    </w:div>
    <w:div w:id="247232232">
      <w:bodyDiv w:val="1"/>
      <w:marLeft w:val="0"/>
      <w:marRight w:val="0"/>
      <w:marTop w:val="0"/>
      <w:marBottom w:val="0"/>
      <w:divBdr>
        <w:top w:val="none" w:sz="0" w:space="0" w:color="auto"/>
        <w:left w:val="none" w:sz="0" w:space="0" w:color="auto"/>
        <w:bottom w:val="none" w:sz="0" w:space="0" w:color="auto"/>
        <w:right w:val="none" w:sz="0" w:space="0" w:color="auto"/>
      </w:divBdr>
    </w:div>
    <w:div w:id="272247098">
      <w:bodyDiv w:val="1"/>
      <w:marLeft w:val="0"/>
      <w:marRight w:val="0"/>
      <w:marTop w:val="0"/>
      <w:marBottom w:val="0"/>
      <w:divBdr>
        <w:top w:val="none" w:sz="0" w:space="0" w:color="auto"/>
        <w:left w:val="none" w:sz="0" w:space="0" w:color="auto"/>
        <w:bottom w:val="none" w:sz="0" w:space="0" w:color="auto"/>
        <w:right w:val="none" w:sz="0" w:space="0" w:color="auto"/>
      </w:divBdr>
    </w:div>
    <w:div w:id="274561919">
      <w:bodyDiv w:val="1"/>
      <w:marLeft w:val="0"/>
      <w:marRight w:val="0"/>
      <w:marTop w:val="0"/>
      <w:marBottom w:val="0"/>
      <w:divBdr>
        <w:top w:val="none" w:sz="0" w:space="0" w:color="auto"/>
        <w:left w:val="none" w:sz="0" w:space="0" w:color="auto"/>
        <w:bottom w:val="none" w:sz="0" w:space="0" w:color="auto"/>
        <w:right w:val="none" w:sz="0" w:space="0" w:color="auto"/>
      </w:divBdr>
    </w:div>
    <w:div w:id="371926369">
      <w:bodyDiv w:val="1"/>
      <w:marLeft w:val="0"/>
      <w:marRight w:val="0"/>
      <w:marTop w:val="0"/>
      <w:marBottom w:val="0"/>
      <w:divBdr>
        <w:top w:val="none" w:sz="0" w:space="0" w:color="auto"/>
        <w:left w:val="none" w:sz="0" w:space="0" w:color="auto"/>
        <w:bottom w:val="none" w:sz="0" w:space="0" w:color="auto"/>
        <w:right w:val="none" w:sz="0" w:space="0" w:color="auto"/>
      </w:divBdr>
    </w:div>
    <w:div w:id="378362991">
      <w:bodyDiv w:val="1"/>
      <w:marLeft w:val="0"/>
      <w:marRight w:val="0"/>
      <w:marTop w:val="0"/>
      <w:marBottom w:val="0"/>
      <w:divBdr>
        <w:top w:val="none" w:sz="0" w:space="0" w:color="auto"/>
        <w:left w:val="none" w:sz="0" w:space="0" w:color="auto"/>
        <w:bottom w:val="none" w:sz="0" w:space="0" w:color="auto"/>
        <w:right w:val="none" w:sz="0" w:space="0" w:color="auto"/>
      </w:divBdr>
    </w:div>
    <w:div w:id="383255172">
      <w:bodyDiv w:val="1"/>
      <w:marLeft w:val="0"/>
      <w:marRight w:val="0"/>
      <w:marTop w:val="0"/>
      <w:marBottom w:val="0"/>
      <w:divBdr>
        <w:top w:val="none" w:sz="0" w:space="0" w:color="auto"/>
        <w:left w:val="none" w:sz="0" w:space="0" w:color="auto"/>
        <w:bottom w:val="none" w:sz="0" w:space="0" w:color="auto"/>
        <w:right w:val="none" w:sz="0" w:space="0" w:color="auto"/>
      </w:divBdr>
    </w:div>
    <w:div w:id="393937690">
      <w:bodyDiv w:val="1"/>
      <w:marLeft w:val="0"/>
      <w:marRight w:val="0"/>
      <w:marTop w:val="0"/>
      <w:marBottom w:val="0"/>
      <w:divBdr>
        <w:top w:val="none" w:sz="0" w:space="0" w:color="auto"/>
        <w:left w:val="none" w:sz="0" w:space="0" w:color="auto"/>
        <w:bottom w:val="none" w:sz="0" w:space="0" w:color="auto"/>
        <w:right w:val="none" w:sz="0" w:space="0" w:color="auto"/>
      </w:divBdr>
    </w:div>
    <w:div w:id="428085732">
      <w:bodyDiv w:val="1"/>
      <w:marLeft w:val="0"/>
      <w:marRight w:val="0"/>
      <w:marTop w:val="0"/>
      <w:marBottom w:val="0"/>
      <w:divBdr>
        <w:top w:val="none" w:sz="0" w:space="0" w:color="auto"/>
        <w:left w:val="none" w:sz="0" w:space="0" w:color="auto"/>
        <w:bottom w:val="none" w:sz="0" w:space="0" w:color="auto"/>
        <w:right w:val="none" w:sz="0" w:space="0" w:color="auto"/>
      </w:divBdr>
    </w:div>
    <w:div w:id="474105338">
      <w:bodyDiv w:val="1"/>
      <w:marLeft w:val="0"/>
      <w:marRight w:val="0"/>
      <w:marTop w:val="0"/>
      <w:marBottom w:val="0"/>
      <w:divBdr>
        <w:top w:val="none" w:sz="0" w:space="0" w:color="auto"/>
        <w:left w:val="none" w:sz="0" w:space="0" w:color="auto"/>
        <w:bottom w:val="none" w:sz="0" w:space="0" w:color="auto"/>
        <w:right w:val="none" w:sz="0" w:space="0" w:color="auto"/>
      </w:divBdr>
    </w:div>
    <w:div w:id="534998349">
      <w:bodyDiv w:val="1"/>
      <w:marLeft w:val="0"/>
      <w:marRight w:val="0"/>
      <w:marTop w:val="0"/>
      <w:marBottom w:val="0"/>
      <w:divBdr>
        <w:top w:val="none" w:sz="0" w:space="0" w:color="auto"/>
        <w:left w:val="none" w:sz="0" w:space="0" w:color="auto"/>
        <w:bottom w:val="none" w:sz="0" w:space="0" w:color="auto"/>
        <w:right w:val="none" w:sz="0" w:space="0" w:color="auto"/>
      </w:divBdr>
    </w:div>
    <w:div w:id="545870895">
      <w:bodyDiv w:val="1"/>
      <w:marLeft w:val="0"/>
      <w:marRight w:val="0"/>
      <w:marTop w:val="0"/>
      <w:marBottom w:val="0"/>
      <w:divBdr>
        <w:top w:val="none" w:sz="0" w:space="0" w:color="auto"/>
        <w:left w:val="none" w:sz="0" w:space="0" w:color="auto"/>
        <w:bottom w:val="none" w:sz="0" w:space="0" w:color="auto"/>
        <w:right w:val="none" w:sz="0" w:space="0" w:color="auto"/>
      </w:divBdr>
    </w:div>
    <w:div w:id="596249447">
      <w:bodyDiv w:val="1"/>
      <w:marLeft w:val="0"/>
      <w:marRight w:val="0"/>
      <w:marTop w:val="0"/>
      <w:marBottom w:val="0"/>
      <w:divBdr>
        <w:top w:val="none" w:sz="0" w:space="0" w:color="auto"/>
        <w:left w:val="none" w:sz="0" w:space="0" w:color="auto"/>
        <w:bottom w:val="none" w:sz="0" w:space="0" w:color="auto"/>
        <w:right w:val="none" w:sz="0" w:space="0" w:color="auto"/>
      </w:divBdr>
    </w:div>
    <w:div w:id="648293278">
      <w:bodyDiv w:val="1"/>
      <w:marLeft w:val="0"/>
      <w:marRight w:val="0"/>
      <w:marTop w:val="0"/>
      <w:marBottom w:val="0"/>
      <w:divBdr>
        <w:top w:val="none" w:sz="0" w:space="0" w:color="auto"/>
        <w:left w:val="none" w:sz="0" w:space="0" w:color="auto"/>
        <w:bottom w:val="none" w:sz="0" w:space="0" w:color="auto"/>
        <w:right w:val="none" w:sz="0" w:space="0" w:color="auto"/>
      </w:divBdr>
    </w:div>
    <w:div w:id="778987187">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99170721">
      <w:bodyDiv w:val="1"/>
      <w:marLeft w:val="0"/>
      <w:marRight w:val="0"/>
      <w:marTop w:val="0"/>
      <w:marBottom w:val="0"/>
      <w:divBdr>
        <w:top w:val="none" w:sz="0" w:space="0" w:color="auto"/>
        <w:left w:val="none" w:sz="0" w:space="0" w:color="auto"/>
        <w:bottom w:val="none" w:sz="0" w:space="0" w:color="auto"/>
        <w:right w:val="none" w:sz="0" w:space="0" w:color="auto"/>
      </w:divBdr>
    </w:div>
    <w:div w:id="965740934">
      <w:bodyDiv w:val="1"/>
      <w:marLeft w:val="0"/>
      <w:marRight w:val="0"/>
      <w:marTop w:val="0"/>
      <w:marBottom w:val="0"/>
      <w:divBdr>
        <w:top w:val="none" w:sz="0" w:space="0" w:color="auto"/>
        <w:left w:val="none" w:sz="0" w:space="0" w:color="auto"/>
        <w:bottom w:val="none" w:sz="0" w:space="0" w:color="auto"/>
        <w:right w:val="none" w:sz="0" w:space="0" w:color="auto"/>
      </w:divBdr>
    </w:div>
    <w:div w:id="1088113897">
      <w:bodyDiv w:val="1"/>
      <w:marLeft w:val="0"/>
      <w:marRight w:val="0"/>
      <w:marTop w:val="0"/>
      <w:marBottom w:val="0"/>
      <w:divBdr>
        <w:top w:val="none" w:sz="0" w:space="0" w:color="auto"/>
        <w:left w:val="none" w:sz="0" w:space="0" w:color="auto"/>
        <w:bottom w:val="none" w:sz="0" w:space="0" w:color="auto"/>
        <w:right w:val="none" w:sz="0" w:space="0" w:color="auto"/>
      </w:divBdr>
    </w:div>
    <w:div w:id="1204489378">
      <w:bodyDiv w:val="1"/>
      <w:marLeft w:val="0"/>
      <w:marRight w:val="0"/>
      <w:marTop w:val="0"/>
      <w:marBottom w:val="0"/>
      <w:divBdr>
        <w:top w:val="none" w:sz="0" w:space="0" w:color="auto"/>
        <w:left w:val="none" w:sz="0" w:space="0" w:color="auto"/>
        <w:bottom w:val="none" w:sz="0" w:space="0" w:color="auto"/>
        <w:right w:val="none" w:sz="0" w:space="0" w:color="auto"/>
      </w:divBdr>
    </w:div>
    <w:div w:id="1247960379">
      <w:bodyDiv w:val="1"/>
      <w:marLeft w:val="0"/>
      <w:marRight w:val="0"/>
      <w:marTop w:val="0"/>
      <w:marBottom w:val="0"/>
      <w:divBdr>
        <w:top w:val="none" w:sz="0" w:space="0" w:color="auto"/>
        <w:left w:val="none" w:sz="0" w:space="0" w:color="auto"/>
        <w:bottom w:val="none" w:sz="0" w:space="0" w:color="auto"/>
        <w:right w:val="none" w:sz="0" w:space="0" w:color="auto"/>
      </w:divBdr>
    </w:div>
    <w:div w:id="1300918606">
      <w:bodyDiv w:val="1"/>
      <w:marLeft w:val="0"/>
      <w:marRight w:val="0"/>
      <w:marTop w:val="0"/>
      <w:marBottom w:val="0"/>
      <w:divBdr>
        <w:top w:val="none" w:sz="0" w:space="0" w:color="auto"/>
        <w:left w:val="none" w:sz="0" w:space="0" w:color="auto"/>
        <w:bottom w:val="none" w:sz="0" w:space="0" w:color="auto"/>
        <w:right w:val="none" w:sz="0" w:space="0" w:color="auto"/>
      </w:divBdr>
    </w:div>
    <w:div w:id="1318537124">
      <w:bodyDiv w:val="1"/>
      <w:marLeft w:val="0"/>
      <w:marRight w:val="0"/>
      <w:marTop w:val="0"/>
      <w:marBottom w:val="0"/>
      <w:divBdr>
        <w:top w:val="none" w:sz="0" w:space="0" w:color="auto"/>
        <w:left w:val="none" w:sz="0" w:space="0" w:color="auto"/>
        <w:bottom w:val="none" w:sz="0" w:space="0" w:color="auto"/>
        <w:right w:val="none" w:sz="0" w:space="0" w:color="auto"/>
      </w:divBdr>
      <w:divsChild>
        <w:div w:id="2029519497">
          <w:marLeft w:val="0"/>
          <w:marRight w:val="0"/>
          <w:marTop w:val="0"/>
          <w:marBottom w:val="0"/>
          <w:divBdr>
            <w:top w:val="none" w:sz="0" w:space="0" w:color="auto"/>
            <w:left w:val="none" w:sz="0" w:space="0" w:color="auto"/>
            <w:bottom w:val="none" w:sz="0" w:space="0" w:color="auto"/>
            <w:right w:val="none" w:sz="0" w:space="0" w:color="auto"/>
          </w:divBdr>
        </w:div>
      </w:divsChild>
    </w:div>
    <w:div w:id="1384523680">
      <w:bodyDiv w:val="1"/>
      <w:marLeft w:val="0"/>
      <w:marRight w:val="0"/>
      <w:marTop w:val="0"/>
      <w:marBottom w:val="0"/>
      <w:divBdr>
        <w:top w:val="none" w:sz="0" w:space="0" w:color="auto"/>
        <w:left w:val="none" w:sz="0" w:space="0" w:color="auto"/>
        <w:bottom w:val="none" w:sz="0" w:space="0" w:color="auto"/>
        <w:right w:val="none" w:sz="0" w:space="0" w:color="auto"/>
      </w:divBdr>
      <w:divsChild>
        <w:div w:id="1106920628">
          <w:marLeft w:val="0"/>
          <w:marRight w:val="0"/>
          <w:marTop w:val="0"/>
          <w:marBottom w:val="0"/>
          <w:divBdr>
            <w:top w:val="none" w:sz="0" w:space="0" w:color="auto"/>
            <w:left w:val="none" w:sz="0" w:space="0" w:color="auto"/>
            <w:bottom w:val="none" w:sz="0" w:space="0" w:color="auto"/>
            <w:right w:val="none" w:sz="0" w:space="0" w:color="auto"/>
          </w:divBdr>
        </w:div>
        <w:div w:id="2109539874">
          <w:marLeft w:val="0"/>
          <w:marRight w:val="0"/>
          <w:marTop w:val="0"/>
          <w:marBottom w:val="0"/>
          <w:divBdr>
            <w:top w:val="none" w:sz="0" w:space="0" w:color="auto"/>
            <w:left w:val="none" w:sz="0" w:space="0" w:color="auto"/>
            <w:bottom w:val="none" w:sz="0" w:space="0" w:color="auto"/>
            <w:right w:val="none" w:sz="0" w:space="0" w:color="auto"/>
          </w:divBdr>
        </w:div>
      </w:divsChild>
    </w:div>
    <w:div w:id="1405493638">
      <w:bodyDiv w:val="1"/>
      <w:marLeft w:val="0"/>
      <w:marRight w:val="0"/>
      <w:marTop w:val="0"/>
      <w:marBottom w:val="0"/>
      <w:divBdr>
        <w:top w:val="none" w:sz="0" w:space="0" w:color="auto"/>
        <w:left w:val="none" w:sz="0" w:space="0" w:color="auto"/>
        <w:bottom w:val="none" w:sz="0" w:space="0" w:color="auto"/>
        <w:right w:val="none" w:sz="0" w:space="0" w:color="auto"/>
      </w:divBdr>
    </w:div>
    <w:div w:id="1451436458">
      <w:bodyDiv w:val="1"/>
      <w:marLeft w:val="0"/>
      <w:marRight w:val="0"/>
      <w:marTop w:val="0"/>
      <w:marBottom w:val="0"/>
      <w:divBdr>
        <w:top w:val="none" w:sz="0" w:space="0" w:color="auto"/>
        <w:left w:val="none" w:sz="0" w:space="0" w:color="auto"/>
        <w:bottom w:val="none" w:sz="0" w:space="0" w:color="auto"/>
        <w:right w:val="none" w:sz="0" w:space="0" w:color="auto"/>
      </w:divBdr>
    </w:div>
    <w:div w:id="1458328716">
      <w:bodyDiv w:val="1"/>
      <w:marLeft w:val="0"/>
      <w:marRight w:val="0"/>
      <w:marTop w:val="0"/>
      <w:marBottom w:val="0"/>
      <w:divBdr>
        <w:top w:val="none" w:sz="0" w:space="0" w:color="auto"/>
        <w:left w:val="none" w:sz="0" w:space="0" w:color="auto"/>
        <w:bottom w:val="none" w:sz="0" w:space="0" w:color="auto"/>
        <w:right w:val="none" w:sz="0" w:space="0" w:color="auto"/>
      </w:divBdr>
    </w:div>
    <w:div w:id="1459912366">
      <w:bodyDiv w:val="1"/>
      <w:marLeft w:val="0"/>
      <w:marRight w:val="0"/>
      <w:marTop w:val="0"/>
      <w:marBottom w:val="0"/>
      <w:divBdr>
        <w:top w:val="none" w:sz="0" w:space="0" w:color="auto"/>
        <w:left w:val="none" w:sz="0" w:space="0" w:color="auto"/>
        <w:bottom w:val="none" w:sz="0" w:space="0" w:color="auto"/>
        <w:right w:val="none" w:sz="0" w:space="0" w:color="auto"/>
      </w:divBdr>
    </w:div>
    <w:div w:id="1464611989">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28640776">
      <w:bodyDiv w:val="1"/>
      <w:marLeft w:val="0"/>
      <w:marRight w:val="0"/>
      <w:marTop w:val="0"/>
      <w:marBottom w:val="0"/>
      <w:divBdr>
        <w:top w:val="none" w:sz="0" w:space="0" w:color="auto"/>
        <w:left w:val="none" w:sz="0" w:space="0" w:color="auto"/>
        <w:bottom w:val="none" w:sz="0" w:space="0" w:color="auto"/>
        <w:right w:val="none" w:sz="0" w:space="0" w:color="auto"/>
      </w:divBdr>
      <w:divsChild>
        <w:div w:id="1106079777">
          <w:marLeft w:val="0"/>
          <w:marRight w:val="0"/>
          <w:marTop w:val="0"/>
          <w:marBottom w:val="0"/>
          <w:divBdr>
            <w:top w:val="none" w:sz="0" w:space="0" w:color="auto"/>
            <w:left w:val="none" w:sz="0" w:space="0" w:color="auto"/>
            <w:bottom w:val="none" w:sz="0" w:space="0" w:color="auto"/>
            <w:right w:val="none" w:sz="0" w:space="0" w:color="auto"/>
          </w:divBdr>
          <w:divsChild>
            <w:div w:id="612636925">
              <w:marLeft w:val="0"/>
              <w:marRight w:val="0"/>
              <w:marTop w:val="0"/>
              <w:marBottom w:val="0"/>
              <w:divBdr>
                <w:top w:val="none" w:sz="0" w:space="0" w:color="auto"/>
                <w:left w:val="none" w:sz="0" w:space="0" w:color="auto"/>
                <w:bottom w:val="none" w:sz="0" w:space="0" w:color="auto"/>
                <w:right w:val="none" w:sz="0" w:space="0" w:color="auto"/>
              </w:divBdr>
              <w:divsChild>
                <w:div w:id="1821849458">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1679967929">
          <w:marLeft w:val="0"/>
          <w:marRight w:val="0"/>
          <w:marTop w:val="0"/>
          <w:marBottom w:val="0"/>
          <w:divBdr>
            <w:top w:val="none" w:sz="0" w:space="0" w:color="auto"/>
            <w:left w:val="none" w:sz="0" w:space="0" w:color="auto"/>
            <w:bottom w:val="none" w:sz="0" w:space="0" w:color="auto"/>
            <w:right w:val="none" w:sz="0" w:space="0" w:color="auto"/>
          </w:divBdr>
        </w:div>
      </w:divsChild>
    </w:div>
    <w:div w:id="1535995886">
      <w:bodyDiv w:val="1"/>
      <w:marLeft w:val="0"/>
      <w:marRight w:val="0"/>
      <w:marTop w:val="0"/>
      <w:marBottom w:val="0"/>
      <w:divBdr>
        <w:top w:val="none" w:sz="0" w:space="0" w:color="auto"/>
        <w:left w:val="none" w:sz="0" w:space="0" w:color="auto"/>
        <w:bottom w:val="none" w:sz="0" w:space="0" w:color="auto"/>
        <w:right w:val="none" w:sz="0" w:space="0" w:color="auto"/>
      </w:divBdr>
    </w:div>
    <w:div w:id="1569458643">
      <w:bodyDiv w:val="1"/>
      <w:marLeft w:val="0"/>
      <w:marRight w:val="0"/>
      <w:marTop w:val="0"/>
      <w:marBottom w:val="0"/>
      <w:divBdr>
        <w:top w:val="none" w:sz="0" w:space="0" w:color="auto"/>
        <w:left w:val="none" w:sz="0" w:space="0" w:color="auto"/>
        <w:bottom w:val="none" w:sz="0" w:space="0" w:color="auto"/>
        <w:right w:val="none" w:sz="0" w:space="0" w:color="auto"/>
      </w:divBdr>
    </w:div>
    <w:div w:id="1613704924">
      <w:bodyDiv w:val="1"/>
      <w:marLeft w:val="0"/>
      <w:marRight w:val="0"/>
      <w:marTop w:val="0"/>
      <w:marBottom w:val="0"/>
      <w:divBdr>
        <w:top w:val="none" w:sz="0" w:space="0" w:color="auto"/>
        <w:left w:val="none" w:sz="0" w:space="0" w:color="auto"/>
        <w:bottom w:val="none" w:sz="0" w:space="0" w:color="auto"/>
        <w:right w:val="none" w:sz="0" w:space="0" w:color="auto"/>
      </w:divBdr>
    </w:div>
    <w:div w:id="1639191588">
      <w:bodyDiv w:val="1"/>
      <w:marLeft w:val="0"/>
      <w:marRight w:val="0"/>
      <w:marTop w:val="0"/>
      <w:marBottom w:val="0"/>
      <w:divBdr>
        <w:top w:val="none" w:sz="0" w:space="0" w:color="auto"/>
        <w:left w:val="none" w:sz="0" w:space="0" w:color="auto"/>
        <w:bottom w:val="none" w:sz="0" w:space="0" w:color="auto"/>
        <w:right w:val="none" w:sz="0" w:space="0" w:color="auto"/>
      </w:divBdr>
    </w:div>
    <w:div w:id="1735270704">
      <w:bodyDiv w:val="1"/>
      <w:marLeft w:val="0"/>
      <w:marRight w:val="0"/>
      <w:marTop w:val="0"/>
      <w:marBottom w:val="0"/>
      <w:divBdr>
        <w:top w:val="none" w:sz="0" w:space="0" w:color="auto"/>
        <w:left w:val="none" w:sz="0" w:space="0" w:color="auto"/>
        <w:bottom w:val="none" w:sz="0" w:space="0" w:color="auto"/>
        <w:right w:val="none" w:sz="0" w:space="0" w:color="auto"/>
      </w:divBdr>
    </w:div>
    <w:div w:id="1743333989">
      <w:bodyDiv w:val="1"/>
      <w:marLeft w:val="0"/>
      <w:marRight w:val="0"/>
      <w:marTop w:val="0"/>
      <w:marBottom w:val="0"/>
      <w:divBdr>
        <w:top w:val="none" w:sz="0" w:space="0" w:color="auto"/>
        <w:left w:val="none" w:sz="0" w:space="0" w:color="auto"/>
        <w:bottom w:val="none" w:sz="0" w:space="0" w:color="auto"/>
        <w:right w:val="none" w:sz="0" w:space="0" w:color="auto"/>
      </w:divBdr>
      <w:divsChild>
        <w:div w:id="56707153">
          <w:marLeft w:val="0"/>
          <w:marRight w:val="0"/>
          <w:marTop w:val="0"/>
          <w:marBottom w:val="0"/>
          <w:divBdr>
            <w:top w:val="none" w:sz="0" w:space="0" w:color="auto"/>
            <w:left w:val="none" w:sz="0" w:space="0" w:color="auto"/>
            <w:bottom w:val="none" w:sz="0" w:space="0" w:color="auto"/>
            <w:right w:val="none" w:sz="0" w:space="0" w:color="auto"/>
          </w:divBdr>
        </w:div>
        <w:div w:id="1051073817">
          <w:marLeft w:val="0"/>
          <w:marRight w:val="0"/>
          <w:marTop w:val="0"/>
          <w:marBottom w:val="0"/>
          <w:divBdr>
            <w:top w:val="none" w:sz="0" w:space="0" w:color="auto"/>
            <w:left w:val="none" w:sz="0" w:space="0" w:color="auto"/>
            <w:bottom w:val="none" w:sz="0" w:space="0" w:color="auto"/>
            <w:right w:val="none" w:sz="0" w:space="0" w:color="auto"/>
          </w:divBdr>
        </w:div>
        <w:div w:id="1198589258">
          <w:marLeft w:val="0"/>
          <w:marRight w:val="0"/>
          <w:marTop w:val="0"/>
          <w:marBottom w:val="0"/>
          <w:divBdr>
            <w:top w:val="none" w:sz="0" w:space="0" w:color="auto"/>
            <w:left w:val="none" w:sz="0" w:space="0" w:color="auto"/>
            <w:bottom w:val="none" w:sz="0" w:space="0" w:color="auto"/>
            <w:right w:val="none" w:sz="0" w:space="0" w:color="auto"/>
          </w:divBdr>
        </w:div>
        <w:div w:id="1259294859">
          <w:marLeft w:val="0"/>
          <w:marRight w:val="0"/>
          <w:marTop w:val="0"/>
          <w:marBottom w:val="0"/>
          <w:divBdr>
            <w:top w:val="none" w:sz="0" w:space="0" w:color="auto"/>
            <w:left w:val="none" w:sz="0" w:space="0" w:color="auto"/>
            <w:bottom w:val="none" w:sz="0" w:space="0" w:color="auto"/>
            <w:right w:val="none" w:sz="0" w:space="0" w:color="auto"/>
          </w:divBdr>
        </w:div>
        <w:div w:id="1727728169">
          <w:marLeft w:val="0"/>
          <w:marRight w:val="0"/>
          <w:marTop w:val="0"/>
          <w:marBottom w:val="0"/>
          <w:divBdr>
            <w:top w:val="none" w:sz="0" w:space="0" w:color="auto"/>
            <w:left w:val="none" w:sz="0" w:space="0" w:color="auto"/>
            <w:bottom w:val="none" w:sz="0" w:space="0" w:color="auto"/>
            <w:right w:val="none" w:sz="0" w:space="0" w:color="auto"/>
          </w:divBdr>
        </w:div>
        <w:div w:id="2084184041">
          <w:marLeft w:val="0"/>
          <w:marRight w:val="0"/>
          <w:marTop w:val="0"/>
          <w:marBottom w:val="0"/>
          <w:divBdr>
            <w:top w:val="none" w:sz="0" w:space="0" w:color="auto"/>
            <w:left w:val="none" w:sz="0" w:space="0" w:color="auto"/>
            <w:bottom w:val="none" w:sz="0" w:space="0" w:color="auto"/>
            <w:right w:val="none" w:sz="0" w:space="0" w:color="auto"/>
          </w:divBdr>
        </w:div>
        <w:div w:id="2125802544">
          <w:marLeft w:val="0"/>
          <w:marRight w:val="0"/>
          <w:marTop w:val="0"/>
          <w:marBottom w:val="0"/>
          <w:divBdr>
            <w:top w:val="none" w:sz="0" w:space="0" w:color="auto"/>
            <w:left w:val="none" w:sz="0" w:space="0" w:color="auto"/>
            <w:bottom w:val="none" w:sz="0" w:space="0" w:color="auto"/>
            <w:right w:val="none" w:sz="0" w:space="0" w:color="auto"/>
          </w:divBdr>
        </w:div>
        <w:div w:id="2135323909">
          <w:marLeft w:val="0"/>
          <w:marRight w:val="0"/>
          <w:marTop w:val="0"/>
          <w:marBottom w:val="0"/>
          <w:divBdr>
            <w:top w:val="none" w:sz="0" w:space="0" w:color="auto"/>
            <w:left w:val="none" w:sz="0" w:space="0" w:color="auto"/>
            <w:bottom w:val="none" w:sz="0" w:space="0" w:color="auto"/>
            <w:right w:val="none" w:sz="0" w:space="0" w:color="auto"/>
          </w:divBdr>
        </w:div>
      </w:divsChild>
    </w:div>
    <w:div w:id="1787196727">
      <w:bodyDiv w:val="1"/>
      <w:marLeft w:val="0"/>
      <w:marRight w:val="0"/>
      <w:marTop w:val="0"/>
      <w:marBottom w:val="0"/>
      <w:divBdr>
        <w:top w:val="none" w:sz="0" w:space="0" w:color="auto"/>
        <w:left w:val="none" w:sz="0" w:space="0" w:color="auto"/>
        <w:bottom w:val="none" w:sz="0" w:space="0" w:color="auto"/>
        <w:right w:val="none" w:sz="0" w:space="0" w:color="auto"/>
      </w:divBdr>
      <w:divsChild>
        <w:div w:id="38013542">
          <w:marLeft w:val="0"/>
          <w:marRight w:val="0"/>
          <w:marTop w:val="0"/>
          <w:marBottom w:val="0"/>
          <w:divBdr>
            <w:top w:val="none" w:sz="0" w:space="0" w:color="auto"/>
            <w:left w:val="none" w:sz="0" w:space="0" w:color="auto"/>
            <w:bottom w:val="none" w:sz="0" w:space="0" w:color="auto"/>
            <w:right w:val="none" w:sz="0" w:space="0" w:color="auto"/>
          </w:divBdr>
        </w:div>
        <w:div w:id="59597130">
          <w:marLeft w:val="0"/>
          <w:marRight w:val="0"/>
          <w:marTop w:val="0"/>
          <w:marBottom w:val="0"/>
          <w:divBdr>
            <w:top w:val="none" w:sz="0" w:space="0" w:color="auto"/>
            <w:left w:val="none" w:sz="0" w:space="0" w:color="auto"/>
            <w:bottom w:val="none" w:sz="0" w:space="0" w:color="auto"/>
            <w:right w:val="none" w:sz="0" w:space="0" w:color="auto"/>
          </w:divBdr>
        </w:div>
        <w:div w:id="60712478">
          <w:marLeft w:val="0"/>
          <w:marRight w:val="0"/>
          <w:marTop w:val="0"/>
          <w:marBottom w:val="0"/>
          <w:divBdr>
            <w:top w:val="none" w:sz="0" w:space="0" w:color="auto"/>
            <w:left w:val="none" w:sz="0" w:space="0" w:color="auto"/>
            <w:bottom w:val="none" w:sz="0" w:space="0" w:color="auto"/>
            <w:right w:val="none" w:sz="0" w:space="0" w:color="auto"/>
          </w:divBdr>
        </w:div>
        <w:div w:id="151915815">
          <w:marLeft w:val="0"/>
          <w:marRight w:val="0"/>
          <w:marTop w:val="0"/>
          <w:marBottom w:val="0"/>
          <w:divBdr>
            <w:top w:val="none" w:sz="0" w:space="0" w:color="auto"/>
            <w:left w:val="none" w:sz="0" w:space="0" w:color="auto"/>
            <w:bottom w:val="none" w:sz="0" w:space="0" w:color="auto"/>
            <w:right w:val="none" w:sz="0" w:space="0" w:color="auto"/>
          </w:divBdr>
        </w:div>
        <w:div w:id="191191758">
          <w:marLeft w:val="0"/>
          <w:marRight w:val="0"/>
          <w:marTop w:val="0"/>
          <w:marBottom w:val="0"/>
          <w:divBdr>
            <w:top w:val="none" w:sz="0" w:space="0" w:color="auto"/>
            <w:left w:val="none" w:sz="0" w:space="0" w:color="auto"/>
            <w:bottom w:val="none" w:sz="0" w:space="0" w:color="auto"/>
            <w:right w:val="none" w:sz="0" w:space="0" w:color="auto"/>
          </w:divBdr>
        </w:div>
        <w:div w:id="290861241">
          <w:marLeft w:val="0"/>
          <w:marRight w:val="0"/>
          <w:marTop w:val="0"/>
          <w:marBottom w:val="0"/>
          <w:divBdr>
            <w:top w:val="none" w:sz="0" w:space="0" w:color="auto"/>
            <w:left w:val="none" w:sz="0" w:space="0" w:color="auto"/>
            <w:bottom w:val="none" w:sz="0" w:space="0" w:color="auto"/>
            <w:right w:val="none" w:sz="0" w:space="0" w:color="auto"/>
          </w:divBdr>
        </w:div>
        <w:div w:id="452749742">
          <w:marLeft w:val="0"/>
          <w:marRight w:val="0"/>
          <w:marTop w:val="0"/>
          <w:marBottom w:val="0"/>
          <w:divBdr>
            <w:top w:val="none" w:sz="0" w:space="0" w:color="auto"/>
            <w:left w:val="none" w:sz="0" w:space="0" w:color="auto"/>
            <w:bottom w:val="none" w:sz="0" w:space="0" w:color="auto"/>
            <w:right w:val="none" w:sz="0" w:space="0" w:color="auto"/>
          </w:divBdr>
        </w:div>
        <w:div w:id="540093637">
          <w:marLeft w:val="0"/>
          <w:marRight w:val="0"/>
          <w:marTop w:val="0"/>
          <w:marBottom w:val="0"/>
          <w:divBdr>
            <w:top w:val="none" w:sz="0" w:space="0" w:color="auto"/>
            <w:left w:val="none" w:sz="0" w:space="0" w:color="auto"/>
            <w:bottom w:val="none" w:sz="0" w:space="0" w:color="auto"/>
            <w:right w:val="none" w:sz="0" w:space="0" w:color="auto"/>
          </w:divBdr>
        </w:div>
        <w:div w:id="673843704">
          <w:marLeft w:val="0"/>
          <w:marRight w:val="0"/>
          <w:marTop w:val="0"/>
          <w:marBottom w:val="0"/>
          <w:divBdr>
            <w:top w:val="none" w:sz="0" w:space="0" w:color="auto"/>
            <w:left w:val="none" w:sz="0" w:space="0" w:color="auto"/>
            <w:bottom w:val="none" w:sz="0" w:space="0" w:color="auto"/>
            <w:right w:val="none" w:sz="0" w:space="0" w:color="auto"/>
          </w:divBdr>
        </w:div>
        <w:div w:id="918253774">
          <w:marLeft w:val="0"/>
          <w:marRight w:val="0"/>
          <w:marTop w:val="0"/>
          <w:marBottom w:val="0"/>
          <w:divBdr>
            <w:top w:val="none" w:sz="0" w:space="0" w:color="auto"/>
            <w:left w:val="none" w:sz="0" w:space="0" w:color="auto"/>
            <w:bottom w:val="none" w:sz="0" w:space="0" w:color="auto"/>
            <w:right w:val="none" w:sz="0" w:space="0" w:color="auto"/>
          </w:divBdr>
        </w:div>
        <w:div w:id="931547521">
          <w:marLeft w:val="0"/>
          <w:marRight w:val="0"/>
          <w:marTop w:val="0"/>
          <w:marBottom w:val="0"/>
          <w:divBdr>
            <w:top w:val="none" w:sz="0" w:space="0" w:color="auto"/>
            <w:left w:val="none" w:sz="0" w:space="0" w:color="auto"/>
            <w:bottom w:val="none" w:sz="0" w:space="0" w:color="auto"/>
            <w:right w:val="none" w:sz="0" w:space="0" w:color="auto"/>
          </w:divBdr>
        </w:div>
        <w:div w:id="1055201972">
          <w:marLeft w:val="0"/>
          <w:marRight w:val="0"/>
          <w:marTop w:val="0"/>
          <w:marBottom w:val="0"/>
          <w:divBdr>
            <w:top w:val="none" w:sz="0" w:space="0" w:color="auto"/>
            <w:left w:val="none" w:sz="0" w:space="0" w:color="auto"/>
            <w:bottom w:val="none" w:sz="0" w:space="0" w:color="auto"/>
            <w:right w:val="none" w:sz="0" w:space="0" w:color="auto"/>
          </w:divBdr>
        </w:div>
        <w:div w:id="1101028691">
          <w:marLeft w:val="0"/>
          <w:marRight w:val="0"/>
          <w:marTop w:val="0"/>
          <w:marBottom w:val="0"/>
          <w:divBdr>
            <w:top w:val="none" w:sz="0" w:space="0" w:color="auto"/>
            <w:left w:val="none" w:sz="0" w:space="0" w:color="auto"/>
            <w:bottom w:val="none" w:sz="0" w:space="0" w:color="auto"/>
            <w:right w:val="none" w:sz="0" w:space="0" w:color="auto"/>
          </w:divBdr>
        </w:div>
        <w:div w:id="1259675365">
          <w:marLeft w:val="0"/>
          <w:marRight w:val="0"/>
          <w:marTop w:val="0"/>
          <w:marBottom w:val="0"/>
          <w:divBdr>
            <w:top w:val="none" w:sz="0" w:space="0" w:color="auto"/>
            <w:left w:val="none" w:sz="0" w:space="0" w:color="auto"/>
            <w:bottom w:val="none" w:sz="0" w:space="0" w:color="auto"/>
            <w:right w:val="none" w:sz="0" w:space="0" w:color="auto"/>
          </w:divBdr>
        </w:div>
        <w:div w:id="1334993176">
          <w:marLeft w:val="0"/>
          <w:marRight w:val="0"/>
          <w:marTop w:val="0"/>
          <w:marBottom w:val="0"/>
          <w:divBdr>
            <w:top w:val="none" w:sz="0" w:space="0" w:color="auto"/>
            <w:left w:val="none" w:sz="0" w:space="0" w:color="auto"/>
            <w:bottom w:val="none" w:sz="0" w:space="0" w:color="auto"/>
            <w:right w:val="none" w:sz="0" w:space="0" w:color="auto"/>
          </w:divBdr>
        </w:div>
        <w:div w:id="1336765965">
          <w:marLeft w:val="0"/>
          <w:marRight w:val="0"/>
          <w:marTop w:val="0"/>
          <w:marBottom w:val="0"/>
          <w:divBdr>
            <w:top w:val="none" w:sz="0" w:space="0" w:color="auto"/>
            <w:left w:val="none" w:sz="0" w:space="0" w:color="auto"/>
            <w:bottom w:val="none" w:sz="0" w:space="0" w:color="auto"/>
            <w:right w:val="none" w:sz="0" w:space="0" w:color="auto"/>
          </w:divBdr>
        </w:div>
        <w:div w:id="1337149013">
          <w:marLeft w:val="0"/>
          <w:marRight w:val="0"/>
          <w:marTop w:val="0"/>
          <w:marBottom w:val="0"/>
          <w:divBdr>
            <w:top w:val="none" w:sz="0" w:space="0" w:color="auto"/>
            <w:left w:val="none" w:sz="0" w:space="0" w:color="auto"/>
            <w:bottom w:val="none" w:sz="0" w:space="0" w:color="auto"/>
            <w:right w:val="none" w:sz="0" w:space="0" w:color="auto"/>
          </w:divBdr>
        </w:div>
        <w:div w:id="1535190381">
          <w:marLeft w:val="0"/>
          <w:marRight w:val="0"/>
          <w:marTop w:val="0"/>
          <w:marBottom w:val="0"/>
          <w:divBdr>
            <w:top w:val="none" w:sz="0" w:space="0" w:color="auto"/>
            <w:left w:val="none" w:sz="0" w:space="0" w:color="auto"/>
            <w:bottom w:val="none" w:sz="0" w:space="0" w:color="auto"/>
            <w:right w:val="none" w:sz="0" w:space="0" w:color="auto"/>
          </w:divBdr>
          <w:divsChild>
            <w:div w:id="1521627075">
              <w:marLeft w:val="-75"/>
              <w:marRight w:val="0"/>
              <w:marTop w:val="30"/>
              <w:marBottom w:val="30"/>
              <w:divBdr>
                <w:top w:val="none" w:sz="0" w:space="0" w:color="auto"/>
                <w:left w:val="none" w:sz="0" w:space="0" w:color="auto"/>
                <w:bottom w:val="none" w:sz="0" w:space="0" w:color="auto"/>
                <w:right w:val="none" w:sz="0" w:space="0" w:color="auto"/>
              </w:divBdr>
              <w:divsChild>
                <w:div w:id="11416929">
                  <w:marLeft w:val="0"/>
                  <w:marRight w:val="0"/>
                  <w:marTop w:val="0"/>
                  <w:marBottom w:val="0"/>
                  <w:divBdr>
                    <w:top w:val="none" w:sz="0" w:space="0" w:color="auto"/>
                    <w:left w:val="none" w:sz="0" w:space="0" w:color="auto"/>
                    <w:bottom w:val="none" w:sz="0" w:space="0" w:color="auto"/>
                    <w:right w:val="none" w:sz="0" w:space="0" w:color="auto"/>
                  </w:divBdr>
                  <w:divsChild>
                    <w:div w:id="487869205">
                      <w:marLeft w:val="0"/>
                      <w:marRight w:val="0"/>
                      <w:marTop w:val="0"/>
                      <w:marBottom w:val="0"/>
                      <w:divBdr>
                        <w:top w:val="none" w:sz="0" w:space="0" w:color="auto"/>
                        <w:left w:val="none" w:sz="0" w:space="0" w:color="auto"/>
                        <w:bottom w:val="none" w:sz="0" w:space="0" w:color="auto"/>
                        <w:right w:val="none" w:sz="0" w:space="0" w:color="auto"/>
                      </w:divBdr>
                    </w:div>
                  </w:divsChild>
                </w:div>
                <w:div w:id="13460885">
                  <w:marLeft w:val="0"/>
                  <w:marRight w:val="0"/>
                  <w:marTop w:val="0"/>
                  <w:marBottom w:val="0"/>
                  <w:divBdr>
                    <w:top w:val="none" w:sz="0" w:space="0" w:color="auto"/>
                    <w:left w:val="none" w:sz="0" w:space="0" w:color="auto"/>
                    <w:bottom w:val="none" w:sz="0" w:space="0" w:color="auto"/>
                    <w:right w:val="none" w:sz="0" w:space="0" w:color="auto"/>
                  </w:divBdr>
                  <w:divsChild>
                    <w:div w:id="2118479262">
                      <w:marLeft w:val="0"/>
                      <w:marRight w:val="0"/>
                      <w:marTop w:val="0"/>
                      <w:marBottom w:val="0"/>
                      <w:divBdr>
                        <w:top w:val="none" w:sz="0" w:space="0" w:color="auto"/>
                        <w:left w:val="none" w:sz="0" w:space="0" w:color="auto"/>
                        <w:bottom w:val="none" w:sz="0" w:space="0" w:color="auto"/>
                        <w:right w:val="none" w:sz="0" w:space="0" w:color="auto"/>
                      </w:divBdr>
                    </w:div>
                  </w:divsChild>
                </w:div>
                <w:div w:id="24907879">
                  <w:marLeft w:val="0"/>
                  <w:marRight w:val="0"/>
                  <w:marTop w:val="0"/>
                  <w:marBottom w:val="0"/>
                  <w:divBdr>
                    <w:top w:val="none" w:sz="0" w:space="0" w:color="auto"/>
                    <w:left w:val="none" w:sz="0" w:space="0" w:color="auto"/>
                    <w:bottom w:val="none" w:sz="0" w:space="0" w:color="auto"/>
                    <w:right w:val="none" w:sz="0" w:space="0" w:color="auto"/>
                  </w:divBdr>
                  <w:divsChild>
                    <w:div w:id="893852834">
                      <w:marLeft w:val="0"/>
                      <w:marRight w:val="0"/>
                      <w:marTop w:val="0"/>
                      <w:marBottom w:val="0"/>
                      <w:divBdr>
                        <w:top w:val="none" w:sz="0" w:space="0" w:color="auto"/>
                        <w:left w:val="none" w:sz="0" w:space="0" w:color="auto"/>
                        <w:bottom w:val="none" w:sz="0" w:space="0" w:color="auto"/>
                        <w:right w:val="none" w:sz="0" w:space="0" w:color="auto"/>
                      </w:divBdr>
                    </w:div>
                  </w:divsChild>
                </w:div>
                <w:div w:id="36011286">
                  <w:marLeft w:val="0"/>
                  <w:marRight w:val="0"/>
                  <w:marTop w:val="0"/>
                  <w:marBottom w:val="0"/>
                  <w:divBdr>
                    <w:top w:val="none" w:sz="0" w:space="0" w:color="auto"/>
                    <w:left w:val="none" w:sz="0" w:space="0" w:color="auto"/>
                    <w:bottom w:val="none" w:sz="0" w:space="0" w:color="auto"/>
                    <w:right w:val="none" w:sz="0" w:space="0" w:color="auto"/>
                  </w:divBdr>
                  <w:divsChild>
                    <w:div w:id="1684044452">
                      <w:marLeft w:val="0"/>
                      <w:marRight w:val="0"/>
                      <w:marTop w:val="0"/>
                      <w:marBottom w:val="0"/>
                      <w:divBdr>
                        <w:top w:val="none" w:sz="0" w:space="0" w:color="auto"/>
                        <w:left w:val="none" w:sz="0" w:space="0" w:color="auto"/>
                        <w:bottom w:val="none" w:sz="0" w:space="0" w:color="auto"/>
                        <w:right w:val="none" w:sz="0" w:space="0" w:color="auto"/>
                      </w:divBdr>
                    </w:div>
                  </w:divsChild>
                </w:div>
                <w:div w:id="105665140">
                  <w:marLeft w:val="0"/>
                  <w:marRight w:val="0"/>
                  <w:marTop w:val="0"/>
                  <w:marBottom w:val="0"/>
                  <w:divBdr>
                    <w:top w:val="none" w:sz="0" w:space="0" w:color="auto"/>
                    <w:left w:val="none" w:sz="0" w:space="0" w:color="auto"/>
                    <w:bottom w:val="none" w:sz="0" w:space="0" w:color="auto"/>
                    <w:right w:val="none" w:sz="0" w:space="0" w:color="auto"/>
                  </w:divBdr>
                  <w:divsChild>
                    <w:div w:id="1618826339">
                      <w:marLeft w:val="0"/>
                      <w:marRight w:val="0"/>
                      <w:marTop w:val="0"/>
                      <w:marBottom w:val="0"/>
                      <w:divBdr>
                        <w:top w:val="none" w:sz="0" w:space="0" w:color="auto"/>
                        <w:left w:val="none" w:sz="0" w:space="0" w:color="auto"/>
                        <w:bottom w:val="none" w:sz="0" w:space="0" w:color="auto"/>
                        <w:right w:val="none" w:sz="0" w:space="0" w:color="auto"/>
                      </w:divBdr>
                    </w:div>
                  </w:divsChild>
                </w:div>
                <w:div w:id="109399817">
                  <w:marLeft w:val="0"/>
                  <w:marRight w:val="0"/>
                  <w:marTop w:val="0"/>
                  <w:marBottom w:val="0"/>
                  <w:divBdr>
                    <w:top w:val="none" w:sz="0" w:space="0" w:color="auto"/>
                    <w:left w:val="none" w:sz="0" w:space="0" w:color="auto"/>
                    <w:bottom w:val="none" w:sz="0" w:space="0" w:color="auto"/>
                    <w:right w:val="none" w:sz="0" w:space="0" w:color="auto"/>
                  </w:divBdr>
                  <w:divsChild>
                    <w:div w:id="1124426239">
                      <w:marLeft w:val="0"/>
                      <w:marRight w:val="0"/>
                      <w:marTop w:val="0"/>
                      <w:marBottom w:val="0"/>
                      <w:divBdr>
                        <w:top w:val="none" w:sz="0" w:space="0" w:color="auto"/>
                        <w:left w:val="none" w:sz="0" w:space="0" w:color="auto"/>
                        <w:bottom w:val="none" w:sz="0" w:space="0" w:color="auto"/>
                        <w:right w:val="none" w:sz="0" w:space="0" w:color="auto"/>
                      </w:divBdr>
                    </w:div>
                  </w:divsChild>
                </w:div>
                <w:div w:id="130251743">
                  <w:marLeft w:val="0"/>
                  <w:marRight w:val="0"/>
                  <w:marTop w:val="0"/>
                  <w:marBottom w:val="0"/>
                  <w:divBdr>
                    <w:top w:val="none" w:sz="0" w:space="0" w:color="auto"/>
                    <w:left w:val="none" w:sz="0" w:space="0" w:color="auto"/>
                    <w:bottom w:val="none" w:sz="0" w:space="0" w:color="auto"/>
                    <w:right w:val="none" w:sz="0" w:space="0" w:color="auto"/>
                  </w:divBdr>
                  <w:divsChild>
                    <w:div w:id="1625118086">
                      <w:marLeft w:val="0"/>
                      <w:marRight w:val="0"/>
                      <w:marTop w:val="0"/>
                      <w:marBottom w:val="0"/>
                      <w:divBdr>
                        <w:top w:val="none" w:sz="0" w:space="0" w:color="auto"/>
                        <w:left w:val="none" w:sz="0" w:space="0" w:color="auto"/>
                        <w:bottom w:val="none" w:sz="0" w:space="0" w:color="auto"/>
                        <w:right w:val="none" w:sz="0" w:space="0" w:color="auto"/>
                      </w:divBdr>
                    </w:div>
                  </w:divsChild>
                </w:div>
                <w:div w:id="141235282">
                  <w:marLeft w:val="0"/>
                  <w:marRight w:val="0"/>
                  <w:marTop w:val="0"/>
                  <w:marBottom w:val="0"/>
                  <w:divBdr>
                    <w:top w:val="none" w:sz="0" w:space="0" w:color="auto"/>
                    <w:left w:val="none" w:sz="0" w:space="0" w:color="auto"/>
                    <w:bottom w:val="none" w:sz="0" w:space="0" w:color="auto"/>
                    <w:right w:val="none" w:sz="0" w:space="0" w:color="auto"/>
                  </w:divBdr>
                  <w:divsChild>
                    <w:div w:id="779834301">
                      <w:marLeft w:val="0"/>
                      <w:marRight w:val="0"/>
                      <w:marTop w:val="0"/>
                      <w:marBottom w:val="0"/>
                      <w:divBdr>
                        <w:top w:val="none" w:sz="0" w:space="0" w:color="auto"/>
                        <w:left w:val="none" w:sz="0" w:space="0" w:color="auto"/>
                        <w:bottom w:val="none" w:sz="0" w:space="0" w:color="auto"/>
                        <w:right w:val="none" w:sz="0" w:space="0" w:color="auto"/>
                      </w:divBdr>
                    </w:div>
                  </w:divsChild>
                </w:div>
                <w:div w:id="271671141">
                  <w:marLeft w:val="0"/>
                  <w:marRight w:val="0"/>
                  <w:marTop w:val="0"/>
                  <w:marBottom w:val="0"/>
                  <w:divBdr>
                    <w:top w:val="none" w:sz="0" w:space="0" w:color="auto"/>
                    <w:left w:val="none" w:sz="0" w:space="0" w:color="auto"/>
                    <w:bottom w:val="none" w:sz="0" w:space="0" w:color="auto"/>
                    <w:right w:val="none" w:sz="0" w:space="0" w:color="auto"/>
                  </w:divBdr>
                  <w:divsChild>
                    <w:div w:id="432631192">
                      <w:marLeft w:val="0"/>
                      <w:marRight w:val="0"/>
                      <w:marTop w:val="0"/>
                      <w:marBottom w:val="0"/>
                      <w:divBdr>
                        <w:top w:val="none" w:sz="0" w:space="0" w:color="auto"/>
                        <w:left w:val="none" w:sz="0" w:space="0" w:color="auto"/>
                        <w:bottom w:val="none" w:sz="0" w:space="0" w:color="auto"/>
                        <w:right w:val="none" w:sz="0" w:space="0" w:color="auto"/>
                      </w:divBdr>
                    </w:div>
                  </w:divsChild>
                </w:div>
                <w:div w:id="339039948">
                  <w:marLeft w:val="0"/>
                  <w:marRight w:val="0"/>
                  <w:marTop w:val="0"/>
                  <w:marBottom w:val="0"/>
                  <w:divBdr>
                    <w:top w:val="none" w:sz="0" w:space="0" w:color="auto"/>
                    <w:left w:val="none" w:sz="0" w:space="0" w:color="auto"/>
                    <w:bottom w:val="none" w:sz="0" w:space="0" w:color="auto"/>
                    <w:right w:val="none" w:sz="0" w:space="0" w:color="auto"/>
                  </w:divBdr>
                  <w:divsChild>
                    <w:div w:id="1023360261">
                      <w:marLeft w:val="0"/>
                      <w:marRight w:val="0"/>
                      <w:marTop w:val="0"/>
                      <w:marBottom w:val="0"/>
                      <w:divBdr>
                        <w:top w:val="none" w:sz="0" w:space="0" w:color="auto"/>
                        <w:left w:val="none" w:sz="0" w:space="0" w:color="auto"/>
                        <w:bottom w:val="none" w:sz="0" w:space="0" w:color="auto"/>
                        <w:right w:val="none" w:sz="0" w:space="0" w:color="auto"/>
                      </w:divBdr>
                    </w:div>
                  </w:divsChild>
                </w:div>
                <w:div w:id="379018742">
                  <w:marLeft w:val="0"/>
                  <w:marRight w:val="0"/>
                  <w:marTop w:val="0"/>
                  <w:marBottom w:val="0"/>
                  <w:divBdr>
                    <w:top w:val="none" w:sz="0" w:space="0" w:color="auto"/>
                    <w:left w:val="none" w:sz="0" w:space="0" w:color="auto"/>
                    <w:bottom w:val="none" w:sz="0" w:space="0" w:color="auto"/>
                    <w:right w:val="none" w:sz="0" w:space="0" w:color="auto"/>
                  </w:divBdr>
                  <w:divsChild>
                    <w:div w:id="2013335140">
                      <w:marLeft w:val="0"/>
                      <w:marRight w:val="0"/>
                      <w:marTop w:val="0"/>
                      <w:marBottom w:val="0"/>
                      <w:divBdr>
                        <w:top w:val="none" w:sz="0" w:space="0" w:color="auto"/>
                        <w:left w:val="none" w:sz="0" w:space="0" w:color="auto"/>
                        <w:bottom w:val="none" w:sz="0" w:space="0" w:color="auto"/>
                        <w:right w:val="none" w:sz="0" w:space="0" w:color="auto"/>
                      </w:divBdr>
                    </w:div>
                  </w:divsChild>
                </w:div>
                <w:div w:id="395016125">
                  <w:marLeft w:val="0"/>
                  <w:marRight w:val="0"/>
                  <w:marTop w:val="0"/>
                  <w:marBottom w:val="0"/>
                  <w:divBdr>
                    <w:top w:val="none" w:sz="0" w:space="0" w:color="auto"/>
                    <w:left w:val="none" w:sz="0" w:space="0" w:color="auto"/>
                    <w:bottom w:val="none" w:sz="0" w:space="0" w:color="auto"/>
                    <w:right w:val="none" w:sz="0" w:space="0" w:color="auto"/>
                  </w:divBdr>
                  <w:divsChild>
                    <w:div w:id="193690880">
                      <w:marLeft w:val="0"/>
                      <w:marRight w:val="0"/>
                      <w:marTop w:val="0"/>
                      <w:marBottom w:val="0"/>
                      <w:divBdr>
                        <w:top w:val="none" w:sz="0" w:space="0" w:color="auto"/>
                        <w:left w:val="none" w:sz="0" w:space="0" w:color="auto"/>
                        <w:bottom w:val="none" w:sz="0" w:space="0" w:color="auto"/>
                        <w:right w:val="none" w:sz="0" w:space="0" w:color="auto"/>
                      </w:divBdr>
                    </w:div>
                  </w:divsChild>
                </w:div>
                <w:div w:id="398139976">
                  <w:marLeft w:val="0"/>
                  <w:marRight w:val="0"/>
                  <w:marTop w:val="0"/>
                  <w:marBottom w:val="0"/>
                  <w:divBdr>
                    <w:top w:val="none" w:sz="0" w:space="0" w:color="auto"/>
                    <w:left w:val="none" w:sz="0" w:space="0" w:color="auto"/>
                    <w:bottom w:val="none" w:sz="0" w:space="0" w:color="auto"/>
                    <w:right w:val="none" w:sz="0" w:space="0" w:color="auto"/>
                  </w:divBdr>
                  <w:divsChild>
                    <w:div w:id="1089884216">
                      <w:marLeft w:val="0"/>
                      <w:marRight w:val="0"/>
                      <w:marTop w:val="0"/>
                      <w:marBottom w:val="0"/>
                      <w:divBdr>
                        <w:top w:val="none" w:sz="0" w:space="0" w:color="auto"/>
                        <w:left w:val="none" w:sz="0" w:space="0" w:color="auto"/>
                        <w:bottom w:val="none" w:sz="0" w:space="0" w:color="auto"/>
                        <w:right w:val="none" w:sz="0" w:space="0" w:color="auto"/>
                      </w:divBdr>
                    </w:div>
                  </w:divsChild>
                </w:div>
                <w:div w:id="452797216">
                  <w:marLeft w:val="0"/>
                  <w:marRight w:val="0"/>
                  <w:marTop w:val="0"/>
                  <w:marBottom w:val="0"/>
                  <w:divBdr>
                    <w:top w:val="none" w:sz="0" w:space="0" w:color="auto"/>
                    <w:left w:val="none" w:sz="0" w:space="0" w:color="auto"/>
                    <w:bottom w:val="none" w:sz="0" w:space="0" w:color="auto"/>
                    <w:right w:val="none" w:sz="0" w:space="0" w:color="auto"/>
                  </w:divBdr>
                  <w:divsChild>
                    <w:div w:id="832137714">
                      <w:marLeft w:val="0"/>
                      <w:marRight w:val="0"/>
                      <w:marTop w:val="0"/>
                      <w:marBottom w:val="0"/>
                      <w:divBdr>
                        <w:top w:val="none" w:sz="0" w:space="0" w:color="auto"/>
                        <w:left w:val="none" w:sz="0" w:space="0" w:color="auto"/>
                        <w:bottom w:val="none" w:sz="0" w:space="0" w:color="auto"/>
                        <w:right w:val="none" w:sz="0" w:space="0" w:color="auto"/>
                      </w:divBdr>
                    </w:div>
                  </w:divsChild>
                </w:div>
                <w:div w:id="455563462">
                  <w:marLeft w:val="0"/>
                  <w:marRight w:val="0"/>
                  <w:marTop w:val="0"/>
                  <w:marBottom w:val="0"/>
                  <w:divBdr>
                    <w:top w:val="none" w:sz="0" w:space="0" w:color="auto"/>
                    <w:left w:val="none" w:sz="0" w:space="0" w:color="auto"/>
                    <w:bottom w:val="none" w:sz="0" w:space="0" w:color="auto"/>
                    <w:right w:val="none" w:sz="0" w:space="0" w:color="auto"/>
                  </w:divBdr>
                  <w:divsChild>
                    <w:div w:id="1214199943">
                      <w:marLeft w:val="0"/>
                      <w:marRight w:val="0"/>
                      <w:marTop w:val="0"/>
                      <w:marBottom w:val="0"/>
                      <w:divBdr>
                        <w:top w:val="none" w:sz="0" w:space="0" w:color="auto"/>
                        <w:left w:val="none" w:sz="0" w:space="0" w:color="auto"/>
                        <w:bottom w:val="none" w:sz="0" w:space="0" w:color="auto"/>
                        <w:right w:val="none" w:sz="0" w:space="0" w:color="auto"/>
                      </w:divBdr>
                    </w:div>
                  </w:divsChild>
                </w:div>
                <w:div w:id="520582808">
                  <w:marLeft w:val="0"/>
                  <w:marRight w:val="0"/>
                  <w:marTop w:val="0"/>
                  <w:marBottom w:val="0"/>
                  <w:divBdr>
                    <w:top w:val="none" w:sz="0" w:space="0" w:color="auto"/>
                    <w:left w:val="none" w:sz="0" w:space="0" w:color="auto"/>
                    <w:bottom w:val="none" w:sz="0" w:space="0" w:color="auto"/>
                    <w:right w:val="none" w:sz="0" w:space="0" w:color="auto"/>
                  </w:divBdr>
                  <w:divsChild>
                    <w:div w:id="1816412686">
                      <w:marLeft w:val="0"/>
                      <w:marRight w:val="0"/>
                      <w:marTop w:val="0"/>
                      <w:marBottom w:val="0"/>
                      <w:divBdr>
                        <w:top w:val="none" w:sz="0" w:space="0" w:color="auto"/>
                        <w:left w:val="none" w:sz="0" w:space="0" w:color="auto"/>
                        <w:bottom w:val="none" w:sz="0" w:space="0" w:color="auto"/>
                        <w:right w:val="none" w:sz="0" w:space="0" w:color="auto"/>
                      </w:divBdr>
                    </w:div>
                  </w:divsChild>
                </w:div>
                <w:div w:id="526988427">
                  <w:marLeft w:val="0"/>
                  <w:marRight w:val="0"/>
                  <w:marTop w:val="0"/>
                  <w:marBottom w:val="0"/>
                  <w:divBdr>
                    <w:top w:val="none" w:sz="0" w:space="0" w:color="auto"/>
                    <w:left w:val="none" w:sz="0" w:space="0" w:color="auto"/>
                    <w:bottom w:val="none" w:sz="0" w:space="0" w:color="auto"/>
                    <w:right w:val="none" w:sz="0" w:space="0" w:color="auto"/>
                  </w:divBdr>
                  <w:divsChild>
                    <w:div w:id="67920013">
                      <w:marLeft w:val="0"/>
                      <w:marRight w:val="0"/>
                      <w:marTop w:val="0"/>
                      <w:marBottom w:val="0"/>
                      <w:divBdr>
                        <w:top w:val="none" w:sz="0" w:space="0" w:color="auto"/>
                        <w:left w:val="none" w:sz="0" w:space="0" w:color="auto"/>
                        <w:bottom w:val="none" w:sz="0" w:space="0" w:color="auto"/>
                        <w:right w:val="none" w:sz="0" w:space="0" w:color="auto"/>
                      </w:divBdr>
                    </w:div>
                  </w:divsChild>
                </w:div>
                <w:div w:id="568198388">
                  <w:marLeft w:val="0"/>
                  <w:marRight w:val="0"/>
                  <w:marTop w:val="0"/>
                  <w:marBottom w:val="0"/>
                  <w:divBdr>
                    <w:top w:val="none" w:sz="0" w:space="0" w:color="auto"/>
                    <w:left w:val="none" w:sz="0" w:space="0" w:color="auto"/>
                    <w:bottom w:val="none" w:sz="0" w:space="0" w:color="auto"/>
                    <w:right w:val="none" w:sz="0" w:space="0" w:color="auto"/>
                  </w:divBdr>
                  <w:divsChild>
                    <w:div w:id="1015227689">
                      <w:marLeft w:val="0"/>
                      <w:marRight w:val="0"/>
                      <w:marTop w:val="0"/>
                      <w:marBottom w:val="0"/>
                      <w:divBdr>
                        <w:top w:val="none" w:sz="0" w:space="0" w:color="auto"/>
                        <w:left w:val="none" w:sz="0" w:space="0" w:color="auto"/>
                        <w:bottom w:val="none" w:sz="0" w:space="0" w:color="auto"/>
                        <w:right w:val="none" w:sz="0" w:space="0" w:color="auto"/>
                      </w:divBdr>
                    </w:div>
                  </w:divsChild>
                </w:div>
                <w:div w:id="583686688">
                  <w:marLeft w:val="0"/>
                  <w:marRight w:val="0"/>
                  <w:marTop w:val="0"/>
                  <w:marBottom w:val="0"/>
                  <w:divBdr>
                    <w:top w:val="none" w:sz="0" w:space="0" w:color="auto"/>
                    <w:left w:val="none" w:sz="0" w:space="0" w:color="auto"/>
                    <w:bottom w:val="none" w:sz="0" w:space="0" w:color="auto"/>
                    <w:right w:val="none" w:sz="0" w:space="0" w:color="auto"/>
                  </w:divBdr>
                  <w:divsChild>
                    <w:div w:id="1081878558">
                      <w:marLeft w:val="0"/>
                      <w:marRight w:val="0"/>
                      <w:marTop w:val="0"/>
                      <w:marBottom w:val="0"/>
                      <w:divBdr>
                        <w:top w:val="none" w:sz="0" w:space="0" w:color="auto"/>
                        <w:left w:val="none" w:sz="0" w:space="0" w:color="auto"/>
                        <w:bottom w:val="none" w:sz="0" w:space="0" w:color="auto"/>
                        <w:right w:val="none" w:sz="0" w:space="0" w:color="auto"/>
                      </w:divBdr>
                    </w:div>
                  </w:divsChild>
                </w:div>
                <w:div w:id="596911890">
                  <w:marLeft w:val="0"/>
                  <w:marRight w:val="0"/>
                  <w:marTop w:val="0"/>
                  <w:marBottom w:val="0"/>
                  <w:divBdr>
                    <w:top w:val="none" w:sz="0" w:space="0" w:color="auto"/>
                    <w:left w:val="none" w:sz="0" w:space="0" w:color="auto"/>
                    <w:bottom w:val="none" w:sz="0" w:space="0" w:color="auto"/>
                    <w:right w:val="none" w:sz="0" w:space="0" w:color="auto"/>
                  </w:divBdr>
                  <w:divsChild>
                    <w:div w:id="374042789">
                      <w:marLeft w:val="0"/>
                      <w:marRight w:val="0"/>
                      <w:marTop w:val="0"/>
                      <w:marBottom w:val="0"/>
                      <w:divBdr>
                        <w:top w:val="none" w:sz="0" w:space="0" w:color="auto"/>
                        <w:left w:val="none" w:sz="0" w:space="0" w:color="auto"/>
                        <w:bottom w:val="none" w:sz="0" w:space="0" w:color="auto"/>
                        <w:right w:val="none" w:sz="0" w:space="0" w:color="auto"/>
                      </w:divBdr>
                    </w:div>
                  </w:divsChild>
                </w:div>
                <w:div w:id="646319041">
                  <w:marLeft w:val="0"/>
                  <w:marRight w:val="0"/>
                  <w:marTop w:val="0"/>
                  <w:marBottom w:val="0"/>
                  <w:divBdr>
                    <w:top w:val="none" w:sz="0" w:space="0" w:color="auto"/>
                    <w:left w:val="none" w:sz="0" w:space="0" w:color="auto"/>
                    <w:bottom w:val="none" w:sz="0" w:space="0" w:color="auto"/>
                    <w:right w:val="none" w:sz="0" w:space="0" w:color="auto"/>
                  </w:divBdr>
                  <w:divsChild>
                    <w:div w:id="1204178310">
                      <w:marLeft w:val="0"/>
                      <w:marRight w:val="0"/>
                      <w:marTop w:val="0"/>
                      <w:marBottom w:val="0"/>
                      <w:divBdr>
                        <w:top w:val="none" w:sz="0" w:space="0" w:color="auto"/>
                        <w:left w:val="none" w:sz="0" w:space="0" w:color="auto"/>
                        <w:bottom w:val="none" w:sz="0" w:space="0" w:color="auto"/>
                        <w:right w:val="none" w:sz="0" w:space="0" w:color="auto"/>
                      </w:divBdr>
                    </w:div>
                  </w:divsChild>
                </w:div>
                <w:div w:id="652560399">
                  <w:marLeft w:val="0"/>
                  <w:marRight w:val="0"/>
                  <w:marTop w:val="0"/>
                  <w:marBottom w:val="0"/>
                  <w:divBdr>
                    <w:top w:val="none" w:sz="0" w:space="0" w:color="auto"/>
                    <w:left w:val="none" w:sz="0" w:space="0" w:color="auto"/>
                    <w:bottom w:val="none" w:sz="0" w:space="0" w:color="auto"/>
                    <w:right w:val="none" w:sz="0" w:space="0" w:color="auto"/>
                  </w:divBdr>
                  <w:divsChild>
                    <w:div w:id="1364090110">
                      <w:marLeft w:val="0"/>
                      <w:marRight w:val="0"/>
                      <w:marTop w:val="0"/>
                      <w:marBottom w:val="0"/>
                      <w:divBdr>
                        <w:top w:val="none" w:sz="0" w:space="0" w:color="auto"/>
                        <w:left w:val="none" w:sz="0" w:space="0" w:color="auto"/>
                        <w:bottom w:val="none" w:sz="0" w:space="0" w:color="auto"/>
                        <w:right w:val="none" w:sz="0" w:space="0" w:color="auto"/>
                      </w:divBdr>
                    </w:div>
                  </w:divsChild>
                </w:div>
                <w:div w:id="668754477">
                  <w:marLeft w:val="0"/>
                  <w:marRight w:val="0"/>
                  <w:marTop w:val="0"/>
                  <w:marBottom w:val="0"/>
                  <w:divBdr>
                    <w:top w:val="none" w:sz="0" w:space="0" w:color="auto"/>
                    <w:left w:val="none" w:sz="0" w:space="0" w:color="auto"/>
                    <w:bottom w:val="none" w:sz="0" w:space="0" w:color="auto"/>
                    <w:right w:val="none" w:sz="0" w:space="0" w:color="auto"/>
                  </w:divBdr>
                  <w:divsChild>
                    <w:div w:id="443698873">
                      <w:marLeft w:val="0"/>
                      <w:marRight w:val="0"/>
                      <w:marTop w:val="0"/>
                      <w:marBottom w:val="0"/>
                      <w:divBdr>
                        <w:top w:val="none" w:sz="0" w:space="0" w:color="auto"/>
                        <w:left w:val="none" w:sz="0" w:space="0" w:color="auto"/>
                        <w:bottom w:val="none" w:sz="0" w:space="0" w:color="auto"/>
                        <w:right w:val="none" w:sz="0" w:space="0" w:color="auto"/>
                      </w:divBdr>
                    </w:div>
                  </w:divsChild>
                </w:div>
                <w:div w:id="724841072">
                  <w:marLeft w:val="0"/>
                  <w:marRight w:val="0"/>
                  <w:marTop w:val="0"/>
                  <w:marBottom w:val="0"/>
                  <w:divBdr>
                    <w:top w:val="none" w:sz="0" w:space="0" w:color="auto"/>
                    <w:left w:val="none" w:sz="0" w:space="0" w:color="auto"/>
                    <w:bottom w:val="none" w:sz="0" w:space="0" w:color="auto"/>
                    <w:right w:val="none" w:sz="0" w:space="0" w:color="auto"/>
                  </w:divBdr>
                  <w:divsChild>
                    <w:div w:id="1029376045">
                      <w:marLeft w:val="0"/>
                      <w:marRight w:val="0"/>
                      <w:marTop w:val="0"/>
                      <w:marBottom w:val="0"/>
                      <w:divBdr>
                        <w:top w:val="none" w:sz="0" w:space="0" w:color="auto"/>
                        <w:left w:val="none" w:sz="0" w:space="0" w:color="auto"/>
                        <w:bottom w:val="none" w:sz="0" w:space="0" w:color="auto"/>
                        <w:right w:val="none" w:sz="0" w:space="0" w:color="auto"/>
                      </w:divBdr>
                    </w:div>
                  </w:divsChild>
                </w:div>
                <w:div w:id="752162345">
                  <w:marLeft w:val="0"/>
                  <w:marRight w:val="0"/>
                  <w:marTop w:val="0"/>
                  <w:marBottom w:val="0"/>
                  <w:divBdr>
                    <w:top w:val="none" w:sz="0" w:space="0" w:color="auto"/>
                    <w:left w:val="none" w:sz="0" w:space="0" w:color="auto"/>
                    <w:bottom w:val="none" w:sz="0" w:space="0" w:color="auto"/>
                    <w:right w:val="none" w:sz="0" w:space="0" w:color="auto"/>
                  </w:divBdr>
                  <w:divsChild>
                    <w:div w:id="281158229">
                      <w:marLeft w:val="0"/>
                      <w:marRight w:val="0"/>
                      <w:marTop w:val="0"/>
                      <w:marBottom w:val="0"/>
                      <w:divBdr>
                        <w:top w:val="none" w:sz="0" w:space="0" w:color="auto"/>
                        <w:left w:val="none" w:sz="0" w:space="0" w:color="auto"/>
                        <w:bottom w:val="none" w:sz="0" w:space="0" w:color="auto"/>
                        <w:right w:val="none" w:sz="0" w:space="0" w:color="auto"/>
                      </w:divBdr>
                    </w:div>
                  </w:divsChild>
                </w:div>
                <w:div w:id="786506296">
                  <w:marLeft w:val="0"/>
                  <w:marRight w:val="0"/>
                  <w:marTop w:val="0"/>
                  <w:marBottom w:val="0"/>
                  <w:divBdr>
                    <w:top w:val="none" w:sz="0" w:space="0" w:color="auto"/>
                    <w:left w:val="none" w:sz="0" w:space="0" w:color="auto"/>
                    <w:bottom w:val="none" w:sz="0" w:space="0" w:color="auto"/>
                    <w:right w:val="none" w:sz="0" w:space="0" w:color="auto"/>
                  </w:divBdr>
                  <w:divsChild>
                    <w:div w:id="691416896">
                      <w:marLeft w:val="0"/>
                      <w:marRight w:val="0"/>
                      <w:marTop w:val="0"/>
                      <w:marBottom w:val="0"/>
                      <w:divBdr>
                        <w:top w:val="none" w:sz="0" w:space="0" w:color="auto"/>
                        <w:left w:val="none" w:sz="0" w:space="0" w:color="auto"/>
                        <w:bottom w:val="none" w:sz="0" w:space="0" w:color="auto"/>
                        <w:right w:val="none" w:sz="0" w:space="0" w:color="auto"/>
                      </w:divBdr>
                    </w:div>
                  </w:divsChild>
                </w:div>
                <w:div w:id="857502314">
                  <w:marLeft w:val="0"/>
                  <w:marRight w:val="0"/>
                  <w:marTop w:val="0"/>
                  <w:marBottom w:val="0"/>
                  <w:divBdr>
                    <w:top w:val="none" w:sz="0" w:space="0" w:color="auto"/>
                    <w:left w:val="none" w:sz="0" w:space="0" w:color="auto"/>
                    <w:bottom w:val="none" w:sz="0" w:space="0" w:color="auto"/>
                    <w:right w:val="none" w:sz="0" w:space="0" w:color="auto"/>
                  </w:divBdr>
                  <w:divsChild>
                    <w:div w:id="921186168">
                      <w:marLeft w:val="0"/>
                      <w:marRight w:val="0"/>
                      <w:marTop w:val="0"/>
                      <w:marBottom w:val="0"/>
                      <w:divBdr>
                        <w:top w:val="none" w:sz="0" w:space="0" w:color="auto"/>
                        <w:left w:val="none" w:sz="0" w:space="0" w:color="auto"/>
                        <w:bottom w:val="none" w:sz="0" w:space="0" w:color="auto"/>
                        <w:right w:val="none" w:sz="0" w:space="0" w:color="auto"/>
                      </w:divBdr>
                    </w:div>
                  </w:divsChild>
                </w:div>
                <w:div w:id="899905383">
                  <w:marLeft w:val="0"/>
                  <w:marRight w:val="0"/>
                  <w:marTop w:val="0"/>
                  <w:marBottom w:val="0"/>
                  <w:divBdr>
                    <w:top w:val="none" w:sz="0" w:space="0" w:color="auto"/>
                    <w:left w:val="none" w:sz="0" w:space="0" w:color="auto"/>
                    <w:bottom w:val="none" w:sz="0" w:space="0" w:color="auto"/>
                    <w:right w:val="none" w:sz="0" w:space="0" w:color="auto"/>
                  </w:divBdr>
                  <w:divsChild>
                    <w:div w:id="758333713">
                      <w:marLeft w:val="0"/>
                      <w:marRight w:val="0"/>
                      <w:marTop w:val="0"/>
                      <w:marBottom w:val="0"/>
                      <w:divBdr>
                        <w:top w:val="none" w:sz="0" w:space="0" w:color="auto"/>
                        <w:left w:val="none" w:sz="0" w:space="0" w:color="auto"/>
                        <w:bottom w:val="none" w:sz="0" w:space="0" w:color="auto"/>
                        <w:right w:val="none" w:sz="0" w:space="0" w:color="auto"/>
                      </w:divBdr>
                    </w:div>
                  </w:divsChild>
                </w:div>
                <w:div w:id="939796578">
                  <w:marLeft w:val="0"/>
                  <w:marRight w:val="0"/>
                  <w:marTop w:val="0"/>
                  <w:marBottom w:val="0"/>
                  <w:divBdr>
                    <w:top w:val="none" w:sz="0" w:space="0" w:color="auto"/>
                    <w:left w:val="none" w:sz="0" w:space="0" w:color="auto"/>
                    <w:bottom w:val="none" w:sz="0" w:space="0" w:color="auto"/>
                    <w:right w:val="none" w:sz="0" w:space="0" w:color="auto"/>
                  </w:divBdr>
                  <w:divsChild>
                    <w:div w:id="1353603740">
                      <w:marLeft w:val="0"/>
                      <w:marRight w:val="0"/>
                      <w:marTop w:val="0"/>
                      <w:marBottom w:val="0"/>
                      <w:divBdr>
                        <w:top w:val="none" w:sz="0" w:space="0" w:color="auto"/>
                        <w:left w:val="none" w:sz="0" w:space="0" w:color="auto"/>
                        <w:bottom w:val="none" w:sz="0" w:space="0" w:color="auto"/>
                        <w:right w:val="none" w:sz="0" w:space="0" w:color="auto"/>
                      </w:divBdr>
                    </w:div>
                  </w:divsChild>
                </w:div>
                <w:div w:id="1046370537">
                  <w:marLeft w:val="0"/>
                  <w:marRight w:val="0"/>
                  <w:marTop w:val="0"/>
                  <w:marBottom w:val="0"/>
                  <w:divBdr>
                    <w:top w:val="none" w:sz="0" w:space="0" w:color="auto"/>
                    <w:left w:val="none" w:sz="0" w:space="0" w:color="auto"/>
                    <w:bottom w:val="none" w:sz="0" w:space="0" w:color="auto"/>
                    <w:right w:val="none" w:sz="0" w:space="0" w:color="auto"/>
                  </w:divBdr>
                  <w:divsChild>
                    <w:div w:id="164170794">
                      <w:marLeft w:val="0"/>
                      <w:marRight w:val="0"/>
                      <w:marTop w:val="0"/>
                      <w:marBottom w:val="0"/>
                      <w:divBdr>
                        <w:top w:val="none" w:sz="0" w:space="0" w:color="auto"/>
                        <w:left w:val="none" w:sz="0" w:space="0" w:color="auto"/>
                        <w:bottom w:val="none" w:sz="0" w:space="0" w:color="auto"/>
                        <w:right w:val="none" w:sz="0" w:space="0" w:color="auto"/>
                      </w:divBdr>
                    </w:div>
                  </w:divsChild>
                </w:div>
                <w:div w:id="1140807919">
                  <w:marLeft w:val="0"/>
                  <w:marRight w:val="0"/>
                  <w:marTop w:val="0"/>
                  <w:marBottom w:val="0"/>
                  <w:divBdr>
                    <w:top w:val="none" w:sz="0" w:space="0" w:color="auto"/>
                    <w:left w:val="none" w:sz="0" w:space="0" w:color="auto"/>
                    <w:bottom w:val="none" w:sz="0" w:space="0" w:color="auto"/>
                    <w:right w:val="none" w:sz="0" w:space="0" w:color="auto"/>
                  </w:divBdr>
                  <w:divsChild>
                    <w:div w:id="829448007">
                      <w:marLeft w:val="0"/>
                      <w:marRight w:val="0"/>
                      <w:marTop w:val="0"/>
                      <w:marBottom w:val="0"/>
                      <w:divBdr>
                        <w:top w:val="none" w:sz="0" w:space="0" w:color="auto"/>
                        <w:left w:val="none" w:sz="0" w:space="0" w:color="auto"/>
                        <w:bottom w:val="none" w:sz="0" w:space="0" w:color="auto"/>
                        <w:right w:val="none" w:sz="0" w:space="0" w:color="auto"/>
                      </w:divBdr>
                    </w:div>
                  </w:divsChild>
                </w:div>
                <w:div w:id="1147864141">
                  <w:marLeft w:val="0"/>
                  <w:marRight w:val="0"/>
                  <w:marTop w:val="0"/>
                  <w:marBottom w:val="0"/>
                  <w:divBdr>
                    <w:top w:val="none" w:sz="0" w:space="0" w:color="auto"/>
                    <w:left w:val="none" w:sz="0" w:space="0" w:color="auto"/>
                    <w:bottom w:val="none" w:sz="0" w:space="0" w:color="auto"/>
                    <w:right w:val="none" w:sz="0" w:space="0" w:color="auto"/>
                  </w:divBdr>
                  <w:divsChild>
                    <w:div w:id="1750761256">
                      <w:marLeft w:val="0"/>
                      <w:marRight w:val="0"/>
                      <w:marTop w:val="0"/>
                      <w:marBottom w:val="0"/>
                      <w:divBdr>
                        <w:top w:val="none" w:sz="0" w:space="0" w:color="auto"/>
                        <w:left w:val="none" w:sz="0" w:space="0" w:color="auto"/>
                        <w:bottom w:val="none" w:sz="0" w:space="0" w:color="auto"/>
                        <w:right w:val="none" w:sz="0" w:space="0" w:color="auto"/>
                      </w:divBdr>
                    </w:div>
                  </w:divsChild>
                </w:div>
                <w:div w:id="1183401415">
                  <w:marLeft w:val="0"/>
                  <w:marRight w:val="0"/>
                  <w:marTop w:val="0"/>
                  <w:marBottom w:val="0"/>
                  <w:divBdr>
                    <w:top w:val="none" w:sz="0" w:space="0" w:color="auto"/>
                    <w:left w:val="none" w:sz="0" w:space="0" w:color="auto"/>
                    <w:bottom w:val="none" w:sz="0" w:space="0" w:color="auto"/>
                    <w:right w:val="none" w:sz="0" w:space="0" w:color="auto"/>
                  </w:divBdr>
                  <w:divsChild>
                    <w:div w:id="2057731339">
                      <w:marLeft w:val="0"/>
                      <w:marRight w:val="0"/>
                      <w:marTop w:val="0"/>
                      <w:marBottom w:val="0"/>
                      <w:divBdr>
                        <w:top w:val="none" w:sz="0" w:space="0" w:color="auto"/>
                        <w:left w:val="none" w:sz="0" w:space="0" w:color="auto"/>
                        <w:bottom w:val="none" w:sz="0" w:space="0" w:color="auto"/>
                        <w:right w:val="none" w:sz="0" w:space="0" w:color="auto"/>
                      </w:divBdr>
                    </w:div>
                  </w:divsChild>
                </w:div>
                <w:div w:id="1228343813">
                  <w:marLeft w:val="0"/>
                  <w:marRight w:val="0"/>
                  <w:marTop w:val="0"/>
                  <w:marBottom w:val="0"/>
                  <w:divBdr>
                    <w:top w:val="none" w:sz="0" w:space="0" w:color="auto"/>
                    <w:left w:val="none" w:sz="0" w:space="0" w:color="auto"/>
                    <w:bottom w:val="none" w:sz="0" w:space="0" w:color="auto"/>
                    <w:right w:val="none" w:sz="0" w:space="0" w:color="auto"/>
                  </w:divBdr>
                  <w:divsChild>
                    <w:div w:id="1848906965">
                      <w:marLeft w:val="0"/>
                      <w:marRight w:val="0"/>
                      <w:marTop w:val="0"/>
                      <w:marBottom w:val="0"/>
                      <w:divBdr>
                        <w:top w:val="none" w:sz="0" w:space="0" w:color="auto"/>
                        <w:left w:val="none" w:sz="0" w:space="0" w:color="auto"/>
                        <w:bottom w:val="none" w:sz="0" w:space="0" w:color="auto"/>
                        <w:right w:val="none" w:sz="0" w:space="0" w:color="auto"/>
                      </w:divBdr>
                    </w:div>
                  </w:divsChild>
                </w:div>
                <w:div w:id="1229533388">
                  <w:marLeft w:val="0"/>
                  <w:marRight w:val="0"/>
                  <w:marTop w:val="0"/>
                  <w:marBottom w:val="0"/>
                  <w:divBdr>
                    <w:top w:val="none" w:sz="0" w:space="0" w:color="auto"/>
                    <w:left w:val="none" w:sz="0" w:space="0" w:color="auto"/>
                    <w:bottom w:val="none" w:sz="0" w:space="0" w:color="auto"/>
                    <w:right w:val="none" w:sz="0" w:space="0" w:color="auto"/>
                  </w:divBdr>
                  <w:divsChild>
                    <w:div w:id="1136291239">
                      <w:marLeft w:val="0"/>
                      <w:marRight w:val="0"/>
                      <w:marTop w:val="0"/>
                      <w:marBottom w:val="0"/>
                      <w:divBdr>
                        <w:top w:val="none" w:sz="0" w:space="0" w:color="auto"/>
                        <w:left w:val="none" w:sz="0" w:space="0" w:color="auto"/>
                        <w:bottom w:val="none" w:sz="0" w:space="0" w:color="auto"/>
                        <w:right w:val="none" w:sz="0" w:space="0" w:color="auto"/>
                      </w:divBdr>
                    </w:div>
                  </w:divsChild>
                </w:div>
                <w:div w:id="1265307113">
                  <w:marLeft w:val="0"/>
                  <w:marRight w:val="0"/>
                  <w:marTop w:val="0"/>
                  <w:marBottom w:val="0"/>
                  <w:divBdr>
                    <w:top w:val="none" w:sz="0" w:space="0" w:color="auto"/>
                    <w:left w:val="none" w:sz="0" w:space="0" w:color="auto"/>
                    <w:bottom w:val="none" w:sz="0" w:space="0" w:color="auto"/>
                    <w:right w:val="none" w:sz="0" w:space="0" w:color="auto"/>
                  </w:divBdr>
                  <w:divsChild>
                    <w:div w:id="2082749926">
                      <w:marLeft w:val="0"/>
                      <w:marRight w:val="0"/>
                      <w:marTop w:val="0"/>
                      <w:marBottom w:val="0"/>
                      <w:divBdr>
                        <w:top w:val="none" w:sz="0" w:space="0" w:color="auto"/>
                        <w:left w:val="none" w:sz="0" w:space="0" w:color="auto"/>
                        <w:bottom w:val="none" w:sz="0" w:space="0" w:color="auto"/>
                        <w:right w:val="none" w:sz="0" w:space="0" w:color="auto"/>
                      </w:divBdr>
                    </w:div>
                  </w:divsChild>
                </w:div>
                <w:div w:id="1283029611">
                  <w:marLeft w:val="0"/>
                  <w:marRight w:val="0"/>
                  <w:marTop w:val="0"/>
                  <w:marBottom w:val="0"/>
                  <w:divBdr>
                    <w:top w:val="none" w:sz="0" w:space="0" w:color="auto"/>
                    <w:left w:val="none" w:sz="0" w:space="0" w:color="auto"/>
                    <w:bottom w:val="none" w:sz="0" w:space="0" w:color="auto"/>
                    <w:right w:val="none" w:sz="0" w:space="0" w:color="auto"/>
                  </w:divBdr>
                  <w:divsChild>
                    <w:div w:id="179860627">
                      <w:marLeft w:val="0"/>
                      <w:marRight w:val="0"/>
                      <w:marTop w:val="0"/>
                      <w:marBottom w:val="0"/>
                      <w:divBdr>
                        <w:top w:val="none" w:sz="0" w:space="0" w:color="auto"/>
                        <w:left w:val="none" w:sz="0" w:space="0" w:color="auto"/>
                        <w:bottom w:val="none" w:sz="0" w:space="0" w:color="auto"/>
                        <w:right w:val="none" w:sz="0" w:space="0" w:color="auto"/>
                      </w:divBdr>
                    </w:div>
                  </w:divsChild>
                </w:div>
                <w:div w:id="1318454264">
                  <w:marLeft w:val="0"/>
                  <w:marRight w:val="0"/>
                  <w:marTop w:val="0"/>
                  <w:marBottom w:val="0"/>
                  <w:divBdr>
                    <w:top w:val="none" w:sz="0" w:space="0" w:color="auto"/>
                    <w:left w:val="none" w:sz="0" w:space="0" w:color="auto"/>
                    <w:bottom w:val="none" w:sz="0" w:space="0" w:color="auto"/>
                    <w:right w:val="none" w:sz="0" w:space="0" w:color="auto"/>
                  </w:divBdr>
                  <w:divsChild>
                    <w:div w:id="813906977">
                      <w:marLeft w:val="0"/>
                      <w:marRight w:val="0"/>
                      <w:marTop w:val="0"/>
                      <w:marBottom w:val="0"/>
                      <w:divBdr>
                        <w:top w:val="none" w:sz="0" w:space="0" w:color="auto"/>
                        <w:left w:val="none" w:sz="0" w:space="0" w:color="auto"/>
                        <w:bottom w:val="none" w:sz="0" w:space="0" w:color="auto"/>
                        <w:right w:val="none" w:sz="0" w:space="0" w:color="auto"/>
                      </w:divBdr>
                    </w:div>
                  </w:divsChild>
                </w:div>
                <w:div w:id="1338649505">
                  <w:marLeft w:val="0"/>
                  <w:marRight w:val="0"/>
                  <w:marTop w:val="0"/>
                  <w:marBottom w:val="0"/>
                  <w:divBdr>
                    <w:top w:val="none" w:sz="0" w:space="0" w:color="auto"/>
                    <w:left w:val="none" w:sz="0" w:space="0" w:color="auto"/>
                    <w:bottom w:val="none" w:sz="0" w:space="0" w:color="auto"/>
                    <w:right w:val="none" w:sz="0" w:space="0" w:color="auto"/>
                  </w:divBdr>
                  <w:divsChild>
                    <w:div w:id="911811568">
                      <w:marLeft w:val="0"/>
                      <w:marRight w:val="0"/>
                      <w:marTop w:val="0"/>
                      <w:marBottom w:val="0"/>
                      <w:divBdr>
                        <w:top w:val="none" w:sz="0" w:space="0" w:color="auto"/>
                        <w:left w:val="none" w:sz="0" w:space="0" w:color="auto"/>
                        <w:bottom w:val="none" w:sz="0" w:space="0" w:color="auto"/>
                        <w:right w:val="none" w:sz="0" w:space="0" w:color="auto"/>
                      </w:divBdr>
                    </w:div>
                  </w:divsChild>
                </w:div>
                <w:div w:id="1385638249">
                  <w:marLeft w:val="0"/>
                  <w:marRight w:val="0"/>
                  <w:marTop w:val="0"/>
                  <w:marBottom w:val="0"/>
                  <w:divBdr>
                    <w:top w:val="none" w:sz="0" w:space="0" w:color="auto"/>
                    <w:left w:val="none" w:sz="0" w:space="0" w:color="auto"/>
                    <w:bottom w:val="none" w:sz="0" w:space="0" w:color="auto"/>
                    <w:right w:val="none" w:sz="0" w:space="0" w:color="auto"/>
                  </w:divBdr>
                  <w:divsChild>
                    <w:div w:id="202913317">
                      <w:marLeft w:val="0"/>
                      <w:marRight w:val="0"/>
                      <w:marTop w:val="0"/>
                      <w:marBottom w:val="0"/>
                      <w:divBdr>
                        <w:top w:val="none" w:sz="0" w:space="0" w:color="auto"/>
                        <w:left w:val="none" w:sz="0" w:space="0" w:color="auto"/>
                        <w:bottom w:val="none" w:sz="0" w:space="0" w:color="auto"/>
                        <w:right w:val="none" w:sz="0" w:space="0" w:color="auto"/>
                      </w:divBdr>
                    </w:div>
                  </w:divsChild>
                </w:div>
                <w:div w:id="1416785021">
                  <w:marLeft w:val="0"/>
                  <w:marRight w:val="0"/>
                  <w:marTop w:val="0"/>
                  <w:marBottom w:val="0"/>
                  <w:divBdr>
                    <w:top w:val="none" w:sz="0" w:space="0" w:color="auto"/>
                    <w:left w:val="none" w:sz="0" w:space="0" w:color="auto"/>
                    <w:bottom w:val="none" w:sz="0" w:space="0" w:color="auto"/>
                    <w:right w:val="none" w:sz="0" w:space="0" w:color="auto"/>
                  </w:divBdr>
                  <w:divsChild>
                    <w:div w:id="955138241">
                      <w:marLeft w:val="0"/>
                      <w:marRight w:val="0"/>
                      <w:marTop w:val="0"/>
                      <w:marBottom w:val="0"/>
                      <w:divBdr>
                        <w:top w:val="none" w:sz="0" w:space="0" w:color="auto"/>
                        <w:left w:val="none" w:sz="0" w:space="0" w:color="auto"/>
                        <w:bottom w:val="none" w:sz="0" w:space="0" w:color="auto"/>
                        <w:right w:val="none" w:sz="0" w:space="0" w:color="auto"/>
                      </w:divBdr>
                    </w:div>
                  </w:divsChild>
                </w:div>
                <w:div w:id="1444307546">
                  <w:marLeft w:val="0"/>
                  <w:marRight w:val="0"/>
                  <w:marTop w:val="0"/>
                  <w:marBottom w:val="0"/>
                  <w:divBdr>
                    <w:top w:val="none" w:sz="0" w:space="0" w:color="auto"/>
                    <w:left w:val="none" w:sz="0" w:space="0" w:color="auto"/>
                    <w:bottom w:val="none" w:sz="0" w:space="0" w:color="auto"/>
                    <w:right w:val="none" w:sz="0" w:space="0" w:color="auto"/>
                  </w:divBdr>
                  <w:divsChild>
                    <w:div w:id="523328944">
                      <w:marLeft w:val="0"/>
                      <w:marRight w:val="0"/>
                      <w:marTop w:val="0"/>
                      <w:marBottom w:val="0"/>
                      <w:divBdr>
                        <w:top w:val="none" w:sz="0" w:space="0" w:color="auto"/>
                        <w:left w:val="none" w:sz="0" w:space="0" w:color="auto"/>
                        <w:bottom w:val="none" w:sz="0" w:space="0" w:color="auto"/>
                        <w:right w:val="none" w:sz="0" w:space="0" w:color="auto"/>
                      </w:divBdr>
                    </w:div>
                  </w:divsChild>
                </w:div>
                <w:div w:id="1459451935">
                  <w:marLeft w:val="0"/>
                  <w:marRight w:val="0"/>
                  <w:marTop w:val="0"/>
                  <w:marBottom w:val="0"/>
                  <w:divBdr>
                    <w:top w:val="none" w:sz="0" w:space="0" w:color="auto"/>
                    <w:left w:val="none" w:sz="0" w:space="0" w:color="auto"/>
                    <w:bottom w:val="none" w:sz="0" w:space="0" w:color="auto"/>
                    <w:right w:val="none" w:sz="0" w:space="0" w:color="auto"/>
                  </w:divBdr>
                  <w:divsChild>
                    <w:div w:id="1532449356">
                      <w:marLeft w:val="0"/>
                      <w:marRight w:val="0"/>
                      <w:marTop w:val="0"/>
                      <w:marBottom w:val="0"/>
                      <w:divBdr>
                        <w:top w:val="none" w:sz="0" w:space="0" w:color="auto"/>
                        <w:left w:val="none" w:sz="0" w:space="0" w:color="auto"/>
                        <w:bottom w:val="none" w:sz="0" w:space="0" w:color="auto"/>
                        <w:right w:val="none" w:sz="0" w:space="0" w:color="auto"/>
                      </w:divBdr>
                    </w:div>
                  </w:divsChild>
                </w:div>
                <w:div w:id="1464345297">
                  <w:marLeft w:val="0"/>
                  <w:marRight w:val="0"/>
                  <w:marTop w:val="0"/>
                  <w:marBottom w:val="0"/>
                  <w:divBdr>
                    <w:top w:val="none" w:sz="0" w:space="0" w:color="auto"/>
                    <w:left w:val="none" w:sz="0" w:space="0" w:color="auto"/>
                    <w:bottom w:val="none" w:sz="0" w:space="0" w:color="auto"/>
                    <w:right w:val="none" w:sz="0" w:space="0" w:color="auto"/>
                  </w:divBdr>
                  <w:divsChild>
                    <w:div w:id="672533300">
                      <w:marLeft w:val="0"/>
                      <w:marRight w:val="0"/>
                      <w:marTop w:val="0"/>
                      <w:marBottom w:val="0"/>
                      <w:divBdr>
                        <w:top w:val="none" w:sz="0" w:space="0" w:color="auto"/>
                        <w:left w:val="none" w:sz="0" w:space="0" w:color="auto"/>
                        <w:bottom w:val="none" w:sz="0" w:space="0" w:color="auto"/>
                        <w:right w:val="none" w:sz="0" w:space="0" w:color="auto"/>
                      </w:divBdr>
                    </w:div>
                  </w:divsChild>
                </w:div>
                <w:div w:id="1477721451">
                  <w:marLeft w:val="0"/>
                  <w:marRight w:val="0"/>
                  <w:marTop w:val="0"/>
                  <w:marBottom w:val="0"/>
                  <w:divBdr>
                    <w:top w:val="none" w:sz="0" w:space="0" w:color="auto"/>
                    <w:left w:val="none" w:sz="0" w:space="0" w:color="auto"/>
                    <w:bottom w:val="none" w:sz="0" w:space="0" w:color="auto"/>
                    <w:right w:val="none" w:sz="0" w:space="0" w:color="auto"/>
                  </w:divBdr>
                  <w:divsChild>
                    <w:div w:id="2043508860">
                      <w:marLeft w:val="0"/>
                      <w:marRight w:val="0"/>
                      <w:marTop w:val="0"/>
                      <w:marBottom w:val="0"/>
                      <w:divBdr>
                        <w:top w:val="none" w:sz="0" w:space="0" w:color="auto"/>
                        <w:left w:val="none" w:sz="0" w:space="0" w:color="auto"/>
                        <w:bottom w:val="none" w:sz="0" w:space="0" w:color="auto"/>
                        <w:right w:val="none" w:sz="0" w:space="0" w:color="auto"/>
                      </w:divBdr>
                    </w:div>
                  </w:divsChild>
                </w:div>
                <w:div w:id="1512064810">
                  <w:marLeft w:val="0"/>
                  <w:marRight w:val="0"/>
                  <w:marTop w:val="0"/>
                  <w:marBottom w:val="0"/>
                  <w:divBdr>
                    <w:top w:val="none" w:sz="0" w:space="0" w:color="auto"/>
                    <w:left w:val="none" w:sz="0" w:space="0" w:color="auto"/>
                    <w:bottom w:val="none" w:sz="0" w:space="0" w:color="auto"/>
                    <w:right w:val="none" w:sz="0" w:space="0" w:color="auto"/>
                  </w:divBdr>
                  <w:divsChild>
                    <w:div w:id="395201003">
                      <w:marLeft w:val="0"/>
                      <w:marRight w:val="0"/>
                      <w:marTop w:val="0"/>
                      <w:marBottom w:val="0"/>
                      <w:divBdr>
                        <w:top w:val="none" w:sz="0" w:space="0" w:color="auto"/>
                        <w:left w:val="none" w:sz="0" w:space="0" w:color="auto"/>
                        <w:bottom w:val="none" w:sz="0" w:space="0" w:color="auto"/>
                        <w:right w:val="none" w:sz="0" w:space="0" w:color="auto"/>
                      </w:divBdr>
                    </w:div>
                  </w:divsChild>
                </w:div>
                <w:div w:id="1525820875">
                  <w:marLeft w:val="0"/>
                  <w:marRight w:val="0"/>
                  <w:marTop w:val="0"/>
                  <w:marBottom w:val="0"/>
                  <w:divBdr>
                    <w:top w:val="none" w:sz="0" w:space="0" w:color="auto"/>
                    <w:left w:val="none" w:sz="0" w:space="0" w:color="auto"/>
                    <w:bottom w:val="none" w:sz="0" w:space="0" w:color="auto"/>
                    <w:right w:val="none" w:sz="0" w:space="0" w:color="auto"/>
                  </w:divBdr>
                  <w:divsChild>
                    <w:div w:id="1372338012">
                      <w:marLeft w:val="0"/>
                      <w:marRight w:val="0"/>
                      <w:marTop w:val="0"/>
                      <w:marBottom w:val="0"/>
                      <w:divBdr>
                        <w:top w:val="none" w:sz="0" w:space="0" w:color="auto"/>
                        <w:left w:val="none" w:sz="0" w:space="0" w:color="auto"/>
                        <w:bottom w:val="none" w:sz="0" w:space="0" w:color="auto"/>
                        <w:right w:val="none" w:sz="0" w:space="0" w:color="auto"/>
                      </w:divBdr>
                    </w:div>
                  </w:divsChild>
                </w:div>
                <w:div w:id="1526676058">
                  <w:marLeft w:val="0"/>
                  <w:marRight w:val="0"/>
                  <w:marTop w:val="0"/>
                  <w:marBottom w:val="0"/>
                  <w:divBdr>
                    <w:top w:val="none" w:sz="0" w:space="0" w:color="auto"/>
                    <w:left w:val="none" w:sz="0" w:space="0" w:color="auto"/>
                    <w:bottom w:val="none" w:sz="0" w:space="0" w:color="auto"/>
                    <w:right w:val="none" w:sz="0" w:space="0" w:color="auto"/>
                  </w:divBdr>
                  <w:divsChild>
                    <w:div w:id="33503608">
                      <w:marLeft w:val="0"/>
                      <w:marRight w:val="0"/>
                      <w:marTop w:val="0"/>
                      <w:marBottom w:val="0"/>
                      <w:divBdr>
                        <w:top w:val="none" w:sz="0" w:space="0" w:color="auto"/>
                        <w:left w:val="none" w:sz="0" w:space="0" w:color="auto"/>
                        <w:bottom w:val="none" w:sz="0" w:space="0" w:color="auto"/>
                        <w:right w:val="none" w:sz="0" w:space="0" w:color="auto"/>
                      </w:divBdr>
                    </w:div>
                  </w:divsChild>
                </w:div>
                <w:div w:id="1555655120">
                  <w:marLeft w:val="0"/>
                  <w:marRight w:val="0"/>
                  <w:marTop w:val="0"/>
                  <w:marBottom w:val="0"/>
                  <w:divBdr>
                    <w:top w:val="none" w:sz="0" w:space="0" w:color="auto"/>
                    <w:left w:val="none" w:sz="0" w:space="0" w:color="auto"/>
                    <w:bottom w:val="none" w:sz="0" w:space="0" w:color="auto"/>
                    <w:right w:val="none" w:sz="0" w:space="0" w:color="auto"/>
                  </w:divBdr>
                  <w:divsChild>
                    <w:div w:id="2086688012">
                      <w:marLeft w:val="0"/>
                      <w:marRight w:val="0"/>
                      <w:marTop w:val="0"/>
                      <w:marBottom w:val="0"/>
                      <w:divBdr>
                        <w:top w:val="none" w:sz="0" w:space="0" w:color="auto"/>
                        <w:left w:val="none" w:sz="0" w:space="0" w:color="auto"/>
                        <w:bottom w:val="none" w:sz="0" w:space="0" w:color="auto"/>
                        <w:right w:val="none" w:sz="0" w:space="0" w:color="auto"/>
                      </w:divBdr>
                    </w:div>
                  </w:divsChild>
                </w:div>
                <w:div w:id="1597590416">
                  <w:marLeft w:val="0"/>
                  <w:marRight w:val="0"/>
                  <w:marTop w:val="0"/>
                  <w:marBottom w:val="0"/>
                  <w:divBdr>
                    <w:top w:val="none" w:sz="0" w:space="0" w:color="auto"/>
                    <w:left w:val="none" w:sz="0" w:space="0" w:color="auto"/>
                    <w:bottom w:val="none" w:sz="0" w:space="0" w:color="auto"/>
                    <w:right w:val="none" w:sz="0" w:space="0" w:color="auto"/>
                  </w:divBdr>
                  <w:divsChild>
                    <w:div w:id="1294991676">
                      <w:marLeft w:val="0"/>
                      <w:marRight w:val="0"/>
                      <w:marTop w:val="0"/>
                      <w:marBottom w:val="0"/>
                      <w:divBdr>
                        <w:top w:val="none" w:sz="0" w:space="0" w:color="auto"/>
                        <w:left w:val="none" w:sz="0" w:space="0" w:color="auto"/>
                        <w:bottom w:val="none" w:sz="0" w:space="0" w:color="auto"/>
                        <w:right w:val="none" w:sz="0" w:space="0" w:color="auto"/>
                      </w:divBdr>
                    </w:div>
                  </w:divsChild>
                </w:div>
                <w:div w:id="1600068523">
                  <w:marLeft w:val="0"/>
                  <w:marRight w:val="0"/>
                  <w:marTop w:val="0"/>
                  <w:marBottom w:val="0"/>
                  <w:divBdr>
                    <w:top w:val="none" w:sz="0" w:space="0" w:color="auto"/>
                    <w:left w:val="none" w:sz="0" w:space="0" w:color="auto"/>
                    <w:bottom w:val="none" w:sz="0" w:space="0" w:color="auto"/>
                    <w:right w:val="none" w:sz="0" w:space="0" w:color="auto"/>
                  </w:divBdr>
                  <w:divsChild>
                    <w:div w:id="686294622">
                      <w:marLeft w:val="0"/>
                      <w:marRight w:val="0"/>
                      <w:marTop w:val="0"/>
                      <w:marBottom w:val="0"/>
                      <w:divBdr>
                        <w:top w:val="none" w:sz="0" w:space="0" w:color="auto"/>
                        <w:left w:val="none" w:sz="0" w:space="0" w:color="auto"/>
                        <w:bottom w:val="none" w:sz="0" w:space="0" w:color="auto"/>
                        <w:right w:val="none" w:sz="0" w:space="0" w:color="auto"/>
                      </w:divBdr>
                    </w:div>
                  </w:divsChild>
                </w:div>
                <w:div w:id="1609507643">
                  <w:marLeft w:val="0"/>
                  <w:marRight w:val="0"/>
                  <w:marTop w:val="0"/>
                  <w:marBottom w:val="0"/>
                  <w:divBdr>
                    <w:top w:val="none" w:sz="0" w:space="0" w:color="auto"/>
                    <w:left w:val="none" w:sz="0" w:space="0" w:color="auto"/>
                    <w:bottom w:val="none" w:sz="0" w:space="0" w:color="auto"/>
                    <w:right w:val="none" w:sz="0" w:space="0" w:color="auto"/>
                  </w:divBdr>
                  <w:divsChild>
                    <w:div w:id="667638870">
                      <w:marLeft w:val="0"/>
                      <w:marRight w:val="0"/>
                      <w:marTop w:val="0"/>
                      <w:marBottom w:val="0"/>
                      <w:divBdr>
                        <w:top w:val="none" w:sz="0" w:space="0" w:color="auto"/>
                        <w:left w:val="none" w:sz="0" w:space="0" w:color="auto"/>
                        <w:bottom w:val="none" w:sz="0" w:space="0" w:color="auto"/>
                        <w:right w:val="none" w:sz="0" w:space="0" w:color="auto"/>
                      </w:divBdr>
                    </w:div>
                  </w:divsChild>
                </w:div>
                <w:div w:id="1636372816">
                  <w:marLeft w:val="0"/>
                  <w:marRight w:val="0"/>
                  <w:marTop w:val="0"/>
                  <w:marBottom w:val="0"/>
                  <w:divBdr>
                    <w:top w:val="none" w:sz="0" w:space="0" w:color="auto"/>
                    <w:left w:val="none" w:sz="0" w:space="0" w:color="auto"/>
                    <w:bottom w:val="none" w:sz="0" w:space="0" w:color="auto"/>
                    <w:right w:val="none" w:sz="0" w:space="0" w:color="auto"/>
                  </w:divBdr>
                  <w:divsChild>
                    <w:div w:id="1422950108">
                      <w:marLeft w:val="0"/>
                      <w:marRight w:val="0"/>
                      <w:marTop w:val="0"/>
                      <w:marBottom w:val="0"/>
                      <w:divBdr>
                        <w:top w:val="none" w:sz="0" w:space="0" w:color="auto"/>
                        <w:left w:val="none" w:sz="0" w:space="0" w:color="auto"/>
                        <w:bottom w:val="none" w:sz="0" w:space="0" w:color="auto"/>
                        <w:right w:val="none" w:sz="0" w:space="0" w:color="auto"/>
                      </w:divBdr>
                    </w:div>
                  </w:divsChild>
                </w:div>
                <w:div w:id="1652904176">
                  <w:marLeft w:val="0"/>
                  <w:marRight w:val="0"/>
                  <w:marTop w:val="0"/>
                  <w:marBottom w:val="0"/>
                  <w:divBdr>
                    <w:top w:val="none" w:sz="0" w:space="0" w:color="auto"/>
                    <w:left w:val="none" w:sz="0" w:space="0" w:color="auto"/>
                    <w:bottom w:val="none" w:sz="0" w:space="0" w:color="auto"/>
                    <w:right w:val="none" w:sz="0" w:space="0" w:color="auto"/>
                  </w:divBdr>
                  <w:divsChild>
                    <w:div w:id="1104495503">
                      <w:marLeft w:val="0"/>
                      <w:marRight w:val="0"/>
                      <w:marTop w:val="0"/>
                      <w:marBottom w:val="0"/>
                      <w:divBdr>
                        <w:top w:val="none" w:sz="0" w:space="0" w:color="auto"/>
                        <w:left w:val="none" w:sz="0" w:space="0" w:color="auto"/>
                        <w:bottom w:val="none" w:sz="0" w:space="0" w:color="auto"/>
                        <w:right w:val="none" w:sz="0" w:space="0" w:color="auto"/>
                      </w:divBdr>
                    </w:div>
                  </w:divsChild>
                </w:div>
                <w:div w:id="1667784054">
                  <w:marLeft w:val="0"/>
                  <w:marRight w:val="0"/>
                  <w:marTop w:val="0"/>
                  <w:marBottom w:val="0"/>
                  <w:divBdr>
                    <w:top w:val="none" w:sz="0" w:space="0" w:color="auto"/>
                    <w:left w:val="none" w:sz="0" w:space="0" w:color="auto"/>
                    <w:bottom w:val="none" w:sz="0" w:space="0" w:color="auto"/>
                    <w:right w:val="none" w:sz="0" w:space="0" w:color="auto"/>
                  </w:divBdr>
                  <w:divsChild>
                    <w:div w:id="1946964273">
                      <w:marLeft w:val="0"/>
                      <w:marRight w:val="0"/>
                      <w:marTop w:val="0"/>
                      <w:marBottom w:val="0"/>
                      <w:divBdr>
                        <w:top w:val="none" w:sz="0" w:space="0" w:color="auto"/>
                        <w:left w:val="none" w:sz="0" w:space="0" w:color="auto"/>
                        <w:bottom w:val="none" w:sz="0" w:space="0" w:color="auto"/>
                        <w:right w:val="none" w:sz="0" w:space="0" w:color="auto"/>
                      </w:divBdr>
                    </w:div>
                  </w:divsChild>
                </w:div>
                <w:div w:id="1672100714">
                  <w:marLeft w:val="0"/>
                  <w:marRight w:val="0"/>
                  <w:marTop w:val="0"/>
                  <w:marBottom w:val="0"/>
                  <w:divBdr>
                    <w:top w:val="none" w:sz="0" w:space="0" w:color="auto"/>
                    <w:left w:val="none" w:sz="0" w:space="0" w:color="auto"/>
                    <w:bottom w:val="none" w:sz="0" w:space="0" w:color="auto"/>
                    <w:right w:val="none" w:sz="0" w:space="0" w:color="auto"/>
                  </w:divBdr>
                  <w:divsChild>
                    <w:div w:id="1248884473">
                      <w:marLeft w:val="0"/>
                      <w:marRight w:val="0"/>
                      <w:marTop w:val="0"/>
                      <w:marBottom w:val="0"/>
                      <w:divBdr>
                        <w:top w:val="none" w:sz="0" w:space="0" w:color="auto"/>
                        <w:left w:val="none" w:sz="0" w:space="0" w:color="auto"/>
                        <w:bottom w:val="none" w:sz="0" w:space="0" w:color="auto"/>
                        <w:right w:val="none" w:sz="0" w:space="0" w:color="auto"/>
                      </w:divBdr>
                    </w:div>
                  </w:divsChild>
                </w:div>
                <w:div w:id="1686832216">
                  <w:marLeft w:val="0"/>
                  <w:marRight w:val="0"/>
                  <w:marTop w:val="0"/>
                  <w:marBottom w:val="0"/>
                  <w:divBdr>
                    <w:top w:val="none" w:sz="0" w:space="0" w:color="auto"/>
                    <w:left w:val="none" w:sz="0" w:space="0" w:color="auto"/>
                    <w:bottom w:val="none" w:sz="0" w:space="0" w:color="auto"/>
                    <w:right w:val="none" w:sz="0" w:space="0" w:color="auto"/>
                  </w:divBdr>
                  <w:divsChild>
                    <w:div w:id="1864631923">
                      <w:marLeft w:val="0"/>
                      <w:marRight w:val="0"/>
                      <w:marTop w:val="0"/>
                      <w:marBottom w:val="0"/>
                      <w:divBdr>
                        <w:top w:val="none" w:sz="0" w:space="0" w:color="auto"/>
                        <w:left w:val="none" w:sz="0" w:space="0" w:color="auto"/>
                        <w:bottom w:val="none" w:sz="0" w:space="0" w:color="auto"/>
                        <w:right w:val="none" w:sz="0" w:space="0" w:color="auto"/>
                      </w:divBdr>
                    </w:div>
                  </w:divsChild>
                </w:div>
                <w:div w:id="1699357559">
                  <w:marLeft w:val="0"/>
                  <w:marRight w:val="0"/>
                  <w:marTop w:val="0"/>
                  <w:marBottom w:val="0"/>
                  <w:divBdr>
                    <w:top w:val="none" w:sz="0" w:space="0" w:color="auto"/>
                    <w:left w:val="none" w:sz="0" w:space="0" w:color="auto"/>
                    <w:bottom w:val="none" w:sz="0" w:space="0" w:color="auto"/>
                    <w:right w:val="none" w:sz="0" w:space="0" w:color="auto"/>
                  </w:divBdr>
                  <w:divsChild>
                    <w:div w:id="543719122">
                      <w:marLeft w:val="0"/>
                      <w:marRight w:val="0"/>
                      <w:marTop w:val="0"/>
                      <w:marBottom w:val="0"/>
                      <w:divBdr>
                        <w:top w:val="none" w:sz="0" w:space="0" w:color="auto"/>
                        <w:left w:val="none" w:sz="0" w:space="0" w:color="auto"/>
                        <w:bottom w:val="none" w:sz="0" w:space="0" w:color="auto"/>
                        <w:right w:val="none" w:sz="0" w:space="0" w:color="auto"/>
                      </w:divBdr>
                    </w:div>
                  </w:divsChild>
                </w:div>
                <w:div w:id="1717394196">
                  <w:marLeft w:val="0"/>
                  <w:marRight w:val="0"/>
                  <w:marTop w:val="0"/>
                  <w:marBottom w:val="0"/>
                  <w:divBdr>
                    <w:top w:val="none" w:sz="0" w:space="0" w:color="auto"/>
                    <w:left w:val="none" w:sz="0" w:space="0" w:color="auto"/>
                    <w:bottom w:val="none" w:sz="0" w:space="0" w:color="auto"/>
                    <w:right w:val="none" w:sz="0" w:space="0" w:color="auto"/>
                  </w:divBdr>
                  <w:divsChild>
                    <w:div w:id="1077704238">
                      <w:marLeft w:val="0"/>
                      <w:marRight w:val="0"/>
                      <w:marTop w:val="0"/>
                      <w:marBottom w:val="0"/>
                      <w:divBdr>
                        <w:top w:val="none" w:sz="0" w:space="0" w:color="auto"/>
                        <w:left w:val="none" w:sz="0" w:space="0" w:color="auto"/>
                        <w:bottom w:val="none" w:sz="0" w:space="0" w:color="auto"/>
                        <w:right w:val="none" w:sz="0" w:space="0" w:color="auto"/>
                      </w:divBdr>
                    </w:div>
                  </w:divsChild>
                </w:div>
                <w:div w:id="1722702606">
                  <w:marLeft w:val="0"/>
                  <w:marRight w:val="0"/>
                  <w:marTop w:val="0"/>
                  <w:marBottom w:val="0"/>
                  <w:divBdr>
                    <w:top w:val="none" w:sz="0" w:space="0" w:color="auto"/>
                    <w:left w:val="none" w:sz="0" w:space="0" w:color="auto"/>
                    <w:bottom w:val="none" w:sz="0" w:space="0" w:color="auto"/>
                    <w:right w:val="none" w:sz="0" w:space="0" w:color="auto"/>
                  </w:divBdr>
                  <w:divsChild>
                    <w:div w:id="718364855">
                      <w:marLeft w:val="0"/>
                      <w:marRight w:val="0"/>
                      <w:marTop w:val="0"/>
                      <w:marBottom w:val="0"/>
                      <w:divBdr>
                        <w:top w:val="none" w:sz="0" w:space="0" w:color="auto"/>
                        <w:left w:val="none" w:sz="0" w:space="0" w:color="auto"/>
                        <w:bottom w:val="none" w:sz="0" w:space="0" w:color="auto"/>
                        <w:right w:val="none" w:sz="0" w:space="0" w:color="auto"/>
                      </w:divBdr>
                    </w:div>
                  </w:divsChild>
                </w:div>
                <w:div w:id="1725368633">
                  <w:marLeft w:val="0"/>
                  <w:marRight w:val="0"/>
                  <w:marTop w:val="0"/>
                  <w:marBottom w:val="0"/>
                  <w:divBdr>
                    <w:top w:val="none" w:sz="0" w:space="0" w:color="auto"/>
                    <w:left w:val="none" w:sz="0" w:space="0" w:color="auto"/>
                    <w:bottom w:val="none" w:sz="0" w:space="0" w:color="auto"/>
                    <w:right w:val="none" w:sz="0" w:space="0" w:color="auto"/>
                  </w:divBdr>
                  <w:divsChild>
                    <w:div w:id="1208832822">
                      <w:marLeft w:val="0"/>
                      <w:marRight w:val="0"/>
                      <w:marTop w:val="0"/>
                      <w:marBottom w:val="0"/>
                      <w:divBdr>
                        <w:top w:val="none" w:sz="0" w:space="0" w:color="auto"/>
                        <w:left w:val="none" w:sz="0" w:space="0" w:color="auto"/>
                        <w:bottom w:val="none" w:sz="0" w:space="0" w:color="auto"/>
                        <w:right w:val="none" w:sz="0" w:space="0" w:color="auto"/>
                      </w:divBdr>
                    </w:div>
                  </w:divsChild>
                </w:div>
                <w:div w:id="1737969280">
                  <w:marLeft w:val="0"/>
                  <w:marRight w:val="0"/>
                  <w:marTop w:val="0"/>
                  <w:marBottom w:val="0"/>
                  <w:divBdr>
                    <w:top w:val="none" w:sz="0" w:space="0" w:color="auto"/>
                    <w:left w:val="none" w:sz="0" w:space="0" w:color="auto"/>
                    <w:bottom w:val="none" w:sz="0" w:space="0" w:color="auto"/>
                    <w:right w:val="none" w:sz="0" w:space="0" w:color="auto"/>
                  </w:divBdr>
                  <w:divsChild>
                    <w:div w:id="2021346779">
                      <w:marLeft w:val="0"/>
                      <w:marRight w:val="0"/>
                      <w:marTop w:val="0"/>
                      <w:marBottom w:val="0"/>
                      <w:divBdr>
                        <w:top w:val="none" w:sz="0" w:space="0" w:color="auto"/>
                        <w:left w:val="none" w:sz="0" w:space="0" w:color="auto"/>
                        <w:bottom w:val="none" w:sz="0" w:space="0" w:color="auto"/>
                        <w:right w:val="none" w:sz="0" w:space="0" w:color="auto"/>
                      </w:divBdr>
                    </w:div>
                  </w:divsChild>
                </w:div>
                <w:div w:id="1756708567">
                  <w:marLeft w:val="0"/>
                  <w:marRight w:val="0"/>
                  <w:marTop w:val="0"/>
                  <w:marBottom w:val="0"/>
                  <w:divBdr>
                    <w:top w:val="none" w:sz="0" w:space="0" w:color="auto"/>
                    <w:left w:val="none" w:sz="0" w:space="0" w:color="auto"/>
                    <w:bottom w:val="none" w:sz="0" w:space="0" w:color="auto"/>
                    <w:right w:val="none" w:sz="0" w:space="0" w:color="auto"/>
                  </w:divBdr>
                  <w:divsChild>
                    <w:div w:id="1720586150">
                      <w:marLeft w:val="0"/>
                      <w:marRight w:val="0"/>
                      <w:marTop w:val="0"/>
                      <w:marBottom w:val="0"/>
                      <w:divBdr>
                        <w:top w:val="none" w:sz="0" w:space="0" w:color="auto"/>
                        <w:left w:val="none" w:sz="0" w:space="0" w:color="auto"/>
                        <w:bottom w:val="none" w:sz="0" w:space="0" w:color="auto"/>
                        <w:right w:val="none" w:sz="0" w:space="0" w:color="auto"/>
                      </w:divBdr>
                    </w:div>
                  </w:divsChild>
                </w:div>
                <w:div w:id="1802962938">
                  <w:marLeft w:val="0"/>
                  <w:marRight w:val="0"/>
                  <w:marTop w:val="0"/>
                  <w:marBottom w:val="0"/>
                  <w:divBdr>
                    <w:top w:val="none" w:sz="0" w:space="0" w:color="auto"/>
                    <w:left w:val="none" w:sz="0" w:space="0" w:color="auto"/>
                    <w:bottom w:val="none" w:sz="0" w:space="0" w:color="auto"/>
                    <w:right w:val="none" w:sz="0" w:space="0" w:color="auto"/>
                  </w:divBdr>
                  <w:divsChild>
                    <w:div w:id="732776159">
                      <w:marLeft w:val="0"/>
                      <w:marRight w:val="0"/>
                      <w:marTop w:val="0"/>
                      <w:marBottom w:val="0"/>
                      <w:divBdr>
                        <w:top w:val="none" w:sz="0" w:space="0" w:color="auto"/>
                        <w:left w:val="none" w:sz="0" w:space="0" w:color="auto"/>
                        <w:bottom w:val="none" w:sz="0" w:space="0" w:color="auto"/>
                        <w:right w:val="none" w:sz="0" w:space="0" w:color="auto"/>
                      </w:divBdr>
                    </w:div>
                  </w:divsChild>
                </w:div>
                <w:div w:id="1857576584">
                  <w:marLeft w:val="0"/>
                  <w:marRight w:val="0"/>
                  <w:marTop w:val="0"/>
                  <w:marBottom w:val="0"/>
                  <w:divBdr>
                    <w:top w:val="none" w:sz="0" w:space="0" w:color="auto"/>
                    <w:left w:val="none" w:sz="0" w:space="0" w:color="auto"/>
                    <w:bottom w:val="none" w:sz="0" w:space="0" w:color="auto"/>
                    <w:right w:val="none" w:sz="0" w:space="0" w:color="auto"/>
                  </w:divBdr>
                  <w:divsChild>
                    <w:div w:id="1900628686">
                      <w:marLeft w:val="0"/>
                      <w:marRight w:val="0"/>
                      <w:marTop w:val="0"/>
                      <w:marBottom w:val="0"/>
                      <w:divBdr>
                        <w:top w:val="none" w:sz="0" w:space="0" w:color="auto"/>
                        <w:left w:val="none" w:sz="0" w:space="0" w:color="auto"/>
                        <w:bottom w:val="none" w:sz="0" w:space="0" w:color="auto"/>
                        <w:right w:val="none" w:sz="0" w:space="0" w:color="auto"/>
                      </w:divBdr>
                    </w:div>
                  </w:divsChild>
                </w:div>
                <w:div w:id="1867864547">
                  <w:marLeft w:val="0"/>
                  <w:marRight w:val="0"/>
                  <w:marTop w:val="0"/>
                  <w:marBottom w:val="0"/>
                  <w:divBdr>
                    <w:top w:val="none" w:sz="0" w:space="0" w:color="auto"/>
                    <w:left w:val="none" w:sz="0" w:space="0" w:color="auto"/>
                    <w:bottom w:val="none" w:sz="0" w:space="0" w:color="auto"/>
                    <w:right w:val="none" w:sz="0" w:space="0" w:color="auto"/>
                  </w:divBdr>
                  <w:divsChild>
                    <w:div w:id="606084281">
                      <w:marLeft w:val="0"/>
                      <w:marRight w:val="0"/>
                      <w:marTop w:val="0"/>
                      <w:marBottom w:val="0"/>
                      <w:divBdr>
                        <w:top w:val="none" w:sz="0" w:space="0" w:color="auto"/>
                        <w:left w:val="none" w:sz="0" w:space="0" w:color="auto"/>
                        <w:bottom w:val="none" w:sz="0" w:space="0" w:color="auto"/>
                        <w:right w:val="none" w:sz="0" w:space="0" w:color="auto"/>
                      </w:divBdr>
                    </w:div>
                  </w:divsChild>
                </w:div>
                <w:div w:id="1885168519">
                  <w:marLeft w:val="0"/>
                  <w:marRight w:val="0"/>
                  <w:marTop w:val="0"/>
                  <w:marBottom w:val="0"/>
                  <w:divBdr>
                    <w:top w:val="none" w:sz="0" w:space="0" w:color="auto"/>
                    <w:left w:val="none" w:sz="0" w:space="0" w:color="auto"/>
                    <w:bottom w:val="none" w:sz="0" w:space="0" w:color="auto"/>
                    <w:right w:val="none" w:sz="0" w:space="0" w:color="auto"/>
                  </w:divBdr>
                  <w:divsChild>
                    <w:div w:id="1793666054">
                      <w:marLeft w:val="0"/>
                      <w:marRight w:val="0"/>
                      <w:marTop w:val="0"/>
                      <w:marBottom w:val="0"/>
                      <w:divBdr>
                        <w:top w:val="none" w:sz="0" w:space="0" w:color="auto"/>
                        <w:left w:val="none" w:sz="0" w:space="0" w:color="auto"/>
                        <w:bottom w:val="none" w:sz="0" w:space="0" w:color="auto"/>
                        <w:right w:val="none" w:sz="0" w:space="0" w:color="auto"/>
                      </w:divBdr>
                    </w:div>
                  </w:divsChild>
                </w:div>
                <w:div w:id="1890726741">
                  <w:marLeft w:val="0"/>
                  <w:marRight w:val="0"/>
                  <w:marTop w:val="0"/>
                  <w:marBottom w:val="0"/>
                  <w:divBdr>
                    <w:top w:val="none" w:sz="0" w:space="0" w:color="auto"/>
                    <w:left w:val="none" w:sz="0" w:space="0" w:color="auto"/>
                    <w:bottom w:val="none" w:sz="0" w:space="0" w:color="auto"/>
                    <w:right w:val="none" w:sz="0" w:space="0" w:color="auto"/>
                  </w:divBdr>
                  <w:divsChild>
                    <w:div w:id="2085250061">
                      <w:marLeft w:val="0"/>
                      <w:marRight w:val="0"/>
                      <w:marTop w:val="0"/>
                      <w:marBottom w:val="0"/>
                      <w:divBdr>
                        <w:top w:val="none" w:sz="0" w:space="0" w:color="auto"/>
                        <w:left w:val="none" w:sz="0" w:space="0" w:color="auto"/>
                        <w:bottom w:val="none" w:sz="0" w:space="0" w:color="auto"/>
                        <w:right w:val="none" w:sz="0" w:space="0" w:color="auto"/>
                      </w:divBdr>
                    </w:div>
                  </w:divsChild>
                </w:div>
                <w:div w:id="1917327212">
                  <w:marLeft w:val="0"/>
                  <w:marRight w:val="0"/>
                  <w:marTop w:val="0"/>
                  <w:marBottom w:val="0"/>
                  <w:divBdr>
                    <w:top w:val="none" w:sz="0" w:space="0" w:color="auto"/>
                    <w:left w:val="none" w:sz="0" w:space="0" w:color="auto"/>
                    <w:bottom w:val="none" w:sz="0" w:space="0" w:color="auto"/>
                    <w:right w:val="none" w:sz="0" w:space="0" w:color="auto"/>
                  </w:divBdr>
                  <w:divsChild>
                    <w:div w:id="887642428">
                      <w:marLeft w:val="0"/>
                      <w:marRight w:val="0"/>
                      <w:marTop w:val="0"/>
                      <w:marBottom w:val="0"/>
                      <w:divBdr>
                        <w:top w:val="none" w:sz="0" w:space="0" w:color="auto"/>
                        <w:left w:val="none" w:sz="0" w:space="0" w:color="auto"/>
                        <w:bottom w:val="none" w:sz="0" w:space="0" w:color="auto"/>
                        <w:right w:val="none" w:sz="0" w:space="0" w:color="auto"/>
                      </w:divBdr>
                    </w:div>
                  </w:divsChild>
                </w:div>
                <w:div w:id="1928230518">
                  <w:marLeft w:val="0"/>
                  <w:marRight w:val="0"/>
                  <w:marTop w:val="0"/>
                  <w:marBottom w:val="0"/>
                  <w:divBdr>
                    <w:top w:val="none" w:sz="0" w:space="0" w:color="auto"/>
                    <w:left w:val="none" w:sz="0" w:space="0" w:color="auto"/>
                    <w:bottom w:val="none" w:sz="0" w:space="0" w:color="auto"/>
                    <w:right w:val="none" w:sz="0" w:space="0" w:color="auto"/>
                  </w:divBdr>
                  <w:divsChild>
                    <w:div w:id="2094350470">
                      <w:marLeft w:val="0"/>
                      <w:marRight w:val="0"/>
                      <w:marTop w:val="0"/>
                      <w:marBottom w:val="0"/>
                      <w:divBdr>
                        <w:top w:val="none" w:sz="0" w:space="0" w:color="auto"/>
                        <w:left w:val="none" w:sz="0" w:space="0" w:color="auto"/>
                        <w:bottom w:val="none" w:sz="0" w:space="0" w:color="auto"/>
                        <w:right w:val="none" w:sz="0" w:space="0" w:color="auto"/>
                      </w:divBdr>
                    </w:div>
                  </w:divsChild>
                </w:div>
                <w:div w:id="1953130213">
                  <w:marLeft w:val="0"/>
                  <w:marRight w:val="0"/>
                  <w:marTop w:val="0"/>
                  <w:marBottom w:val="0"/>
                  <w:divBdr>
                    <w:top w:val="none" w:sz="0" w:space="0" w:color="auto"/>
                    <w:left w:val="none" w:sz="0" w:space="0" w:color="auto"/>
                    <w:bottom w:val="none" w:sz="0" w:space="0" w:color="auto"/>
                    <w:right w:val="none" w:sz="0" w:space="0" w:color="auto"/>
                  </w:divBdr>
                  <w:divsChild>
                    <w:div w:id="1873616564">
                      <w:marLeft w:val="0"/>
                      <w:marRight w:val="0"/>
                      <w:marTop w:val="0"/>
                      <w:marBottom w:val="0"/>
                      <w:divBdr>
                        <w:top w:val="none" w:sz="0" w:space="0" w:color="auto"/>
                        <w:left w:val="none" w:sz="0" w:space="0" w:color="auto"/>
                        <w:bottom w:val="none" w:sz="0" w:space="0" w:color="auto"/>
                        <w:right w:val="none" w:sz="0" w:space="0" w:color="auto"/>
                      </w:divBdr>
                    </w:div>
                  </w:divsChild>
                </w:div>
                <w:div w:id="1966421322">
                  <w:marLeft w:val="0"/>
                  <w:marRight w:val="0"/>
                  <w:marTop w:val="0"/>
                  <w:marBottom w:val="0"/>
                  <w:divBdr>
                    <w:top w:val="none" w:sz="0" w:space="0" w:color="auto"/>
                    <w:left w:val="none" w:sz="0" w:space="0" w:color="auto"/>
                    <w:bottom w:val="none" w:sz="0" w:space="0" w:color="auto"/>
                    <w:right w:val="none" w:sz="0" w:space="0" w:color="auto"/>
                  </w:divBdr>
                  <w:divsChild>
                    <w:div w:id="1674379697">
                      <w:marLeft w:val="0"/>
                      <w:marRight w:val="0"/>
                      <w:marTop w:val="0"/>
                      <w:marBottom w:val="0"/>
                      <w:divBdr>
                        <w:top w:val="none" w:sz="0" w:space="0" w:color="auto"/>
                        <w:left w:val="none" w:sz="0" w:space="0" w:color="auto"/>
                        <w:bottom w:val="none" w:sz="0" w:space="0" w:color="auto"/>
                        <w:right w:val="none" w:sz="0" w:space="0" w:color="auto"/>
                      </w:divBdr>
                    </w:div>
                  </w:divsChild>
                </w:div>
                <w:div w:id="1967856058">
                  <w:marLeft w:val="0"/>
                  <w:marRight w:val="0"/>
                  <w:marTop w:val="0"/>
                  <w:marBottom w:val="0"/>
                  <w:divBdr>
                    <w:top w:val="none" w:sz="0" w:space="0" w:color="auto"/>
                    <w:left w:val="none" w:sz="0" w:space="0" w:color="auto"/>
                    <w:bottom w:val="none" w:sz="0" w:space="0" w:color="auto"/>
                    <w:right w:val="none" w:sz="0" w:space="0" w:color="auto"/>
                  </w:divBdr>
                  <w:divsChild>
                    <w:div w:id="1105417689">
                      <w:marLeft w:val="0"/>
                      <w:marRight w:val="0"/>
                      <w:marTop w:val="0"/>
                      <w:marBottom w:val="0"/>
                      <w:divBdr>
                        <w:top w:val="none" w:sz="0" w:space="0" w:color="auto"/>
                        <w:left w:val="none" w:sz="0" w:space="0" w:color="auto"/>
                        <w:bottom w:val="none" w:sz="0" w:space="0" w:color="auto"/>
                        <w:right w:val="none" w:sz="0" w:space="0" w:color="auto"/>
                      </w:divBdr>
                    </w:div>
                  </w:divsChild>
                </w:div>
                <w:div w:id="1996184297">
                  <w:marLeft w:val="0"/>
                  <w:marRight w:val="0"/>
                  <w:marTop w:val="0"/>
                  <w:marBottom w:val="0"/>
                  <w:divBdr>
                    <w:top w:val="none" w:sz="0" w:space="0" w:color="auto"/>
                    <w:left w:val="none" w:sz="0" w:space="0" w:color="auto"/>
                    <w:bottom w:val="none" w:sz="0" w:space="0" w:color="auto"/>
                    <w:right w:val="none" w:sz="0" w:space="0" w:color="auto"/>
                  </w:divBdr>
                  <w:divsChild>
                    <w:div w:id="515582355">
                      <w:marLeft w:val="0"/>
                      <w:marRight w:val="0"/>
                      <w:marTop w:val="0"/>
                      <w:marBottom w:val="0"/>
                      <w:divBdr>
                        <w:top w:val="none" w:sz="0" w:space="0" w:color="auto"/>
                        <w:left w:val="none" w:sz="0" w:space="0" w:color="auto"/>
                        <w:bottom w:val="none" w:sz="0" w:space="0" w:color="auto"/>
                        <w:right w:val="none" w:sz="0" w:space="0" w:color="auto"/>
                      </w:divBdr>
                    </w:div>
                  </w:divsChild>
                </w:div>
                <w:div w:id="2006590176">
                  <w:marLeft w:val="0"/>
                  <w:marRight w:val="0"/>
                  <w:marTop w:val="0"/>
                  <w:marBottom w:val="0"/>
                  <w:divBdr>
                    <w:top w:val="none" w:sz="0" w:space="0" w:color="auto"/>
                    <w:left w:val="none" w:sz="0" w:space="0" w:color="auto"/>
                    <w:bottom w:val="none" w:sz="0" w:space="0" w:color="auto"/>
                    <w:right w:val="none" w:sz="0" w:space="0" w:color="auto"/>
                  </w:divBdr>
                  <w:divsChild>
                    <w:div w:id="41248161">
                      <w:marLeft w:val="0"/>
                      <w:marRight w:val="0"/>
                      <w:marTop w:val="0"/>
                      <w:marBottom w:val="0"/>
                      <w:divBdr>
                        <w:top w:val="none" w:sz="0" w:space="0" w:color="auto"/>
                        <w:left w:val="none" w:sz="0" w:space="0" w:color="auto"/>
                        <w:bottom w:val="none" w:sz="0" w:space="0" w:color="auto"/>
                        <w:right w:val="none" w:sz="0" w:space="0" w:color="auto"/>
                      </w:divBdr>
                    </w:div>
                  </w:divsChild>
                </w:div>
                <w:div w:id="2010407354">
                  <w:marLeft w:val="0"/>
                  <w:marRight w:val="0"/>
                  <w:marTop w:val="0"/>
                  <w:marBottom w:val="0"/>
                  <w:divBdr>
                    <w:top w:val="none" w:sz="0" w:space="0" w:color="auto"/>
                    <w:left w:val="none" w:sz="0" w:space="0" w:color="auto"/>
                    <w:bottom w:val="none" w:sz="0" w:space="0" w:color="auto"/>
                    <w:right w:val="none" w:sz="0" w:space="0" w:color="auto"/>
                  </w:divBdr>
                  <w:divsChild>
                    <w:div w:id="648049752">
                      <w:marLeft w:val="0"/>
                      <w:marRight w:val="0"/>
                      <w:marTop w:val="0"/>
                      <w:marBottom w:val="0"/>
                      <w:divBdr>
                        <w:top w:val="none" w:sz="0" w:space="0" w:color="auto"/>
                        <w:left w:val="none" w:sz="0" w:space="0" w:color="auto"/>
                        <w:bottom w:val="none" w:sz="0" w:space="0" w:color="auto"/>
                        <w:right w:val="none" w:sz="0" w:space="0" w:color="auto"/>
                      </w:divBdr>
                    </w:div>
                  </w:divsChild>
                </w:div>
                <w:div w:id="2021616909">
                  <w:marLeft w:val="0"/>
                  <w:marRight w:val="0"/>
                  <w:marTop w:val="0"/>
                  <w:marBottom w:val="0"/>
                  <w:divBdr>
                    <w:top w:val="none" w:sz="0" w:space="0" w:color="auto"/>
                    <w:left w:val="none" w:sz="0" w:space="0" w:color="auto"/>
                    <w:bottom w:val="none" w:sz="0" w:space="0" w:color="auto"/>
                    <w:right w:val="none" w:sz="0" w:space="0" w:color="auto"/>
                  </w:divBdr>
                  <w:divsChild>
                    <w:div w:id="1119832963">
                      <w:marLeft w:val="0"/>
                      <w:marRight w:val="0"/>
                      <w:marTop w:val="0"/>
                      <w:marBottom w:val="0"/>
                      <w:divBdr>
                        <w:top w:val="none" w:sz="0" w:space="0" w:color="auto"/>
                        <w:left w:val="none" w:sz="0" w:space="0" w:color="auto"/>
                        <w:bottom w:val="none" w:sz="0" w:space="0" w:color="auto"/>
                        <w:right w:val="none" w:sz="0" w:space="0" w:color="auto"/>
                      </w:divBdr>
                    </w:div>
                  </w:divsChild>
                </w:div>
                <w:div w:id="2039961771">
                  <w:marLeft w:val="0"/>
                  <w:marRight w:val="0"/>
                  <w:marTop w:val="0"/>
                  <w:marBottom w:val="0"/>
                  <w:divBdr>
                    <w:top w:val="none" w:sz="0" w:space="0" w:color="auto"/>
                    <w:left w:val="none" w:sz="0" w:space="0" w:color="auto"/>
                    <w:bottom w:val="none" w:sz="0" w:space="0" w:color="auto"/>
                    <w:right w:val="none" w:sz="0" w:space="0" w:color="auto"/>
                  </w:divBdr>
                  <w:divsChild>
                    <w:div w:id="1221667796">
                      <w:marLeft w:val="0"/>
                      <w:marRight w:val="0"/>
                      <w:marTop w:val="0"/>
                      <w:marBottom w:val="0"/>
                      <w:divBdr>
                        <w:top w:val="none" w:sz="0" w:space="0" w:color="auto"/>
                        <w:left w:val="none" w:sz="0" w:space="0" w:color="auto"/>
                        <w:bottom w:val="none" w:sz="0" w:space="0" w:color="auto"/>
                        <w:right w:val="none" w:sz="0" w:space="0" w:color="auto"/>
                      </w:divBdr>
                    </w:div>
                  </w:divsChild>
                </w:div>
                <w:div w:id="2066562453">
                  <w:marLeft w:val="0"/>
                  <w:marRight w:val="0"/>
                  <w:marTop w:val="0"/>
                  <w:marBottom w:val="0"/>
                  <w:divBdr>
                    <w:top w:val="none" w:sz="0" w:space="0" w:color="auto"/>
                    <w:left w:val="none" w:sz="0" w:space="0" w:color="auto"/>
                    <w:bottom w:val="none" w:sz="0" w:space="0" w:color="auto"/>
                    <w:right w:val="none" w:sz="0" w:space="0" w:color="auto"/>
                  </w:divBdr>
                  <w:divsChild>
                    <w:div w:id="1241788319">
                      <w:marLeft w:val="0"/>
                      <w:marRight w:val="0"/>
                      <w:marTop w:val="0"/>
                      <w:marBottom w:val="0"/>
                      <w:divBdr>
                        <w:top w:val="none" w:sz="0" w:space="0" w:color="auto"/>
                        <w:left w:val="none" w:sz="0" w:space="0" w:color="auto"/>
                        <w:bottom w:val="none" w:sz="0" w:space="0" w:color="auto"/>
                        <w:right w:val="none" w:sz="0" w:space="0" w:color="auto"/>
                      </w:divBdr>
                    </w:div>
                  </w:divsChild>
                </w:div>
                <w:div w:id="2105376231">
                  <w:marLeft w:val="0"/>
                  <w:marRight w:val="0"/>
                  <w:marTop w:val="0"/>
                  <w:marBottom w:val="0"/>
                  <w:divBdr>
                    <w:top w:val="none" w:sz="0" w:space="0" w:color="auto"/>
                    <w:left w:val="none" w:sz="0" w:space="0" w:color="auto"/>
                    <w:bottom w:val="none" w:sz="0" w:space="0" w:color="auto"/>
                    <w:right w:val="none" w:sz="0" w:space="0" w:color="auto"/>
                  </w:divBdr>
                  <w:divsChild>
                    <w:div w:id="122455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369843">
          <w:marLeft w:val="0"/>
          <w:marRight w:val="0"/>
          <w:marTop w:val="0"/>
          <w:marBottom w:val="0"/>
          <w:divBdr>
            <w:top w:val="none" w:sz="0" w:space="0" w:color="auto"/>
            <w:left w:val="none" w:sz="0" w:space="0" w:color="auto"/>
            <w:bottom w:val="none" w:sz="0" w:space="0" w:color="auto"/>
            <w:right w:val="none" w:sz="0" w:space="0" w:color="auto"/>
          </w:divBdr>
        </w:div>
      </w:divsChild>
    </w:div>
    <w:div w:id="1790467347">
      <w:bodyDiv w:val="1"/>
      <w:marLeft w:val="0"/>
      <w:marRight w:val="0"/>
      <w:marTop w:val="0"/>
      <w:marBottom w:val="0"/>
      <w:divBdr>
        <w:top w:val="none" w:sz="0" w:space="0" w:color="auto"/>
        <w:left w:val="none" w:sz="0" w:space="0" w:color="auto"/>
        <w:bottom w:val="none" w:sz="0" w:space="0" w:color="auto"/>
        <w:right w:val="none" w:sz="0" w:space="0" w:color="auto"/>
      </w:divBdr>
      <w:divsChild>
        <w:div w:id="1821574164">
          <w:marLeft w:val="0"/>
          <w:marRight w:val="0"/>
          <w:marTop w:val="90"/>
          <w:marBottom w:val="0"/>
          <w:divBdr>
            <w:top w:val="none" w:sz="0" w:space="0" w:color="auto"/>
            <w:left w:val="none" w:sz="0" w:space="0" w:color="auto"/>
            <w:bottom w:val="none" w:sz="0" w:space="0" w:color="auto"/>
            <w:right w:val="none" w:sz="0" w:space="0" w:color="auto"/>
          </w:divBdr>
          <w:divsChild>
            <w:div w:id="1357078898">
              <w:marLeft w:val="0"/>
              <w:marRight w:val="0"/>
              <w:marTop w:val="0"/>
              <w:marBottom w:val="420"/>
              <w:divBdr>
                <w:top w:val="none" w:sz="0" w:space="0" w:color="auto"/>
                <w:left w:val="none" w:sz="0" w:space="0" w:color="auto"/>
                <w:bottom w:val="none" w:sz="0" w:space="0" w:color="auto"/>
                <w:right w:val="none" w:sz="0" w:space="0" w:color="auto"/>
              </w:divBdr>
              <w:divsChild>
                <w:div w:id="926813330">
                  <w:marLeft w:val="0"/>
                  <w:marRight w:val="0"/>
                  <w:marTop w:val="0"/>
                  <w:marBottom w:val="0"/>
                  <w:divBdr>
                    <w:top w:val="none" w:sz="0" w:space="0" w:color="auto"/>
                    <w:left w:val="none" w:sz="0" w:space="0" w:color="auto"/>
                    <w:bottom w:val="none" w:sz="0" w:space="0" w:color="auto"/>
                    <w:right w:val="none" w:sz="0" w:space="0" w:color="auto"/>
                  </w:divBdr>
                  <w:divsChild>
                    <w:div w:id="323169689">
                      <w:marLeft w:val="0"/>
                      <w:marRight w:val="0"/>
                      <w:marTop w:val="0"/>
                      <w:marBottom w:val="0"/>
                      <w:divBdr>
                        <w:top w:val="none" w:sz="0" w:space="0" w:color="auto"/>
                        <w:left w:val="none" w:sz="0" w:space="0" w:color="auto"/>
                        <w:bottom w:val="none" w:sz="0" w:space="0" w:color="auto"/>
                        <w:right w:val="none" w:sz="0" w:space="0" w:color="auto"/>
                      </w:divBdr>
                    </w:div>
                    <w:div w:id="405037444">
                      <w:marLeft w:val="0"/>
                      <w:marRight w:val="0"/>
                      <w:marTop w:val="0"/>
                      <w:marBottom w:val="0"/>
                      <w:divBdr>
                        <w:top w:val="none" w:sz="0" w:space="0" w:color="auto"/>
                        <w:left w:val="none" w:sz="0" w:space="0" w:color="auto"/>
                        <w:bottom w:val="none" w:sz="0" w:space="0" w:color="auto"/>
                        <w:right w:val="none" w:sz="0" w:space="0" w:color="auto"/>
                      </w:divBdr>
                      <w:divsChild>
                        <w:div w:id="817840240">
                          <w:marLeft w:val="0"/>
                          <w:marRight w:val="0"/>
                          <w:marTop w:val="0"/>
                          <w:marBottom w:val="0"/>
                          <w:divBdr>
                            <w:top w:val="none" w:sz="0" w:space="0" w:color="auto"/>
                            <w:left w:val="none" w:sz="0" w:space="0" w:color="auto"/>
                            <w:bottom w:val="none" w:sz="0" w:space="0" w:color="auto"/>
                            <w:right w:val="none" w:sz="0" w:space="0" w:color="auto"/>
                          </w:divBdr>
                          <w:divsChild>
                            <w:div w:id="53315369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3983289">
      <w:bodyDiv w:val="1"/>
      <w:marLeft w:val="0"/>
      <w:marRight w:val="0"/>
      <w:marTop w:val="0"/>
      <w:marBottom w:val="0"/>
      <w:divBdr>
        <w:top w:val="none" w:sz="0" w:space="0" w:color="auto"/>
        <w:left w:val="none" w:sz="0" w:space="0" w:color="auto"/>
        <w:bottom w:val="none" w:sz="0" w:space="0" w:color="auto"/>
        <w:right w:val="none" w:sz="0" w:space="0" w:color="auto"/>
      </w:divBdr>
    </w:div>
    <w:div w:id="1892571587">
      <w:bodyDiv w:val="1"/>
      <w:marLeft w:val="0"/>
      <w:marRight w:val="0"/>
      <w:marTop w:val="0"/>
      <w:marBottom w:val="0"/>
      <w:divBdr>
        <w:top w:val="none" w:sz="0" w:space="0" w:color="auto"/>
        <w:left w:val="none" w:sz="0" w:space="0" w:color="auto"/>
        <w:bottom w:val="none" w:sz="0" w:space="0" w:color="auto"/>
        <w:right w:val="none" w:sz="0" w:space="0" w:color="auto"/>
      </w:divBdr>
    </w:div>
    <w:div w:id="1913855825">
      <w:bodyDiv w:val="1"/>
      <w:marLeft w:val="0"/>
      <w:marRight w:val="0"/>
      <w:marTop w:val="0"/>
      <w:marBottom w:val="0"/>
      <w:divBdr>
        <w:top w:val="none" w:sz="0" w:space="0" w:color="auto"/>
        <w:left w:val="none" w:sz="0" w:space="0" w:color="auto"/>
        <w:bottom w:val="none" w:sz="0" w:space="0" w:color="auto"/>
        <w:right w:val="none" w:sz="0" w:space="0" w:color="auto"/>
      </w:divBdr>
    </w:div>
    <w:div w:id="1918511725">
      <w:bodyDiv w:val="1"/>
      <w:marLeft w:val="0"/>
      <w:marRight w:val="0"/>
      <w:marTop w:val="0"/>
      <w:marBottom w:val="0"/>
      <w:divBdr>
        <w:top w:val="none" w:sz="0" w:space="0" w:color="auto"/>
        <w:left w:val="none" w:sz="0" w:space="0" w:color="auto"/>
        <w:bottom w:val="none" w:sz="0" w:space="0" w:color="auto"/>
        <w:right w:val="none" w:sz="0" w:space="0" w:color="auto"/>
      </w:divBdr>
    </w:div>
    <w:div w:id="2012484503">
      <w:bodyDiv w:val="1"/>
      <w:marLeft w:val="0"/>
      <w:marRight w:val="0"/>
      <w:marTop w:val="0"/>
      <w:marBottom w:val="0"/>
      <w:divBdr>
        <w:top w:val="none" w:sz="0" w:space="0" w:color="auto"/>
        <w:left w:val="none" w:sz="0" w:space="0" w:color="auto"/>
        <w:bottom w:val="none" w:sz="0" w:space="0" w:color="auto"/>
        <w:right w:val="none" w:sz="0" w:space="0" w:color="auto"/>
      </w:divBdr>
    </w:div>
    <w:div w:id="2085952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bin"/><Relationship Id="rId299" Type="http://schemas.openxmlformats.org/officeDocument/2006/relationships/image" Target="media/image226.png"/><Relationship Id="rId303" Type="http://schemas.openxmlformats.org/officeDocument/2006/relationships/image" Target="media/image230.png"/><Relationship Id="rId21" Type="http://schemas.openxmlformats.org/officeDocument/2006/relationships/hyperlink" Target="file:///D:/CSIRO%20Projects/2020%20CCA%20Risk%20to%20Sequestration%20projects/Final%20Edits/Final/Nolan%20Review/Final%20documents/Minor%20corrections/ERF%20Review%20-%20CSIRO%20Technical%20Review%20of%20climate%20risk%20-%20Final%207102020.docx" TargetMode="External"/><Relationship Id="rId42" Type="http://schemas.openxmlformats.org/officeDocument/2006/relationships/header" Target="header12.xml"/><Relationship Id="rId63" Type="http://schemas.openxmlformats.org/officeDocument/2006/relationships/image" Target="media/image20.png"/><Relationship Id="rId84" Type="http://schemas.openxmlformats.org/officeDocument/2006/relationships/footer" Target="footer10.xml"/><Relationship Id="rId138" Type="http://schemas.openxmlformats.org/officeDocument/2006/relationships/image" Target="media/image70.png"/><Relationship Id="rId159" Type="http://schemas.openxmlformats.org/officeDocument/2006/relationships/image" Target="media/image91.png"/><Relationship Id="rId170" Type="http://schemas.openxmlformats.org/officeDocument/2006/relationships/image" Target="media/image102.png"/><Relationship Id="rId191" Type="http://schemas.openxmlformats.org/officeDocument/2006/relationships/image" Target="media/image123.png"/><Relationship Id="rId205" Type="http://schemas.openxmlformats.org/officeDocument/2006/relationships/image" Target="media/image133.png"/><Relationship Id="rId226" Type="http://schemas.openxmlformats.org/officeDocument/2006/relationships/image" Target="media/image154.png"/><Relationship Id="rId247" Type="http://schemas.openxmlformats.org/officeDocument/2006/relationships/image" Target="media/image175.png"/><Relationship Id="rId107" Type="http://schemas.openxmlformats.org/officeDocument/2006/relationships/oleObject" Target="embeddings/oleObject1.bin"/><Relationship Id="rId268" Type="http://schemas.openxmlformats.org/officeDocument/2006/relationships/image" Target="media/image196.png"/><Relationship Id="rId289" Type="http://schemas.openxmlformats.org/officeDocument/2006/relationships/image" Target="media/image216.png"/><Relationship Id="rId11" Type="http://schemas.openxmlformats.org/officeDocument/2006/relationships/endnotes" Target="endnotes.xml"/><Relationship Id="rId32" Type="http://schemas.openxmlformats.org/officeDocument/2006/relationships/image" Target="media/image5.png"/><Relationship Id="rId53" Type="http://schemas.openxmlformats.org/officeDocument/2006/relationships/image" Target="media/image14.png"/><Relationship Id="rId74" Type="http://schemas.openxmlformats.org/officeDocument/2006/relationships/image" Target="media/image24.png"/><Relationship Id="rId128" Type="http://schemas.openxmlformats.org/officeDocument/2006/relationships/image" Target="media/image60.png"/><Relationship Id="rId149" Type="http://schemas.openxmlformats.org/officeDocument/2006/relationships/image" Target="media/image81.png"/><Relationship Id="rId5" Type="http://schemas.openxmlformats.org/officeDocument/2006/relationships/customXml" Target="../customXml/item5.xml"/><Relationship Id="rId95" Type="http://schemas.openxmlformats.org/officeDocument/2006/relationships/header" Target="header21.xml"/><Relationship Id="rId160" Type="http://schemas.openxmlformats.org/officeDocument/2006/relationships/image" Target="media/image92.png"/><Relationship Id="rId181" Type="http://schemas.openxmlformats.org/officeDocument/2006/relationships/image" Target="media/image113.png"/><Relationship Id="rId216" Type="http://schemas.openxmlformats.org/officeDocument/2006/relationships/image" Target="media/image144.png"/><Relationship Id="rId237" Type="http://schemas.openxmlformats.org/officeDocument/2006/relationships/image" Target="media/image165.png"/><Relationship Id="rId258" Type="http://schemas.openxmlformats.org/officeDocument/2006/relationships/image" Target="media/image186.png"/><Relationship Id="rId279" Type="http://schemas.openxmlformats.org/officeDocument/2006/relationships/image" Target="media/image206.png"/><Relationship Id="rId22" Type="http://schemas.openxmlformats.org/officeDocument/2006/relationships/hyperlink" Target="file:///D:/CSIRO%20Projects/2020%20CCA%20Risk%20to%20Sequestration%20projects/Final%20Edits/Final/Nolan%20Review/Final%20documents/Minor%20corrections/ERF%20Review%20-%20CSIRO%20Technical%20Review%20of%20climate%20risk%20-%20Final%207102020.docx" TargetMode="External"/><Relationship Id="rId43" Type="http://schemas.openxmlformats.org/officeDocument/2006/relationships/footer" Target="footer9.xml"/><Relationship Id="rId64" Type="http://schemas.openxmlformats.org/officeDocument/2006/relationships/image" Target="media/image21.png"/><Relationship Id="rId118" Type="http://schemas.openxmlformats.org/officeDocument/2006/relationships/image" Target="media/image50.png"/><Relationship Id="rId139" Type="http://schemas.openxmlformats.org/officeDocument/2006/relationships/image" Target="media/image71.png"/><Relationship Id="rId290" Type="http://schemas.openxmlformats.org/officeDocument/2006/relationships/image" Target="media/image217.png"/><Relationship Id="rId304" Type="http://schemas.openxmlformats.org/officeDocument/2006/relationships/image" Target="media/image231.png"/><Relationship Id="rId85" Type="http://schemas.openxmlformats.org/officeDocument/2006/relationships/header" Target="header16.xml"/><Relationship Id="rId150" Type="http://schemas.openxmlformats.org/officeDocument/2006/relationships/image" Target="media/image82.png"/><Relationship Id="rId171" Type="http://schemas.openxmlformats.org/officeDocument/2006/relationships/image" Target="media/image103.png"/><Relationship Id="rId192" Type="http://schemas.openxmlformats.org/officeDocument/2006/relationships/image" Target="media/image124.png"/><Relationship Id="rId206" Type="http://schemas.openxmlformats.org/officeDocument/2006/relationships/image" Target="media/image134.png"/><Relationship Id="rId227" Type="http://schemas.openxmlformats.org/officeDocument/2006/relationships/image" Target="media/image155.png"/><Relationship Id="rId248" Type="http://schemas.openxmlformats.org/officeDocument/2006/relationships/image" Target="media/image176.png"/><Relationship Id="rId269" Type="http://schemas.openxmlformats.org/officeDocument/2006/relationships/image" Target="media/image197.png"/><Relationship Id="rId12" Type="http://schemas.openxmlformats.org/officeDocument/2006/relationships/image" Target="media/image1.emf"/><Relationship Id="rId33" Type="http://schemas.openxmlformats.org/officeDocument/2006/relationships/hyperlink" Target="http://www.climatechangeinaustralia.gov.au" TargetMode="External"/><Relationship Id="rId108" Type="http://schemas.openxmlformats.org/officeDocument/2006/relationships/image" Target="media/image41.png"/><Relationship Id="rId129" Type="http://schemas.openxmlformats.org/officeDocument/2006/relationships/image" Target="media/image61.png"/><Relationship Id="rId280" Type="http://schemas.openxmlformats.org/officeDocument/2006/relationships/image" Target="media/image207.png"/><Relationship Id="rId54" Type="http://schemas.openxmlformats.org/officeDocument/2006/relationships/hyperlink" Target="https://www.legislation.gov.au/Details/F2018C00119" TargetMode="External"/><Relationship Id="rId75" Type="http://schemas.openxmlformats.org/officeDocument/2006/relationships/image" Target="media/image25.png"/><Relationship Id="rId96" Type="http://schemas.openxmlformats.org/officeDocument/2006/relationships/footer" Target="footer12.xml"/><Relationship Id="rId140" Type="http://schemas.openxmlformats.org/officeDocument/2006/relationships/image" Target="media/image72.png"/><Relationship Id="rId161" Type="http://schemas.openxmlformats.org/officeDocument/2006/relationships/image" Target="media/image93.png"/><Relationship Id="rId182" Type="http://schemas.openxmlformats.org/officeDocument/2006/relationships/image" Target="media/image114.png"/><Relationship Id="rId217" Type="http://schemas.openxmlformats.org/officeDocument/2006/relationships/image" Target="media/image145.png"/><Relationship Id="rId6" Type="http://schemas.openxmlformats.org/officeDocument/2006/relationships/numbering" Target="numbering.xml"/><Relationship Id="rId238" Type="http://schemas.openxmlformats.org/officeDocument/2006/relationships/image" Target="media/image166.png"/><Relationship Id="rId259" Type="http://schemas.openxmlformats.org/officeDocument/2006/relationships/image" Target="media/image187.png"/><Relationship Id="rId23" Type="http://schemas.openxmlformats.org/officeDocument/2006/relationships/header" Target="header4.xml"/><Relationship Id="rId119" Type="http://schemas.openxmlformats.org/officeDocument/2006/relationships/image" Target="media/image51.png"/><Relationship Id="rId270" Type="http://schemas.openxmlformats.org/officeDocument/2006/relationships/image" Target="media/image198.png"/><Relationship Id="rId291" Type="http://schemas.openxmlformats.org/officeDocument/2006/relationships/image" Target="media/image218.png"/><Relationship Id="rId305" Type="http://schemas.openxmlformats.org/officeDocument/2006/relationships/image" Target="media/image232.png"/><Relationship Id="rId44" Type="http://schemas.openxmlformats.org/officeDocument/2006/relationships/hyperlink" Target="http://www.cleanenergyregulator.gov.au/ERF/project-and-contracts-registers" TargetMode="External"/><Relationship Id="rId65" Type="http://schemas.openxmlformats.org/officeDocument/2006/relationships/hyperlink" Target="https://www.legislation.gov.au/Details/F2018C00125" TargetMode="External"/><Relationship Id="rId86" Type="http://schemas.openxmlformats.org/officeDocument/2006/relationships/header" Target="header17.xml"/><Relationship Id="rId130" Type="http://schemas.openxmlformats.org/officeDocument/2006/relationships/image" Target="media/image62.png"/><Relationship Id="rId151" Type="http://schemas.openxmlformats.org/officeDocument/2006/relationships/image" Target="media/image83.png"/><Relationship Id="rId172" Type="http://schemas.openxmlformats.org/officeDocument/2006/relationships/image" Target="media/image104.png"/><Relationship Id="rId193" Type="http://schemas.openxmlformats.org/officeDocument/2006/relationships/image" Target="media/image125.png"/><Relationship Id="rId207" Type="http://schemas.openxmlformats.org/officeDocument/2006/relationships/image" Target="media/image135.png"/><Relationship Id="rId228" Type="http://schemas.openxmlformats.org/officeDocument/2006/relationships/image" Target="media/image156.png"/><Relationship Id="rId249" Type="http://schemas.openxmlformats.org/officeDocument/2006/relationships/image" Target="media/image177.png"/><Relationship Id="rId13" Type="http://schemas.openxmlformats.org/officeDocument/2006/relationships/image" Target="media/image2.JPG"/><Relationship Id="rId109" Type="http://schemas.openxmlformats.org/officeDocument/2006/relationships/image" Target="media/image42.png"/><Relationship Id="rId260" Type="http://schemas.openxmlformats.org/officeDocument/2006/relationships/image" Target="media/image188.png"/><Relationship Id="rId281" Type="http://schemas.openxmlformats.org/officeDocument/2006/relationships/image" Target="media/image208.png"/><Relationship Id="rId34" Type="http://schemas.openxmlformats.org/officeDocument/2006/relationships/header" Target="header7.xml"/><Relationship Id="rId55" Type="http://schemas.openxmlformats.org/officeDocument/2006/relationships/hyperlink" Target="https://www.legislation.gov.au/Details/F2018C00119" TargetMode="External"/><Relationship Id="rId76" Type="http://schemas.openxmlformats.org/officeDocument/2006/relationships/image" Target="media/image26.png"/><Relationship Id="rId97" Type="http://schemas.openxmlformats.org/officeDocument/2006/relationships/header" Target="header22.xml"/><Relationship Id="rId120" Type="http://schemas.openxmlformats.org/officeDocument/2006/relationships/image" Target="media/image52.png"/><Relationship Id="rId141" Type="http://schemas.openxmlformats.org/officeDocument/2006/relationships/image" Target="media/image73.png"/><Relationship Id="rId7" Type="http://schemas.openxmlformats.org/officeDocument/2006/relationships/styles" Target="styles.xml"/><Relationship Id="rId162" Type="http://schemas.openxmlformats.org/officeDocument/2006/relationships/image" Target="media/image94.png"/><Relationship Id="rId183" Type="http://schemas.openxmlformats.org/officeDocument/2006/relationships/image" Target="media/image115.png"/><Relationship Id="rId218" Type="http://schemas.openxmlformats.org/officeDocument/2006/relationships/image" Target="media/image146.png"/><Relationship Id="rId239" Type="http://schemas.openxmlformats.org/officeDocument/2006/relationships/image" Target="media/image167.png"/><Relationship Id="rId250" Type="http://schemas.openxmlformats.org/officeDocument/2006/relationships/image" Target="media/image178.png"/><Relationship Id="rId271" Type="http://schemas.openxmlformats.org/officeDocument/2006/relationships/hyperlink" Target="https://www.climatechangeinaustralia.gov.au/en/climate-projections/about/" TargetMode="External"/><Relationship Id="rId292" Type="http://schemas.openxmlformats.org/officeDocument/2006/relationships/image" Target="media/image219.png"/><Relationship Id="rId306" Type="http://schemas.openxmlformats.org/officeDocument/2006/relationships/image" Target="media/image233.png"/><Relationship Id="rId24" Type="http://schemas.openxmlformats.org/officeDocument/2006/relationships/header" Target="header5.xml"/><Relationship Id="rId45" Type="http://schemas.openxmlformats.org/officeDocument/2006/relationships/image" Target="media/image8.png"/><Relationship Id="rId66" Type="http://schemas.openxmlformats.org/officeDocument/2006/relationships/hyperlink" Target="https://www.legislation.gov.au/Details/F2018C00119" TargetMode="External"/><Relationship Id="rId87" Type="http://schemas.openxmlformats.org/officeDocument/2006/relationships/header" Target="header18.xml"/><Relationship Id="rId110" Type="http://schemas.openxmlformats.org/officeDocument/2006/relationships/image" Target="media/image43.png"/><Relationship Id="rId131" Type="http://schemas.openxmlformats.org/officeDocument/2006/relationships/image" Target="media/image63.png"/><Relationship Id="rId61" Type="http://schemas.openxmlformats.org/officeDocument/2006/relationships/image" Target="media/image18.png"/><Relationship Id="rId82" Type="http://schemas.openxmlformats.org/officeDocument/2006/relationships/header" Target="header14.xml"/><Relationship Id="rId152" Type="http://schemas.openxmlformats.org/officeDocument/2006/relationships/image" Target="media/image84.png"/><Relationship Id="rId173" Type="http://schemas.openxmlformats.org/officeDocument/2006/relationships/image" Target="media/image105.png"/><Relationship Id="rId194" Type="http://schemas.openxmlformats.org/officeDocument/2006/relationships/image" Target="media/image126.png"/><Relationship Id="rId199" Type="http://schemas.openxmlformats.org/officeDocument/2006/relationships/image" Target="media/image131.png"/><Relationship Id="rId203" Type="http://schemas.openxmlformats.org/officeDocument/2006/relationships/footer" Target="footer14.xml"/><Relationship Id="rId208" Type="http://schemas.openxmlformats.org/officeDocument/2006/relationships/image" Target="media/image136.png"/><Relationship Id="rId229" Type="http://schemas.openxmlformats.org/officeDocument/2006/relationships/image" Target="media/image157.png"/><Relationship Id="rId19" Type="http://schemas.openxmlformats.org/officeDocument/2006/relationships/footer" Target="footer3.xml"/><Relationship Id="rId224" Type="http://schemas.openxmlformats.org/officeDocument/2006/relationships/image" Target="media/image152.png"/><Relationship Id="rId240" Type="http://schemas.openxmlformats.org/officeDocument/2006/relationships/image" Target="media/image168.png"/><Relationship Id="rId245" Type="http://schemas.openxmlformats.org/officeDocument/2006/relationships/image" Target="media/image173.png"/><Relationship Id="rId261" Type="http://schemas.openxmlformats.org/officeDocument/2006/relationships/image" Target="media/image189.png"/><Relationship Id="rId266" Type="http://schemas.openxmlformats.org/officeDocument/2006/relationships/image" Target="media/image194.png"/><Relationship Id="rId287" Type="http://schemas.openxmlformats.org/officeDocument/2006/relationships/image" Target="media/image214.png"/><Relationship Id="rId14" Type="http://schemas.openxmlformats.org/officeDocument/2006/relationships/header" Target="header1.xml"/><Relationship Id="rId30" Type="http://schemas.openxmlformats.org/officeDocument/2006/relationships/footer" Target="footer7.xml"/><Relationship Id="rId35" Type="http://schemas.openxmlformats.org/officeDocument/2006/relationships/header" Target="header8.xml"/><Relationship Id="rId56" Type="http://schemas.openxmlformats.org/officeDocument/2006/relationships/hyperlink" Target="https://www.legislation.gov.au/Details/F2018C00125" TargetMode="External"/><Relationship Id="rId77" Type="http://schemas.openxmlformats.org/officeDocument/2006/relationships/image" Target="media/image27.png"/><Relationship Id="rId100" Type="http://schemas.openxmlformats.org/officeDocument/2006/relationships/footer" Target="footer13.xml"/><Relationship Id="rId105" Type="http://schemas.openxmlformats.org/officeDocument/2006/relationships/image" Target="media/image39.png"/><Relationship Id="rId126" Type="http://schemas.openxmlformats.org/officeDocument/2006/relationships/image" Target="media/image58.png"/><Relationship Id="rId147" Type="http://schemas.openxmlformats.org/officeDocument/2006/relationships/image" Target="media/image79.png"/><Relationship Id="rId168" Type="http://schemas.openxmlformats.org/officeDocument/2006/relationships/image" Target="media/image100.png"/><Relationship Id="rId282" Type="http://schemas.openxmlformats.org/officeDocument/2006/relationships/image" Target="media/image209.png"/><Relationship Id="rId312"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12.png"/><Relationship Id="rId72" Type="http://schemas.openxmlformats.org/officeDocument/2006/relationships/image" Target="media/image23.png"/><Relationship Id="rId93" Type="http://schemas.openxmlformats.org/officeDocument/2006/relationships/header" Target="header19.xml"/><Relationship Id="rId98" Type="http://schemas.openxmlformats.org/officeDocument/2006/relationships/header" Target="header23.xml"/><Relationship Id="rId121" Type="http://schemas.openxmlformats.org/officeDocument/2006/relationships/image" Target="media/image53.png"/><Relationship Id="rId142" Type="http://schemas.openxmlformats.org/officeDocument/2006/relationships/image" Target="media/image74.png"/><Relationship Id="rId163" Type="http://schemas.openxmlformats.org/officeDocument/2006/relationships/image" Target="media/image95.png"/><Relationship Id="rId184" Type="http://schemas.openxmlformats.org/officeDocument/2006/relationships/image" Target="media/image116.png"/><Relationship Id="rId189" Type="http://schemas.openxmlformats.org/officeDocument/2006/relationships/image" Target="media/image121.png"/><Relationship Id="rId219" Type="http://schemas.openxmlformats.org/officeDocument/2006/relationships/image" Target="media/image147.png"/><Relationship Id="rId3" Type="http://schemas.openxmlformats.org/officeDocument/2006/relationships/customXml" Target="../customXml/item3.xml"/><Relationship Id="rId214" Type="http://schemas.openxmlformats.org/officeDocument/2006/relationships/image" Target="media/image142.png"/><Relationship Id="rId230" Type="http://schemas.openxmlformats.org/officeDocument/2006/relationships/image" Target="media/image158.png"/><Relationship Id="rId235" Type="http://schemas.openxmlformats.org/officeDocument/2006/relationships/image" Target="media/image163.png"/><Relationship Id="rId251" Type="http://schemas.openxmlformats.org/officeDocument/2006/relationships/image" Target="media/image179.png"/><Relationship Id="rId256" Type="http://schemas.openxmlformats.org/officeDocument/2006/relationships/image" Target="media/image184.png"/><Relationship Id="rId277" Type="http://schemas.openxmlformats.org/officeDocument/2006/relationships/image" Target="media/image204.png"/><Relationship Id="rId298" Type="http://schemas.openxmlformats.org/officeDocument/2006/relationships/image" Target="media/image225.png"/><Relationship Id="rId25" Type="http://schemas.openxmlformats.org/officeDocument/2006/relationships/footer" Target="footer4.xml"/><Relationship Id="rId46" Type="http://schemas.openxmlformats.org/officeDocument/2006/relationships/image" Target="media/image9.png"/><Relationship Id="rId67" Type="http://schemas.openxmlformats.org/officeDocument/2006/relationships/hyperlink" Target="https://www.legislation.gov.au/Details/F2018C00119" TargetMode="External"/><Relationship Id="rId116" Type="http://schemas.openxmlformats.org/officeDocument/2006/relationships/image" Target="media/image49.png"/><Relationship Id="rId137" Type="http://schemas.openxmlformats.org/officeDocument/2006/relationships/image" Target="media/image69.png"/><Relationship Id="rId158" Type="http://schemas.openxmlformats.org/officeDocument/2006/relationships/image" Target="media/image90.png"/><Relationship Id="rId272" Type="http://schemas.openxmlformats.org/officeDocument/2006/relationships/image" Target="media/image199.png"/><Relationship Id="rId293" Type="http://schemas.openxmlformats.org/officeDocument/2006/relationships/image" Target="media/image220.png"/><Relationship Id="rId302" Type="http://schemas.openxmlformats.org/officeDocument/2006/relationships/image" Target="media/image229.png"/><Relationship Id="rId307" Type="http://schemas.openxmlformats.org/officeDocument/2006/relationships/image" Target="media/image234.png"/><Relationship Id="rId20" Type="http://schemas.openxmlformats.org/officeDocument/2006/relationships/hyperlink" Target="mailto:csiroenquiries@csiro.au" TargetMode="External"/><Relationship Id="rId41" Type="http://schemas.openxmlformats.org/officeDocument/2006/relationships/header" Target="header11.xml"/><Relationship Id="rId62" Type="http://schemas.openxmlformats.org/officeDocument/2006/relationships/image" Target="media/image19.png"/><Relationship Id="rId83" Type="http://schemas.openxmlformats.org/officeDocument/2006/relationships/header" Target="header15.xml"/><Relationship Id="rId88" Type="http://schemas.openxmlformats.org/officeDocument/2006/relationships/footer" Target="footer11.xml"/><Relationship Id="rId111" Type="http://schemas.openxmlformats.org/officeDocument/2006/relationships/image" Target="media/image44.png"/><Relationship Id="rId132" Type="http://schemas.openxmlformats.org/officeDocument/2006/relationships/image" Target="media/image64.png"/><Relationship Id="rId153" Type="http://schemas.openxmlformats.org/officeDocument/2006/relationships/image" Target="media/image85.png"/><Relationship Id="rId174" Type="http://schemas.openxmlformats.org/officeDocument/2006/relationships/image" Target="media/image106.png"/><Relationship Id="rId179" Type="http://schemas.openxmlformats.org/officeDocument/2006/relationships/image" Target="media/image111.png"/><Relationship Id="rId195" Type="http://schemas.openxmlformats.org/officeDocument/2006/relationships/image" Target="media/image127.png"/><Relationship Id="rId209" Type="http://schemas.openxmlformats.org/officeDocument/2006/relationships/image" Target="media/image137.png"/><Relationship Id="rId190" Type="http://schemas.openxmlformats.org/officeDocument/2006/relationships/image" Target="media/image122.png"/><Relationship Id="rId204" Type="http://schemas.openxmlformats.org/officeDocument/2006/relationships/image" Target="media/image132.png"/><Relationship Id="rId220" Type="http://schemas.openxmlformats.org/officeDocument/2006/relationships/image" Target="media/image148.png"/><Relationship Id="rId225" Type="http://schemas.openxmlformats.org/officeDocument/2006/relationships/image" Target="media/image153.png"/><Relationship Id="rId241" Type="http://schemas.openxmlformats.org/officeDocument/2006/relationships/image" Target="media/image169.png"/><Relationship Id="rId246" Type="http://schemas.openxmlformats.org/officeDocument/2006/relationships/image" Target="media/image174.png"/><Relationship Id="rId267" Type="http://schemas.openxmlformats.org/officeDocument/2006/relationships/image" Target="media/image195.png"/><Relationship Id="rId288" Type="http://schemas.openxmlformats.org/officeDocument/2006/relationships/image" Target="media/image215.png"/><Relationship Id="rId15" Type="http://schemas.openxmlformats.org/officeDocument/2006/relationships/header" Target="header2.xml"/><Relationship Id="rId36" Type="http://schemas.openxmlformats.org/officeDocument/2006/relationships/header" Target="header9.xml"/><Relationship Id="rId57" Type="http://schemas.openxmlformats.org/officeDocument/2006/relationships/image" Target="media/image15.png"/><Relationship Id="rId106" Type="http://schemas.openxmlformats.org/officeDocument/2006/relationships/image" Target="media/image40.png"/><Relationship Id="rId127" Type="http://schemas.openxmlformats.org/officeDocument/2006/relationships/image" Target="media/image59.png"/><Relationship Id="rId262" Type="http://schemas.openxmlformats.org/officeDocument/2006/relationships/image" Target="media/image190.png"/><Relationship Id="rId283" Type="http://schemas.openxmlformats.org/officeDocument/2006/relationships/image" Target="media/image210.png"/><Relationship Id="rId313"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4.png"/><Relationship Id="rId52" Type="http://schemas.openxmlformats.org/officeDocument/2006/relationships/image" Target="media/image13.png"/><Relationship Id="rId73" Type="http://schemas.openxmlformats.org/officeDocument/2006/relationships/hyperlink" Target="https://www.legislation.gov.au/Details/F2018C00125" TargetMode="External"/><Relationship Id="rId78" Type="http://schemas.openxmlformats.org/officeDocument/2006/relationships/image" Target="media/image28.png"/><Relationship Id="rId94" Type="http://schemas.openxmlformats.org/officeDocument/2006/relationships/header" Target="header20.xml"/><Relationship Id="rId99" Type="http://schemas.openxmlformats.org/officeDocument/2006/relationships/header" Target="header24.xml"/><Relationship Id="rId101" Type="http://schemas.openxmlformats.org/officeDocument/2006/relationships/image" Target="media/image35.png"/><Relationship Id="rId122" Type="http://schemas.openxmlformats.org/officeDocument/2006/relationships/image" Target="media/image54.png"/><Relationship Id="rId143" Type="http://schemas.openxmlformats.org/officeDocument/2006/relationships/image" Target="media/image75.png"/><Relationship Id="rId148" Type="http://schemas.openxmlformats.org/officeDocument/2006/relationships/image" Target="media/image80.png"/><Relationship Id="rId164" Type="http://schemas.openxmlformats.org/officeDocument/2006/relationships/image" Target="media/image96.png"/><Relationship Id="rId169" Type="http://schemas.openxmlformats.org/officeDocument/2006/relationships/image" Target="media/image101.png"/><Relationship Id="rId185" Type="http://schemas.openxmlformats.org/officeDocument/2006/relationships/image" Target="media/image117.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2.png"/><Relationship Id="rId210" Type="http://schemas.openxmlformats.org/officeDocument/2006/relationships/image" Target="media/image138.png"/><Relationship Id="rId215" Type="http://schemas.openxmlformats.org/officeDocument/2006/relationships/image" Target="media/image143.png"/><Relationship Id="rId236" Type="http://schemas.openxmlformats.org/officeDocument/2006/relationships/image" Target="media/image164.png"/><Relationship Id="rId257" Type="http://schemas.openxmlformats.org/officeDocument/2006/relationships/image" Target="media/image185.png"/><Relationship Id="rId278" Type="http://schemas.openxmlformats.org/officeDocument/2006/relationships/image" Target="media/image205.png"/><Relationship Id="rId26" Type="http://schemas.openxmlformats.org/officeDocument/2006/relationships/footer" Target="footer5.xml"/><Relationship Id="rId231" Type="http://schemas.openxmlformats.org/officeDocument/2006/relationships/image" Target="media/image159.png"/><Relationship Id="rId252" Type="http://schemas.openxmlformats.org/officeDocument/2006/relationships/image" Target="media/image180.png"/><Relationship Id="rId273" Type="http://schemas.openxmlformats.org/officeDocument/2006/relationships/image" Target="media/image200.png"/><Relationship Id="rId294" Type="http://schemas.openxmlformats.org/officeDocument/2006/relationships/image" Target="media/image221.png"/><Relationship Id="rId308" Type="http://schemas.openxmlformats.org/officeDocument/2006/relationships/image" Target="media/image235.png"/><Relationship Id="rId47" Type="http://schemas.openxmlformats.org/officeDocument/2006/relationships/hyperlink" Target="https://www.legislation.gov.au/Details/F2018C00125" TargetMode="External"/><Relationship Id="rId68" Type="http://schemas.openxmlformats.org/officeDocument/2006/relationships/hyperlink" Target="https://www.legislation.gov.au/Details/F2018C00119" TargetMode="External"/><Relationship Id="rId89" Type="http://schemas.openxmlformats.org/officeDocument/2006/relationships/image" Target="media/image31.emf"/><Relationship Id="rId112" Type="http://schemas.openxmlformats.org/officeDocument/2006/relationships/image" Target="media/image45.png"/><Relationship Id="rId133" Type="http://schemas.openxmlformats.org/officeDocument/2006/relationships/image" Target="media/image65.png"/><Relationship Id="rId154" Type="http://schemas.openxmlformats.org/officeDocument/2006/relationships/image" Target="media/image86.png"/><Relationship Id="rId175" Type="http://schemas.openxmlformats.org/officeDocument/2006/relationships/image" Target="media/image107.png"/><Relationship Id="rId196" Type="http://schemas.openxmlformats.org/officeDocument/2006/relationships/image" Target="media/image128.png"/><Relationship Id="rId200" Type="http://schemas.openxmlformats.org/officeDocument/2006/relationships/header" Target="header25.xml"/><Relationship Id="rId16" Type="http://schemas.openxmlformats.org/officeDocument/2006/relationships/footer" Target="footer1.xml"/><Relationship Id="rId221" Type="http://schemas.openxmlformats.org/officeDocument/2006/relationships/image" Target="media/image149.png"/><Relationship Id="rId242" Type="http://schemas.openxmlformats.org/officeDocument/2006/relationships/image" Target="media/image170.png"/><Relationship Id="rId263" Type="http://schemas.openxmlformats.org/officeDocument/2006/relationships/image" Target="media/image191.png"/><Relationship Id="rId284" Type="http://schemas.openxmlformats.org/officeDocument/2006/relationships/image" Target="media/image211.png"/><Relationship Id="rId37" Type="http://schemas.openxmlformats.org/officeDocument/2006/relationships/footer" Target="footer8.xml"/><Relationship Id="rId58" Type="http://schemas.openxmlformats.org/officeDocument/2006/relationships/image" Target="media/image16.png"/><Relationship Id="rId79" Type="http://schemas.openxmlformats.org/officeDocument/2006/relationships/image" Target="media/image29.png"/><Relationship Id="rId102" Type="http://schemas.openxmlformats.org/officeDocument/2006/relationships/image" Target="media/image36.png"/><Relationship Id="rId123" Type="http://schemas.openxmlformats.org/officeDocument/2006/relationships/image" Target="media/image55.png"/><Relationship Id="rId144" Type="http://schemas.openxmlformats.org/officeDocument/2006/relationships/image" Target="media/image76.png"/><Relationship Id="rId90" Type="http://schemas.openxmlformats.org/officeDocument/2006/relationships/image" Target="media/image32.emf"/><Relationship Id="rId165" Type="http://schemas.openxmlformats.org/officeDocument/2006/relationships/image" Target="media/image97.png"/><Relationship Id="rId186" Type="http://schemas.openxmlformats.org/officeDocument/2006/relationships/image" Target="media/image118.png"/><Relationship Id="rId211" Type="http://schemas.openxmlformats.org/officeDocument/2006/relationships/image" Target="media/image139.png"/><Relationship Id="rId232" Type="http://schemas.openxmlformats.org/officeDocument/2006/relationships/image" Target="media/image160.png"/><Relationship Id="rId253" Type="http://schemas.openxmlformats.org/officeDocument/2006/relationships/image" Target="media/image181.png"/><Relationship Id="rId274" Type="http://schemas.openxmlformats.org/officeDocument/2006/relationships/image" Target="media/image201.png"/><Relationship Id="rId295" Type="http://schemas.openxmlformats.org/officeDocument/2006/relationships/image" Target="media/image222.png"/><Relationship Id="rId309" Type="http://schemas.openxmlformats.org/officeDocument/2006/relationships/image" Target="media/image236.png"/><Relationship Id="rId27" Type="http://schemas.openxmlformats.org/officeDocument/2006/relationships/header" Target="header6.xml"/><Relationship Id="rId48" Type="http://schemas.openxmlformats.org/officeDocument/2006/relationships/hyperlink" Target="https://www.legislation.gov.au/Details/F2018C00119" TargetMode="External"/><Relationship Id="rId69" Type="http://schemas.openxmlformats.org/officeDocument/2006/relationships/image" Target="media/image22.png"/><Relationship Id="rId113" Type="http://schemas.openxmlformats.org/officeDocument/2006/relationships/image" Target="media/image46.png"/><Relationship Id="rId134" Type="http://schemas.openxmlformats.org/officeDocument/2006/relationships/image" Target="media/image66.png"/><Relationship Id="rId80" Type="http://schemas.openxmlformats.org/officeDocument/2006/relationships/image" Target="media/image30.png"/><Relationship Id="rId155" Type="http://schemas.openxmlformats.org/officeDocument/2006/relationships/image" Target="media/image87.png"/><Relationship Id="rId176" Type="http://schemas.openxmlformats.org/officeDocument/2006/relationships/image" Target="media/image108.png"/><Relationship Id="rId197" Type="http://schemas.openxmlformats.org/officeDocument/2006/relationships/image" Target="media/image129.png"/><Relationship Id="rId201" Type="http://schemas.openxmlformats.org/officeDocument/2006/relationships/header" Target="header26.xml"/><Relationship Id="rId222" Type="http://schemas.openxmlformats.org/officeDocument/2006/relationships/image" Target="media/image150.png"/><Relationship Id="rId243" Type="http://schemas.openxmlformats.org/officeDocument/2006/relationships/image" Target="media/image171.png"/><Relationship Id="rId264" Type="http://schemas.openxmlformats.org/officeDocument/2006/relationships/image" Target="media/image192.png"/><Relationship Id="rId285" Type="http://schemas.openxmlformats.org/officeDocument/2006/relationships/image" Target="media/image212.png"/><Relationship Id="rId17" Type="http://schemas.openxmlformats.org/officeDocument/2006/relationships/footer" Target="footer2.xml"/><Relationship Id="rId38" Type="http://schemas.openxmlformats.org/officeDocument/2006/relationships/image" Target="media/image6.emf"/><Relationship Id="rId59" Type="http://schemas.openxmlformats.org/officeDocument/2006/relationships/image" Target="media/image17.png"/><Relationship Id="rId103" Type="http://schemas.openxmlformats.org/officeDocument/2006/relationships/image" Target="media/image37.png"/><Relationship Id="rId124" Type="http://schemas.openxmlformats.org/officeDocument/2006/relationships/image" Target="media/image56.png"/><Relationship Id="rId310" Type="http://schemas.openxmlformats.org/officeDocument/2006/relationships/image" Target="media/image237.png"/><Relationship Id="rId70" Type="http://schemas.openxmlformats.org/officeDocument/2006/relationships/hyperlink" Target="https://www.legislation.gov.au/Details/F2018C00125" TargetMode="External"/><Relationship Id="rId91" Type="http://schemas.openxmlformats.org/officeDocument/2006/relationships/image" Target="media/image33.emf"/><Relationship Id="rId145" Type="http://schemas.openxmlformats.org/officeDocument/2006/relationships/image" Target="media/image77.png"/><Relationship Id="rId166" Type="http://schemas.openxmlformats.org/officeDocument/2006/relationships/image" Target="media/image98.png"/><Relationship Id="rId187" Type="http://schemas.openxmlformats.org/officeDocument/2006/relationships/image" Target="media/image119.png"/><Relationship Id="rId1" Type="http://schemas.openxmlformats.org/officeDocument/2006/relationships/customXml" Target="../customXml/item1.xml"/><Relationship Id="rId212" Type="http://schemas.openxmlformats.org/officeDocument/2006/relationships/image" Target="media/image140.png"/><Relationship Id="rId233" Type="http://schemas.openxmlformats.org/officeDocument/2006/relationships/image" Target="media/image161.png"/><Relationship Id="rId254" Type="http://schemas.openxmlformats.org/officeDocument/2006/relationships/image" Target="media/image182.png"/><Relationship Id="rId28" Type="http://schemas.openxmlformats.org/officeDocument/2006/relationships/footer" Target="footer6.xml"/><Relationship Id="rId49" Type="http://schemas.openxmlformats.org/officeDocument/2006/relationships/image" Target="media/image10.png"/><Relationship Id="rId114" Type="http://schemas.openxmlformats.org/officeDocument/2006/relationships/image" Target="media/image47.png"/><Relationship Id="rId275" Type="http://schemas.openxmlformats.org/officeDocument/2006/relationships/image" Target="media/image202.png"/><Relationship Id="rId296" Type="http://schemas.openxmlformats.org/officeDocument/2006/relationships/image" Target="media/image223.png"/><Relationship Id="rId300" Type="http://schemas.openxmlformats.org/officeDocument/2006/relationships/image" Target="media/image227.png"/><Relationship Id="rId60" Type="http://schemas.openxmlformats.org/officeDocument/2006/relationships/hyperlink" Target="https://doi.org/10.26197/5f2e149ee5182" TargetMode="External"/><Relationship Id="rId81" Type="http://schemas.openxmlformats.org/officeDocument/2006/relationships/header" Target="header13.xml"/><Relationship Id="rId135" Type="http://schemas.openxmlformats.org/officeDocument/2006/relationships/image" Target="media/image67.png"/><Relationship Id="rId156" Type="http://schemas.openxmlformats.org/officeDocument/2006/relationships/image" Target="media/image88.png"/><Relationship Id="rId177" Type="http://schemas.openxmlformats.org/officeDocument/2006/relationships/image" Target="media/image109.png"/><Relationship Id="rId198" Type="http://schemas.openxmlformats.org/officeDocument/2006/relationships/image" Target="media/image130.png"/><Relationship Id="rId202" Type="http://schemas.openxmlformats.org/officeDocument/2006/relationships/header" Target="header27.xml"/><Relationship Id="rId223" Type="http://schemas.openxmlformats.org/officeDocument/2006/relationships/image" Target="media/image151.png"/><Relationship Id="rId244" Type="http://schemas.openxmlformats.org/officeDocument/2006/relationships/image" Target="media/image172.png"/><Relationship Id="rId18" Type="http://schemas.openxmlformats.org/officeDocument/2006/relationships/header" Target="header3.xml"/><Relationship Id="rId39" Type="http://schemas.openxmlformats.org/officeDocument/2006/relationships/image" Target="media/image7.png"/><Relationship Id="rId265" Type="http://schemas.openxmlformats.org/officeDocument/2006/relationships/image" Target="media/image193.png"/><Relationship Id="rId286" Type="http://schemas.openxmlformats.org/officeDocument/2006/relationships/image" Target="media/image213.png"/><Relationship Id="rId50" Type="http://schemas.openxmlformats.org/officeDocument/2006/relationships/image" Target="media/image11.png"/><Relationship Id="rId104" Type="http://schemas.openxmlformats.org/officeDocument/2006/relationships/image" Target="media/image38.png"/><Relationship Id="rId125" Type="http://schemas.openxmlformats.org/officeDocument/2006/relationships/image" Target="media/image57.png"/><Relationship Id="rId146" Type="http://schemas.openxmlformats.org/officeDocument/2006/relationships/image" Target="media/image78.png"/><Relationship Id="rId167" Type="http://schemas.openxmlformats.org/officeDocument/2006/relationships/image" Target="media/image99.png"/><Relationship Id="rId188" Type="http://schemas.openxmlformats.org/officeDocument/2006/relationships/image" Target="media/image120.png"/><Relationship Id="rId311" Type="http://schemas.openxmlformats.org/officeDocument/2006/relationships/image" Target="media/image238.png"/><Relationship Id="rId71" Type="http://schemas.openxmlformats.org/officeDocument/2006/relationships/hyperlink" Target="https://www.legislation.gov.au/Details/F2018C00125" TargetMode="External"/><Relationship Id="rId92" Type="http://schemas.openxmlformats.org/officeDocument/2006/relationships/image" Target="media/image34.emf"/><Relationship Id="rId213" Type="http://schemas.openxmlformats.org/officeDocument/2006/relationships/image" Target="media/image141.png"/><Relationship Id="rId234" Type="http://schemas.openxmlformats.org/officeDocument/2006/relationships/image" Target="media/image162.png"/><Relationship Id="rId2" Type="http://schemas.openxmlformats.org/officeDocument/2006/relationships/customXml" Target="../customXml/item2.xml"/><Relationship Id="rId29" Type="http://schemas.openxmlformats.org/officeDocument/2006/relationships/image" Target="media/image3.png"/><Relationship Id="rId255" Type="http://schemas.openxmlformats.org/officeDocument/2006/relationships/image" Target="media/image183.png"/><Relationship Id="rId276" Type="http://schemas.openxmlformats.org/officeDocument/2006/relationships/image" Target="media/image203.png"/><Relationship Id="rId297" Type="http://schemas.openxmlformats.org/officeDocument/2006/relationships/image" Target="media/image224.png"/><Relationship Id="rId40" Type="http://schemas.openxmlformats.org/officeDocument/2006/relationships/header" Target="header10.xml"/><Relationship Id="rId115" Type="http://schemas.openxmlformats.org/officeDocument/2006/relationships/image" Target="media/image48.png"/><Relationship Id="rId136" Type="http://schemas.openxmlformats.org/officeDocument/2006/relationships/image" Target="media/image68.png"/><Relationship Id="rId157" Type="http://schemas.openxmlformats.org/officeDocument/2006/relationships/image" Target="media/image89.png"/><Relationship Id="rId178" Type="http://schemas.openxmlformats.org/officeDocument/2006/relationships/image" Target="media/image110.png"/><Relationship Id="rId301" Type="http://schemas.openxmlformats.org/officeDocument/2006/relationships/image" Target="media/image228.png"/></Relationships>
</file>

<file path=word/_rels/footnotes.xml.rels><?xml version="1.0" encoding="UTF-8" standalone="yes"?>
<Relationships xmlns="http://schemas.openxmlformats.org/package/2006/relationships"><Relationship Id="rId3" Type="http://schemas.openxmlformats.org/officeDocument/2006/relationships/hyperlink" Target="https://www.climatechangeinaustralia.gov.au/" TargetMode="External"/><Relationship Id="rId2" Type="http://schemas.openxmlformats.org/officeDocument/2006/relationships/hyperlink" Target="https://www.iso.org/obp/ui" TargetMode="External"/><Relationship Id="rId1" Type="http://schemas.openxmlformats.org/officeDocument/2006/relationships/hyperlink" Target="http://www.climatechangeinaustralia.gov.au" TargetMode="External"/><Relationship Id="rId5" Type="http://schemas.openxmlformats.org/officeDocument/2006/relationships/hyperlink" Target="https://www.abc.net.au/news/2015-12-01/farmers-hit-by-sa-bushfires-face-years-of-land-rehabilitation/6991176?nw=0" TargetMode="External"/><Relationship Id="rId4" Type="http://schemas.openxmlformats.org/officeDocument/2006/relationships/hyperlink" Target="https://www.abc.net.au/news/2018-11-16/fires-damages-millions-of-dollars-worth-of-wa-crops/10504886"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x005\AppData\Roaming\Microsoft\Templates\Technical%20Report%20-%20Standard%20Photo.dotx" TargetMode="External"/></Relationships>
</file>

<file path=word/theme/theme1.xml><?xml version="1.0" encoding="utf-8"?>
<a:theme xmlns:a="http://schemas.openxmlformats.org/drawingml/2006/main" name="Office Theme">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896D55852D93604AA440876A3B15BB43" ma:contentTypeVersion="16" ma:contentTypeDescription="Create a new document." ma:contentTypeScope="" ma:versionID="b58067ebd15e0bf828dd45865161ae1e">
  <xsd:schema xmlns:xsd="http://www.w3.org/2001/XMLSchema" xmlns:xs="http://www.w3.org/2001/XMLSchema" xmlns:p="http://schemas.microsoft.com/office/2006/metadata/properties" xmlns:ns1="http://schemas.microsoft.com/sharepoint/v3" xmlns:ns2="a36bd50b-1532-4c22-b385-5c082c960938" xmlns:ns3="01bdaa01-5807-4828-8c99-6323bf09314b" xmlns:ns4="255183c1-b2a7-4747-b17d-becd86d393ba" xmlns:ns5="http://schemas.microsoft.com/sharepoint/v4" targetNamespace="http://schemas.microsoft.com/office/2006/metadata/properties" ma:root="true" ma:fieldsID="2e6ca8ae1ffed0163683117e45fc4ffb" ns1:_="" ns2:_="" ns3:_="" ns4:_="" ns5:_="">
    <xsd:import namespace="http://schemas.microsoft.com/sharepoint/v3"/>
    <xsd:import namespace="a36bd50b-1532-4c22-b385-5c082c960938"/>
    <xsd:import namespace="01bdaa01-5807-4828-8c99-6323bf09314b"/>
    <xsd:import namespace="255183c1-b2a7-4747-b17d-becd86d393b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3:a8c250d72ce948d28301ea6df157b105" minOccurs="0"/>
                <xsd:element ref="ns4:SharedWithUsers" minOccurs="0"/>
                <xsd:element ref="ns5: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36bd50b-1532-4c22-b385-5c082c9609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description="" ma:hidden="true" ma:list="{96a68bf9-5dab-4c66-910d-a7955f2e3ae5}" ma:internalName="TaxCatchAll" ma:showField="CatchAllData" ma:web="01bdaa01-5807-4828-8c99-6323bf09314b">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4ac3cb2d-9e18-4152-a41f-9163e72b54cd" ma:anchorId="00000000-0000-0000-0000-000000000000" ma:open="true" ma:isKeyword="false">
      <xsd:complexType>
        <xsd:sequence>
          <xsd:element ref="pc:Terms" minOccurs="0" maxOccurs="1"/>
        </xsd:sequence>
      </xsd:complexType>
    </xsd:element>
    <xsd:element name="n99e4c9942c6404eb103464a00e6097b" ma:index="21" ma:taxonomy="true" ma:internalName="n99e4c9942c6404eb103464a00e6097b" ma:taxonomyFieldName="DocHub_Year" ma:displayName="Year" ma:indexed="true" ma:default=""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1bdaa01-5807-4828-8c99-6323bf09314b" elementFormDefault="qualified">
    <xsd:import namespace="http://schemas.microsoft.com/office/2006/documentManagement/types"/>
    <xsd:import namespace="http://schemas.microsoft.com/office/infopath/2007/PartnerControls"/>
    <xsd:element name="a8c250d72ce948d28301ea6df157b105" ma:index="24" ma:taxonomy="true" ma:internalName="a8c250d72ce948d28301ea6df157b105" ma:taxonomyFieldName="DocHub_ClimateChangeReview" ma:displayName="Review" ma:indexed="true" ma:default="" ma:fieldId="{a8c250d7-2ce9-48d2-8301-ea6df157b105}" ma:sspId="fb0313f7-9433-48c0-866e-9e0bbee59a50" ma:termSetId="a5f8bebe-df3a-4e32-a2a1-7f6c914648e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55183c1-b2a7-4747-b17d-becd86d393ba" elementFormDefault="qualified">
    <xsd:import namespace="http://schemas.microsoft.com/office/2006/documentManagement/types"/>
    <xsd:import namespace="http://schemas.microsoft.com/office/infopath/2007/PartnerControls"/>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a36bd50b-1532-4c22-b385-5c082c960938">ATETZNU4TVDQ-1377102514-243</_dlc_DocId>
    <_dlc_DocIdUrl xmlns="a36bd50b-1532-4c22-b385-5c082c960938">
      <Url>https://csiroau.sharepoint.com/sites/ERFRisksfromClimateChange/_layouts/15/DocIdRedir.aspx?ID=ATETZNU4TVDQ-1377102514-243</Url>
      <Description>ATETZNU4TVDQ-1377102514-243</Description>
    </_dlc_DocIdUrl>
    <adb9bed2e36e4a93af574aeb444da63e xmlns="a36bd50b-1532-4c22-b385-5c082c960938">
      <Terms xmlns="http://schemas.microsoft.com/office/infopath/2007/PartnerControls"/>
    </adb9bed2e36e4a93af574aeb444da63e>
    <n99e4c9942c6404eb103464a00e6097b xmlns="a36bd50b-1532-4c22-b385-5c082c960938">
      <Terms xmlns="http://schemas.microsoft.com/office/infopath/2007/PartnerControls">
        <TermInfo xmlns="http://schemas.microsoft.com/office/infopath/2007/PartnerControls">
          <TermName xmlns="http://schemas.microsoft.com/office/infopath/2007/PartnerControls">2020</TermName>
          <TermId xmlns="http://schemas.microsoft.com/office/infopath/2007/PartnerControls">6a3660c5-15bd-4052-a0a1-6237663b7600</TermId>
        </TermInfo>
      </Terms>
    </n99e4c9942c6404eb103464a00e6097b>
    <IconOverlay xmlns="http://schemas.microsoft.com/sharepoint/v4" xsi:nil="true"/>
    <a8c250d72ce948d28301ea6df157b105 xmlns="01bdaa01-5807-4828-8c99-6323bf09314b">
      <Terms xmlns="http://schemas.microsoft.com/office/infopath/2007/PartnerControls">
        <TermInfo xmlns="http://schemas.microsoft.com/office/infopath/2007/PartnerControls">
          <TermName xmlns="http://schemas.microsoft.com/office/infopath/2007/PartnerControls">Emissions Reduction Fund</TermName>
          <TermId xmlns="http://schemas.microsoft.com/office/infopath/2007/PartnerControls">7700fdf8-0a4a-479c-92e1-b4b3addd381a</TermId>
        </TermInfo>
      </Terms>
    </a8c250d72ce948d28301ea6df157b105>
    <pe2555c81638466f9eb614edb9ecde52 xmlns="a36bd50b-1532-4c22-b385-5c082c960938">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116a9244-cef6-47ce-a9a5-088c9cf21292</TermId>
        </TermInfo>
      </Terms>
    </pe2555c81638466f9eb614edb9ecde52>
    <aa25a1a23adf4c92a153145de6afe324 xmlns="a36bd50b-1532-4c22-b385-5c082c960938">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6106d03b-a1a0-4e30-9d91-d5e9fb4314f9</TermId>
        </TermInfo>
      </Terms>
    </aa25a1a23adf4c92a153145de6afe324>
    <g7bcb40ba23249a78edca7d43a67c1c9 xmlns="a36bd50b-1532-4c22-b385-5c082c960938">
      <Terms xmlns="http://schemas.microsoft.com/office/infopath/2007/PartnerControls"/>
    </g7bcb40ba23249a78edca7d43a67c1c9>
    <TaxCatchAll xmlns="a36bd50b-1532-4c22-b385-5c082c960938">
      <Value>61</Value>
      <Value>28</Value>
      <Value>79</Value>
      <Value>7</Value>
    </TaxCatchAll>
    <Comment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A27CF3-9EC2-45D7-9989-AEF7BAF8FDD3}">
  <ds:schemaRefs>
    <ds:schemaRef ds:uri="http://schemas.microsoft.com/sharepoint/v3/contenttype/forms"/>
  </ds:schemaRefs>
</ds:datastoreItem>
</file>

<file path=customXml/itemProps2.xml><?xml version="1.0" encoding="utf-8"?>
<ds:datastoreItem xmlns:ds="http://schemas.openxmlformats.org/officeDocument/2006/customXml" ds:itemID="{17306C18-48AB-4737-87FB-AA37D2B24C4D}">
  <ds:schemaRefs>
    <ds:schemaRef ds:uri="http://schemas.microsoft.com/sharepoint/events"/>
  </ds:schemaRefs>
</ds:datastoreItem>
</file>

<file path=customXml/itemProps3.xml><?xml version="1.0" encoding="utf-8"?>
<ds:datastoreItem xmlns:ds="http://schemas.openxmlformats.org/officeDocument/2006/customXml" ds:itemID="{CA46EE7B-DC35-4366-ABCB-4CEED22DAC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6bd50b-1532-4c22-b385-5c082c960938"/>
    <ds:schemaRef ds:uri="01bdaa01-5807-4828-8c99-6323bf09314b"/>
    <ds:schemaRef ds:uri="255183c1-b2a7-4747-b17d-becd86d393b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190BCB-3AF7-49DB-A07C-24A648CB0F37}">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a36bd50b-1532-4c22-b385-5c082c960938"/>
    <ds:schemaRef ds:uri="http://schemas.microsoft.com/sharepoint/v3"/>
    <ds:schemaRef ds:uri="http://schemas.microsoft.com/sharepoint/v4"/>
    <ds:schemaRef ds:uri="http://purl.org/dc/terms/"/>
    <ds:schemaRef ds:uri="http://schemas.openxmlformats.org/package/2006/metadata/core-properties"/>
    <ds:schemaRef ds:uri="255183c1-b2a7-4747-b17d-becd86d393ba"/>
    <ds:schemaRef ds:uri="01bdaa01-5807-4828-8c99-6323bf09314b"/>
    <ds:schemaRef ds:uri="http://www.w3.org/XML/1998/namespace"/>
    <ds:schemaRef ds:uri="http://purl.org/dc/dcmitype/"/>
  </ds:schemaRefs>
</ds:datastoreItem>
</file>

<file path=customXml/itemProps5.xml><?xml version="1.0" encoding="utf-8"?>
<ds:datastoreItem xmlns:ds="http://schemas.openxmlformats.org/officeDocument/2006/customXml" ds:itemID="{86BC71FD-7071-44DC-A6C6-D20255BBED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Technical Report - Standard Photo</Template>
  <TotalTime>25</TotalTime>
  <Pages>219</Pages>
  <Words>74842</Words>
  <Characters>426602</Characters>
  <Application>Microsoft Office Word</Application>
  <DocSecurity>8</DocSecurity>
  <Lines>3555</Lines>
  <Paragraphs>1000</Paragraphs>
  <ScaleCrop>false</ScaleCrop>
  <HeadingPairs>
    <vt:vector size="2" baseType="variant">
      <vt:variant>
        <vt:lpstr>Title</vt:lpstr>
      </vt:variant>
      <vt:variant>
        <vt:i4>1</vt:i4>
      </vt:variant>
    </vt:vector>
  </HeadingPairs>
  <TitlesOfParts>
    <vt:vector size="1" baseType="lpstr">
      <vt:lpstr>CSIRO report template</vt:lpstr>
    </vt:vector>
  </TitlesOfParts>
  <Company>CSIRO</Company>
  <LinksUpToDate>false</LinksUpToDate>
  <CharactersWithSpaces>500444</CharactersWithSpaces>
  <SharedDoc>false</SharedDoc>
  <HLinks>
    <vt:vector size="588" baseType="variant">
      <vt:variant>
        <vt:i4>720902</vt:i4>
      </vt:variant>
      <vt:variant>
        <vt:i4>924</vt:i4>
      </vt:variant>
      <vt:variant>
        <vt:i4>0</vt:i4>
      </vt:variant>
      <vt:variant>
        <vt:i4>5</vt:i4>
      </vt:variant>
      <vt:variant>
        <vt:lpwstr>https://www.climatechangeinaustralia.gov.au/en/climate-projections/about/</vt:lpwstr>
      </vt:variant>
      <vt:variant>
        <vt:lpwstr/>
      </vt:variant>
      <vt:variant>
        <vt:i4>7929892</vt:i4>
      </vt:variant>
      <vt:variant>
        <vt:i4>741</vt:i4>
      </vt:variant>
      <vt:variant>
        <vt:i4>0</vt:i4>
      </vt:variant>
      <vt:variant>
        <vt:i4>5</vt:i4>
      </vt:variant>
      <vt:variant>
        <vt:lpwstr>https://www.legislation.gov.au/Details/F2018C00125</vt:lpwstr>
      </vt:variant>
      <vt:variant>
        <vt:lpwstr/>
      </vt:variant>
      <vt:variant>
        <vt:i4>7929892</vt:i4>
      </vt:variant>
      <vt:variant>
        <vt:i4>729</vt:i4>
      </vt:variant>
      <vt:variant>
        <vt:i4>0</vt:i4>
      </vt:variant>
      <vt:variant>
        <vt:i4>5</vt:i4>
      </vt:variant>
      <vt:variant>
        <vt:lpwstr>https://www.legislation.gov.au/Details/F2018C00125</vt:lpwstr>
      </vt:variant>
      <vt:variant>
        <vt:lpwstr/>
      </vt:variant>
      <vt:variant>
        <vt:i4>7929892</vt:i4>
      </vt:variant>
      <vt:variant>
        <vt:i4>726</vt:i4>
      </vt:variant>
      <vt:variant>
        <vt:i4>0</vt:i4>
      </vt:variant>
      <vt:variant>
        <vt:i4>5</vt:i4>
      </vt:variant>
      <vt:variant>
        <vt:lpwstr>https://www.legislation.gov.au/Details/F2018C00125</vt:lpwstr>
      </vt:variant>
      <vt:variant>
        <vt:lpwstr/>
      </vt:variant>
      <vt:variant>
        <vt:i4>7667751</vt:i4>
      </vt:variant>
      <vt:variant>
        <vt:i4>711</vt:i4>
      </vt:variant>
      <vt:variant>
        <vt:i4>0</vt:i4>
      </vt:variant>
      <vt:variant>
        <vt:i4>5</vt:i4>
      </vt:variant>
      <vt:variant>
        <vt:lpwstr>https://www.legislation.gov.au/Details/F2018C00119</vt:lpwstr>
      </vt:variant>
      <vt:variant>
        <vt:lpwstr/>
      </vt:variant>
      <vt:variant>
        <vt:i4>7667751</vt:i4>
      </vt:variant>
      <vt:variant>
        <vt:i4>708</vt:i4>
      </vt:variant>
      <vt:variant>
        <vt:i4>0</vt:i4>
      </vt:variant>
      <vt:variant>
        <vt:i4>5</vt:i4>
      </vt:variant>
      <vt:variant>
        <vt:lpwstr>https://www.legislation.gov.au/Details/F2018C00119</vt:lpwstr>
      </vt:variant>
      <vt:variant>
        <vt:lpwstr/>
      </vt:variant>
      <vt:variant>
        <vt:i4>7667751</vt:i4>
      </vt:variant>
      <vt:variant>
        <vt:i4>705</vt:i4>
      </vt:variant>
      <vt:variant>
        <vt:i4>0</vt:i4>
      </vt:variant>
      <vt:variant>
        <vt:i4>5</vt:i4>
      </vt:variant>
      <vt:variant>
        <vt:lpwstr>https://www.legislation.gov.au/Details/F2018C00119</vt:lpwstr>
      </vt:variant>
      <vt:variant>
        <vt:lpwstr/>
      </vt:variant>
      <vt:variant>
        <vt:i4>7929892</vt:i4>
      </vt:variant>
      <vt:variant>
        <vt:i4>702</vt:i4>
      </vt:variant>
      <vt:variant>
        <vt:i4>0</vt:i4>
      </vt:variant>
      <vt:variant>
        <vt:i4>5</vt:i4>
      </vt:variant>
      <vt:variant>
        <vt:lpwstr>https://www.legislation.gov.au/Details/F2018C00125</vt:lpwstr>
      </vt:variant>
      <vt:variant>
        <vt:lpwstr/>
      </vt:variant>
      <vt:variant>
        <vt:i4>6291493</vt:i4>
      </vt:variant>
      <vt:variant>
        <vt:i4>669</vt:i4>
      </vt:variant>
      <vt:variant>
        <vt:i4>0</vt:i4>
      </vt:variant>
      <vt:variant>
        <vt:i4>5</vt:i4>
      </vt:variant>
      <vt:variant>
        <vt:lpwstr>https://doi.org/10.26197/5f2e149ee5182</vt:lpwstr>
      </vt:variant>
      <vt:variant>
        <vt:lpwstr/>
      </vt:variant>
      <vt:variant>
        <vt:i4>7929892</vt:i4>
      </vt:variant>
      <vt:variant>
        <vt:i4>659</vt:i4>
      </vt:variant>
      <vt:variant>
        <vt:i4>0</vt:i4>
      </vt:variant>
      <vt:variant>
        <vt:i4>5</vt:i4>
      </vt:variant>
      <vt:variant>
        <vt:lpwstr>https://www.legislation.gov.au/Details/F2018C00125</vt:lpwstr>
      </vt:variant>
      <vt:variant>
        <vt:lpwstr/>
      </vt:variant>
      <vt:variant>
        <vt:i4>7667751</vt:i4>
      </vt:variant>
      <vt:variant>
        <vt:i4>657</vt:i4>
      </vt:variant>
      <vt:variant>
        <vt:i4>0</vt:i4>
      </vt:variant>
      <vt:variant>
        <vt:i4>5</vt:i4>
      </vt:variant>
      <vt:variant>
        <vt:lpwstr>https://www.legislation.gov.au/Details/F2018C00119</vt:lpwstr>
      </vt:variant>
      <vt:variant>
        <vt:lpwstr/>
      </vt:variant>
      <vt:variant>
        <vt:i4>7667751</vt:i4>
      </vt:variant>
      <vt:variant>
        <vt:i4>654</vt:i4>
      </vt:variant>
      <vt:variant>
        <vt:i4>0</vt:i4>
      </vt:variant>
      <vt:variant>
        <vt:i4>5</vt:i4>
      </vt:variant>
      <vt:variant>
        <vt:lpwstr>https://www.legislation.gov.au/Details/F2018C00119</vt:lpwstr>
      </vt:variant>
      <vt:variant>
        <vt:lpwstr/>
      </vt:variant>
      <vt:variant>
        <vt:i4>7667751</vt:i4>
      </vt:variant>
      <vt:variant>
        <vt:i4>624</vt:i4>
      </vt:variant>
      <vt:variant>
        <vt:i4>0</vt:i4>
      </vt:variant>
      <vt:variant>
        <vt:i4>5</vt:i4>
      </vt:variant>
      <vt:variant>
        <vt:lpwstr>https://www.legislation.gov.au/Details/F2018C00119</vt:lpwstr>
      </vt:variant>
      <vt:variant>
        <vt:lpwstr/>
      </vt:variant>
      <vt:variant>
        <vt:i4>7929892</vt:i4>
      </vt:variant>
      <vt:variant>
        <vt:i4>621</vt:i4>
      </vt:variant>
      <vt:variant>
        <vt:i4>0</vt:i4>
      </vt:variant>
      <vt:variant>
        <vt:i4>5</vt:i4>
      </vt:variant>
      <vt:variant>
        <vt:lpwstr>https://www.legislation.gov.au/Details/F2018C00125</vt:lpwstr>
      </vt:variant>
      <vt:variant>
        <vt:lpwstr/>
      </vt:variant>
      <vt:variant>
        <vt:i4>3473531</vt:i4>
      </vt:variant>
      <vt:variant>
        <vt:i4>588</vt:i4>
      </vt:variant>
      <vt:variant>
        <vt:i4>0</vt:i4>
      </vt:variant>
      <vt:variant>
        <vt:i4>5</vt:i4>
      </vt:variant>
      <vt:variant>
        <vt:lpwstr>http://www.cleanenergyregulator.gov.au/ERF/project-and-contracts-registers</vt:lpwstr>
      </vt:variant>
      <vt:variant>
        <vt:lpwstr/>
      </vt:variant>
      <vt:variant>
        <vt:i4>3866676</vt:i4>
      </vt:variant>
      <vt:variant>
        <vt:i4>483</vt:i4>
      </vt:variant>
      <vt:variant>
        <vt:i4>0</vt:i4>
      </vt:variant>
      <vt:variant>
        <vt:i4>5</vt:i4>
      </vt:variant>
      <vt:variant>
        <vt:lpwstr>http://www.climatechangeinaustralia.gov.au/</vt:lpwstr>
      </vt:variant>
      <vt:variant>
        <vt:lpwstr/>
      </vt:variant>
      <vt:variant>
        <vt:i4>3997789</vt:i4>
      </vt:variant>
      <vt:variant>
        <vt:i4>464</vt:i4>
      </vt:variant>
      <vt:variant>
        <vt:i4>0</vt:i4>
      </vt:variant>
      <vt:variant>
        <vt:i4>5</vt:i4>
      </vt:variant>
      <vt:variant>
        <vt:lpwstr>D:\CSIRO Projects\2020 CCA Risk to Sequestration projects\Final Edits\Risks to Climate Change - Working Draft v8 - Track Changes - Copy.docx</vt:lpwstr>
      </vt:variant>
      <vt:variant>
        <vt:lpwstr>_Toc49779581</vt:lpwstr>
      </vt:variant>
      <vt:variant>
        <vt:i4>1835058</vt:i4>
      </vt:variant>
      <vt:variant>
        <vt:i4>458</vt:i4>
      </vt:variant>
      <vt:variant>
        <vt:i4>0</vt:i4>
      </vt:variant>
      <vt:variant>
        <vt:i4>5</vt:i4>
      </vt:variant>
      <vt:variant>
        <vt:lpwstr/>
      </vt:variant>
      <vt:variant>
        <vt:lpwstr>_Toc49779580</vt:lpwstr>
      </vt:variant>
      <vt:variant>
        <vt:i4>1376317</vt:i4>
      </vt:variant>
      <vt:variant>
        <vt:i4>452</vt:i4>
      </vt:variant>
      <vt:variant>
        <vt:i4>0</vt:i4>
      </vt:variant>
      <vt:variant>
        <vt:i4>5</vt:i4>
      </vt:variant>
      <vt:variant>
        <vt:lpwstr/>
      </vt:variant>
      <vt:variant>
        <vt:lpwstr>_Toc49779579</vt:lpwstr>
      </vt:variant>
      <vt:variant>
        <vt:i4>1310781</vt:i4>
      </vt:variant>
      <vt:variant>
        <vt:i4>446</vt:i4>
      </vt:variant>
      <vt:variant>
        <vt:i4>0</vt:i4>
      </vt:variant>
      <vt:variant>
        <vt:i4>5</vt:i4>
      </vt:variant>
      <vt:variant>
        <vt:lpwstr/>
      </vt:variant>
      <vt:variant>
        <vt:lpwstr>_Toc49779578</vt:lpwstr>
      </vt:variant>
      <vt:variant>
        <vt:i4>1769533</vt:i4>
      </vt:variant>
      <vt:variant>
        <vt:i4>440</vt:i4>
      </vt:variant>
      <vt:variant>
        <vt:i4>0</vt:i4>
      </vt:variant>
      <vt:variant>
        <vt:i4>5</vt:i4>
      </vt:variant>
      <vt:variant>
        <vt:lpwstr/>
      </vt:variant>
      <vt:variant>
        <vt:lpwstr>_Toc49779577</vt:lpwstr>
      </vt:variant>
      <vt:variant>
        <vt:i4>1703997</vt:i4>
      </vt:variant>
      <vt:variant>
        <vt:i4>434</vt:i4>
      </vt:variant>
      <vt:variant>
        <vt:i4>0</vt:i4>
      </vt:variant>
      <vt:variant>
        <vt:i4>5</vt:i4>
      </vt:variant>
      <vt:variant>
        <vt:lpwstr/>
      </vt:variant>
      <vt:variant>
        <vt:lpwstr>_Toc49779576</vt:lpwstr>
      </vt:variant>
      <vt:variant>
        <vt:i4>1638461</vt:i4>
      </vt:variant>
      <vt:variant>
        <vt:i4>428</vt:i4>
      </vt:variant>
      <vt:variant>
        <vt:i4>0</vt:i4>
      </vt:variant>
      <vt:variant>
        <vt:i4>5</vt:i4>
      </vt:variant>
      <vt:variant>
        <vt:lpwstr/>
      </vt:variant>
      <vt:variant>
        <vt:lpwstr>_Toc49779575</vt:lpwstr>
      </vt:variant>
      <vt:variant>
        <vt:i4>1572925</vt:i4>
      </vt:variant>
      <vt:variant>
        <vt:i4>422</vt:i4>
      </vt:variant>
      <vt:variant>
        <vt:i4>0</vt:i4>
      </vt:variant>
      <vt:variant>
        <vt:i4>5</vt:i4>
      </vt:variant>
      <vt:variant>
        <vt:lpwstr/>
      </vt:variant>
      <vt:variant>
        <vt:lpwstr>_Toc49779574</vt:lpwstr>
      </vt:variant>
      <vt:variant>
        <vt:i4>2031677</vt:i4>
      </vt:variant>
      <vt:variant>
        <vt:i4>416</vt:i4>
      </vt:variant>
      <vt:variant>
        <vt:i4>0</vt:i4>
      </vt:variant>
      <vt:variant>
        <vt:i4>5</vt:i4>
      </vt:variant>
      <vt:variant>
        <vt:lpwstr/>
      </vt:variant>
      <vt:variant>
        <vt:lpwstr>_Toc49779573</vt:lpwstr>
      </vt:variant>
      <vt:variant>
        <vt:i4>1966141</vt:i4>
      </vt:variant>
      <vt:variant>
        <vt:i4>410</vt:i4>
      </vt:variant>
      <vt:variant>
        <vt:i4>0</vt:i4>
      </vt:variant>
      <vt:variant>
        <vt:i4>5</vt:i4>
      </vt:variant>
      <vt:variant>
        <vt:lpwstr/>
      </vt:variant>
      <vt:variant>
        <vt:lpwstr>_Toc49779572</vt:lpwstr>
      </vt:variant>
      <vt:variant>
        <vt:i4>1900605</vt:i4>
      </vt:variant>
      <vt:variant>
        <vt:i4>404</vt:i4>
      </vt:variant>
      <vt:variant>
        <vt:i4>0</vt:i4>
      </vt:variant>
      <vt:variant>
        <vt:i4>5</vt:i4>
      </vt:variant>
      <vt:variant>
        <vt:lpwstr/>
      </vt:variant>
      <vt:variant>
        <vt:lpwstr>_Toc49779571</vt:lpwstr>
      </vt:variant>
      <vt:variant>
        <vt:i4>1835069</vt:i4>
      </vt:variant>
      <vt:variant>
        <vt:i4>398</vt:i4>
      </vt:variant>
      <vt:variant>
        <vt:i4>0</vt:i4>
      </vt:variant>
      <vt:variant>
        <vt:i4>5</vt:i4>
      </vt:variant>
      <vt:variant>
        <vt:lpwstr/>
      </vt:variant>
      <vt:variant>
        <vt:lpwstr>_Toc49779570</vt:lpwstr>
      </vt:variant>
      <vt:variant>
        <vt:i4>1376316</vt:i4>
      </vt:variant>
      <vt:variant>
        <vt:i4>392</vt:i4>
      </vt:variant>
      <vt:variant>
        <vt:i4>0</vt:i4>
      </vt:variant>
      <vt:variant>
        <vt:i4>5</vt:i4>
      </vt:variant>
      <vt:variant>
        <vt:lpwstr/>
      </vt:variant>
      <vt:variant>
        <vt:lpwstr>_Toc49779569</vt:lpwstr>
      </vt:variant>
      <vt:variant>
        <vt:i4>1310780</vt:i4>
      </vt:variant>
      <vt:variant>
        <vt:i4>386</vt:i4>
      </vt:variant>
      <vt:variant>
        <vt:i4>0</vt:i4>
      </vt:variant>
      <vt:variant>
        <vt:i4>5</vt:i4>
      </vt:variant>
      <vt:variant>
        <vt:lpwstr/>
      </vt:variant>
      <vt:variant>
        <vt:lpwstr>_Toc49779568</vt:lpwstr>
      </vt:variant>
      <vt:variant>
        <vt:i4>1769532</vt:i4>
      </vt:variant>
      <vt:variant>
        <vt:i4>380</vt:i4>
      </vt:variant>
      <vt:variant>
        <vt:i4>0</vt:i4>
      </vt:variant>
      <vt:variant>
        <vt:i4>5</vt:i4>
      </vt:variant>
      <vt:variant>
        <vt:lpwstr/>
      </vt:variant>
      <vt:variant>
        <vt:lpwstr>_Toc49779567</vt:lpwstr>
      </vt:variant>
      <vt:variant>
        <vt:i4>1703996</vt:i4>
      </vt:variant>
      <vt:variant>
        <vt:i4>374</vt:i4>
      </vt:variant>
      <vt:variant>
        <vt:i4>0</vt:i4>
      </vt:variant>
      <vt:variant>
        <vt:i4>5</vt:i4>
      </vt:variant>
      <vt:variant>
        <vt:lpwstr/>
      </vt:variant>
      <vt:variant>
        <vt:lpwstr>_Toc49779566</vt:lpwstr>
      </vt:variant>
      <vt:variant>
        <vt:i4>1638460</vt:i4>
      </vt:variant>
      <vt:variant>
        <vt:i4>368</vt:i4>
      </vt:variant>
      <vt:variant>
        <vt:i4>0</vt:i4>
      </vt:variant>
      <vt:variant>
        <vt:i4>5</vt:i4>
      </vt:variant>
      <vt:variant>
        <vt:lpwstr/>
      </vt:variant>
      <vt:variant>
        <vt:lpwstr>_Toc49779565</vt:lpwstr>
      </vt:variant>
      <vt:variant>
        <vt:i4>1572924</vt:i4>
      </vt:variant>
      <vt:variant>
        <vt:i4>362</vt:i4>
      </vt:variant>
      <vt:variant>
        <vt:i4>0</vt:i4>
      </vt:variant>
      <vt:variant>
        <vt:i4>5</vt:i4>
      </vt:variant>
      <vt:variant>
        <vt:lpwstr/>
      </vt:variant>
      <vt:variant>
        <vt:lpwstr>_Toc49779564</vt:lpwstr>
      </vt:variant>
      <vt:variant>
        <vt:i4>2031676</vt:i4>
      </vt:variant>
      <vt:variant>
        <vt:i4>356</vt:i4>
      </vt:variant>
      <vt:variant>
        <vt:i4>0</vt:i4>
      </vt:variant>
      <vt:variant>
        <vt:i4>5</vt:i4>
      </vt:variant>
      <vt:variant>
        <vt:lpwstr/>
      </vt:variant>
      <vt:variant>
        <vt:lpwstr>_Toc49779563</vt:lpwstr>
      </vt:variant>
      <vt:variant>
        <vt:i4>1966140</vt:i4>
      </vt:variant>
      <vt:variant>
        <vt:i4>350</vt:i4>
      </vt:variant>
      <vt:variant>
        <vt:i4>0</vt:i4>
      </vt:variant>
      <vt:variant>
        <vt:i4>5</vt:i4>
      </vt:variant>
      <vt:variant>
        <vt:lpwstr/>
      </vt:variant>
      <vt:variant>
        <vt:lpwstr>_Toc49779562</vt:lpwstr>
      </vt:variant>
      <vt:variant>
        <vt:i4>1900604</vt:i4>
      </vt:variant>
      <vt:variant>
        <vt:i4>344</vt:i4>
      </vt:variant>
      <vt:variant>
        <vt:i4>0</vt:i4>
      </vt:variant>
      <vt:variant>
        <vt:i4>5</vt:i4>
      </vt:variant>
      <vt:variant>
        <vt:lpwstr/>
      </vt:variant>
      <vt:variant>
        <vt:lpwstr>_Toc49779561</vt:lpwstr>
      </vt:variant>
      <vt:variant>
        <vt:i4>1835068</vt:i4>
      </vt:variant>
      <vt:variant>
        <vt:i4>338</vt:i4>
      </vt:variant>
      <vt:variant>
        <vt:i4>0</vt:i4>
      </vt:variant>
      <vt:variant>
        <vt:i4>5</vt:i4>
      </vt:variant>
      <vt:variant>
        <vt:lpwstr/>
      </vt:variant>
      <vt:variant>
        <vt:lpwstr>_Toc49779560</vt:lpwstr>
      </vt:variant>
      <vt:variant>
        <vt:i4>1376319</vt:i4>
      </vt:variant>
      <vt:variant>
        <vt:i4>332</vt:i4>
      </vt:variant>
      <vt:variant>
        <vt:i4>0</vt:i4>
      </vt:variant>
      <vt:variant>
        <vt:i4>5</vt:i4>
      </vt:variant>
      <vt:variant>
        <vt:lpwstr/>
      </vt:variant>
      <vt:variant>
        <vt:lpwstr>_Toc49779559</vt:lpwstr>
      </vt:variant>
      <vt:variant>
        <vt:i4>1310783</vt:i4>
      </vt:variant>
      <vt:variant>
        <vt:i4>326</vt:i4>
      </vt:variant>
      <vt:variant>
        <vt:i4>0</vt:i4>
      </vt:variant>
      <vt:variant>
        <vt:i4>5</vt:i4>
      </vt:variant>
      <vt:variant>
        <vt:lpwstr/>
      </vt:variant>
      <vt:variant>
        <vt:lpwstr>_Toc49779558</vt:lpwstr>
      </vt:variant>
      <vt:variant>
        <vt:i4>1769535</vt:i4>
      </vt:variant>
      <vt:variant>
        <vt:i4>320</vt:i4>
      </vt:variant>
      <vt:variant>
        <vt:i4>0</vt:i4>
      </vt:variant>
      <vt:variant>
        <vt:i4>5</vt:i4>
      </vt:variant>
      <vt:variant>
        <vt:lpwstr/>
      </vt:variant>
      <vt:variant>
        <vt:lpwstr>_Toc49779557</vt:lpwstr>
      </vt:variant>
      <vt:variant>
        <vt:i4>1703999</vt:i4>
      </vt:variant>
      <vt:variant>
        <vt:i4>314</vt:i4>
      </vt:variant>
      <vt:variant>
        <vt:i4>0</vt:i4>
      </vt:variant>
      <vt:variant>
        <vt:i4>5</vt:i4>
      </vt:variant>
      <vt:variant>
        <vt:lpwstr/>
      </vt:variant>
      <vt:variant>
        <vt:lpwstr>_Toc49779556</vt:lpwstr>
      </vt:variant>
      <vt:variant>
        <vt:i4>1638463</vt:i4>
      </vt:variant>
      <vt:variant>
        <vt:i4>308</vt:i4>
      </vt:variant>
      <vt:variant>
        <vt:i4>0</vt:i4>
      </vt:variant>
      <vt:variant>
        <vt:i4>5</vt:i4>
      </vt:variant>
      <vt:variant>
        <vt:lpwstr/>
      </vt:variant>
      <vt:variant>
        <vt:lpwstr>_Toc49779555</vt:lpwstr>
      </vt:variant>
      <vt:variant>
        <vt:i4>3670096</vt:i4>
      </vt:variant>
      <vt:variant>
        <vt:i4>299</vt:i4>
      </vt:variant>
      <vt:variant>
        <vt:i4>0</vt:i4>
      </vt:variant>
      <vt:variant>
        <vt:i4>5</vt:i4>
      </vt:variant>
      <vt:variant>
        <vt:lpwstr>D:\CSIRO Projects\2020 CCA Risk to Sequestration projects\Final Edits\Risks to Climate Change - Working Draft v8 - Track Changes - Copy.docx</vt:lpwstr>
      </vt:variant>
      <vt:variant>
        <vt:lpwstr>_Toc49779554</vt:lpwstr>
      </vt:variant>
      <vt:variant>
        <vt:i4>2031679</vt:i4>
      </vt:variant>
      <vt:variant>
        <vt:i4>293</vt:i4>
      </vt:variant>
      <vt:variant>
        <vt:i4>0</vt:i4>
      </vt:variant>
      <vt:variant>
        <vt:i4>5</vt:i4>
      </vt:variant>
      <vt:variant>
        <vt:lpwstr/>
      </vt:variant>
      <vt:variant>
        <vt:lpwstr>_Toc49779553</vt:lpwstr>
      </vt:variant>
      <vt:variant>
        <vt:i4>1966143</vt:i4>
      </vt:variant>
      <vt:variant>
        <vt:i4>287</vt:i4>
      </vt:variant>
      <vt:variant>
        <vt:i4>0</vt:i4>
      </vt:variant>
      <vt:variant>
        <vt:i4>5</vt:i4>
      </vt:variant>
      <vt:variant>
        <vt:lpwstr/>
      </vt:variant>
      <vt:variant>
        <vt:lpwstr>_Toc49779552</vt:lpwstr>
      </vt:variant>
      <vt:variant>
        <vt:i4>1900607</vt:i4>
      </vt:variant>
      <vt:variant>
        <vt:i4>281</vt:i4>
      </vt:variant>
      <vt:variant>
        <vt:i4>0</vt:i4>
      </vt:variant>
      <vt:variant>
        <vt:i4>5</vt:i4>
      </vt:variant>
      <vt:variant>
        <vt:lpwstr/>
      </vt:variant>
      <vt:variant>
        <vt:lpwstr>_Toc49779551</vt:lpwstr>
      </vt:variant>
      <vt:variant>
        <vt:i4>1835071</vt:i4>
      </vt:variant>
      <vt:variant>
        <vt:i4>275</vt:i4>
      </vt:variant>
      <vt:variant>
        <vt:i4>0</vt:i4>
      </vt:variant>
      <vt:variant>
        <vt:i4>5</vt:i4>
      </vt:variant>
      <vt:variant>
        <vt:lpwstr/>
      </vt:variant>
      <vt:variant>
        <vt:lpwstr>_Toc49779550</vt:lpwstr>
      </vt:variant>
      <vt:variant>
        <vt:i4>1376318</vt:i4>
      </vt:variant>
      <vt:variant>
        <vt:i4>269</vt:i4>
      </vt:variant>
      <vt:variant>
        <vt:i4>0</vt:i4>
      </vt:variant>
      <vt:variant>
        <vt:i4>5</vt:i4>
      </vt:variant>
      <vt:variant>
        <vt:lpwstr/>
      </vt:variant>
      <vt:variant>
        <vt:lpwstr>_Toc49779549</vt:lpwstr>
      </vt:variant>
      <vt:variant>
        <vt:i4>1310782</vt:i4>
      </vt:variant>
      <vt:variant>
        <vt:i4>263</vt:i4>
      </vt:variant>
      <vt:variant>
        <vt:i4>0</vt:i4>
      </vt:variant>
      <vt:variant>
        <vt:i4>5</vt:i4>
      </vt:variant>
      <vt:variant>
        <vt:lpwstr/>
      </vt:variant>
      <vt:variant>
        <vt:lpwstr>_Toc49779548</vt:lpwstr>
      </vt:variant>
      <vt:variant>
        <vt:i4>1769534</vt:i4>
      </vt:variant>
      <vt:variant>
        <vt:i4>257</vt:i4>
      </vt:variant>
      <vt:variant>
        <vt:i4>0</vt:i4>
      </vt:variant>
      <vt:variant>
        <vt:i4>5</vt:i4>
      </vt:variant>
      <vt:variant>
        <vt:lpwstr/>
      </vt:variant>
      <vt:variant>
        <vt:lpwstr>_Toc49779547</vt:lpwstr>
      </vt:variant>
      <vt:variant>
        <vt:i4>1703998</vt:i4>
      </vt:variant>
      <vt:variant>
        <vt:i4>251</vt:i4>
      </vt:variant>
      <vt:variant>
        <vt:i4>0</vt:i4>
      </vt:variant>
      <vt:variant>
        <vt:i4>5</vt:i4>
      </vt:variant>
      <vt:variant>
        <vt:lpwstr/>
      </vt:variant>
      <vt:variant>
        <vt:lpwstr>_Toc49779546</vt:lpwstr>
      </vt:variant>
      <vt:variant>
        <vt:i4>1638462</vt:i4>
      </vt:variant>
      <vt:variant>
        <vt:i4>245</vt:i4>
      </vt:variant>
      <vt:variant>
        <vt:i4>0</vt:i4>
      </vt:variant>
      <vt:variant>
        <vt:i4>5</vt:i4>
      </vt:variant>
      <vt:variant>
        <vt:lpwstr/>
      </vt:variant>
      <vt:variant>
        <vt:lpwstr>_Toc49779545</vt:lpwstr>
      </vt:variant>
      <vt:variant>
        <vt:i4>1572926</vt:i4>
      </vt:variant>
      <vt:variant>
        <vt:i4>239</vt:i4>
      </vt:variant>
      <vt:variant>
        <vt:i4>0</vt:i4>
      </vt:variant>
      <vt:variant>
        <vt:i4>5</vt:i4>
      </vt:variant>
      <vt:variant>
        <vt:lpwstr/>
      </vt:variant>
      <vt:variant>
        <vt:lpwstr>_Toc49779544</vt:lpwstr>
      </vt:variant>
      <vt:variant>
        <vt:i4>2031678</vt:i4>
      </vt:variant>
      <vt:variant>
        <vt:i4>233</vt:i4>
      </vt:variant>
      <vt:variant>
        <vt:i4>0</vt:i4>
      </vt:variant>
      <vt:variant>
        <vt:i4>5</vt:i4>
      </vt:variant>
      <vt:variant>
        <vt:lpwstr/>
      </vt:variant>
      <vt:variant>
        <vt:lpwstr>_Toc49779543</vt:lpwstr>
      </vt:variant>
      <vt:variant>
        <vt:i4>1966142</vt:i4>
      </vt:variant>
      <vt:variant>
        <vt:i4>227</vt:i4>
      </vt:variant>
      <vt:variant>
        <vt:i4>0</vt:i4>
      </vt:variant>
      <vt:variant>
        <vt:i4>5</vt:i4>
      </vt:variant>
      <vt:variant>
        <vt:lpwstr/>
      </vt:variant>
      <vt:variant>
        <vt:lpwstr>_Toc49779542</vt:lpwstr>
      </vt:variant>
      <vt:variant>
        <vt:i4>1900606</vt:i4>
      </vt:variant>
      <vt:variant>
        <vt:i4>221</vt:i4>
      </vt:variant>
      <vt:variant>
        <vt:i4>0</vt:i4>
      </vt:variant>
      <vt:variant>
        <vt:i4>5</vt:i4>
      </vt:variant>
      <vt:variant>
        <vt:lpwstr/>
      </vt:variant>
      <vt:variant>
        <vt:lpwstr>_Toc49779541</vt:lpwstr>
      </vt:variant>
      <vt:variant>
        <vt:i4>1835070</vt:i4>
      </vt:variant>
      <vt:variant>
        <vt:i4>215</vt:i4>
      </vt:variant>
      <vt:variant>
        <vt:i4>0</vt:i4>
      </vt:variant>
      <vt:variant>
        <vt:i4>5</vt:i4>
      </vt:variant>
      <vt:variant>
        <vt:lpwstr/>
      </vt:variant>
      <vt:variant>
        <vt:lpwstr>_Toc49779540</vt:lpwstr>
      </vt:variant>
      <vt:variant>
        <vt:i4>1376313</vt:i4>
      </vt:variant>
      <vt:variant>
        <vt:i4>209</vt:i4>
      </vt:variant>
      <vt:variant>
        <vt:i4>0</vt:i4>
      </vt:variant>
      <vt:variant>
        <vt:i4>5</vt:i4>
      </vt:variant>
      <vt:variant>
        <vt:lpwstr/>
      </vt:variant>
      <vt:variant>
        <vt:lpwstr>_Toc49779539</vt:lpwstr>
      </vt:variant>
      <vt:variant>
        <vt:i4>1310777</vt:i4>
      </vt:variant>
      <vt:variant>
        <vt:i4>203</vt:i4>
      </vt:variant>
      <vt:variant>
        <vt:i4>0</vt:i4>
      </vt:variant>
      <vt:variant>
        <vt:i4>5</vt:i4>
      </vt:variant>
      <vt:variant>
        <vt:lpwstr/>
      </vt:variant>
      <vt:variant>
        <vt:lpwstr>_Toc49779538</vt:lpwstr>
      </vt:variant>
      <vt:variant>
        <vt:i4>1769529</vt:i4>
      </vt:variant>
      <vt:variant>
        <vt:i4>197</vt:i4>
      </vt:variant>
      <vt:variant>
        <vt:i4>0</vt:i4>
      </vt:variant>
      <vt:variant>
        <vt:i4>5</vt:i4>
      </vt:variant>
      <vt:variant>
        <vt:lpwstr/>
      </vt:variant>
      <vt:variant>
        <vt:lpwstr>_Toc49779537</vt:lpwstr>
      </vt:variant>
      <vt:variant>
        <vt:i4>1703993</vt:i4>
      </vt:variant>
      <vt:variant>
        <vt:i4>191</vt:i4>
      </vt:variant>
      <vt:variant>
        <vt:i4>0</vt:i4>
      </vt:variant>
      <vt:variant>
        <vt:i4>5</vt:i4>
      </vt:variant>
      <vt:variant>
        <vt:lpwstr/>
      </vt:variant>
      <vt:variant>
        <vt:lpwstr>_Toc49779536</vt:lpwstr>
      </vt:variant>
      <vt:variant>
        <vt:i4>1638457</vt:i4>
      </vt:variant>
      <vt:variant>
        <vt:i4>185</vt:i4>
      </vt:variant>
      <vt:variant>
        <vt:i4>0</vt:i4>
      </vt:variant>
      <vt:variant>
        <vt:i4>5</vt:i4>
      </vt:variant>
      <vt:variant>
        <vt:lpwstr/>
      </vt:variant>
      <vt:variant>
        <vt:lpwstr>_Toc49779535</vt:lpwstr>
      </vt:variant>
      <vt:variant>
        <vt:i4>1572921</vt:i4>
      </vt:variant>
      <vt:variant>
        <vt:i4>176</vt:i4>
      </vt:variant>
      <vt:variant>
        <vt:i4>0</vt:i4>
      </vt:variant>
      <vt:variant>
        <vt:i4>5</vt:i4>
      </vt:variant>
      <vt:variant>
        <vt:lpwstr/>
      </vt:variant>
      <vt:variant>
        <vt:lpwstr>_Toc49779534</vt:lpwstr>
      </vt:variant>
      <vt:variant>
        <vt:i4>2031673</vt:i4>
      </vt:variant>
      <vt:variant>
        <vt:i4>170</vt:i4>
      </vt:variant>
      <vt:variant>
        <vt:i4>0</vt:i4>
      </vt:variant>
      <vt:variant>
        <vt:i4>5</vt:i4>
      </vt:variant>
      <vt:variant>
        <vt:lpwstr/>
      </vt:variant>
      <vt:variant>
        <vt:lpwstr>_Toc49779533</vt:lpwstr>
      </vt:variant>
      <vt:variant>
        <vt:i4>1966137</vt:i4>
      </vt:variant>
      <vt:variant>
        <vt:i4>164</vt:i4>
      </vt:variant>
      <vt:variant>
        <vt:i4>0</vt:i4>
      </vt:variant>
      <vt:variant>
        <vt:i4>5</vt:i4>
      </vt:variant>
      <vt:variant>
        <vt:lpwstr/>
      </vt:variant>
      <vt:variant>
        <vt:lpwstr>_Toc49779532</vt:lpwstr>
      </vt:variant>
      <vt:variant>
        <vt:i4>1900601</vt:i4>
      </vt:variant>
      <vt:variant>
        <vt:i4>158</vt:i4>
      </vt:variant>
      <vt:variant>
        <vt:i4>0</vt:i4>
      </vt:variant>
      <vt:variant>
        <vt:i4>5</vt:i4>
      </vt:variant>
      <vt:variant>
        <vt:lpwstr/>
      </vt:variant>
      <vt:variant>
        <vt:lpwstr>_Toc49779531</vt:lpwstr>
      </vt:variant>
      <vt:variant>
        <vt:i4>1835065</vt:i4>
      </vt:variant>
      <vt:variant>
        <vt:i4>152</vt:i4>
      </vt:variant>
      <vt:variant>
        <vt:i4>0</vt:i4>
      </vt:variant>
      <vt:variant>
        <vt:i4>5</vt:i4>
      </vt:variant>
      <vt:variant>
        <vt:lpwstr/>
      </vt:variant>
      <vt:variant>
        <vt:lpwstr>_Toc49779530</vt:lpwstr>
      </vt:variant>
      <vt:variant>
        <vt:i4>1376312</vt:i4>
      </vt:variant>
      <vt:variant>
        <vt:i4>146</vt:i4>
      </vt:variant>
      <vt:variant>
        <vt:i4>0</vt:i4>
      </vt:variant>
      <vt:variant>
        <vt:i4>5</vt:i4>
      </vt:variant>
      <vt:variant>
        <vt:lpwstr/>
      </vt:variant>
      <vt:variant>
        <vt:lpwstr>_Toc49779529</vt:lpwstr>
      </vt:variant>
      <vt:variant>
        <vt:i4>1310776</vt:i4>
      </vt:variant>
      <vt:variant>
        <vt:i4>140</vt:i4>
      </vt:variant>
      <vt:variant>
        <vt:i4>0</vt:i4>
      </vt:variant>
      <vt:variant>
        <vt:i4>5</vt:i4>
      </vt:variant>
      <vt:variant>
        <vt:lpwstr/>
      </vt:variant>
      <vt:variant>
        <vt:lpwstr>_Toc49779528</vt:lpwstr>
      </vt:variant>
      <vt:variant>
        <vt:i4>1769528</vt:i4>
      </vt:variant>
      <vt:variant>
        <vt:i4>134</vt:i4>
      </vt:variant>
      <vt:variant>
        <vt:i4>0</vt:i4>
      </vt:variant>
      <vt:variant>
        <vt:i4>5</vt:i4>
      </vt:variant>
      <vt:variant>
        <vt:lpwstr/>
      </vt:variant>
      <vt:variant>
        <vt:lpwstr>_Toc49779527</vt:lpwstr>
      </vt:variant>
      <vt:variant>
        <vt:i4>1703992</vt:i4>
      </vt:variant>
      <vt:variant>
        <vt:i4>128</vt:i4>
      </vt:variant>
      <vt:variant>
        <vt:i4>0</vt:i4>
      </vt:variant>
      <vt:variant>
        <vt:i4>5</vt:i4>
      </vt:variant>
      <vt:variant>
        <vt:lpwstr/>
      </vt:variant>
      <vt:variant>
        <vt:lpwstr>_Toc49779526</vt:lpwstr>
      </vt:variant>
      <vt:variant>
        <vt:i4>2031672</vt:i4>
      </vt:variant>
      <vt:variant>
        <vt:i4>122</vt:i4>
      </vt:variant>
      <vt:variant>
        <vt:i4>0</vt:i4>
      </vt:variant>
      <vt:variant>
        <vt:i4>5</vt:i4>
      </vt:variant>
      <vt:variant>
        <vt:lpwstr/>
      </vt:variant>
      <vt:variant>
        <vt:lpwstr>_Toc49779523</vt:lpwstr>
      </vt:variant>
      <vt:variant>
        <vt:i4>1966136</vt:i4>
      </vt:variant>
      <vt:variant>
        <vt:i4>116</vt:i4>
      </vt:variant>
      <vt:variant>
        <vt:i4>0</vt:i4>
      </vt:variant>
      <vt:variant>
        <vt:i4>5</vt:i4>
      </vt:variant>
      <vt:variant>
        <vt:lpwstr/>
      </vt:variant>
      <vt:variant>
        <vt:lpwstr>_Toc49779522</vt:lpwstr>
      </vt:variant>
      <vt:variant>
        <vt:i4>1900600</vt:i4>
      </vt:variant>
      <vt:variant>
        <vt:i4>110</vt:i4>
      </vt:variant>
      <vt:variant>
        <vt:i4>0</vt:i4>
      </vt:variant>
      <vt:variant>
        <vt:i4>5</vt:i4>
      </vt:variant>
      <vt:variant>
        <vt:lpwstr/>
      </vt:variant>
      <vt:variant>
        <vt:lpwstr>_Toc49779521</vt:lpwstr>
      </vt:variant>
      <vt:variant>
        <vt:i4>1835064</vt:i4>
      </vt:variant>
      <vt:variant>
        <vt:i4>104</vt:i4>
      </vt:variant>
      <vt:variant>
        <vt:i4>0</vt:i4>
      </vt:variant>
      <vt:variant>
        <vt:i4>5</vt:i4>
      </vt:variant>
      <vt:variant>
        <vt:lpwstr/>
      </vt:variant>
      <vt:variant>
        <vt:lpwstr>_Toc49779520</vt:lpwstr>
      </vt:variant>
      <vt:variant>
        <vt:i4>1376315</vt:i4>
      </vt:variant>
      <vt:variant>
        <vt:i4>98</vt:i4>
      </vt:variant>
      <vt:variant>
        <vt:i4>0</vt:i4>
      </vt:variant>
      <vt:variant>
        <vt:i4>5</vt:i4>
      </vt:variant>
      <vt:variant>
        <vt:lpwstr/>
      </vt:variant>
      <vt:variant>
        <vt:lpwstr>_Toc49779519</vt:lpwstr>
      </vt:variant>
      <vt:variant>
        <vt:i4>1310779</vt:i4>
      </vt:variant>
      <vt:variant>
        <vt:i4>92</vt:i4>
      </vt:variant>
      <vt:variant>
        <vt:i4>0</vt:i4>
      </vt:variant>
      <vt:variant>
        <vt:i4>5</vt:i4>
      </vt:variant>
      <vt:variant>
        <vt:lpwstr/>
      </vt:variant>
      <vt:variant>
        <vt:lpwstr>_Toc49779518</vt:lpwstr>
      </vt:variant>
      <vt:variant>
        <vt:i4>1769531</vt:i4>
      </vt:variant>
      <vt:variant>
        <vt:i4>86</vt:i4>
      </vt:variant>
      <vt:variant>
        <vt:i4>0</vt:i4>
      </vt:variant>
      <vt:variant>
        <vt:i4>5</vt:i4>
      </vt:variant>
      <vt:variant>
        <vt:lpwstr/>
      </vt:variant>
      <vt:variant>
        <vt:lpwstr>_Toc49779517</vt:lpwstr>
      </vt:variant>
      <vt:variant>
        <vt:i4>1703995</vt:i4>
      </vt:variant>
      <vt:variant>
        <vt:i4>80</vt:i4>
      </vt:variant>
      <vt:variant>
        <vt:i4>0</vt:i4>
      </vt:variant>
      <vt:variant>
        <vt:i4>5</vt:i4>
      </vt:variant>
      <vt:variant>
        <vt:lpwstr/>
      </vt:variant>
      <vt:variant>
        <vt:lpwstr>_Toc49779516</vt:lpwstr>
      </vt:variant>
      <vt:variant>
        <vt:i4>1638459</vt:i4>
      </vt:variant>
      <vt:variant>
        <vt:i4>74</vt:i4>
      </vt:variant>
      <vt:variant>
        <vt:i4>0</vt:i4>
      </vt:variant>
      <vt:variant>
        <vt:i4>5</vt:i4>
      </vt:variant>
      <vt:variant>
        <vt:lpwstr/>
      </vt:variant>
      <vt:variant>
        <vt:lpwstr>_Toc49779515</vt:lpwstr>
      </vt:variant>
      <vt:variant>
        <vt:i4>1572923</vt:i4>
      </vt:variant>
      <vt:variant>
        <vt:i4>68</vt:i4>
      </vt:variant>
      <vt:variant>
        <vt:i4>0</vt:i4>
      </vt:variant>
      <vt:variant>
        <vt:i4>5</vt:i4>
      </vt:variant>
      <vt:variant>
        <vt:lpwstr/>
      </vt:variant>
      <vt:variant>
        <vt:lpwstr>_Toc49779514</vt:lpwstr>
      </vt:variant>
      <vt:variant>
        <vt:i4>2031675</vt:i4>
      </vt:variant>
      <vt:variant>
        <vt:i4>62</vt:i4>
      </vt:variant>
      <vt:variant>
        <vt:i4>0</vt:i4>
      </vt:variant>
      <vt:variant>
        <vt:i4>5</vt:i4>
      </vt:variant>
      <vt:variant>
        <vt:lpwstr/>
      </vt:variant>
      <vt:variant>
        <vt:lpwstr>_Toc49779513</vt:lpwstr>
      </vt:variant>
      <vt:variant>
        <vt:i4>1966139</vt:i4>
      </vt:variant>
      <vt:variant>
        <vt:i4>56</vt:i4>
      </vt:variant>
      <vt:variant>
        <vt:i4>0</vt:i4>
      </vt:variant>
      <vt:variant>
        <vt:i4>5</vt:i4>
      </vt:variant>
      <vt:variant>
        <vt:lpwstr/>
      </vt:variant>
      <vt:variant>
        <vt:lpwstr>_Toc49779512</vt:lpwstr>
      </vt:variant>
      <vt:variant>
        <vt:i4>1900603</vt:i4>
      </vt:variant>
      <vt:variant>
        <vt:i4>50</vt:i4>
      </vt:variant>
      <vt:variant>
        <vt:i4>0</vt:i4>
      </vt:variant>
      <vt:variant>
        <vt:i4>5</vt:i4>
      </vt:variant>
      <vt:variant>
        <vt:lpwstr/>
      </vt:variant>
      <vt:variant>
        <vt:lpwstr>_Toc49779511</vt:lpwstr>
      </vt:variant>
      <vt:variant>
        <vt:i4>1835067</vt:i4>
      </vt:variant>
      <vt:variant>
        <vt:i4>44</vt:i4>
      </vt:variant>
      <vt:variant>
        <vt:i4>0</vt:i4>
      </vt:variant>
      <vt:variant>
        <vt:i4>5</vt:i4>
      </vt:variant>
      <vt:variant>
        <vt:lpwstr/>
      </vt:variant>
      <vt:variant>
        <vt:lpwstr>_Toc49779510</vt:lpwstr>
      </vt:variant>
      <vt:variant>
        <vt:i4>1376314</vt:i4>
      </vt:variant>
      <vt:variant>
        <vt:i4>38</vt:i4>
      </vt:variant>
      <vt:variant>
        <vt:i4>0</vt:i4>
      </vt:variant>
      <vt:variant>
        <vt:i4>5</vt:i4>
      </vt:variant>
      <vt:variant>
        <vt:lpwstr/>
      </vt:variant>
      <vt:variant>
        <vt:lpwstr>_Toc49779509</vt:lpwstr>
      </vt:variant>
      <vt:variant>
        <vt:i4>1310778</vt:i4>
      </vt:variant>
      <vt:variant>
        <vt:i4>32</vt:i4>
      </vt:variant>
      <vt:variant>
        <vt:i4>0</vt:i4>
      </vt:variant>
      <vt:variant>
        <vt:i4>5</vt:i4>
      </vt:variant>
      <vt:variant>
        <vt:lpwstr/>
      </vt:variant>
      <vt:variant>
        <vt:lpwstr>_Toc49779508</vt:lpwstr>
      </vt:variant>
      <vt:variant>
        <vt:i4>1769530</vt:i4>
      </vt:variant>
      <vt:variant>
        <vt:i4>26</vt:i4>
      </vt:variant>
      <vt:variant>
        <vt:i4>0</vt:i4>
      </vt:variant>
      <vt:variant>
        <vt:i4>5</vt:i4>
      </vt:variant>
      <vt:variant>
        <vt:lpwstr/>
      </vt:variant>
      <vt:variant>
        <vt:lpwstr>_Toc49779507</vt:lpwstr>
      </vt:variant>
      <vt:variant>
        <vt:i4>1703994</vt:i4>
      </vt:variant>
      <vt:variant>
        <vt:i4>20</vt:i4>
      </vt:variant>
      <vt:variant>
        <vt:i4>0</vt:i4>
      </vt:variant>
      <vt:variant>
        <vt:i4>5</vt:i4>
      </vt:variant>
      <vt:variant>
        <vt:lpwstr/>
      </vt:variant>
      <vt:variant>
        <vt:lpwstr>_Toc49779506</vt:lpwstr>
      </vt:variant>
      <vt:variant>
        <vt:i4>1638458</vt:i4>
      </vt:variant>
      <vt:variant>
        <vt:i4>14</vt:i4>
      </vt:variant>
      <vt:variant>
        <vt:i4>0</vt:i4>
      </vt:variant>
      <vt:variant>
        <vt:i4>5</vt:i4>
      </vt:variant>
      <vt:variant>
        <vt:lpwstr/>
      </vt:variant>
      <vt:variant>
        <vt:lpwstr>_Toc49779505</vt:lpwstr>
      </vt:variant>
      <vt:variant>
        <vt:i4>1572922</vt:i4>
      </vt:variant>
      <vt:variant>
        <vt:i4>8</vt:i4>
      </vt:variant>
      <vt:variant>
        <vt:i4>0</vt:i4>
      </vt:variant>
      <vt:variant>
        <vt:i4>5</vt:i4>
      </vt:variant>
      <vt:variant>
        <vt:lpwstr/>
      </vt:variant>
      <vt:variant>
        <vt:lpwstr>_Toc49779504</vt:lpwstr>
      </vt:variant>
      <vt:variant>
        <vt:i4>1114152</vt:i4>
      </vt:variant>
      <vt:variant>
        <vt:i4>3</vt:i4>
      </vt:variant>
      <vt:variant>
        <vt:i4>0</vt:i4>
      </vt:variant>
      <vt:variant>
        <vt:i4>5</vt:i4>
      </vt:variant>
      <vt:variant>
        <vt:lpwstr>mailto:csiroenquiries@csiro.au</vt:lpwstr>
      </vt:variant>
      <vt:variant>
        <vt:lpwstr/>
      </vt:variant>
      <vt:variant>
        <vt:i4>4</vt:i4>
      </vt:variant>
      <vt:variant>
        <vt:i4>18</vt:i4>
      </vt:variant>
      <vt:variant>
        <vt:i4>0</vt:i4>
      </vt:variant>
      <vt:variant>
        <vt:i4>5</vt:i4>
      </vt:variant>
      <vt:variant>
        <vt:lpwstr>https://www.abc.net.au/news/2015-12-01/farmers-hit-by-sa-bushfires-face-years-of-land-rehabilitation/6991176?nw=0</vt:lpwstr>
      </vt:variant>
      <vt:variant>
        <vt:lpwstr/>
      </vt:variant>
      <vt:variant>
        <vt:i4>3801200</vt:i4>
      </vt:variant>
      <vt:variant>
        <vt:i4>15</vt:i4>
      </vt:variant>
      <vt:variant>
        <vt:i4>0</vt:i4>
      </vt:variant>
      <vt:variant>
        <vt:i4>5</vt:i4>
      </vt:variant>
      <vt:variant>
        <vt:lpwstr>https://www.abc.net.au/news/2018-11-16/fires-damages-millions-of-dollars-worth-of-wa-crops/10504886</vt:lpwstr>
      </vt:variant>
      <vt:variant>
        <vt:lpwstr/>
      </vt:variant>
      <vt:variant>
        <vt:i4>196688</vt:i4>
      </vt:variant>
      <vt:variant>
        <vt:i4>9</vt:i4>
      </vt:variant>
      <vt:variant>
        <vt:i4>0</vt:i4>
      </vt:variant>
      <vt:variant>
        <vt:i4>5</vt:i4>
      </vt:variant>
      <vt:variant>
        <vt:lpwstr>https://www.climatechangeinaustralia.gov.au/</vt:lpwstr>
      </vt:variant>
      <vt:variant>
        <vt:lpwstr/>
      </vt:variant>
      <vt:variant>
        <vt:i4>7143462</vt:i4>
      </vt:variant>
      <vt:variant>
        <vt:i4>6</vt:i4>
      </vt:variant>
      <vt:variant>
        <vt:i4>0</vt:i4>
      </vt:variant>
      <vt:variant>
        <vt:i4>5</vt:i4>
      </vt:variant>
      <vt:variant>
        <vt:lpwstr>https://www.iso.org/obp/ui</vt:lpwstr>
      </vt:variant>
      <vt:variant>
        <vt:lpwstr>iso:std:iso:31000:ed-2:v1:en</vt:lpwstr>
      </vt:variant>
      <vt:variant>
        <vt:i4>3866676</vt:i4>
      </vt:variant>
      <vt:variant>
        <vt:i4>0</vt:i4>
      </vt:variant>
      <vt:variant>
        <vt:i4>0</vt:i4>
      </vt:variant>
      <vt:variant>
        <vt:i4>5</vt:i4>
      </vt:variant>
      <vt:variant>
        <vt:lpwstr>http://www.climatechangeinaustralia.gov.au/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CSIRO report template</dc:title>
  <dc:subject/>
  <dc:creator>Harte, Sean</dc:creator>
  <cp:keywords/>
  <dc:description/>
  <cp:lastModifiedBy>Yazbek-Martin, Nicole</cp:lastModifiedBy>
  <cp:revision>6</cp:revision>
  <cp:lastPrinted>2020-10-07T02:46:00Z</cp:lastPrinted>
  <dcterms:created xsi:type="dcterms:W3CDTF">2020-10-08T07:07:00Z</dcterms:created>
  <dcterms:modified xsi:type="dcterms:W3CDTF">2020-10-09T00:12:00Z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0x010100896D55852D93604AA440876A3B15BB43</vt:lpwstr>
  </property>
  <property fmtid="{D5CDD505-2E9C-101B-9397-08002B2CF9AE}" pid="5" name="CaseStudyName">
    <vt:lpwstr>fishery</vt:lpwstr>
  </property>
  <property fmtid="{D5CDD505-2E9C-101B-9397-08002B2CF9AE}" pid="6" name="_dlc_DocIdItemGuid">
    <vt:lpwstr>3e4a4804-f922-46ed-9bf7-8b9c000af105</vt:lpwstr>
  </property>
  <property fmtid="{D5CDD505-2E9C-101B-9397-08002B2CF9AE}" pid="7" name="DocHub_Year">
    <vt:lpwstr>79;#2020|6a3660c5-15bd-4052-a0a1-6237663b7600</vt:lpwstr>
  </property>
  <property fmtid="{D5CDD505-2E9C-101B-9397-08002B2CF9AE}" pid="8" name="DocHub_DocumentType">
    <vt:lpwstr>28;#Report|116a9244-cef6-47ce-a9a5-088c9cf21292</vt:lpwstr>
  </property>
  <property fmtid="{D5CDD505-2E9C-101B-9397-08002B2CF9AE}" pid="9" name="DocHub_SecurityClassification">
    <vt:lpwstr>7;#OFFICIAL|6106d03b-a1a0-4e30-9d91-d5e9fb4314f9</vt:lpwstr>
  </property>
  <property fmtid="{D5CDD505-2E9C-101B-9397-08002B2CF9AE}" pid="10" name="DocHub_Keywords">
    <vt:lpwstr/>
  </property>
  <property fmtid="{D5CDD505-2E9C-101B-9397-08002B2CF9AE}" pid="11" name="DocHub_ClimateChangeReview">
    <vt:lpwstr>61;#Emissions Reduction Fund|7700fdf8-0a4a-479c-92e1-b4b3addd381a</vt:lpwstr>
  </property>
  <property fmtid="{D5CDD505-2E9C-101B-9397-08002B2CF9AE}" pid="12" name="DocHub_WorkActivity">
    <vt:lpwstr/>
  </property>
</Properties>
</file>