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DB72D" w14:textId="0AE37694" w:rsidR="002D4EB0" w:rsidRPr="009B48E1" w:rsidRDefault="002D4EB0" w:rsidP="002D4EB0">
      <w:pPr>
        <w:pStyle w:val="Heading1"/>
        <w:jc w:val="center"/>
        <w:rPr>
          <w:sz w:val="30"/>
          <w:szCs w:val="30"/>
        </w:rPr>
      </w:pPr>
      <w:bookmarkStart w:id="0" w:name="_GoBack"/>
      <w:bookmarkEnd w:id="0"/>
      <w:r w:rsidRPr="009B48E1">
        <w:rPr>
          <w:sz w:val="30"/>
          <w:szCs w:val="30"/>
        </w:rPr>
        <w:t xml:space="preserve">WHAT WE HAVE HEARD SO FAR: </w:t>
      </w:r>
      <w:r w:rsidR="00921838" w:rsidRPr="009B48E1">
        <w:rPr>
          <w:sz w:val="30"/>
          <w:szCs w:val="30"/>
        </w:rPr>
        <w:t>REVIEW OF THE NATIONAL GREENHOUSE A</w:t>
      </w:r>
      <w:r w:rsidR="003F5700" w:rsidRPr="009B48E1">
        <w:rPr>
          <w:sz w:val="30"/>
          <w:szCs w:val="30"/>
        </w:rPr>
        <w:t>ND ENERGY REPORTING LEGISLATION</w:t>
      </w:r>
      <w:r w:rsidRPr="009B48E1">
        <w:rPr>
          <w:sz w:val="30"/>
          <w:szCs w:val="30"/>
        </w:rPr>
        <w:t xml:space="preserve"> </w:t>
      </w:r>
    </w:p>
    <w:p w14:paraId="5D88FB82" w14:textId="77777777" w:rsidR="00F30709" w:rsidRDefault="00F30709" w:rsidP="00F30709">
      <w:r>
        <w:t xml:space="preserve">The Climate Change Authority is reviewing the </w:t>
      </w:r>
      <w:r w:rsidRPr="008C01D4">
        <w:rPr>
          <w:i/>
        </w:rPr>
        <w:t xml:space="preserve">National Greenhouse and Energy Reporting </w:t>
      </w:r>
      <w:r>
        <w:t>legislation. This legislation underpins:</w:t>
      </w:r>
    </w:p>
    <w:p w14:paraId="6B2592F9" w14:textId="77777777" w:rsidR="00F30709" w:rsidRDefault="00F30709" w:rsidP="00F30709">
      <w:pPr>
        <w:pStyle w:val="ListBullet"/>
      </w:pPr>
      <w:r>
        <w:t xml:space="preserve">the mandatory reporting by companies of </w:t>
      </w:r>
      <w:r w:rsidRPr="00761AB5">
        <w:t xml:space="preserve">emissions and energy </w:t>
      </w:r>
      <w:r>
        <w:t xml:space="preserve">data to the Australian Government; and </w:t>
      </w:r>
    </w:p>
    <w:p w14:paraId="1B84581D" w14:textId="77777777" w:rsidR="00F30709" w:rsidRDefault="00F30709" w:rsidP="00F30709">
      <w:pPr>
        <w:pStyle w:val="ListBullet"/>
      </w:pPr>
      <w:r w:rsidRPr="00761AB5">
        <w:t>the safeguard mechanism</w:t>
      </w:r>
      <w:r>
        <w:t xml:space="preserve">, which places emissions limits on large </w:t>
      </w:r>
      <w:r w:rsidR="00C227FA">
        <w:t>emitters</w:t>
      </w:r>
      <w:r w:rsidRPr="008C01D4">
        <w:t>.</w:t>
      </w:r>
      <w:r>
        <w:t xml:space="preserve"> </w:t>
      </w:r>
    </w:p>
    <w:p w14:paraId="3F351B8A" w14:textId="77777777" w:rsidR="00F30709" w:rsidRDefault="00F30709" w:rsidP="00F30709">
      <w:r>
        <w:t xml:space="preserve">We have consulted widely to inform our understanding of which aspects of the legislation are working well and where there are opportunities for improvement. </w:t>
      </w:r>
    </w:p>
    <w:p w14:paraId="736E5027" w14:textId="4135DD8C" w:rsidR="009B48E1" w:rsidRDefault="002D4EB0" w:rsidP="00F30709">
      <w:r>
        <w:t xml:space="preserve">We received </w:t>
      </w:r>
      <w:r>
        <w:rPr>
          <w:b/>
        </w:rPr>
        <w:t>40</w:t>
      </w:r>
      <w:r>
        <w:t xml:space="preserve"> submissions</w:t>
      </w:r>
      <w:r w:rsidR="008A0CE8">
        <w:t xml:space="preserve"> on our issues paper</w:t>
      </w:r>
      <w:r>
        <w:t xml:space="preserve"> and</w:t>
      </w:r>
      <w:r w:rsidR="00F30709">
        <w:t xml:space="preserve"> have met with over </w:t>
      </w:r>
      <w:r w:rsidR="00F30709" w:rsidRPr="008C01D4">
        <w:rPr>
          <w:b/>
        </w:rPr>
        <w:t>100</w:t>
      </w:r>
      <w:r w:rsidR="00F30709">
        <w:t xml:space="preserve"> individuals from more than </w:t>
      </w:r>
      <w:r w:rsidR="00F30709" w:rsidRPr="008C01D4">
        <w:rPr>
          <w:b/>
        </w:rPr>
        <w:t xml:space="preserve">80 </w:t>
      </w:r>
      <w:r w:rsidR="009B48E1">
        <w:t>organisations on the</w:t>
      </w:r>
      <w:r w:rsidR="00F30709">
        <w:t xml:space="preserve"> review</w:t>
      </w:r>
      <w:r>
        <w:t xml:space="preserve"> so far</w:t>
      </w:r>
      <w:r w:rsidR="00F30709">
        <w:t xml:space="preserve">. </w:t>
      </w:r>
      <w:r w:rsidR="000D45CD">
        <w:t>The submissions</w:t>
      </w:r>
      <w:r>
        <w:t xml:space="preserve"> (other than those marked as confidential)</w:t>
      </w:r>
      <w:r w:rsidR="000D45CD">
        <w:t xml:space="preserve"> can be accessed on our website </w:t>
      </w:r>
      <w:hyperlink r:id="rId13" w:history="1">
        <w:r w:rsidR="000D45CD" w:rsidRPr="00C227FA">
          <w:rPr>
            <w:rStyle w:val="Hyperlink"/>
          </w:rPr>
          <w:t>www.climatechangeauthority.gov.au</w:t>
        </w:r>
      </w:hyperlink>
      <w:r>
        <w:rPr>
          <w:rStyle w:val="Hyperlink"/>
        </w:rPr>
        <w:t>/consultations</w:t>
      </w:r>
      <w:r w:rsidR="000D45CD">
        <w:t xml:space="preserve">. </w:t>
      </w:r>
    </w:p>
    <w:p w14:paraId="6A05CBE5" w14:textId="77777777" w:rsidR="00F30709" w:rsidRDefault="00F30709" w:rsidP="00F30709">
      <w:r>
        <w:t xml:space="preserve">We thank those who have taken the time to share their expertise and knowledge with us. </w:t>
      </w:r>
    </w:p>
    <w:p w14:paraId="7B6C0766" w14:textId="77777777" w:rsidR="00F30709" w:rsidRDefault="002D4EB0" w:rsidP="00F30709">
      <w:r>
        <w:t>We have put together</w:t>
      </w:r>
      <w:r w:rsidR="00F30709">
        <w:t xml:space="preserve"> an overview of the information gathered through consultations and submissions. We encourage you to have a look at </w:t>
      </w:r>
      <w:r>
        <w:t>it and the submissions</w:t>
      </w:r>
      <w:r w:rsidR="00F30709">
        <w:t xml:space="preserve"> and get in contact if you have additional evidence you wish to provide or other issues you wish to raise. </w:t>
      </w:r>
    </w:p>
    <w:p w14:paraId="7A64D3E1" w14:textId="77777777" w:rsidR="00F30709" w:rsidRPr="00074B10" w:rsidRDefault="002D4EB0" w:rsidP="00F30709">
      <w:r>
        <w:t>Please note t</w:t>
      </w:r>
      <w:r w:rsidR="00F30709" w:rsidRPr="00074B10">
        <w:t>h</w:t>
      </w:r>
      <w:r w:rsidR="00F30709">
        <w:t xml:space="preserve">e </w:t>
      </w:r>
      <w:r>
        <w:t>overview is</w:t>
      </w:r>
      <w:r w:rsidR="00F30709">
        <w:t xml:space="preserve"> intended to </w:t>
      </w:r>
      <w:r>
        <w:t>reflect</w:t>
      </w:r>
      <w:r w:rsidR="00F30709" w:rsidRPr="00074B10">
        <w:t xml:space="preserve"> </w:t>
      </w:r>
      <w:r w:rsidR="00F30709">
        <w:t xml:space="preserve">the </w:t>
      </w:r>
      <w:r w:rsidR="00F30709" w:rsidRPr="00074B10">
        <w:t>feedback</w:t>
      </w:r>
      <w:r w:rsidR="00F30709">
        <w:t xml:space="preserve"> we have received so far</w:t>
      </w:r>
      <w:r w:rsidR="00F30709" w:rsidRPr="00074B10">
        <w:t xml:space="preserve">. </w:t>
      </w:r>
      <w:r>
        <w:t>It</w:t>
      </w:r>
      <w:r w:rsidR="00F30709" w:rsidRPr="00A32D8A">
        <w:t xml:space="preserve"> does not reflect the views of the Authority</w:t>
      </w:r>
      <w:r>
        <w:t xml:space="preserve"> but rather the different</w:t>
      </w:r>
      <w:r w:rsidR="00F30709" w:rsidRPr="00074B10">
        <w:t xml:space="preserve"> views </w:t>
      </w:r>
      <w:r>
        <w:t>of</w:t>
      </w:r>
      <w:r w:rsidR="00F30709" w:rsidRPr="00074B10">
        <w:t xml:space="preserve"> stakeholders. </w:t>
      </w:r>
    </w:p>
    <w:p w14:paraId="09215A73" w14:textId="77777777" w:rsidR="00F30709" w:rsidRDefault="002D4EB0" w:rsidP="00F30709">
      <w:r>
        <w:t>T</w:t>
      </w:r>
      <w:r w:rsidR="00F30709">
        <w:t xml:space="preserve">he Authority is </w:t>
      </w:r>
      <w:r>
        <w:t>now focused on finalising the review. It</w:t>
      </w:r>
      <w:r w:rsidR="00F30709">
        <w:t xml:space="preserve"> will be based on the Authority’s </w:t>
      </w:r>
      <w:r w:rsidR="008839C2">
        <w:t>own research and analysis and</w:t>
      </w:r>
      <w:r w:rsidR="00F30709">
        <w:t xml:space="preserve"> informed by the extensive consultation the Authority has undertaken as well as the submissions received. The A</w:t>
      </w:r>
      <w:r w:rsidR="008839C2">
        <w:t>uthority will publish the review, which will include findings and recommendations</w:t>
      </w:r>
      <w:r w:rsidR="00F30709">
        <w:t xml:space="preserve"> by 31 December 2018.</w:t>
      </w:r>
    </w:p>
    <w:p w14:paraId="5F979D0E" w14:textId="77777777" w:rsidR="00F30709" w:rsidRDefault="008839C2" w:rsidP="008839C2">
      <w:pPr>
        <w:spacing w:after="0" w:line="240" w:lineRule="auto"/>
      </w:pPr>
      <w:r>
        <w:br w:type="page"/>
      </w:r>
    </w:p>
    <w:p w14:paraId="56711387" w14:textId="77777777" w:rsidR="00921838" w:rsidRDefault="00F30709" w:rsidP="00921838">
      <w:pPr>
        <w:pStyle w:val="Heading1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69ED7F" wp14:editId="5FC8FAD3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4857750" cy="8667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7C3D1" w14:textId="77777777" w:rsidR="00D40813" w:rsidRDefault="00FF13E8" w:rsidP="00D40813">
                            <w:r w:rsidRPr="00B663CE">
                              <w:rPr>
                                <w:b/>
                              </w:rPr>
                              <w:t xml:space="preserve">There is widespread support for the scheme, which people say </w:t>
                            </w:r>
                            <w:r w:rsidR="00D40813" w:rsidRPr="00B663CE">
                              <w:rPr>
                                <w:b/>
                              </w:rPr>
                              <w:t>is working well</w:t>
                            </w:r>
                            <w:r w:rsidRPr="00B663CE">
                              <w:rPr>
                                <w:b/>
                              </w:rPr>
                              <w:t>.</w:t>
                            </w:r>
                            <w:r w:rsidR="00F30709" w:rsidRPr="00B663CE">
                              <w:rPr>
                                <w:b/>
                              </w:rPr>
                              <w:t xml:space="preserve"> </w:t>
                            </w:r>
                            <w:r w:rsidRPr="00B663CE">
                              <w:rPr>
                                <w:b/>
                              </w:rPr>
                              <w:t xml:space="preserve">Industry and others appreciate that the scheme is underpinned by </w:t>
                            </w:r>
                            <w:r w:rsidR="00D40813" w:rsidRPr="00B663CE">
                              <w:rPr>
                                <w:b/>
                              </w:rPr>
                              <w:t>robust methods, which provide high quality data</w:t>
                            </w:r>
                            <w:r w:rsidR="00734865" w:rsidRPr="00B663CE">
                              <w:rPr>
                                <w:b/>
                              </w:rPr>
                              <w:t xml:space="preserve"> to inform a range of activities </w:t>
                            </w:r>
                            <w:r w:rsidRPr="00B663CE">
                              <w:rPr>
                                <w:b/>
                              </w:rPr>
                              <w:t xml:space="preserve">such as developing </w:t>
                            </w:r>
                            <w:r w:rsidR="00734865" w:rsidRPr="00B663CE">
                              <w:rPr>
                                <w:b/>
                              </w:rPr>
                              <w:t>government policies</w:t>
                            </w:r>
                            <w:r w:rsidR="00D40813">
                              <w:t xml:space="preserve">. </w:t>
                            </w:r>
                          </w:p>
                          <w:p w14:paraId="0EE00D2F" w14:textId="77777777" w:rsidR="00D40813" w:rsidRDefault="00D40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9ED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3pt;margin-top:23.25pt;width:382.5pt;height:6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" stroked="f">
                <v:textbox>
                  <w:txbxContent>
                    <w:p w14:paraId="72B7C3D1" w14:textId="77777777" w:rsidR="00D40813" w:rsidRDefault="00FF13E8" w:rsidP="00D40813">
                      <w:r w:rsidRPr="00B663CE">
                        <w:rPr>
                          <w:b/>
                        </w:rPr>
                        <w:t xml:space="preserve">There is widespread support for the scheme, which people say </w:t>
                      </w:r>
                      <w:r w:rsidR="00D40813" w:rsidRPr="00B663CE">
                        <w:rPr>
                          <w:b/>
                        </w:rPr>
                        <w:t>is working well</w:t>
                      </w:r>
                      <w:r w:rsidRPr="00B663CE">
                        <w:rPr>
                          <w:b/>
                        </w:rPr>
                        <w:t>.</w:t>
                      </w:r>
                      <w:r w:rsidR="00F30709" w:rsidRPr="00B663CE">
                        <w:rPr>
                          <w:b/>
                        </w:rPr>
                        <w:t xml:space="preserve"> </w:t>
                      </w:r>
                      <w:r w:rsidRPr="00B663CE">
                        <w:rPr>
                          <w:b/>
                        </w:rPr>
                        <w:t xml:space="preserve">Industry and others appreciate that the scheme is underpinned by </w:t>
                      </w:r>
                      <w:r w:rsidR="00D40813" w:rsidRPr="00B663CE">
                        <w:rPr>
                          <w:b/>
                        </w:rPr>
                        <w:t>robust methods, which provide high quality data</w:t>
                      </w:r>
                      <w:r w:rsidR="00734865" w:rsidRPr="00B663CE">
                        <w:rPr>
                          <w:b/>
                        </w:rPr>
                        <w:t xml:space="preserve"> to inform a range of activities </w:t>
                      </w:r>
                      <w:r w:rsidRPr="00B663CE">
                        <w:rPr>
                          <w:b/>
                        </w:rPr>
                        <w:t xml:space="preserve">such as developing </w:t>
                      </w:r>
                      <w:r w:rsidR="00734865" w:rsidRPr="00B663CE">
                        <w:rPr>
                          <w:b/>
                        </w:rPr>
                        <w:t>government policies</w:t>
                      </w:r>
                      <w:r w:rsidR="00D40813">
                        <w:t xml:space="preserve">. </w:t>
                      </w:r>
                    </w:p>
                    <w:p w14:paraId="0EE00D2F" w14:textId="77777777" w:rsidR="00D40813" w:rsidRDefault="00D40813"/>
                  </w:txbxContent>
                </v:textbox>
                <w10:wrap type="square" anchorx="margin"/>
              </v:shape>
            </w:pict>
          </mc:Fallback>
        </mc:AlternateContent>
      </w:r>
      <w:r w:rsidR="001E2AE6">
        <w:rPr>
          <w:noProof/>
          <w:lang w:eastAsia="en-AU"/>
        </w:rPr>
        <w:drawing>
          <wp:anchor distT="0" distB="0" distL="114300" distR="114300" simplePos="0" relativeHeight="251668480" behindDoc="0" locked="0" layoutInCell="1" allowOverlap="1" wp14:anchorId="3C4B5AC0" wp14:editId="31E55962">
            <wp:simplePos x="0" y="0"/>
            <wp:positionH relativeFrom="column">
              <wp:posOffset>0</wp:posOffset>
            </wp:positionH>
            <wp:positionV relativeFrom="paragraph">
              <wp:posOffset>118110</wp:posOffset>
            </wp:positionV>
            <wp:extent cx="809625" cy="8096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1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813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2D214" wp14:editId="6F621C0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857750" cy="2952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EAB4F" w14:textId="77777777" w:rsidR="00D40813" w:rsidRDefault="00D40813" w:rsidP="00D40813">
                            <w:pPr>
                              <w:pStyle w:val="Heading1"/>
                            </w:pPr>
                            <w:r>
                              <w:t>Feedback on reporting energy and emissions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2D214" id="_x0000_s1027" type="#_x0000_t202" style="position:absolute;margin-left:331.3pt;margin-top:.8pt;width:382.5pt;height:23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" stroked="f">
                <v:textbox>
                  <w:txbxContent>
                    <w:p w14:paraId="2A3EAB4F" w14:textId="77777777" w:rsidR="00D40813" w:rsidRDefault="00D40813" w:rsidP="00D40813">
                      <w:pPr>
                        <w:pStyle w:val="Heading1"/>
                      </w:pPr>
                      <w:r>
                        <w:t>Feedback on reporting energy and emissions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7"/>
        <w:gridCol w:w="4509"/>
      </w:tblGrid>
      <w:tr w:rsidR="003B6775" w14:paraId="1A70FF1A" w14:textId="77777777" w:rsidTr="001E2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7" w:type="dxa"/>
          </w:tcPr>
          <w:p w14:paraId="4B06FC08" w14:textId="77777777" w:rsidR="003B6775" w:rsidRDefault="003B6775" w:rsidP="003B6775">
            <w:pPr>
              <w:pStyle w:val="Heading1"/>
              <w:outlineLvl w:val="0"/>
            </w:pPr>
            <w:r>
              <w:t>What’s working well?</w:t>
            </w:r>
          </w:p>
        </w:tc>
        <w:tc>
          <w:tcPr>
            <w:tcW w:w="4509" w:type="dxa"/>
          </w:tcPr>
          <w:p w14:paraId="65FF9E83" w14:textId="77777777" w:rsidR="003B6775" w:rsidRDefault="003B6775" w:rsidP="003B6775">
            <w:pPr>
              <w:pStyle w:val="Heading1"/>
              <w:outlineLvl w:val="0"/>
            </w:pPr>
            <w:r>
              <w:t>What could be improved?</w:t>
            </w:r>
          </w:p>
        </w:tc>
      </w:tr>
      <w:tr w:rsidR="00F36506" w14:paraId="1A35A31F" w14:textId="77777777" w:rsidTr="001E2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7" w:type="dxa"/>
          </w:tcPr>
          <w:p w14:paraId="7BF7576B" w14:textId="77777777" w:rsidR="00F36506" w:rsidRDefault="00F30709" w:rsidP="003650A9">
            <w:r>
              <w:t xml:space="preserve">Many said the </w:t>
            </w:r>
            <w:r w:rsidR="00F36506">
              <w:t xml:space="preserve">scheme has reduced duplication by </w:t>
            </w:r>
            <w:r w:rsidR="00F36506" w:rsidRPr="00AF2E1C">
              <w:rPr>
                <w:b/>
                <w:color w:val="9BBB59" w:themeColor="accent3"/>
              </w:rPr>
              <w:t>streamlining</w:t>
            </w:r>
            <w:r w:rsidR="00F36506" w:rsidRPr="00AF2E1C">
              <w:rPr>
                <w:color w:val="9BBB59" w:themeColor="accent3"/>
              </w:rPr>
              <w:t xml:space="preserve"> </w:t>
            </w:r>
            <w:r w:rsidR="00F36506">
              <w:t xml:space="preserve">existing schemes into </w:t>
            </w:r>
            <w:r>
              <w:t>the</w:t>
            </w:r>
            <w:r w:rsidR="00F36506">
              <w:t xml:space="preserve"> reporting framework.</w:t>
            </w:r>
          </w:p>
        </w:tc>
        <w:tc>
          <w:tcPr>
            <w:tcW w:w="4509" w:type="dxa"/>
          </w:tcPr>
          <w:p w14:paraId="5AE18EF1" w14:textId="77777777" w:rsidR="00F36506" w:rsidRDefault="004D361E" w:rsidP="008839C2">
            <w:r>
              <w:t>A</w:t>
            </w:r>
            <w:r w:rsidR="00A40299">
              <w:t xml:space="preserve"> limited range of </w:t>
            </w:r>
            <w:r w:rsidR="00F36506">
              <w:t xml:space="preserve">opportunities for </w:t>
            </w:r>
            <w:r w:rsidR="00A40299">
              <w:t xml:space="preserve">further </w:t>
            </w:r>
            <w:r w:rsidR="00F36506" w:rsidRPr="00AF2E1C">
              <w:rPr>
                <w:b/>
                <w:color w:val="C0504D" w:themeColor="accent2"/>
              </w:rPr>
              <w:t>streamlining</w:t>
            </w:r>
            <w:r>
              <w:rPr>
                <w:b/>
                <w:color w:val="C0504D" w:themeColor="accent2"/>
              </w:rPr>
              <w:t xml:space="preserve"> </w:t>
            </w:r>
            <w:r w:rsidRPr="00E760B4">
              <w:t xml:space="preserve">were </w:t>
            </w:r>
            <w:r w:rsidRPr="003650A9">
              <w:t>identified</w:t>
            </w:r>
            <w:r w:rsidR="00F36506" w:rsidRPr="00E760B4">
              <w:t xml:space="preserve">: </w:t>
            </w:r>
            <w:r w:rsidR="00F36506" w:rsidRPr="00AF2E1C">
              <w:t>e.g.</w:t>
            </w:r>
            <w:r w:rsidR="00F36506" w:rsidRPr="00E760B4">
              <w:t xml:space="preserve"> </w:t>
            </w:r>
            <w:r w:rsidR="008839C2">
              <w:t>with state government data collection</w:t>
            </w:r>
            <w:r w:rsidR="00F36506" w:rsidRPr="00AF2E1C">
              <w:t>.</w:t>
            </w:r>
          </w:p>
        </w:tc>
      </w:tr>
      <w:tr w:rsidR="00914E8D" w14:paraId="258DF95C" w14:textId="77777777" w:rsidTr="001E2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7" w:type="dxa"/>
          </w:tcPr>
          <w:p w14:paraId="16BFA180" w14:textId="77777777" w:rsidR="00914E8D" w:rsidRDefault="008839C2" w:rsidP="008839C2">
            <w:r>
              <w:rPr>
                <w:color w:val="000000" w:themeColor="text1"/>
              </w:rPr>
              <w:t>Many</w:t>
            </w:r>
            <w:r w:rsidR="00953CBF">
              <w:rPr>
                <w:color w:val="000000" w:themeColor="text1"/>
              </w:rPr>
              <w:t xml:space="preserve"> r</w:t>
            </w:r>
            <w:r w:rsidR="00953CBF" w:rsidRPr="00373EAD">
              <w:rPr>
                <w:color w:val="000000" w:themeColor="text1"/>
              </w:rPr>
              <w:t xml:space="preserve">eporters </w:t>
            </w:r>
            <w:r w:rsidR="00373EAD">
              <w:rPr>
                <w:color w:val="000000" w:themeColor="text1"/>
              </w:rPr>
              <w:t xml:space="preserve">support current </w:t>
            </w:r>
            <w:r w:rsidR="00373EAD">
              <w:rPr>
                <w:b/>
                <w:color w:val="9BBB59" w:themeColor="accent3"/>
              </w:rPr>
              <w:t>d</w:t>
            </w:r>
            <w:r w:rsidR="00914E8D" w:rsidRPr="00914E8D">
              <w:rPr>
                <w:b/>
                <w:color w:val="9BBB59" w:themeColor="accent3"/>
              </w:rPr>
              <w:t xml:space="preserve">ata </w:t>
            </w:r>
            <w:r w:rsidR="00914E8D" w:rsidRPr="00914E8D">
              <w:t xml:space="preserve">publication </w:t>
            </w:r>
            <w:r w:rsidR="00914E8D">
              <w:t xml:space="preserve">arrangements </w:t>
            </w:r>
            <w:r>
              <w:t>to protect commercial information</w:t>
            </w:r>
            <w:r w:rsidR="00914E8D">
              <w:t>.</w:t>
            </w:r>
          </w:p>
        </w:tc>
        <w:tc>
          <w:tcPr>
            <w:tcW w:w="4509" w:type="dxa"/>
          </w:tcPr>
          <w:p w14:paraId="50A358AE" w14:textId="77777777" w:rsidR="00914E8D" w:rsidRDefault="008839C2" w:rsidP="009C6137">
            <w:r>
              <w:t>Banks and others</w:t>
            </w:r>
            <w:r w:rsidR="00A40299" w:rsidRPr="00E760B4">
              <w:t xml:space="preserve"> said</w:t>
            </w:r>
            <w:r w:rsidR="00A40299">
              <w:rPr>
                <w:b/>
                <w:color w:val="C0504D" w:themeColor="accent2"/>
              </w:rPr>
              <w:t xml:space="preserve"> d</w:t>
            </w:r>
            <w:r w:rsidR="00A40299" w:rsidRPr="00914E8D">
              <w:rPr>
                <w:b/>
                <w:color w:val="C0504D" w:themeColor="accent2"/>
              </w:rPr>
              <w:t>ata</w:t>
            </w:r>
            <w:r w:rsidR="00A40299" w:rsidRPr="00914E8D">
              <w:t xml:space="preserve"> </w:t>
            </w:r>
            <w:r w:rsidR="00914E8D" w:rsidRPr="00914E8D">
              <w:t>useability</w:t>
            </w:r>
            <w:r w:rsidR="00914E8D" w:rsidRPr="00914E8D">
              <w:rPr>
                <w:b/>
              </w:rPr>
              <w:t xml:space="preserve"> </w:t>
            </w:r>
            <w:r w:rsidR="00914E8D" w:rsidRPr="00914E8D">
              <w:t>c</w:t>
            </w:r>
            <w:r w:rsidR="00914E8D">
              <w:t>ould be improved through</w:t>
            </w:r>
            <w:r w:rsidR="00914E8D" w:rsidRPr="00914E8D">
              <w:rPr>
                <w:b/>
              </w:rPr>
              <w:t xml:space="preserve"> </w:t>
            </w:r>
            <w:r w:rsidR="009C6137">
              <w:t>increased publication and</w:t>
            </w:r>
            <w:r w:rsidR="00914E8D">
              <w:t xml:space="preserve"> data </w:t>
            </w:r>
            <w:r>
              <w:t>analysis</w:t>
            </w:r>
            <w:r w:rsidR="00914E8D">
              <w:t xml:space="preserve">. </w:t>
            </w:r>
          </w:p>
        </w:tc>
      </w:tr>
      <w:tr w:rsidR="00914E8D" w14:paraId="5064C3CE" w14:textId="77777777" w:rsidTr="001E2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7" w:type="dxa"/>
          </w:tcPr>
          <w:p w14:paraId="52A3F259" w14:textId="77777777" w:rsidR="00914E8D" w:rsidRDefault="008839C2" w:rsidP="008839C2">
            <w:pPr>
              <w:rPr>
                <w:b/>
                <w:color w:val="9BBB59" w:themeColor="accent3"/>
              </w:rPr>
            </w:pPr>
            <w:r>
              <w:t xml:space="preserve">The </w:t>
            </w:r>
            <w:r w:rsidR="00914E8D" w:rsidRPr="00D53D01">
              <w:rPr>
                <w:b/>
                <w:color w:val="9BBB59" w:themeColor="accent3"/>
              </w:rPr>
              <w:t xml:space="preserve">methods </w:t>
            </w:r>
            <w:r w:rsidR="00914E8D" w:rsidRPr="009B48E1">
              <w:t xml:space="preserve">for measuring emissions and energy </w:t>
            </w:r>
            <w:r w:rsidRPr="008839C2">
              <w:t xml:space="preserve">were described as </w:t>
            </w:r>
            <w:r w:rsidRPr="009B48E1">
              <w:rPr>
                <w:b/>
                <w:color w:val="9BBB59" w:themeColor="accent3"/>
              </w:rPr>
              <w:t>best practice, generating</w:t>
            </w:r>
            <w:r w:rsidR="00914E8D" w:rsidRPr="009B48E1">
              <w:rPr>
                <w:b/>
                <w:color w:val="9BBB59" w:themeColor="accent3"/>
              </w:rPr>
              <w:t xml:space="preserve"> high quality data</w:t>
            </w:r>
            <w:r w:rsidR="00914E8D">
              <w:t>.</w:t>
            </w:r>
          </w:p>
        </w:tc>
        <w:tc>
          <w:tcPr>
            <w:tcW w:w="4509" w:type="dxa"/>
          </w:tcPr>
          <w:p w14:paraId="76951573" w14:textId="77777777" w:rsidR="00914E8D" w:rsidRPr="00914E8D" w:rsidRDefault="004D361E" w:rsidP="008839C2">
            <w:pPr>
              <w:rPr>
                <w:b/>
                <w:color w:val="C0504D" w:themeColor="accent2"/>
              </w:rPr>
            </w:pPr>
            <w:r>
              <w:t>M</w:t>
            </w:r>
            <w:r w:rsidR="008839C2">
              <w:t>any reporters want further</w:t>
            </w:r>
            <w:r>
              <w:t xml:space="preserve"> </w:t>
            </w:r>
            <w:r w:rsidRPr="008839C2">
              <w:rPr>
                <w:b/>
                <w:color w:val="C0504D" w:themeColor="accent2"/>
              </w:rPr>
              <w:t>i</w:t>
            </w:r>
            <w:r w:rsidR="00373EAD" w:rsidRPr="008839C2">
              <w:rPr>
                <w:b/>
                <w:color w:val="C0504D" w:themeColor="accent2"/>
              </w:rPr>
              <w:t xml:space="preserve">ncremental </w:t>
            </w:r>
            <w:r w:rsidR="008839C2" w:rsidRPr="008839C2">
              <w:rPr>
                <w:b/>
                <w:color w:val="C0504D" w:themeColor="accent2"/>
              </w:rPr>
              <w:t>improvements</w:t>
            </w:r>
            <w:r w:rsidR="00373EAD">
              <w:t xml:space="preserve"> to reduce the</w:t>
            </w:r>
            <w:r w:rsidR="00914E8D">
              <w:t xml:space="preserve"> </w:t>
            </w:r>
            <w:r w:rsidR="003650A9">
              <w:t xml:space="preserve">costs of reporting immaterial energy or emissions data under the </w:t>
            </w:r>
            <w:r w:rsidR="00914E8D" w:rsidRPr="00D53D01">
              <w:rPr>
                <w:b/>
                <w:color w:val="C0504D" w:themeColor="accent2"/>
              </w:rPr>
              <w:t>methods</w:t>
            </w:r>
            <w:r w:rsidR="00373EAD">
              <w:t>.</w:t>
            </w:r>
          </w:p>
        </w:tc>
      </w:tr>
      <w:tr w:rsidR="00914E8D" w14:paraId="35C7CA44" w14:textId="77777777" w:rsidTr="001E2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7" w:type="dxa"/>
          </w:tcPr>
          <w:p w14:paraId="44B88662" w14:textId="77777777" w:rsidR="00914E8D" w:rsidRDefault="00953CBF" w:rsidP="00953CBF">
            <w:r>
              <w:t xml:space="preserve">Most said the </w:t>
            </w:r>
            <w:r w:rsidR="008839C2">
              <w:rPr>
                <w:b/>
                <w:color w:val="9BBB59" w:themeColor="accent3"/>
              </w:rPr>
              <w:t>E</w:t>
            </w:r>
            <w:r w:rsidR="00914E8D" w:rsidRPr="00D53D01">
              <w:rPr>
                <w:b/>
                <w:color w:val="9BBB59" w:themeColor="accent3"/>
              </w:rPr>
              <w:t>missions and Energy Reporting System</w:t>
            </w:r>
            <w:r w:rsidR="00914E8D">
              <w:t xml:space="preserve"> is generally fit for purpose</w:t>
            </w:r>
            <w:r w:rsidR="00373EAD">
              <w:t xml:space="preserve"> and user friendly</w:t>
            </w:r>
            <w:r w:rsidR="00914E8D">
              <w:t>.</w:t>
            </w:r>
          </w:p>
        </w:tc>
        <w:tc>
          <w:tcPr>
            <w:tcW w:w="4509" w:type="dxa"/>
          </w:tcPr>
          <w:p w14:paraId="7608418E" w14:textId="77777777" w:rsidR="00914E8D" w:rsidRDefault="003650A9" w:rsidP="00373EAD">
            <w:r>
              <w:t xml:space="preserve">Many reporters said the </w:t>
            </w:r>
            <w:r w:rsidR="008839C2">
              <w:rPr>
                <w:b/>
                <w:color w:val="C0504D" w:themeColor="accent2"/>
              </w:rPr>
              <w:t>reporting s</w:t>
            </w:r>
            <w:r w:rsidR="00914E8D" w:rsidRPr="00914E8D">
              <w:rPr>
                <w:b/>
                <w:color w:val="C0504D" w:themeColor="accent2"/>
              </w:rPr>
              <w:t>ystem</w:t>
            </w:r>
            <w:r w:rsidR="00914E8D">
              <w:rPr>
                <w:b/>
                <w:color w:val="C0504D" w:themeColor="accent2"/>
              </w:rPr>
              <w:t xml:space="preserve"> </w:t>
            </w:r>
            <w:r w:rsidR="00373EAD">
              <w:t>would benefit from additional functions</w:t>
            </w:r>
            <w:r w:rsidR="00914E8D">
              <w:t xml:space="preserve"> e.g. an upload and download facility and pre-filling</w:t>
            </w:r>
            <w:r>
              <w:t xml:space="preserve"> of data</w:t>
            </w:r>
            <w:r w:rsidR="00914E8D">
              <w:t>.</w:t>
            </w:r>
          </w:p>
        </w:tc>
      </w:tr>
      <w:tr w:rsidR="00914E8D" w14:paraId="771005A7" w14:textId="77777777" w:rsidTr="001E2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7" w:type="dxa"/>
          </w:tcPr>
          <w:p w14:paraId="4CA758E9" w14:textId="77777777" w:rsidR="00914E8D" w:rsidRDefault="00953CBF" w:rsidP="008839C2">
            <w:r>
              <w:t xml:space="preserve">Many said the </w:t>
            </w:r>
            <w:r w:rsidR="00914E8D">
              <w:t>emissions data helps</w:t>
            </w:r>
            <w:r w:rsidR="00914E8D" w:rsidRPr="00326109">
              <w:t xml:space="preserve"> </w:t>
            </w:r>
            <w:r w:rsidR="008839C2">
              <w:t xml:space="preserve">Australia manage its emissions and </w:t>
            </w:r>
            <w:r w:rsidR="00914E8D" w:rsidRPr="00326109">
              <w:t xml:space="preserve">meet </w:t>
            </w:r>
            <w:r w:rsidR="00914E8D" w:rsidRPr="00AF2E1C">
              <w:rPr>
                <w:b/>
                <w:color w:val="9BBB59" w:themeColor="accent3"/>
              </w:rPr>
              <w:t>international reporting</w:t>
            </w:r>
            <w:r w:rsidR="00914E8D" w:rsidRPr="00AF2E1C">
              <w:rPr>
                <w:color w:val="9BBB59" w:themeColor="accent3"/>
              </w:rPr>
              <w:t xml:space="preserve"> </w:t>
            </w:r>
            <w:r w:rsidR="00914E8D" w:rsidRPr="00326109">
              <w:t>obligations</w:t>
            </w:r>
            <w:r w:rsidR="00914E8D">
              <w:t>.</w:t>
            </w:r>
          </w:p>
        </w:tc>
        <w:tc>
          <w:tcPr>
            <w:tcW w:w="4509" w:type="dxa"/>
          </w:tcPr>
          <w:p w14:paraId="4B0AC40D" w14:textId="77777777" w:rsidR="00914E8D" w:rsidRDefault="00914E8D" w:rsidP="00495E62">
            <w:r>
              <w:t xml:space="preserve">There is less </w:t>
            </w:r>
            <w:r w:rsidRPr="00C43510">
              <w:t>understanding among reporters of how the energy data</w:t>
            </w:r>
            <w:r w:rsidR="00495E62" w:rsidRPr="00C43510">
              <w:t xml:space="preserve"> (</w:t>
            </w:r>
            <w:r w:rsidR="00492937" w:rsidRPr="00C43510">
              <w:t xml:space="preserve">as opposed to the </w:t>
            </w:r>
            <w:r w:rsidR="00495E62" w:rsidRPr="00C43510">
              <w:t>emissions</w:t>
            </w:r>
            <w:r w:rsidR="00492937" w:rsidRPr="00C43510">
              <w:t xml:space="preserve"> data</w:t>
            </w:r>
            <w:r w:rsidR="00495E62" w:rsidRPr="00C43510">
              <w:t>)</w:t>
            </w:r>
            <w:r w:rsidR="008839C2" w:rsidRPr="00C43510">
              <w:t xml:space="preserve"> is used by government and others e.g. to</w:t>
            </w:r>
            <w:r w:rsidRPr="00326109">
              <w:t xml:space="preserve"> </w:t>
            </w:r>
            <w:r>
              <w:t>suppo</w:t>
            </w:r>
            <w:r w:rsidR="008839C2">
              <w:t>rt</w:t>
            </w:r>
            <w:r>
              <w:t xml:space="preserve"> </w:t>
            </w:r>
            <w:r w:rsidRPr="00734865">
              <w:rPr>
                <w:b/>
                <w:color w:val="C0504D" w:themeColor="accent2"/>
              </w:rPr>
              <w:t>international reporting</w:t>
            </w:r>
            <w:r>
              <w:t>.</w:t>
            </w:r>
          </w:p>
        </w:tc>
      </w:tr>
      <w:tr w:rsidR="00914E8D" w14:paraId="40E8CBF1" w14:textId="77777777" w:rsidTr="001E2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7" w:type="dxa"/>
          </w:tcPr>
          <w:p w14:paraId="3CB5DD31" w14:textId="77777777" w:rsidR="00914E8D" w:rsidRDefault="00A40299" w:rsidP="003650A9">
            <w:r>
              <w:t xml:space="preserve">Government told us the data was used to inform </w:t>
            </w:r>
            <w:r w:rsidR="00914E8D" w:rsidRPr="00734865">
              <w:rPr>
                <w:b/>
                <w:color w:val="9BBB59" w:themeColor="accent3"/>
              </w:rPr>
              <w:t>government policies and programs</w:t>
            </w:r>
            <w:r w:rsidR="00914E8D" w:rsidRPr="00734865">
              <w:rPr>
                <w:color w:val="9BBB59" w:themeColor="accent3"/>
              </w:rPr>
              <w:t xml:space="preserve"> </w:t>
            </w:r>
            <w:r w:rsidR="004E2FE0">
              <w:t>e.g.</w:t>
            </w:r>
            <w:r w:rsidR="00914E8D">
              <w:t xml:space="preserve"> </w:t>
            </w:r>
            <w:r w:rsidR="004E2FE0">
              <w:t>the energy data is used to develop energy efficiency measures</w:t>
            </w:r>
            <w:r w:rsidR="00914E8D">
              <w:t>.</w:t>
            </w:r>
          </w:p>
        </w:tc>
        <w:tc>
          <w:tcPr>
            <w:tcW w:w="4509" w:type="dxa"/>
          </w:tcPr>
          <w:p w14:paraId="27F36EA7" w14:textId="77777777" w:rsidR="00914E8D" w:rsidRDefault="003650A9" w:rsidP="00FF13E8">
            <w:r>
              <w:t xml:space="preserve">Some said reporting </w:t>
            </w:r>
            <w:r w:rsidR="00FF13E8">
              <w:t xml:space="preserve">on </w:t>
            </w:r>
            <w:r w:rsidR="004E2FE0">
              <w:t>government operations could inform additional</w:t>
            </w:r>
            <w:r w:rsidR="00914E8D">
              <w:t xml:space="preserve"> </w:t>
            </w:r>
            <w:r w:rsidR="00914E8D" w:rsidRPr="004E2FE0">
              <w:rPr>
                <w:b/>
                <w:color w:val="C0504D" w:themeColor="accent2"/>
              </w:rPr>
              <w:t xml:space="preserve">policies </w:t>
            </w:r>
            <w:r w:rsidR="00FF13E8" w:rsidRPr="00FF13E8">
              <w:rPr>
                <w:color w:val="000000" w:themeColor="text1"/>
              </w:rPr>
              <w:t>aimed at reducing emissions from government</w:t>
            </w:r>
            <w:r w:rsidR="004E2FE0" w:rsidRPr="00FF13E8">
              <w:rPr>
                <w:color w:val="000000" w:themeColor="text1"/>
              </w:rPr>
              <w:t>.</w:t>
            </w:r>
          </w:p>
        </w:tc>
      </w:tr>
      <w:tr w:rsidR="00914E8D" w14:paraId="166CCF8D" w14:textId="77777777" w:rsidTr="001E2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7" w:type="dxa"/>
          </w:tcPr>
          <w:p w14:paraId="3DE4BD22" w14:textId="77777777" w:rsidR="00914E8D" w:rsidRDefault="004E2FE0" w:rsidP="00914E8D">
            <w:r>
              <w:t>Some said r</w:t>
            </w:r>
            <w:r w:rsidR="00914E8D">
              <w:t xml:space="preserve">eporting assists the </w:t>
            </w:r>
            <w:r w:rsidR="00914E8D" w:rsidRPr="00F36506">
              <w:rPr>
                <w:b/>
                <w:color w:val="9BBB59" w:themeColor="accent3"/>
              </w:rPr>
              <w:t>private sector</w:t>
            </w:r>
            <w:r w:rsidR="00914E8D" w:rsidRPr="00F36506">
              <w:rPr>
                <w:color w:val="9BBB59" w:themeColor="accent3"/>
              </w:rPr>
              <w:t xml:space="preserve"> </w:t>
            </w:r>
            <w:r w:rsidR="00914E8D">
              <w:t>in sustainability reporting, evaluating energy efficiency and identifying climate risk.</w:t>
            </w:r>
          </w:p>
        </w:tc>
        <w:tc>
          <w:tcPr>
            <w:tcW w:w="4509" w:type="dxa"/>
          </w:tcPr>
          <w:p w14:paraId="0B38A05D" w14:textId="77777777" w:rsidR="00914E8D" w:rsidRDefault="003650A9" w:rsidP="006303EC">
            <w:r>
              <w:t xml:space="preserve">A number of people </w:t>
            </w:r>
            <w:r w:rsidR="004E2FE0">
              <w:t>said r</w:t>
            </w:r>
            <w:r w:rsidR="00914E8D">
              <w:t xml:space="preserve">eporting </w:t>
            </w:r>
            <w:r w:rsidR="004E2FE0">
              <w:t>alone does</w:t>
            </w:r>
            <w:r w:rsidR="00914E8D">
              <w:t xml:space="preserve"> not </w:t>
            </w:r>
            <w:r w:rsidR="006303EC">
              <w:t>lead to</w:t>
            </w:r>
            <w:r w:rsidR="00914E8D">
              <w:t xml:space="preserve"> changes in </w:t>
            </w:r>
            <w:r w:rsidR="00914E8D" w:rsidRPr="00F36506">
              <w:rPr>
                <w:b/>
                <w:color w:val="C0504D" w:themeColor="accent2"/>
              </w:rPr>
              <w:t>private sector</w:t>
            </w:r>
            <w:r w:rsidR="00914E8D" w:rsidRPr="00F36506">
              <w:rPr>
                <w:color w:val="C0504D" w:themeColor="accent2"/>
              </w:rPr>
              <w:t xml:space="preserve"> </w:t>
            </w:r>
            <w:r w:rsidR="00914E8D">
              <w:t>operations as</w:t>
            </w:r>
            <w:r w:rsidR="004E2FE0">
              <w:t xml:space="preserve"> other drivers are important.</w:t>
            </w:r>
          </w:p>
        </w:tc>
      </w:tr>
      <w:tr w:rsidR="00914E8D" w14:paraId="6FF5C529" w14:textId="77777777" w:rsidTr="001E2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7" w:type="dxa"/>
          </w:tcPr>
          <w:p w14:paraId="67631DCD" w14:textId="77777777" w:rsidR="00914E8D" w:rsidRDefault="004E2FE0" w:rsidP="004E2FE0">
            <w:r>
              <w:t>Some said t</w:t>
            </w:r>
            <w:r w:rsidR="00914E8D">
              <w:t>he</w:t>
            </w:r>
            <w:r>
              <w:t xml:space="preserve"> threshold and </w:t>
            </w:r>
            <w:r w:rsidR="00914E8D">
              <w:t xml:space="preserve">sectors, entities and gases currently within the scheme’s </w:t>
            </w:r>
            <w:r w:rsidR="00914E8D" w:rsidRPr="00F36506">
              <w:rPr>
                <w:b/>
                <w:color w:val="9BBB59" w:themeColor="accent3"/>
              </w:rPr>
              <w:t>scope</w:t>
            </w:r>
            <w:r w:rsidR="00914E8D">
              <w:t xml:space="preserve"> are suitable.</w:t>
            </w:r>
          </w:p>
        </w:tc>
        <w:tc>
          <w:tcPr>
            <w:tcW w:w="4509" w:type="dxa"/>
          </w:tcPr>
          <w:p w14:paraId="607B298C" w14:textId="77777777" w:rsidR="00914E8D" w:rsidRDefault="004E2FE0" w:rsidP="004E2FE0">
            <w:r>
              <w:t>Others said t</w:t>
            </w:r>
            <w:r w:rsidR="00914E8D">
              <w:t xml:space="preserve">he </w:t>
            </w:r>
            <w:r w:rsidR="00914E8D" w:rsidRPr="00D53D01">
              <w:rPr>
                <w:b/>
                <w:color w:val="C0504D" w:themeColor="accent2"/>
              </w:rPr>
              <w:t>scope</w:t>
            </w:r>
            <w:r w:rsidR="00914E8D">
              <w:t xml:space="preserve"> </w:t>
            </w:r>
            <w:r w:rsidR="00FF13E8">
              <w:t xml:space="preserve">of what is reported </w:t>
            </w:r>
            <w:r w:rsidR="00914E8D">
              <w:t xml:space="preserve">should </w:t>
            </w:r>
            <w:r w:rsidR="00FF13E8">
              <w:t xml:space="preserve">be </w:t>
            </w:r>
            <w:r w:rsidR="00914E8D">
              <w:t>expand</w:t>
            </w:r>
            <w:r w:rsidR="00FF13E8">
              <w:t>ed on a mandatory or voluntary basis</w:t>
            </w:r>
            <w:r w:rsidR="00914E8D">
              <w:t xml:space="preserve">, e.g. </w:t>
            </w:r>
            <w:r>
              <w:t>lower</w:t>
            </w:r>
            <w:r w:rsidR="00914E8D">
              <w:t xml:space="preserve"> the threshold, include additional sectors</w:t>
            </w:r>
            <w:r w:rsidR="0023692B">
              <w:t xml:space="preserve"> or information such as scope 3 emissions</w:t>
            </w:r>
            <w:r w:rsidR="00914E8D">
              <w:t xml:space="preserve"> or </w:t>
            </w:r>
            <w:r w:rsidR="0023692B">
              <w:t xml:space="preserve">offsets or </w:t>
            </w:r>
            <w:r w:rsidR="00914E8D">
              <w:t xml:space="preserve">extend the </w:t>
            </w:r>
            <w:r>
              <w:t>entities covered</w:t>
            </w:r>
            <w:r w:rsidR="00914E8D">
              <w:t>.</w:t>
            </w:r>
          </w:p>
        </w:tc>
      </w:tr>
    </w:tbl>
    <w:p w14:paraId="4299A5EA" w14:textId="77777777" w:rsidR="003B6775" w:rsidRDefault="00B663CE" w:rsidP="00E760B4"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DB60A4" wp14:editId="78172A59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4857750" cy="7905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0FD69" w14:textId="77777777" w:rsidR="003B6775" w:rsidRPr="00B663CE" w:rsidRDefault="003650A9" w:rsidP="003B6775">
                            <w:pPr>
                              <w:rPr>
                                <w:b/>
                              </w:rPr>
                            </w:pPr>
                            <w:r w:rsidRPr="00B663CE">
                              <w:rPr>
                                <w:b/>
                              </w:rPr>
                              <w:t>Most o</w:t>
                            </w:r>
                            <w:r w:rsidR="003B6775" w:rsidRPr="00B663CE">
                              <w:rPr>
                                <w:b/>
                              </w:rPr>
                              <w:t xml:space="preserve">rganisations </w:t>
                            </w:r>
                            <w:r w:rsidRPr="00B663CE">
                              <w:rPr>
                                <w:b/>
                              </w:rPr>
                              <w:t xml:space="preserve">told us they </w:t>
                            </w:r>
                            <w:r w:rsidR="003B6775" w:rsidRPr="00B663CE">
                              <w:rPr>
                                <w:b/>
                              </w:rPr>
                              <w:t xml:space="preserve">are comfortable with </w:t>
                            </w:r>
                            <w:r w:rsidR="00B663CE" w:rsidRPr="00B663CE">
                              <w:rPr>
                                <w:b/>
                              </w:rPr>
                              <w:t xml:space="preserve">how </w:t>
                            </w:r>
                            <w:r w:rsidR="003B6775" w:rsidRPr="00B663CE">
                              <w:rPr>
                                <w:b/>
                              </w:rPr>
                              <w:t>the safeguard scheme operates</w:t>
                            </w:r>
                            <w:r w:rsidR="00B663CE" w:rsidRPr="00B663CE">
                              <w:rPr>
                                <w:b/>
                              </w:rPr>
                              <w:t>.</w:t>
                            </w:r>
                            <w:r w:rsidR="00E25D84" w:rsidRPr="00B663CE">
                              <w:rPr>
                                <w:b/>
                              </w:rPr>
                              <w:t xml:space="preserve"> </w:t>
                            </w:r>
                            <w:r w:rsidR="00B663CE" w:rsidRPr="00B663CE">
                              <w:rPr>
                                <w:b/>
                              </w:rPr>
                              <w:t>Many called for clarity around its future operation. Some said it should be strengthened, while others said additional mechanisms would be needed to reduce compliance costs.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B60A4" id="_x0000_s1028" type="#_x0000_t202" style="position:absolute;margin-left:331.3pt;margin-top:23.2pt;width:382.5pt;height:62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" stroked="f">
                <v:textbox>
                  <w:txbxContent>
                    <w:p w14:paraId="20C0FD69" w14:textId="77777777" w:rsidR="003B6775" w:rsidRPr="00B663CE" w:rsidRDefault="003650A9" w:rsidP="003B6775">
                      <w:pPr>
                        <w:rPr>
                          <w:b/>
                        </w:rPr>
                      </w:pPr>
                      <w:r w:rsidRPr="00B663CE">
                        <w:rPr>
                          <w:b/>
                        </w:rPr>
                        <w:t>Most o</w:t>
                      </w:r>
                      <w:r w:rsidR="003B6775" w:rsidRPr="00B663CE">
                        <w:rPr>
                          <w:b/>
                        </w:rPr>
                        <w:t xml:space="preserve">rganisations </w:t>
                      </w:r>
                      <w:r w:rsidRPr="00B663CE">
                        <w:rPr>
                          <w:b/>
                        </w:rPr>
                        <w:t xml:space="preserve">told us they </w:t>
                      </w:r>
                      <w:r w:rsidR="003B6775" w:rsidRPr="00B663CE">
                        <w:rPr>
                          <w:b/>
                        </w:rPr>
                        <w:t xml:space="preserve">are comfortable with </w:t>
                      </w:r>
                      <w:r w:rsidR="00B663CE" w:rsidRPr="00B663CE">
                        <w:rPr>
                          <w:b/>
                        </w:rPr>
                        <w:t xml:space="preserve">how </w:t>
                      </w:r>
                      <w:r w:rsidR="003B6775" w:rsidRPr="00B663CE">
                        <w:rPr>
                          <w:b/>
                        </w:rPr>
                        <w:t>the safeguard scheme operates</w:t>
                      </w:r>
                      <w:r w:rsidR="00B663CE" w:rsidRPr="00B663CE">
                        <w:rPr>
                          <w:b/>
                        </w:rPr>
                        <w:t>.</w:t>
                      </w:r>
                      <w:r w:rsidR="00E25D84" w:rsidRPr="00B663CE">
                        <w:rPr>
                          <w:b/>
                        </w:rPr>
                        <w:t xml:space="preserve"> </w:t>
                      </w:r>
                      <w:r w:rsidR="00B663CE" w:rsidRPr="00B663CE">
                        <w:rPr>
                          <w:b/>
                        </w:rPr>
                        <w:t>Many called for clarity around its future operation. Some said it should be strengthened, while others said additional mechanisms would be needed to reduce compliance costs.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2AE6">
        <w:rPr>
          <w:noProof/>
          <w:lang w:eastAsia="en-AU"/>
        </w:rPr>
        <w:drawing>
          <wp:anchor distT="0" distB="0" distL="114300" distR="114300" simplePos="0" relativeHeight="251669504" behindDoc="0" locked="0" layoutInCell="1" allowOverlap="1" wp14:anchorId="2BC09012" wp14:editId="1563C035">
            <wp:simplePos x="0" y="0"/>
            <wp:positionH relativeFrom="margin">
              <wp:align>left</wp:align>
            </wp:positionH>
            <wp:positionV relativeFrom="paragraph">
              <wp:posOffset>10483</wp:posOffset>
            </wp:positionV>
            <wp:extent cx="876300" cy="867410"/>
            <wp:effectExtent l="0" t="0" r="0" b="889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677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D1778A" wp14:editId="34E3AB2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857750" cy="29527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768AC" w14:textId="77777777" w:rsidR="003B6775" w:rsidRDefault="003B6775" w:rsidP="003B6775">
                            <w:pPr>
                              <w:pStyle w:val="Heading1"/>
                            </w:pPr>
                            <w:r>
                              <w:t>Feedback on the safeguard mechanism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778A" id="_x0000_s1029" type="#_x0000_t202" style="position:absolute;margin-left:331.3pt;margin-top:.8pt;width:382.5pt;height:23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" stroked="f">
                <v:textbox>
                  <w:txbxContent>
                    <w:p w14:paraId="26D768AC" w14:textId="77777777" w:rsidR="003B6775" w:rsidRDefault="003B6775" w:rsidP="003B6775">
                      <w:pPr>
                        <w:pStyle w:val="Heading1"/>
                      </w:pPr>
                      <w:r>
                        <w:t>Feedback on the safeguard mechanism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3B6775" w14:paraId="21EF102F" w14:textId="77777777" w:rsidTr="001A3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9" w:type="dxa"/>
          </w:tcPr>
          <w:p w14:paraId="1B7ECAC4" w14:textId="77777777" w:rsidR="003B6775" w:rsidRDefault="003B6775" w:rsidP="00D763EA">
            <w:pPr>
              <w:pStyle w:val="Heading1"/>
              <w:outlineLvl w:val="0"/>
            </w:pPr>
            <w:r>
              <w:t>What’s working well?</w:t>
            </w:r>
          </w:p>
        </w:tc>
        <w:tc>
          <w:tcPr>
            <w:tcW w:w="4507" w:type="dxa"/>
          </w:tcPr>
          <w:p w14:paraId="6A3582FD" w14:textId="77777777" w:rsidR="003B6775" w:rsidRDefault="003B6775" w:rsidP="00D763EA">
            <w:pPr>
              <w:pStyle w:val="Heading1"/>
              <w:outlineLvl w:val="0"/>
            </w:pPr>
            <w:r>
              <w:t>What could be improved?</w:t>
            </w:r>
          </w:p>
        </w:tc>
      </w:tr>
      <w:tr w:rsidR="00EB16B7" w14:paraId="06AB424F" w14:textId="77777777" w:rsidTr="001A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9" w:type="dxa"/>
          </w:tcPr>
          <w:p w14:paraId="6B4CA09B" w14:textId="77777777" w:rsidR="00EB16B7" w:rsidRDefault="008010CA" w:rsidP="00492937">
            <w:r>
              <w:t>Most</w:t>
            </w:r>
            <w:r w:rsidR="001A3F41">
              <w:t xml:space="preserve"> organisations are </w:t>
            </w:r>
            <w:r w:rsidR="001A3F41" w:rsidRPr="00C43510">
              <w:t xml:space="preserve">comfortable with the scheme’s </w:t>
            </w:r>
            <w:r w:rsidR="001A3F41" w:rsidRPr="00C43510">
              <w:rPr>
                <w:b/>
                <w:color w:val="9BBB59" w:themeColor="accent3"/>
              </w:rPr>
              <w:t>operation</w:t>
            </w:r>
            <w:r w:rsidRPr="00C43510">
              <w:rPr>
                <w:b/>
                <w:color w:val="9BBB59" w:themeColor="accent3"/>
              </w:rPr>
              <w:t xml:space="preserve"> </w:t>
            </w:r>
            <w:r w:rsidRPr="00C43510">
              <w:t xml:space="preserve">and said the </w:t>
            </w:r>
            <w:r w:rsidR="00495E62" w:rsidRPr="00C43510">
              <w:rPr>
                <w:b/>
                <w:color w:val="9BBB59" w:themeColor="accent3"/>
              </w:rPr>
              <w:t>options</w:t>
            </w:r>
            <w:r w:rsidR="00492937" w:rsidRPr="00C43510">
              <w:rPr>
                <w:b/>
                <w:color w:val="9BBB59" w:themeColor="accent3"/>
              </w:rPr>
              <w:t xml:space="preserve"> for managing compliance </w:t>
            </w:r>
            <w:r w:rsidRPr="00C43510">
              <w:rPr>
                <w:b/>
                <w:color w:val="9BBB59" w:themeColor="accent3"/>
              </w:rPr>
              <w:t>are working</w:t>
            </w:r>
            <w:r w:rsidR="001A3F41" w:rsidRPr="00C43510">
              <w:t>.</w:t>
            </w:r>
          </w:p>
        </w:tc>
        <w:tc>
          <w:tcPr>
            <w:tcW w:w="4507" w:type="dxa"/>
          </w:tcPr>
          <w:p w14:paraId="75BA49B9" w14:textId="77777777" w:rsidR="00EB16B7" w:rsidRPr="001A3F41" w:rsidRDefault="001A3F41" w:rsidP="008010CA">
            <w:pPr>
              <w:rPr>
                <w:color w:val="C0504D" w:themeColor="accent2"/>
              </w:rPr>
            </w:pPr>
            <w:r w:rsidRPr="001A3F41">
              <w:t>Some raised concerns</w:t>
            </w:r>
            <w:r>
              <w:t xml:space="preserve"> </w:t>
            </w:r>
            <w:r w:rsidR="008010CA">
              <w:t xml:space="preserve">about the </w:t>
            </w:r>
            <w:r w:rsidR="008010CA" w:rsidRPr="008010CA">
              <w:rPr>
                <w:b/>
                <w:color w:val="C0504D" w:themeColor="accent2"/>
              </w:rPr>
              <w:t>scheme’s costs</w:t>
            </w:r>
            <w:r w:rsidR="008010CA">
              <w:t xml:space="preserve"> e.g. auditing costs for baseline applications and purchasing offsets.</w:t>
            </w:r>
          </w:p>
        </w:tc>
      </w:tr>
      <w:tr w:rsidR="008010CA" w14:paraId="3699303C" w14:textId="77777777" w:rsidTr="001A3F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09" w:type="dxa"/>
          </w:tcPr>
          <w:p w14:paraId="731B8D2A" w14:textId="77777777" w:rsidR="008010CA" w:rsidRDefault="008010CA" w:rsidP="008010CA">
            <w:r>
              <w:t xml:space="preserve">Many said the mechanism provides a </w:t>
            </w:r>
            <w:r w:rsidRPr="008010CA">
              <w:rPr>
                <w:b/>
                <w:color w:val="9BBB59" w:themeColor="accent3"/>
              </w:rPr>
              <w:t>framework fo</w:t>
            </w:r>
            <w:r w:rsidRPr="008010CA">
              <w:rPr>
                <w:color w:val="9BBB59" w:themeColor="accent3"/>
              </w:rPr>
              <w:t>r</w:t>
            </w:r>
            <w:r>
              <w:t xml:space="preserve"> </w:t>
            </w:r>
            <w:r w:rsidRPr="008010CA">
              <w:rPr>
                <w:b/>
                <w:color w:val="9BBB59" w:themeColor="accent3"/>
              </w:rPr>
              <w:t>managing Australia’s emissions.</w:t>
            </w:r>
          </w:p>
        </w:tc>
        <w:tc>
          <w:tcPr>
            <w:tcW w:w="4507" w:type="dxa"/>
          </w:tcPr>
          <w:p w14:paraId="03037481" w14:textId="77777777" w:rsidR="008010CA" w:rsidRPr="001A3F41" w:rsidRDefault="008010CA" w:rsidP="008010CA">
            <w:r>
              <w:t xml:space="preserve">Submissions called for further clarity on Australia’s climate settings with some saying the scheme should be used to </w:t>
            </w:r>
            <w:r w:rsidRPr="008010CA">
              <w:rPr>
                <w:b/>
                <w:color w:val="C0504D" w:themeColor="accent2"/>
              </w:rPr>
              <w:t>reduce emissions</w:t>
            </w:r>
            <w:r>
              <w:rPr>
                <w:b/>
                <w:color w:val="C0504D" w:themeColor="accent2"/>
              </w:rPr>
              <w:t xml:space="preserve"> </w:t>
            </w:r>
            <w:r w:rsidRPr="008010CA">
              <w:t xml:space="preserve">in line with our international targets. </w:t>
            </w:r>
          </w:p>
        </w:tc>
      </w:tr>
      <w:tr w:rsidR="008010CA" w14:paraId="6076D423" w14:textId="77777777" w:rsidTr="001A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9" w:type="dxa"/>
          </w:tcPr>
          <w:p w14:paraId="2DDC508E" w14:textId="77777777" w:rsidR="008010CA" w:rsidRDefault="008010CA" w:rsidP="00B663CE">
            <w:r>
              <w:t xml:space="preserve">Some said </w:t>
            </w:r>
            <w:r w:rsidR="00B663CE">
              <w:t>strengthening</w:t>
            </w:r>
            <w:r>
              <w:t xml:space="preserve"> the </w:t>
            </w:r>
            <w:r w:rsidRPr="00194688">
              <w:rPr>
                <w:b/>
                <w:color w:val="9BBB59" w:themeColor="accent3"/>
              </w:rPr>
              <w:t>safeguard mechanism</w:t>
            </w:r>
            <w:r>
              <w:t xml:space="preserve"> </w:t>
            </w:r>
            <w:r w:rsidRPr="00E760B4">
              <w:t xml:space="preserve">to </w:t>
            </w:r>
            <w:r w:rsidRPr="003650A9">
              <w:t>achie</w:t>
            </w:r>
            <w:r>
              <w:t>ve</w:t>
            </w:r>
            <w:r w:rsidRPr="00E760B4">
              <w:t xml:space="preserve"> emissions reductions </w:t>
            </w:r>
            <w:r w:rsidRPr="00EB16B7">
              <w:t xml:space="preserve">would have a significant cost impost </w:t>
            </w:r>
            <w:r>
              <w:t>and impact</w:t>
            </w:r>
            <w:r w:rsidRPr="00EB16B7">
              <w:t xml:space="preserve"> competitiveness</w:t>
            </w:r>
            <w:r>
              <w:t xml:space="preserve"> of Australian industry</w:t>
            </w:r>
            <w:r w:rsidRPr="00EB16B7">
              <w:t>.</w:t>
            </w:r>
          </w:p>
        </w:tc>
        <w:tc>
          <w:tcPr>
            <w:tcW w:w="4507" w:type="dxa"/>
          </w:tcPr>
          <w:p w14:paraId="780B317F" w14:textId="77777777" w:rsidR="008010CA" w:rsidRDefault="008010CA" w:rsidP="008010CA">
            <w:r>
              <w:t xml:space="preserve">Many companies with compliance obligations said there should be </w:t>
            </w:r>
            <w:r w:rsidRPr="008010CA">
              <w:rPr>
                <w:b/>
                <w:color w:val="C0504D" w:themeColor="accent2"/>
              </w:rPr>
              <w:t>additional mechanisms for reducing costs</w:t>
            </w:r>
            <w:r w:rsidRPr="008010CA">
              <w:rPr>
                <w:color w:val="C0504D" w:themeColor="accent2"/>
              </w:rPr>
              <w:t xml:space="preserve"> </w:t>
            </w:r>
            <w:r>
              <w:t>such as greater access to offsets and international units and lowering</w:t>
            </w:r>
            <w:r w:rsidRPr="00E25D84">
              <w:t xml:space="preserve"> </w:t>
            </w:r>
            <w:r>
              <w:t>the threshold and expanding the scope to share the emissions reduction burden across the economy.</w:t>
            </w:r>
          </w:p>
        </w:tc>
      </w:tr>
    </w:tbl>
    <w:p w14:paraId="49B53E6C" w14:textId="77777777" w:rsidR="00EB16B7" w:rsidRDefault="003F2FAD" w:rsidP="00EB16B7">
      <w:pPr>
        <w:pStyle w:val="Heading1"/>
      </w:pPr>
      <w:r>
        <w:rPr>
          <w:noProof/>
          <w:lang w:eastAsia="en-AU"/>
        </w:rPr>
        <w:drawing>
          <wp:anchor distT="0" distB="0" distL="114300" distR="114300" simplePos="0" relativeHeight="251670528" behindDoc="0" locked="0" layoutInCell="1" allowOverlap="1" wp14:anchorId="1D298542" wp14:editId="5CE9EE25">
            <wp:simplePos x="0" y="0"/>
            <wp:positionH relativeFrom="column">
              <wp:posOffset>1905</wp:posOffset>
            </wp:positionH>
            <wp:positionV relativeFrom="paragraph">
              <wp:posOffset>161925</wp:posOffset>
            </wp:positionV>
            <wp:extent cx="874395" cy="895350"/>
            <wp:effectExtent l="0" t="0" r="190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137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61F1FD" wp14:editId="698D23A4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4857750" cy="828675"/>
                <wp:effectExtent l="0" t="0" r="0" b="952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6016F" w14:textId="77777777" w:rsidR="00EB16B7" w:rsidRPr="009C6137" w:rsidRDefault="008F465F" w:rsidP="00EB16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</w:t>
                            </w:r>
                            <w:r w:rsidR="00EB16B7" w:rsidRPr="009C6137">
                              <w:rPr>
                                <w:b/>
                              </w:rPr>
                              <w:t xml:space="preserve">rganisations </w:t>
                            </w:r>
                            <w:r w:rsidR="0023692B" w:rsidRPr="009C6137">
                              <w:rPr>
                                <w:b/>
                              </w:rPr>
                              <w:t xml:space="preserve">told us the </w:t>
                            </w:r>
                            <w:r w:rsidR="00EB16B7" w:rsidRPr="009C6137">
                              <w:rPr>
                                <w:b/>
                              </w:rPr>
                              <w:t>Clean Energy Regulator and Department of the Environment and Energy</w:t>
                            </w:r>
                            <w:r w:rsidR="0023692B" w:rsidRPr="009C6137">
                              <w:rPr>
                                <w:b/>
                              </w:rPr>
                              <w:t xml:space="preserve"> </w:t>
                            </w:r>
                            <w:r w:rsidRPr="009C6137">
                              <w:rPr>
                                <w:b/>
                              </w:rPr>
                              <w:t>are doing a good job in administering the legislation</w:t>
                            </w:r>
                            <w:r>
                              <w:rPr>
                                <w:b/>
                              </w:rPr>
                              <w:t xml:space="preserve">. They are education-focused, engaged, pragmatic and professional. </w:t>
                            </w:r>
                            <w:r w:rsidR="009C6137">
                              <w:rPr>
                                <w:b/>
                              </w:rPr>
                              <w:t>Some suggested improvements.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1F1FD" id="Text Box 10" o:spid="_x0000_s1030" type="#_x0000_t202" style="position:absolute;margin-left:331.3pt;margin-top:23.2pt;width:382.5pt;height:65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" stroked="f">
                <v:textbox>
                  <w:txbxContent>
                    <w:p w14:paraId="4DF6016F" w14:textId="77777777" w:rsidR="00EB16B7" w:rsidRPr="009C6137" w:rsidRDefault="008F465F" w:rsidP="00EB16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</w:t>
                      </w:r>
                      <w:r w:rsidR="00EB16B7" w:rsidRPr="009C6137">
                        <w:rPr>
                          <w:b/>
                        </w:rPr>
                        <w:t xml:space="preserve">rganisations </w:t>
                      </w:r>
                      <w:r w:rsidR="0023692B" w:rsidRPr="009C6137">
                        <w:rPr>
                          <w:b/>
                        </w:rPr>
                        <w:t xml:space="preserve">told us the </w:t>
                      </w:r>
                      <w:r w:rsidR="00EB16B7" w:rsidRPr="009C6137">
                        <w:rPr>
                          <w:b/>
                        </w:rPr>
                        <w:t>Clean Energy Regulator and Department of the Environment and Energy</w:t>
                      </w:r>
                      <w:r w:rsidR="0023692B" w:rsidRPr="009C6137">
                        <w:rPr>
                          <w:b/>
                        </w:rPr>
                        <w:t xml:space="preserve"> </w:t>
                      </w:r>
                      <w:r w:rsidRPr="009C6137">
                        <w:rPr>
                          <w:b/>
                        </w:rPr>
                        <w:t>are doing a good job in administering the legislation</w:t>
                      </w:r>
                      <w:r>
                        <w:rPr>
                          <w:b/>
                        </w:rPr>
                        <w:t xml:space="preserve">. They are education-focused, engaged, pragmatic and professional. </w:t>
                      </w:r>
                      <w:r w:rsidR="009C6137">
                        <w:rPr>
                          <w:b/>
                        </w:rPr>
                        <w:t>Some suggested improvements.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16B7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9D3546" wp14:editId="3811B17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857750" cy="29527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D6608" w14:textId="77777777" w:rsidR="00EB16B7" w:rsidRDefault="00EB16B7" w:rsidP="00EB16B7">
                            <w:pPr>
                              <w:pStyle w:val="Heading1"/>
                            </w:pPr>
                            <w:r>
                              <w:t>Feedback on administration</w:t>
                            </w:r>
                            <w:r w:rsidR="009C6137">
                              <w:t xml:space="preserve"> of the legislation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D3546" id="_x0000_s1031" type="#_x0000_t202" style="position:absolute;margin-left:331.3pt;margin-top:.8pt;width:382.5pt;height:23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" stroked="f">
                <v:textbox>
                  <w:txbxContent>
                    <w:p w14:paraId="6A1D6608" w14:textId="77777777" w:rsidR="00EB16B7" w:rsidRDefault="00EB16B7" w:rsidP="00EB16B7">
                      <w:pPr>
                        <w:pStyle w:val="Heading1"/>
                      </w:pPr>
                      <w:r>
                        <w:t>Feedback on administration</w:t>
                      </w:r>
                      <w:r w:rsidR="009C6137">
                        <w:t xml:space="preserve"> of the legislation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3692B" w14:paraId="48CD5606" w14:textId="77777777" w:rsidTr="00D76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01" w:type="dxa"/>
          </w:tcPr>
          <w:p w14:paraId="49288ACD" w14:textId="77777777" w:rsidR="00EB16B7" w:rsidRDefault="00EB16B7" w:rsidP="00D763EA">
            <w:pPr>
              <w:pStyle w:val="Heading1"/>
              <w:outlineLvl w:val="0"/>
            </w:pPr>
            <w:r>
              <w:t>What’s working well?</w:t>
            </w:r>
          </w:p>
        </w:tc>
        <w:tc>
          <w:tcPr>
            <w:tcW w:w="4601" w:type="dxa"/>
          </w:tcPr>
          <w:p w14:paraId="3361C4F2" w14:textId="77777777" w:rsidR="00EB16B7" w:rsidRDefault="00EB16B7" w:rsidP="00D763EA">
            <w:pPr>
              <w:pStyle w:val="Heading1"/>
              <w:outlineLvl w:val="0"/>
            </w:pPr>
            <w:r>
              <w:t>What could be improved?</w:t>
            </w:r>
          </w:p>
        </w:tc>
      </w:tr>
      <w:tr w:rsidR="0023692B" w14:paraId="541F77ED" w14:textId="77777777" w:rsidTr="00D7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01" w:type="dxa"/>
          </w:tcPr>
          <w:p w14:paraId="086A036B" w14:textId="77777777" w:rsidR="00EB16B7" w:rsidRDefault="0023692B" w:rsidP="0023692B">
            <w:r>
              <w:t xml:space="preserve">Most said the </w:t>
            </w:r>
            <w:r w:rsidR="00163E10" w:rsidRPr="00163E10">
              <w:rPr>
                <w:b/>
                <w:color w:val="9BBB59" w:themeColor="accent3"/>
              </w:rPr>
              <w:t xml:space="preserve">Regulator </w:t>
            </w:r>
            <w:r w:rsidR="00163E10">
              <w:t xml:space="preserve">is </w:t>
            </w:r>
            <w:r>
              <w:t>doing a goo</w:t>
            </w:r>
            <w:r w:rsidR="009C6137">
              <w:t xml:space="preserve">d job </w:t>
            </w:r>
            <w:r>
              <w:t>providing support to companies to meet their obligations under the legislation. Some</w:t>
            </w:r>
            <w:r w:rsidR="00163E10">
              <w:t xml:space="preserve"> described </w:t>
            </w:r>
            <w:r>
              <w:t>them</w:t>
            </w:r>
            <w:r w:rsidR="00163E10">
              <w:t xml:space="preserve"> as a model regulator</w:t>
            </w:r>
            <w:r w:rsidR="001E2AE6">
              <w:t>.</w:t>
            </w:r>
          </w:p>
        </w:tc>
        <w:tc>
          <w:tcPr>
            <w:tcW w:w="4601" w:type="dxa"/>
          </w:tcPr>
          <w:p w14:paraId="6611CE2D" w14:textId="77777777" w:rsidR="00EB16B7" w:rsidRPr="003B6775" w:rsidRDefault="001E2AE6" w:rsidP="009C6137">
            <w:pPr>
              <w:rPr>
                <w:b/>
                <w:color w:val="C0504D" w:themeColor="accent2"/>
              </w:rPr>
            </w:pPr>
            <w:r>
              <w:t xml:space="preserve">Some </w:t>
            </w:r>
            <w:r w:rsidR="009C6137">
              <w:t>encouraged</w:t>
            </w:r>
            <w:r>
              <w:t xml:space="preserve"> t</w:t>
            </w:r>
            <w:r w:rsidR="00163E10" w:rsidRPr="00163E10">
              <w:t>he</w:t>
            </w:r>
            <w:r w:rsidR="00163E10">
              <w:rPr>
                <w:b/>
                <w:color w:val="C0504D" w:themeColor="accent2"/>
              </w:rPr>
              <w:t xml:space="preserve"> Regulator</w:t>
            </w:r>
            <w:r w:rsidR="0023692B">
              <w:t xml:space="preserve"> </w:t>
            </w:r>
            <w:r w:rsidR="009C6137">
              <w:t>to provide enhanced</w:t>
            </w:r>
            <w:r w:rsidR="0023692B">
              <w:t xml:space="preserve"> </w:t>
            </w:r>
            <w:r>
              <w:t xml:space="preserve">guidance </w:t>
            </w:r>
            <w:r w:rsidR="0023692B">
              <w:t xml:space="preserve">on particular issues such as </w:t>
            </w:r>
            <w:r w:rsidR="008A0CE8">
              <w:t xml:space="preserve">aspects of </w:t>
            </w:r>
            <w:r w:rsidR="0023692B">
              <w:t>the measurement determination</w:t>
            </w:r>
            <w:r w:rsidR="00163E10" w:rsidRPr="00163E10">
              <w:t>.</w:t>
            </w:r>
          </w:p>
        </w:tc>
      </w:tr>
      <w:tr w:rsidR="0023692B" w14:paraId="47309CE6" w14:textId="77777777" w:rsidTr="00D76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01" w:type="dxa"/>
          </w:tcPr>
          <w:p w14:paraId="5648A84C" w14:textId="77777777" w:rsidR="00EB16B7" w:rsidRDefault="0023692B" w:rsidP="0023692B">
            <w:r>
              <w:t xml:space="preserve">Many said the </w:t>
            </w:r>
            <w:r w:rsidR="00163E10" w:rsidRPr="00163E10">
              <w:rPr>
                <w:b/>
                <w:color w:val="9BBB59" w:themeColor="accent3"/>
              </w:rPr>
              <w:t>Department</w:t>
            </w:r>
            <w:r w:rsidR="00163E10" w:rsidRPr="000C1231">
              <w:rPr>
                <w:b/>
                <w:color w:val="9BBB59" w:themeColor="accent3"/>
              </w:rPr>
              <w:t>’s</w:t>
            </w:r>
            <w:r w:rsidR="00163E10">
              <w:t xml:space="preserve"> annual review of the measurement determination should continue.</w:t>
            </w:r>
          </w:p>
        </w:tc>
        <w:tc>
          <w:tcPr>
            <w:tcW w:w="4601" w:type="dxa"/>
          </w:tcPr>
          <w:p w14:paraId="3C6D4659" w14:textId="77777777" w:rsidR="00EB16B7" w:rsidRDefault="0023692B" w:rsidP="001E2AE6">
            <w:r>
              <w:t>Many said</w:t>
            </w:r>
            <w:r w:rsidR="001E2AE6">
              <w:t xml:space="preserve"> t</w:t>
            </w:r>
            <w:r w:rsidR="00163E10">
              <w:t xml:space="preserve">he </w:t>
            </w:r>
            <w:r w:rsidR="00163E10" w:rsidRPr="00163E10">
              <w:rPr>
                <w:b/>
                <w:color w:val="C0504D" w:themeColor="accent2"/>
              </w:rPr>
              <w:t>Department</w:t>
            </w:r>
            <w:r w:rsidR="00163E10">
              <w:t xml:space="preserve"> should consult more before developing draft amendments</w:t>
            </w:r>
            <w:r>
              <w:t xml:space="preserve"> to the measurement determination</w:t>
            </w:r>
            <w:r w:rsidR="00163E10">
              <w:t xml:space="preserve"> and provide</w:t>
            </w:r>
            <w:r w:rsidR="001E2AE6">
              <w:t xml:space="preserve"> more notice of </w:t>
            </w:r>
            <w:r w:rsidR="00163E10">
              <w:t>changes.</w:t>
            </w:r>
          </w:p>
        </w:tc>
      </w:tr>
      <w:tr w:rsidR="009C6137" w14:paraId="6BE55F03" w14:textId="77777777" w:rsidTr="00D7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01" w:type="dxa"/>
          </w:tcPr>
          <w:p w14:paraId="2EFFF1DB" w14:textId="77777777" w:rsidR="009C6137" w:rsidRPr="00E760B4" w:rsidRDefault="009C6137" w:rsidP="009C6137">
            <w:r>
              <w:t xml:space="preserve">Submissions said the education and audit regime underpins high levels of </w:t>
            </w:r>
            <w:r w:rsidRPr="008F465F">
              <w:rPr>
                <w:b/>
                <w:color w:val="9BBB59" w:themeColor="accent3"/>
              </w:rPr>
              <w:t>compliance and data quality</w:t>
            </w:r>
            <w:r>
              <w:t>.</w:t>
            </w:r>
          </w:p>
        </w:tc>
        <w:tc>
          <w:tcPr>
            <w:tcW w:w="4601" w:type="dxa"/>
          </w:tcPr>
          <w:p w14:paraId="2BEE3148" w14:textId="77777777" w:rsidR="009C6137" w:rsidRDefault="009C6137" w:rsidP="000C1231">
            <w:r>
              <w:t xml:space="preserve">Some said the consistency of </w:t>
            </w:r>
            <w:r w:rsidRPr="008F465F">
              <w:rPr>
                <w:b/>
                <w:color w:val="C0504D" w:themeColor="accent2"/>
              </w:rPr>
              <w:t>data</w:t>
            </w:r>
            <w:r w:rsidR="008F465F">
              <w:t xml:space="preserve"> over time could be improved. A few </w:t>
            </w:r>
            <w:r w:rsidR="000C1231">
              <w:t xml:space="preserve">people </w:t>
            </w:r>
            <w:r w:rsidR="008F465F">
              <w:t>asked to understand how the Regulator identifies companies that should be reporting but are not yet doing so.</w:t>
            </w:r>
          </w:p>
        </w:tc>
      </w:tr>
      <w:tr w:rsidR="0023692B" w14:paraId="309737A9" w14:textId="77777777" w:rsidTr="00D763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01" w:type="dxa"/>
          </w:tcPr>
          <w:p w14:paraId="597AD758" w14:textId="77777777" w:rsidR="00EB16B7" w:rsidRDefault="0023692B" w:rsidP="008F465F">
            <w:r w:rsidRPr="00E760B4">
              <w:t>Many said</w:t>
            </w:r>
            <w:r>
              <w:rPr>
                <w:b/>
                <w:color w:val="9BBB59" w:themeColor="accent3"/>
              </w:rPr>
              <w:t xml:space="preserve"> </w:t>
            </w:r>
            <w:r w:rsidR="008F465F" w:rsidRPr="008F465F">
              <w:t>the</w:t>
            </w:r>
            <w:r w:rsidR="008F465F">
              <w:rPr>
                <w:b/>
                <w:color w:val="9BBB59" w:themeColor="accent3"/>
              </w:rPr>
              <w:t xml:space="preserve"> audit framework </w:t>
            </w:r>
            <w:r w:rsidR="008F465F" w:rsidRPr="008F465F">
              <w:t>is well designed and generally balances the cost and quality of audits</w:t>
            </w:r>
            <w:r w:rsidR="008F465F">
              <w:rPr>
                <w:b/>
                <w:color w:val="9BBB59" w:themeColor="accent3"/>
              </w:rPr>
              <w:t>.</w:t>
            </w:r>
          </w:p>
        </w:tc>
        <w:tc>
          <w:tcPr>
            <w:tcW w:w="4601" w:type="dxa"/>
          </w:tcPr>
          <w:p w14:paraId="58A4427A" w14:textId="5348B92C" w:rsidR="00EB16B7" w:rsidRDefault="0023692B" w:rsidP="008F465F">
            <w:r>
              <w:t>S</w:t>
            </w:r>
            <w:r w:rsidR="001E2AE6">
              <w:t xml:space="preserve">ome </w:t>
            </w:r>
            <w:r w:rsidR="00163E10">
              <w:t>companies</w:t>
            </w:r>
            <w:r w:rsidR="008F465F">
              <w:t xml:space="preserve"> said</w:t>
            </w:r>
            <w:r w:rsidR="00163E10">
              <w:t xml:space="preserve"> </w:t>
            </w:r>
            <w:r w:rsidR="008F465F" w:rsidRPr="008F465F">
              <w:rPr>
                <w:b/>
                <w:color w:val="C0504D" w:themeColor="accent2"/>
              </w:rPr>
              <w:t>audits</w:t>
            </w:r>
            <w:r w:rsidR="008F465F">
              <w:t xml:space="preserve"> could be better targeted e.g</w:t>
            </w:r>
            <w:r w:rsidR="00C8098A">
              <w:t>.</w:t>
            </w:r>
            <w:r w:rsidR="008F465F">
              <w:t xml:space="preserve"> avoid re-auditing information that had been voluntarily audited</w:t>
            </w:r>
            <w:r w:rsidR="00163E10">
              <w:t>.</w:t>
            </w:r>
          </w:p>
        </w:tc>
      </w:tr>
      <w:tr w:rsidR="0023692B" w14:paraId="3352CAD1" w14:textId="77777777" w:rsidTr="00D7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01" w:type="dxa"/>
          </w:tcPr>
          <w:p w14:paraId="343F131B" w14:textId="77777777" w:rsidR="00163E10" w:rsidRPr="00163E10" w:rsidRDefault="001E2AE6" w:rsidP="001E2AE6">
            <w:pPr>
              <w:rPr>
                <w:b/>
                <w:color w:val="9BBB59" w:themeColor="accent3"/>
              </w:rPr>
            </w:pPr>
            <w:r>
              <w:rPr>
                <w:color w:val="000000" w:themeColor="text1"/>
              </w:rPr>
              <w:t>Some said t</w:t>
            </w:r>
            <w:r w:rsidR="00163E10" w:rsidRPr="00CE7030">
              <w:rPr>
                <w:color w:val="000000" w:themeColor="text1"/>
              </w:rPr>
              <w:t xml:space="preserve">he </w:t>
            </w:r>
            <w:r w:rsidR="00163E10">
              <w:rPr>
                <w:b/>
                <w:color w:val="9BBB59" w:themeColor="accent3"/>
              </w:rPr>
              <w:t xml:space="preserve">compliance </w:t>
            </w:r>
            <w:r w:rsidR="00163E10" w:rsidRPr="00CE7030">
              <w:rPr>
                <w:color w:val="000000" w:themeColor="text1"/>
              </w:rPr>
              <w:t>timelines</w:t>
            </w:r>
            <w:r>
              <w:rPr>
                <w:color w:val="000000" w:themeColor="text1"/>
              </w:rPr>
              <w:t xml:space="preserve"> </w:t>
            </w:r>
            <w:r w:rsidR="00CE7030" w:rsidRPr="00CE7030">
              <w:rPr>
                <w:color w:val="000000" w:themeColor="text1"/>
              </w:rPr>
              <w:t>are appropriate.</w:t>
            </w:r>
          </w:p>
        </w:tc>
        <w:tc>
          <w:tcPr>
            <w:tcW w:w="4601" w:type="dxa"/>
          </w:tcPr>
          <w:p w14:paraId="72CCBBF0" w14:textId="77777777" w:rsidR="00163E10" w:rsidRDefault="0023692B" w:rsidP="00495E62">
            <w:r>
              <w:t xml:space="preserve">Some </w:t>
            </w:r>
            <w:r w:rsidR="001E2AE6">
              <w:t>said</w:t>
            </w:r>
            <w:r>
              <w:t xml:space="preserve"> the</w:t>
            </w:r>
            <w:r w:rsidR="001E2AE6">
              <w:t xml:space="preserve"> </w:t>
            </w:r>
            <w:r w:rsidR="001E2AE6" w:rsidRPr="00C43510">
              <w:rPr>
                <w:b/>
                <w:color w:val="C0504D" w:themeColor="accent2"/>
              </w:rPr>
              <w:t>r</w:t>
            </w:r>
            <w:r w:rsidR="00CE7030" w:rsidRPr="00C43510">
              <w:rPr>
                <w:b/>
                <w:color w:val="C0504D" w:themeColor="accent2"/>
              </w:rPr>
              <w:t xml:space="preserve">eporting </w:t>
            </w:r>
            <w:r w:rsidR="00CE7030" w:rsidRPr="008F465F">
              <w:rPr>
                <w:b/>
                <w:color w:val="C0504D" w:themeColor="accent2"/>
              </w:rPr>
              <w:t>timeline</w:t>
            </w:r>
            <w:r w:rsidR="00CE7030">
              <w:t xml:space="preserve"> should </w:t>
            </w:r>
            <w:r w:rsidR="001E2AE6">
              <w:t xml:space="preserve">be </w:t>
            </w:r>
            <w:r w:rsidR="00CE7030">
              <w:t xml:space="preserve">more frequent, align with other reporting </w:t>
            </w:r>
            <w:r w:rsidR="000C1231" w:rsidRPr="00C43510">
              <w:t xml:space="preserve">requirements </w:t>
            </w:r>
            <w:r w:rsidR="00CE7030" w:rsidRPr="00C43510">
              <w:t>or</w:t>
            </w:r>
            <w:r w:rsidR="001E2AE6" w:rsidRPr="00C43510">
              <w:t xml:space="preserve"> occur</w:t>
            </w:r>
            <w:r w:rsidR="00CE7030" w:rsidRPr="00C43510">
              <w:t xml:space="preserve"> </w:t>
            </w:r>
            <w:r w:rsidR="001E2AE6" w:rsidRPr="00C43510">
              <w:t xml:space="preserve">before </w:t>
            </w:r>
            <w:r w:rsidR="00495E62" w:rsidRPr="00C43510">
              <w:t>applications for managing emissions under the safeguard are due, such as applications for multi-year monitoring periods or calculated baselines</w:t>
            </w:r>
            <w:r w:rsidR="001E2AE6" w:rsidRPr="00C43510">
              <w:t>.</w:t>
            </w:r>
            <w:r w:rsidR="00CE7030">
              <w:t xml:space="preserve"> </w:t>
            </w:r>
          </w:p>
        </w:tc>
      </w:tr>
    </w:tbl>
    <w:p w14:paraId="0A3B8BAC" w14:textId="77777777" w:rsidR="007B7968" w:rsidRDefault="007B7968" w:rsidP="00CE7030">
      <w:pPr>
        <w:spacing w:after="0" w:line="240" w:lineRule="auto"/>
      </w:pPr>
    </w:p>
    <w:sectPr w:rsidR="007B7968" w:rsidSect="001E2AE6">
      <w:footerReference w:type="default" r:id="rId17"/>
      <w:headerReference w:type="first" r:id="rId18"/>
      <w:pgSz w:w="11906" w:h="16838"/>
      <w:pgMar w:top="1440" w:right="1440" w:bottom="1440" w:left="1440" w:header="170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3588C" w14:textId="77777777" w:rsidR="00E50BD8" w:rsidRDefault="00E50BD8" w:rsidP="00A60185">
      <w:pPr>
        <w:spacing w:after="0" w:line="240" w:lineRule="auto"/>
      </w:pPr>
      <w:r>
        <w:separator/>
      </w:r>
    </w:p>
  </w:endnote>
  <w:endnote w:type="continuationSeparator" w:id="0">
    <w:p w14:paraId="1316B773" w14:textId="77777777" w:rsidR="00E50BD8" w:rsidRDefault="00E50BD8" w:rsidP="00A60185">
      <w:pPr>
        <w:spacing w:after="0" w:line="240" w:lineRule="auto"/>
      </w:pPr>
      <w:r>
        <w:continuationSeparator/>
      </w:r>
    </w:p>
  </w:endnote>
  <w:endnote w:type="continuationNotice" w:id="1">
    <w:p w14:paraId="2FC603C8" w14:textId="77777777" w:rsidR="00E50BD8" w:rsidRDefault="00E50B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9532863"/>
      <w:docPartObj>
        <w:docPartGallery w:val="Page Numbers (Bottom of Page)"/>
        <w:docPartUnique/>
      </w:docPartObj>
    </w:sdtPr>
    <w:sdtEndPr/>
    <w:sdtContent>
      <w:p w14:paraId="40CC49E0" w14:textId="77777777" w:rsidR="00905F54" w:rsidRDefault="00905F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6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03A17" w14:textId="77777777" w:rsidR="00E50BD8" w:rsidRDefault="00E50BD8" w:rsidP="00A60185">
      <w:pPr>
        <w:spacing w:after="0" w:line="240" w:lineRule="auto"/>
      </w:pPr>
      <w:r>
        <w:separator/>
      </w:r>
    </w:p>
  </w:footnote>
  <w:footnote w:type="continuationSeparator" w:id="0">
    <w:p w14:paraId="634C8DB0" w14:textId="77777777" w:rsidR="00E50BD8" w:rsidRDefault="00E50BD8" w:rsidP="00A60185">
      <w:pPr>
        <w:spacing w:after="0" w:line="240" w:lineRule="auto"/>
      </w:pPr>
      <w:r>
        <w:continuationSeparator/>
      </w:r>
    </w:p>
  </w:footnote>
  <w:footnote w:type="continuationNotice" w:id="1">
    <w:p w14:paraId="7A58DF59" w14:textId="77777777" w:rsidR="00E50BD8" w:rsidRDefault="00E50B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CAF90" w14:textId="77777777" w:rsidR="00905F54" w:rsidRDefault="00905F54">
    <w:pPr>
      <w:pStyle w:val="Header"/>
    </w:pPr>
  </w:p>
  <w:p w14:paraId="0FA7E296" w14:textId="77777777" w:rsidR="00905F54" w:rsidRDefault="00905F5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D160220" wp14:editId="205C313C">
          <wp:simplePos x="0" y="0"/>
          <wp:positionH relativeFrom="column">
            <wp:posOffset>-70533</wp:posOffset>
          </wp:positionH>
          <wp:positionV relativeFrom="paragraph">
            <wp:posOffset>121920</wp:posOffset>
          </wp:positionV>
          <wp:extent cx="2752725" cy="819150"/>
          <wp:effectExtent l="0" t="0" r="0" b="0"/>
          <wp:wrapNone/>
          <wp:docPr id="6" name="Picture 6" descr="G:\ASCD\Communications &amp; Public Affairs\Toolbox\6. Tools and Resources\Design\PRINT\Climate Change Authority\logos\CCA_inli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ASCD\Communications &amp; Public Affairs\Toolbox\6. Tools and Resources\Design\PRINT\Climate Change Authority\logos\CCA_inline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6AC3B9B" w14:textId="77777777" w:rsidR="00905F54" w:rsidRDefault="00905F5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0BD999B3" wp14:editId="35EA25C5">
          <wp:simplePos x="0" y="0"/>
          <wp:positionH relativeFrom="column">
            <wp:posOffset>4082151</wp:posOffset>
          </wp:positionH>
          <wp:positionV relativeFrom="paragraph">
            <wp:posOffset>57785</wp:posOffset>
          </wp:positionV>
          <wp:extent cx="1752600" cy="723900"/>
          <wp:effectExtent l="0" t="0" r="0" b="0"/>
          <wp:wrapNone/>
          <wp:docPr id="3" name="Picture 3" descr="G:\ASCD\Communications &amp; Public Affairs\Toolbox\6. Tools and Resources\Design\PRINT\Climate Change Authority\logos\CCA_inli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ASCD\Communications &amp; Public Affairs\Toolbox\6. Tools and Resources\Design\PRINT\Climate Change Authority\logos\CCA_inline-0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8777C1C" w14:textId="77777777" w:rsidR="00905F54" w:rsidRDefault="00905F54">
    <w:pPr>
      <w:pStyle w:val="Header"/>
    </w:pPr>
  </w:p>
  <w:p w14:paraId="6AE0E6A2" w14:textId="77777777" w:rsidR="00905F54" w:rsidRDefault="00905F54">
    <w:pPr>
      <w:pStyle w:val="Header"/>
    </w:pPr>
  </w:p>
  <w:p w14:paraId="50FCB1FD" w14:textId="77777777" w:rsidR="00905F54" w:rsidRDefault="00905F54">
    <w:pPr>
      <w:pStyle w:val="Header"/>
    </w:pPr>
  </w:p>
  <w:p w14:paraId="0945085C" w14:textId="77777777" w:rsidR="00905F54" w:rsidRDefault="00905F54">
    <w:pPr>
      <w:pStyle w:val="Header"/>
    </w:pPr>
  </w:p>
  <w:p w14:paraId="385E75E8" w14:textId="77777777" w:rsidR="00905F54" w:rsidRDefault="00905F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011CD4"/>
    <w:rsid w:val="00004AEE"/>
    <w:rsid w:val="00005664"/>
    <w:rsid w:val="00005CAA"/>
    <w:rsid w:val="00010210"/>
    <w:rsid w:val="00011CD4"/>
    <w:rsid w:val="00012D66"/>
    <w:rsid w:val="00015ADA"/>
    <w:rsid w:val="00020C99"/>
    <w:rsid w:val="0002707B"/>
    <w:rsid w:val="00032119"/>
    <w:rsid w:val="0005148E"/>
    <w:rsid w:val="00065BC0"/>
    <w:rsid w:val="00067260"/>
    <w:rsid w:val="00072C5A"/>
    <w:rsid w:val="000759E5"/>
    <w:rsid w:val="00084AC6"/>
    <w:rsid w:val="000859A6"/>
    <w:rsid w:val="00091608"/>
    <w:rsid w:val="000927D9"/>
    <w:rsid w:val="0009333C"/>
    <w:rsid w:val="00095137"/>
    <w:rsid w:val="0009704F"/>
    <w:rsid w:val="000A0F11"/>
    <w:rsid w:val="000A125A"/>
    <w:rsid w:val="000A57CD"/>
    <w:rsid w:val="000B3758"/>
    <w:rsid w:val="000B7681"/>
    <w:rsid w:val="000B7B42"/>
    <w:rsid w:val="000C02B7"/>
    <w:rsid w:val="000C1231"/>
    <w:rsid w:val="000C5100"/>
    <w:rsid w:val="000C5342"/>
    <w:rsid w:val="000C706A"/>
    <w:rsid w:val="000D2887"/>
    <w:rsid w:val="000D45CD"/>
    <w:rsid w:val="000D6D63"/>
    <w:rsid w:val="000D6E3E"/>
    <w:rsid w:val="000E0081"/>
    <w:rsid w:val="000E07CF"/>
    <w:rsid w:val="000E0B3B"/>
    <w:rsid w:val="000E31C1"/>
    <w:rsid w:val="000F2CF2"/>
    <w:rsid w:val="00100BEF"/>
    <w:rsid w:val="00106163"/>
    <w:rsid w:val="00111326"/>
    <w:rsid w:val="0011498E"/>
    <w:rsid w:val="00117A45"/>
    <w:rsid w:val="001224AE"/>
    <w:rsid w:val="001337D4"/>
    <w:rsid w:val="00147C12"/>
    <w:rsid w:val="001527A1"/>
    <w:rsid w:val="001530DC"/>
    <w:rsid w:val="00154899"/>
    <w:rsid w:val="00154989"/>
    <w:rsid w:val="00155A9F"/>
    <w:rsid w:val="00160262"/>
    <w:rsid w:val="00163E10"/>
    <w:rsid w:val="0016780A"/>
    <w:rsid w:val="001713FA"/>
    <w:rsid w:val="0017235E"/>
    <w:rsid w:val="00173EBF"/>
    <w:rsid w:val="00175ED3"/>
    <w:rsid w:val="001842A2"/>
    <w:rsid w:val="00187D25"/>
    <w:rsid w:val="00187FA8"/>
    <w:rsid w:val="00192F5E"/>
    <w:rsid w:val="00194688"/>
    <w:rsid w:val="001965F7"/>
    <w:rsid w:val="00197772"/>
    <w:rsid w:val="001A3F41"/>
    <w:rsid w:val="001A51C8"/>
    <w:rsid w:val="001B4CA8"/>
    <w:rsid w:val="001B5EA1"/>
    <w:rsid w:val="001C4F3D"/>
    <w:rsid w:val="001D0CDC"/>
    <w:rsid w:val="001D1D82"/>
    <w:rsid w:val="001E1182"/>
    <w:rsid w:val="001E2AE6"/>
    <w:rsid w:val="001F1C95"/>
    <w:rsid w:val="00202C90"/>
    <w:rsid w:val="00213DE8"/>
    <w:rsid w:val="00216118"/>
    <w:rsid w:val="002175D9"/>
    <w:rsid w:val="002209AB"/>
    <w:rsid w:val="002251E3"/>
    <w:rsid w:val="00227A95"/>
    <w:rsid w:val="002316BD"/>
    <w:rsid w:val="0023692B"/>
    <w:rsid w:val="00242296"/>
    <w:rsid w:val="002473FC"/>
    <w:rsid w:val="00252384"/>
    <w:rsid w:val="00252E3C"/>
    <w:rsid w:val="0025410C"/>
    <w:rsid w:val="00262198"/>
    <w:rsid w:val="00274649"/>
    <w:rsid w:val="00285167"/>
    <w:rsid w:val="00285F1B"/>
    <w:rsid w:val="00292B81"/>
    <w:rsid w:val="002A3C1A"/>
    <w:rsid w:val="002B18AE"/>
    <w:rsid w:val="002B3270"/>
    <w:rsid w:val="002C1C93"/>
    <w:rsid w:val="002C5066"/>
    <w:rsid w:val="002C5813"/>
    <w:rsid w:val="002D4AA4"/>
    <w:rsid w:val="002D4AAC"/>
    <w:rsid w:val="002D4EB0"/>
    <w:rsid w:val="002F045A"/>
    <w:rsid w:val="0030039D"/>
    <w:rsid w:val="0030326F"/>
    <w:rsid w:val="00310701"/>
    <w:rsid w:val="00315980"/>
    <w:rsid w:val="00316F7F"/>
    <w:rsid w:val="003218E8"/>
    <w:rsid w:val="00321ADC"/>
    <w:rsid w:val="00323178"/>
    <w:rsid w:val="00325E34"/>
    <w:rsid w:val="00330DCE"/>
    <w:rsid w:val="00331A55"/>
    <w:rsid w:val="00331E11"/>
    <w:rsid w:val="00334761"/>
    <w:rsid w:val="00337EBC"/>
    <w:rsid w:val="00341DCD"/>
    <w:rsid w:val="0034563E"/>
    <w:rsid w:val="003518D6"/>
    <w:rsid w:val="0035460C"/>
    <w:rsid w:val="003556BD"/>
    <w:rsid w:val="003650A9"/>
    <w:rsid w:val="00365147"/>
    <w:rsid w:val="0037016E"/>
    <w:rsid w:val="00372908"/>
    <w:rsid w:val="00373EAD"/>
    <w:rsid w:val="00382131"/>
    <w:rsid w:val="00383020"/>
    <w:rsid w:val="00394D7E"/>
    <w:rsid w:val="003975FD"/>
    <w:rsid w:val="003B057D"/>
    <w:rsid w:val="003B60CC"/>
    <w:rsid w:val="003B6775"/>
    <w:rsid w:val="003B6945"/>
    <w:rsid w:val="003C1B25"/>
    <w:rsid w:val="003C2443"/>
    <w:rsid w:val="003C5DA3"/>
    <w:rsid w:val="003D1A8E"/>
    <w:rsid w:val="003D4BCD"/>
    <w:rsid w:val="003D6C2B"/>
    <w:rsid w:val="003E01D8"/>
    <w:rsid w:val="003E2100"/>
    <w:rsid w:val="003F2FAD"/>
    <w:rsid w:val="003F3A64"/>
    <w:rsid w:val="003F5700"/>
    <w:rsid w:val="003F6F5B"/>
    <w:rsid w:val="0040342D"/>
    <w:rsid w:val="0041192D"/>
    <w:rsid w:val="00413EE1"/>
    <w:rsid w:val="0042128E"/>
    <w:rsid w:val="00432B60"/>
    <w:rsid w:val="00440698"/>
    <w:rsid w:val="00440E45"/>
    <w:rsid w:val="004540E2"/>
    <w:rsid w:val="00454454"/>
    <w:rsid w:val="00467924"/>
    <w:rsid w:val="004712A5"/>
    <w:rsid w:val="0047266F"/>
    <w:rsid w:val="00476D6B"/>
    <w:rsid w:val="00492937"/>
    <w:rsid w:val="00492C16"/>
    <w:rsid w:val="00495E62"/>
    <w:rsid w:val="004A0678"/>
    <w:rsid w:val="004A4646"/>
    <w:rsid w:val="004A48A3"/>
    <w:rsid w:val="004A7840"/>
    <w:rsid w:val="004B0D92"/>
    <w:rsid w:val="004B0EC0"/>
    <w:rsid w:val="004B66F1"/>
    <w:rsid w:val="004C3EA0"/>
    <w:rsid w:val="004D361E"/>
    <w:rsid w:val="004E2FE0"/>
    <w:rsid w:val="004F6263"/>
    <w:rsid w:val="004F7169"/>
    <w:rsid w:val="00500D66"/>
    <w:rsid w:val="00503C46"/>
    <w:rsid w:val="00514C8E"/>
    <w:rsid w:val="005273D0"/>
    <w:rsid w:val="00531DBF"/>
    <w:rsid w:val="00536AF5"/>
    <w:rsid w:val="00545759"/>
    <w:rsid w:val="00545BE0"/>
    <w:rsid w:val="00546930"/>
    <w:rsid w:val="00547DDD"/>
    <w:rsid w:val="00554C6A"/>
    <w:rsid w:val="00562E85"/>
    <w:rsid w:val="0056332F"/>
    <w:rsid w:val="00570043"/>
    <w:rsid w:val="00570917"/>
    <w:rsid w:val="005719B3"/>
    <w:rsid w:val="0057295E"/>
    <w:rsid w:val="0057483A"/>
    <w:rsid w:val="00575C2F"/>
    <w:rsid w:val="00581C39"/>
    <w:rsid w:val="005903B6"/>
    <w:rsid w:val="005A0247"/>
    <w:rsid w:val="005A126E"/>
    <w:rsid w:val="005A452F"/>
    <w:rsid w:val="005A6703"/>
    <w:rsid w:val="005B140D"/>
    <w:rsid w:val="005C1FEA"/>
    <w:rsid w:val="005C3495"/>
    <w:rsid w:val="005E3DFC"/>
    <w:rsid w:val="005E5942"/>
    <w:rsid w:val="005E60AF"/>
    <w:rsid w:val="005E687E"/>
    <w:rsid w:val="005F1DEA"/>
    <w:rsid w:val="005F60C7"/>
    <w:rsid w:val="005F762F"/>
    <w:rsid w:val="00602C5C"/>
    <w:rsid w:val="00606EA0"/>
    <w:rsid w:val="00607FC9"/>
    <w:rsid w:val="006132F5"/>
    <w:rsid w:val="00622FE1"/>
    <w:rsid w:val="0062521C"/>
    <w:rsid w:val="006303EC"/>
    <w:rsid w:val="00630A2B"/>
    <w:rsid w:val="00632DC7"/>
    <w:rsid w:val="006357FB"/>
    <w:rsid w:val="006406FC"/>
    <w:rsid w:val="00640E57"/>
    <w:rsid w:val="00646122"/>
    <w:rsid w:val="00653E16"/>
    <w:rsid w:val="00657220"/>
    <w:rsid w:val="00657362"/>
    <w:rsid w:val="0066104B"/>
    <w:rsid w:val="006655EE"/>
    <w:rsid w:val="00667C10"/>
    <w:rsid w:val="00667EF4"/>
    <w:rsid w:val="00676FCA"/>
    <w:rsid w:val="00677177"/>
    <w:rsid w:val="00683B4C"/>
    <w:rsid w:val="0068612E"/>
    <w:rsid w:val="00687C92"/>
    <w:rsid w:val="0069534E"/>
    <w:rsid w:val="0069669C"/>
    <w:rsid w:val="006A1200"/>
    <w:rsid w:val="006A4F4E"/>
    <w:rsid w:val="006A6C23"/>
    <w:rsid w:val="006B14DB"/>
    <w:rsid w:val="006B21C4"/>
    <w:rsid w:val="006B488F"/>
    <w:rsid w:val="006C29C1"/>
    <w:rsid w:val="006C4A1A"/>
    <w:rsid w:val="006C66B2"/>
    <w:rsid w:val="006D0393"/>
    <w:rsid w:val="006D1A83"/>
    <w:rsid w:val="006E1CFE"/>
    <w:rsid w:val="006E3056"/>
    <w:rsid w:val="006F10C4"/>
    <w:rsid w:val="006F40E9"/>
    <w:rsid w:val="006F5603"/>
    <w:rsid w:val="006F7B87"/>
    <w:rsid w:val="00701400"/>
    <w:rsid w:val="007037CF"/>
    <w:rsid w:val="007167C0"/>
    <w:rsid w:val="00720481"/>
    <w:rsid w:val="00726392"/>
    <w:rsid w:val="00733193"/>
    <w:rsid w:val="00734865"/>
    <w:rsid w:val="00744DDA"/>
    <w:rsid w:val="00745E03"/>
    <w:rsid w:val="0075732A"/>
    <w:rsid w:val="007600F8"/>
    <w:rsid w:val="00760262"/>
    <w:rsid w:val="0076310C"/>
    <w:rsid w:val="007635E3"/>
    <w:rsid w:val="0076744F"/>
    <w:rsid w:val="00767BCE"/>
    <w:rsid w:val="00767EFC"/>
    <w:rsid w:val="007707DE"/>
    <w:rsid w:val="00770B5D"/>
    <w:rsid w:val="007752F1"/>
    <w:rsid w:val="00776768"/>
    <w:rsid w:val="00777AAB"/>
    <w:rsid w:val="0078187A"/>
    <w:rsid w:val="00791368"/>
    <w:rsid w:val="00794E53"/>
    <w:rsid w:val="00794ED8"/>
    <w:rsid w:val="007A2573"/>
    <w:rsid w:val="007A45DB"/>
    <w:rsid w:val="007B106C"/>
    <w:rsid w:val="007B1A4E"/>
    <w:rsid w:val="007B3D05"/>
    <w:rsid w:val="007B5503"/>
    <w:rsid w:val="007B7968"/>
    <w:rsid w:val="007C179C"/>
    <w:rsid w:val="007C5CA7"/>
    <w:rsid w:val="007C6BB3"/>
    <w:rsid w:val="007D14B4"/>
    <w:rsid w:val="007D15E5"/>
    <w:rsid w:val="007D3AD7"/>
    <w:rsid w:val="007E24F6"/>
    <w:rsid w:val="00800F64"/>
    <w:rsid w:val="00800F7A"/>
    <w:rsid w:val="00801050"/>
    <w:rsid w:val="008010CA"/>
    <w:rsid w:val="00802F0B"/>
    <w:rsid w:val="00810A67"/>
    <w:rsid w:val="00833CF7"/>
    <w:rsid w:val="00834CDE"/>
    <w:rsid w:val="00842464"/>
    <w:rsid w:val="00845601"/>
    <w:rsid w:val="00855C5C"/>
    <w:rsid w:val="00856CD4"/>
    <w:rsid w:val="0087723D"/>
    <w:rsid w:val="008839C2"/>
    <w:rsid w:val="00883BBE"/>
    <w:rsid w:val="008A0CE8"/>
    <w:rsid w:val="008A37CC"/>
    <w:rsid w:val="008A3C96"/>
    <w:rsid w:val="008B4019"/>
    <w:rsid w:val="008B65C9"/>
    <w:rsid w:val="008C2D4A"/>
    <w:rsid w:val="008D3900"/>
    <w:rsid w:val="008D6E1D"/>
    <w:rsid w:val="008F39B4"/>
    <w:rsid w:val="008F4162"/>
    <w:rsid w:val="008F465F"/>
    <w:rsid w:val="00903E02"/>
    <w:rsid w:val="00905F54"/>
    <w:rsid w:val="00913175"/>
    <w:rsid w:val="00914E8D"/>
    <w:rsid w:val="00916EDB"/>
    <w:rsid w:val="00920861"/>
    <w:rsid w:val="00921838"/>
    <w:rsid w:val="00922B13"/>
    <w:rsid w:val="009242EF"/>
    <w:rsid w:val="00932291"/>
    <w:rsid w:val="00932861"/>
    <w:rsid w:val="0093408E"/>
    <w:rsid w:val="00952DDF"/>
    <w:rsid w:val="00953CBF"/>
    <w:rsid w:val="009610A3"/>
    <w:rsid w:val="00963B6A"/>
    <w:rsid w:val="00970950"/>
    <w:rsid w:val="009812D4"/>
    <w:rsid w:val="009920D8"/>
    <w:rsid w:val="009952F5"/>
    <w:rsid w:val="009A6DB7"/>
    <w:rsid w:val="009B38BE"/>
    <w:rsid w:val="009B48E1"/>
    <w:rsid w:val="009C3D0F"/>
    <w:rsid w:val="009C6137"/>
    <w:rsid w:val="009E1B19"/>
    <w:rsid w:val="009F35E2"/>
    <w:rsid w:val="009F65F9"/>
    <w:rsid w:val="009F68BA"/>
    <w:rsid w:val="00A06277"/>
    <w:rsid w:val="00A079DC"/>
    <w:rsid w:val="00A10076"/>
    <w:rsid w:val="00A111C2"/>
    <w:rsid w:val="00A2314A"/>
    <w:rsid w:val="00A24C77"/>
    <w:rsid w:val="00A338E7"/>
    <w:rsid w:val="00A35CAA"/>
    <w:rsid w:val="00A36E7F"/>
    <w:rsid w:val="00A40299"/>
    <w:rsid w:val="00A41E65"/>
    <w:rsid w:val="00A43E0A"/>
    <w:rsid w:val="00A530C7"/>
    <w:rsid w:val="00A53917"/>
    <w:rsid w:val="00A55F5B"/>
    <w:rsid w:val="00A60185"/>
    <w:rsid w:val="00A661EA"/>
    <w:rsid w:val="00A830E5"/>
    <w:rsid w:val="00A87135"/>
    <w:rsid w:val="00A93280"/>
    <w:rsid w:val="00A951EA"/>
    <w:rsid w:val="00A955DD"/>
    <w:rsid w:val="00AA005D"/>
    <w:rsid w:val="00AA2548"/>
    <w:rsid w:val="00AA58C4"/>
    <w:rsid w:val="00AA7003"/>
    <w:rsid w:val="00AB11C8"/>
    <w:rsid w:val="00AC08A8"/>
    <w:rsid w:val="00AD56C8"/>
    <w:rsid w:val="00AD58F2"/>
    <w:rsid w:val="00AE45AB"/>
    <w:rsid w:val="00AF2E1C"/>
    <w:rsid w:val="00B00566"/>
    <w:rsid w:val="00B0139E"/>
    <w:rsid w:val="00B0512A"/>
    <w:rsid w:val="00B0529F"/>
    <w:rsid w:val="00B1418B"/>
    <w:rsid w:val="00B21195"/>
    <w:rsid w:val="00B23263"/>
    <w:rsid w:val="00B24B22"/>
    <w:rsid w:val="00B25310"/>
    <w:rsid w:val="00B32F8F"/>
    <w:rsid w:val="00B3492A"/>
    <w:rsid w:val="00B42C40"/>
    <w:rsid w:val="00B507CC"/>
    <w:rsid w:val="00B54DE9"/>
    <w:rsid w:val="00B553EC"/>
    <w:rsid w:val="00B55E3F"/>
    <w:rsid w:val="00B625A9"/>
    <w:rsid w:val="00B63C1E"/>
    <w:rsid w:val="00B663CE"/>
    <w:rsid w:val="00B6797E"/>
    <w:rsid w:val="00B93DD0"/>
    <w:rsid w:val="00B97732"/>
    <w:rsid w:val="00BA4E3D"/>
    <w:rsid w:val="00BA65A8"/>
    <w:rsid w:val="00BA6D19"/>
    <w:rsid w:val="00BA7461"/>
    <w:rsid w:val="00BA7DA9"/>
    <w:rsid w:val="00BB3A7A"/>
    <w:rsid w:val="00BC4215"/>
    <w:rsid w:val="00BD01C8"/>
    <w:rsid w:val="00BD1A6F"/>
    <w:rsid w:val="00BE6D3C"/>
    <w:rsid w:val="00BE7852"/>
    <w:rsid w:val="00BF1E03"/>
    <w:rsid w:val="00BF6A2D"/>
    <w:rsid w:val="00BF7CEE"/>
    <w:rsid w:val="00C03880"/>
    <w:rsid w:val="00C0485C"/>
    <w:rsid w:val="00C135CF"/>
    <w:rsid w:val="00C227FA"/>
    <w:rsid w:val="00C2683F"/>
    <w:rsid w:val="00C3184D"/>
    <w:rsid w:val="00C43510"/>
    <w:rsid w:val="00C4462E"/>
    <w:rsid w:val="00C4714E"/>
    <w:rsid w:val="00C51CCA"/>
    <w:rsid w:val="00C5504F"/>
    <w:rsid w:val="00C57B55"/>
    <w:rsid w:val="00C63376"/>
    <w:rsid w:val="00C74F97"/>
    <w:rsid w:val="00C8098A"/>
    <w:rsid w:val="00C8276E"/>
    <w:rsid w:val="00C842AC"/>
    <w:rsid w:val="00C96688"/>
    <w:rsid w:val="00CA0723"/>
    <w:rsid w:val="00CA1862"/>
    <w:rsid w:val="00CA45BB"/>
    <w:rsid w:val="00CB1690"/>
    <w:rsid w:val="00CC4365"/>
    <w:rsid w:val="00CD11B0"/>
    <w:rsid w:val="00CE7030"/>
    <w:rsid w:val="00CE71C2"/>
    <w:rsid w:val="00CF34E9"/>
    <w:rsid w:val="00CF42D5"/>
    <w:rsid w:val="00CF4EDA"/>
    <w:rsid w:val="00D021CB"/>
    <w:rsid w:val="00D10F1A"/>
    <w:rsid w:val="00D116F8"/>
    <w:rsid w:val="00D17596"/>
    <w:rsid w:val="00D21D54"/>
    <w:rsid w:val="00D22640"/>
    <w:rsid w:val="00D26D3A"/>
    <w:rsid w:val="00D32B46"/>
    <w:rsid w:val="00D40813"/>
    <w:rsid w:val="00D45EE3"/>
    <w:rsid w:val="00D50618"/>
    <w:rsid w:val="00D509E9"/>
    <w:rsid w:val="00D53B1C"/>
    <w:rsid w:val="00D53D01"/>
    <w:rsid w:val="00D70F7F"/>
    <w:rsid w:val="00D77AFC"/>
    <w:rsid w:val="00DA1B12"/>
    <w:rsid w:val="00DA54C9"/>
    <w:rsid w:val="00DA6739"/>
    <w:rsid w:val="00DA6CAE"/>
    <w:rsid w:val="00DB1A9E"/>
    <w:rsid w:val="00DB25C8"/>
    <w:rsid w:val="00DB31D6"/>
    <w:rsid w:val="00DB4005"/>
    <w:rsid w:val="00DC34EB"/>
    <w:rsid w:val="00DF1E5B"/>
    <w:rsid w:val="00DF2275"/>
    <w:rsid w:val="00DF2A05"/>
    <w:rsid w:val="00DF3F5E"/>
    <w:rsid w:val="00DF5653"/>
    <w:rsid w:val="00E04C00"/>
    <w:rsid w:val="00E0596E"/>
    <w:rsid w:val="00E06F66"/>
    <w:rsid w:val="00E12835"/>
    <w:rsid w:val="00E149ED"/>
    <w:rsid w:val="00E25D84"/>
    <w:rsid w:val="00E356E5"/>
    <w:rsid w:val="00E36F81"/>
    <w:rsid w:val="00E45765"/>
    <w:rsid w:val="00E5098C"/>
    <w:rsid w:val="00E50BD8"/>
    <w:rsid w:val="00E60213"/>
    <w:rsid w:val="00E64ABC"/>
    <w:rsid w:val="00E661B2"/>
    <w:rsid w:val="00E66486"/>
    <w:rsid w:val="00E70F0F"/>
    <w:rsid w:val="00E74D29"/>
    <w:rsid w:val="00E760B4"/>
    <w:rsid w:val="00E83C74"/>
    <w:rsid w:val="00E83CEE"/>
    <w:rsid w:val="00E91F18"/>
    <w:rsid w:val="00E9226D"/>
    <w:rsid w:val="00EA416C"/>
    <w:rsid w:val="00EA5941"/>
    <w:rsid w:val="00EB16B7"/>
    <w:rsid w:val="00EB60CE"/>
    <w:rsid w:val="00EB7D53"/>
    <w:rsid w:val="00EE3146"/>
    <w:rsid w:val="00EF50BB"/>
    <w:rsid w:val="00EF53FF"/>
    <w:rsid w:val="00F00192"/>
    <w:rsid w:val="00F01DF6"/>
    <w:rsid w:val="00F0340D"/>
    <w:rsid w:val="00F059A6"/>
    <w:rsid w:val="00F23756"/>
    <w:rsid w:val="00F2523A"/>
    <w:rsid w:val="00F25FFA"/>
    <w:rsid w:val="00F30709"/>
    <w:rsid w:val="00F310D2"/>
    <w:rsid w:val="00F36506"/>
    <w:rsid w:val="00F36F3D"/>
    <w:rsid w:val="00F477BD"/>
    <w:rsid w:val="00F53491"/>
    <w:rsid w:val="00F54DCB"/>
    <w:rsid w:val="00F65A1C"/>
    <w:rsid w:val="00F66F50"/>
    <w:rsid w:val="00F67413"/>
    <w:rsid w:val="00F82FF8"/>
    <w:rsid w:val="00F8330D"/>
    <w:rsid w:val="00F84305"/>
    <w:rsid w:val="00F8485C"/>
    <w:rsid w:val="00F87149"/>
    <w:rsid w:val="00F87FFE"/>
    <w:rsid w:val="00F954C9"/>
    <w:rsid w:val="00FA4CF0"/>
    <w:rsid w:val="00FA4F6A"/>
    <w:rsid w:val="00FA61AA"/>
    <w:rsid w:val="00FA69A4"/>
    <w:rsid w:val="00FB1279"/>
    <w:rsid w:val="00FB1495"/>
    <w:rsid w:val="00FB1723"/>
    <w:rsid w:val="00FC06B9"/>
    <w:rsid w:val="00FD1694"/>
    <w:rsid w:val="00FD7636"/>
    <w:rsid w:val="00FE3229"/>
    <w:rsid w:val="00FE74C3"/>
    <w:rsid w:val="00FF13E8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9184B0"/>
  <w15:chartTrackingRefBased/>
  <w15:docId w15:val="{97294D17-07AA-4BA8-8B09-C647CF6E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703"/>
    <w:pPr>
      <w:keepNext/>
      <w:outlineLvl w:val="0"/>
    </w:pPr>
    <w:rPr>
      <w:rFonts w:ascii="Arial Bold" w:hAnsi="Arial Bold" w:cs="Arial"/>
      <w:b/>
      <w:color w:val="159DC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A6703"/>
    <w:rPr>
      <w:rFonts w:ascii="Arial Bold" w:hAnsi="Arial Bold" w:cs="Arial"/>
      <w:b/>
      <w:color w:val="159DCE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5A6703"/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5A6703"/>
    <w:rPr>
      <w:rFonts w:ascii="Arial Bold" w:hAnsi="Arial Bold" w:cs="Arial"/>
      <w:b/>
      <w:color w:val="159DCE"/>
      <w:sz w:val="28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F570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5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7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700"/>
    <w:rPr>
      <w:b/>
      <w:bCs/>
      <w:lang w:eastAsia="en-US"/>
    </w:rPr>
  </w:style>
  <w:style w:type="paragraph" w:styleId="Revision">
    <w:name w:val="Revision"/>
    <w:hidden/>
    <w:uiPriority w:val="99"/>
    <w:semiHidden/>
    <w:rsid w:val="00726392"/>
    <w:rPr>
      <w:sz w:val="22"/>
      <w:szCs w:val="22"/>
      <w:lang w:eastAsia="en-US"/>
    </w:rPr>
  </w:style>
  <w:style w:type="paragraph" w:customStyle="1" w:styleId="Bodytext">
    <w:name w:val="Bodytext"/>
    <w:basedOn w:val="BodyText0"/>
    <w:link w:val="BodytextChar"/>
    <w:qFormat/>
    <w:rsid w:val="007B7968"/>
    <w:pPr>
      <w:spacing w:after="200"/>
    </w:pPr>
    <w:rPr>
      <w:rFonts w:eastAsiaTheme="minorHAnsi" w:cstheme="minorBidi"/>
      <w:sz w:val="21"/>
      <w:szCs w:val="21"/>
    </w:rPr>
  </w:style>
  <w:style w:type="character" w:customStyle="1" w:styleId="BodytextChar">
    <w:name w:val="Bodytext Char"/>
    <w:basedOn w:val="BodyTextChar0"/>
    <w:link w:val="Bodytext"/>
    <w:rsid w:val="007B7968"/>
    <w:rPr>
      <w:rFonts w:eastAsiaTheme="minorHAnsi" w:cstheme="minorBidi"/>
      <w:sz w:val="21"/>
      <w:szCs w:val="21"/>
      <w:lang w:eastAsia="en-US"/>
    </w:rPr>
  </w:style>
  <w:style w:type="paragraph" w:styleId="BodyText0">
    <w:name w:val="Body Text"/>
    <w:basedOn w:val="Normal"/>
    <w:link w:val="BodyTextChar0"/>
    <w:uiPriority w:val="99"/>
    <w:semiHidden/>
    <w:unhideWhenUsed/>
    <w:rsid w:val="007B7968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7B79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/Users/A22501/AppData/Local/Microsoft/Windows/Temporary%20Internet%20Files/Content.Outlook/K8B3X22C/www.climatechangeauthority.gov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E2EA31D43EB7EC4B8C44239A8E4A9E6D0100CB38E12D67E42E4D84B3D88CB3A59BDB" ma:contentTypeVersion="3" ma:contentTypeDescription="Create a new Word Document" ma:contentTypeScope="" ma:versionID="20d90d40eed127960b8978ab4ea46f3b">
  <xsd:schema xmlns:xsd="http://www.w3.org/2001/XMLSchema" xmlns:xs="http://www.w3.org/2001/XMLSchema" xmlns:p="http://schemas.microsoft.com/office/2006/metadata/properties" xmlns:ns2="e0c1e391-29fd-4ceb-82b5-dfc916cb1980" targetNamespace="http://schemas.microsoft.com/office/2006/metadata/properties" ma:root="true" ma:fieldsID="7d75cb15d7aef1acdaa9c6e2917aad36" ns2:_="">
    <xsd:import namespace="e0c1e391-29fd-4ceb-82b5-dfc916cb1980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1e391-29fd-4ceb-82b5-dfc916cb1980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Climate Change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Approval xmlns="e0c1e391-29fd-4ceb-82b5-dfc916cb1980" xsi:nil="true"/>
    <Function xmlns="e0c1e391-29fd-4ceb-82b5-dfc916cb1980">Climate Change</Function>
    <RecordNumber xmlns="e0c1e391-29fd-4ceb-82b5-dfc916cb1980">002447431</RecordNumber>
    <DocumentDescription xmlns="e0c1e391-29fd-4ceb-82b5-dfc916cb1980">ATTACHMENT 3B (3b)</DocumentDescription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D7E50-ABB4-4A0B-BD56-EE51775BF0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FAADB0-1AEA-4678-8D21-0AB6120AA7C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60EDA9A-11E7-4988-9295-5747DF662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1e391-29fd-4ceb-82b5-dfc916cb1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e0c1e391-29fd-4ceb-82b5-dfc916cb1980"/>
  </ds:schemaRefs>
</ds:datastoreItem>
</file>

<file path=customXml/itemProps6.xml><?xml version="1.0" encoding="utf-8"?>
<ds:datastoreItem xmlns:ds="http://schemas.openxmlformats.org/officeDocument/2006/customXml" ds:itemID="{DBA1BE2C-B97B-4E73-B81C-5E8655B0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AD3883E1.dotm</Template>
  <TotalTime>1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</vt:lpstr>
    </vt:vector>
  </TitlesOfParts>
  <Company>The Department of the Environment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subject/>
  <dc:creator>Brine, Steven</dc:creator>
  <cp:keywords/>
  <dc:description/>
  <cp:lastModifiedBy>Steven Brine</cp:lastModifiedBy>
  <cp:revision>2</cp:revision>
  <cp:lastPrinted>2018-09-27T05:00:00Z</cp:lastPrinted>
  <dcterms:created xsi:type="dcterms:W3CDTF">2018-10-10T00:22:00Z</dcterms:created>
  <dcterms:modified xsi:type="dcterms:W3CDTF">2018-10-10T00:22:00Z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0x010100E2EA31D43EB7EC4B8C44239A8E4A9E6D0100CB38E12D67E42E4D84B3D88CB3A59BDB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{abd38ece-07d8-48b7-85e6-163aea83b37f}</vt:lpwstr>
  </property>
  <property fmtid="{D5CDD505-2E9C-101B-9397-08002B2CF9AE}" pid="5" name="RecordPoint_ActiveItemListId">
    <vt:lpwstr>{4e6a0222-b5f9-446f-8e4a-cbce8b305cac}</vt:lpwstr>
  </property>
  <property fmtid="{D5CDD505-2E9C-101B-9397-08002B2CF9AE}" pid="6" name="RecordPoint_ActiveItemUniqueId">
    <vt:lpwstr>{d5c3769c-0f51-4585-b428-2e4e395d9adf}</vt:lpwstr>
  </property>
  <property fmtid="{D5CDD505-2E9C-101B-9397-08002B2CF9AE}" pid="7" name="RecordPoint_ActiveItemWebId">
    <vt:lpwstr>{e0c1e391-29fd-4ceb-82b5-dfc916cb1980}</vt:lpwstr>
  </property>
  <property fmtid="{D5CDD505-2E9C-101B-9397-08002B2CF9AE}" pid="8" name="RecordPoint_RecordNumberSubmitted">
    <vt:lpwstr>002447431</vt:lpwstr>
  </property>
  <property fmtid="{D5CDD505-2E9C-101B-9397-08002B2CF9AE}" pid="9" name="RecordPoint_SubmissionCompleted">
    <vt:lpwstr>2018-10-08T21:33:30.4746596+11:00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IconOverlay">
    <vt:lpwstr/>
  </property>
</Properties>
</file>